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72656"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7265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72656"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67265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72656" w:rsidTr="002E5576">
        <w:tc>
          <w:tcPr>
            <w:tcW w:w="4518" w:type="dxa"/>
          </w:tcPr>
          <w:p w:rsidR="00BF25F3" w:rsidRPr="002E2327" w:rsidRDefault="00547297"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547297"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B44C85" w:rsidP="00F0068D">
      <w:pPr>
        <w:pBdr>
          <w:bottom w:val="single" w:sz="6" w:space="1" w:color="auto"/>
        </w:pBdr>
        <w:tabs>
          <w:tab w:val="center" w:pos="4680"/>
          <w:tab w:val="right" w:pos="9360"/>
        </w:tabs>
        <w:rPr>
          <w:lang w:val="fr-CA"/>
        </w:rPr>
      </w:pPr>
      <w:proofErr w:type="spellStart"/>
      <w:r>
        <w:rPr>
          <w:lang w:val="fr-CA"/>
        </w:rPr>
        <w:t>June</w:t>
      </w:r>
      <w:proofErr w:type="spellEnd"/>
      <w:r w:rsidR="00440E24" w:rsidRPr="00675479">
        <w:rPr>
          <w:lang w:val="fr-CA"/>
        </w:rPr>
        <w:t xml:space="preserve"> 2</w:t>
      </w:r>
      <w:r>
        <w:rPr>
          <w:lang w:val="fr-CA"/>
        </w:rPr>
        <w:t>4</w:t>
      </w:r>
      <w:r w:rsidR="00440E24" w:rsidRPr="00675479">
        <w:rPr>
          <w:lang w:val="fr-CA"/>
        </w:rPr>
        <w:t>, 201</w:t>
      </w:r>
      <w:r w:rsidR="003359D3">
        <w:rPr>
          <w:lang w:val="fr-CA"/>
        </w:rPr>
        <w:t>1</w:t>
      </w:r>
      <w:r>
        <w:rPr>
          <w:lang w:val="fr-CA"/>
        </w:rPr>
        <w:tab/>
        <w:t>966</w:t>
      </w:r>
      <w:r w:rsidR="00F0068D" w:rsidRPr="00675479">
        <w:rPr>
          <w:lang w:val="fr-CA"/>
        </w:rPr>
        <w:t xml:space="preserve"> - </w:t>
      </w:r>
      <w:r w:rsidR="007120BE">
        <w:rPr>
          <w:lang w:val="fr-CA"/>
        </w:rPr>
        <w:t>997</w:t>
      </w:r>
      <w:r w:rsidR="00440E24" w:rsidRPr="00675479">
        <w:rPr>
          <w:lang w:val="fr-CA"/>
        </w:rPr>
        <w:tab/>
      </w:r>
      <w:r w:rsidR="00440E24" w:rsidRPr="002E2327">
        <w:rPr>
          <w:lang w:val="fr-CA"/>
        </w:rPr>
        <w:t>Le 2</w:t>
      </w:r>
      <w:r>
        <w:rPr>
          <w:lang w:val="fr-CA"/>
        </w:rPr>
        <w:t>4</w:t>
      </w:r>
      <w:r w:rsidR="00440E24" w:rsidRPr="002E2327">
        <w:rPr>
          <w:lang w:val="fr-CA"/>
        </w:rPr>
        <w:t xml:space="preserve"> </w:t>
      </w:r>
      <w:r>
        <w:rPr>
          <w:lang w:val="fr-CA"/>
        </w:rPr>
        <w:t>juin</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 on motion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Default="0095096B" w:rsidP="0095096B">
            <w:pPr>
              <w:tabs>
                <w:tab w:val="right" w:pos="9360"/>
              </w:tabs>
              <w:rPr>
                <w:rFonts w:cs="Times New Roman"/>
                <w:sz w:val="20"/>
                <w:szCs w:val="20"/>
              </w:rPr>
            </w:pPr>
          </w:p>
          <w:p w:rsidR="00567DDC" w:rsidRPr="002E2327" w:rsidRDefault="00567DDC"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567DDC">
            <w:pPr>
              <w:tabs>
                <w:tab w:val="right" w:pos="9360"/>
              </w:tabs>
              <w:rPr>
                <w:rFonts w:cs="Times New Roman"/>
                <w:sz w:val="20"/>
                <w:szCs w:val="20"/>
              </w:rPr>
            </w:pPr>
          </w:p>
        </w:tc>
        <w:tc>
          <w:tcPr>
            <w:tcW w:w="1980" w:type="dxa"/>
          </w:tcPr>
          <w:p w:rsidR="0095096B" w:rsidRPr="002E2327" w:rsidRDefault="00C3118F" w:rsidP="0095096B">
            <w:pPr>
              <w:jc w:val="center"/>
              <w:rPr>
                <w:rFonts w:cs="Times New Roman"/>
                <w:sz w:val="20"/>
                <w:szCs w:val="20"/>
              </w:rPr>
            </w:pPr>
            <w:r>
              <w:rPr>
                <w:rFonts w:cs="Times New Roman"/>
                <w:sz w:val="20"/>
                <w:szCs w:val="20"/>
              </w:rPr>
              <w:t xml:space="preserve">966 </w:t>
            </w:r>
            <w:r w:rsidR="00547297" w:rsidRPr="002E2327">
              <w:rPr>
                <w:rFonts w:cs="Times New Roman"/>
                <w:sz w:val="20"/>
                <w:szCs w:val="20"/>
              </w:rPr>
              <w:fldChar w:fldCharType="begin"/>
            </w:r>
            <w:r w:rsidR="0095096B" w:rsidRPr="002E2327">
              <w:rPr>
                <w:rFonts w:cs="Times New Roman"/>
                <w:sz w:val="20"/>
                <w:szCs w:val="20"/>
              </w:rPr>
              <w:instrText xml:space="preserve"> SEQ CHAPTER \h \r 1</w:instrText>
            </w:r>
            <w:r w:rsidR="00547297" w:rsidRPr="002E2327">
              <w:rPr>
                <w:rFonts w:cs="Times New Roman"/>
                <w:sz w:val="20"/>
                <w:szCs w:val="20"/>
              </w:rPr>
              <w:fldChar w:fldCharType="end"/>
            </w:r>
            <w:r w:rsidR="0095096B" w:rsidRPr="002E2327">
              <w:rPr>
                <w:rFonts w:cs="Times New Roman"/>
                <w:sz w:val="20"/>
                <w:szCs w:val="20"/>
              </w:rPr>
              <w:t>-</w:t>
            </w:r>
            <w:r w:rsidR="00E15791">
              <w:rPr>
                <w:rFonts w:cs="Times New Roman"/>
                <w:sz w:val="20"/>
                <w:szCs w:val="20"/>
              </w:rPr>
              <w:t xml:space="preserve"> 967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15791" w:rsidP="0095096B">
            <w:pPr>
              <w:jc w:val="center"/>
              <w:rPr>
                <w:rFonts w:cs="Times New Roman"/>
                <w:sz w:val="20"/>
                <w:szCs w:val="20"/>
              </w:rPr>
            </w:pPr>
            <w:r>
              <w:rPr>
                <w:rFonts w:cs="Times New Roman"/>
                <w:sz w:val="20"/>
                <w:szCs w:val="20"/>
              </w:rPr>
              <w:t>968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15791" w:rsidP="0095096B">
            <w:pPr>
              <w:jc w:val="center"/>
              <w:rPr>
                <w:rFonts w:cs="Times New Roman"/>
                <w:sz w:val="20"/>
                <w:szCs w:val="20"/>
              </w:rPr>
            </w:pPr>
            <w:r>
              <w:rPr>
                <w:rFonts w:cs="Times New Roman"/>
                <w:sz w:val="20"/>
                <w:szCs w:val="20"/>
              </w:rPr>
              <w:t xml:space="preserve">969 </w:t>
            </w:r>
            <w:r w:rsidR="0095096B" w:rsidRPr="002E2327">
              <w:rPr>
                <w:rFonts w:cs="Times New Roman"/>
                <w:sz w:val="20"/>
                <w:szCs w:val="20"/>
              </w:rPr>
              <w:t>-</w:t>
            </w:r>
            <w:r w:rsidR="006D3E81">
              <w:rPr>
                <w:rFonts w:cs="Times New Roman"/>
                <w:sz w:val="20"/>
                <w:szCs w:val="20"/>
              </w:rPr>
              <w:t xml:space="preserve"> 97</w:t>
            </w:r>
            <w:r w:rsidR="00660CA6">
              <w:rPr>
                <w:rFonts w:cs="Times New Roman"/>
                <w:sz w:val="20"/>
                <w:szCs w:val="20"/>
              </w:rPr>
              <w:t>7</w:t>
            </w:r>
          </w:p>
          <w:p w:rsidR="0095096B" w:rsidRDefault="0095096B" w:rsidP="0095096B">
            <w:pPr>
              <w:jc w:val="center"/>
              <w:rPr>
                <w:rFonts w:cs="Times New Roman"/>
                <w:sz w:val="20"/>
                <w:szCs w:val="20"/>
              </w:rPr>
            </w:pPr>
          </w:p>
          <w:p w:rsidR="00567DDC" w:rsidRPr="002E2327" w:rsidRDefault="00567DDC" w:rsidP="0095096B">
            <w:pPr>
              <w:jc w:val="center"/>
              <w:rPr>
                <w:rFonts w:cs="Times New Roman"/>
                <w:sz w:val="20"/>
                <w:szCs w:val="20"/>
              </w:rPr>
            </w:pPr>
          </w:p>
          <w:p w:rsidR="0095096B" w:rsidRPr="002E2327" w:rsidRDefault="00660CA6" w:rsidP="0095096B">
            <w:pPr>
              <w:jc w:val="center"/>
              <w:rPr>
                <w:rFonts w:cs="Times New Roman"/>
                <w:sz w:val="20"/>
                <w:szCs w:val="20"/>
              </w:rPr>
            </w:pPr>
            <w:r>
              <w:rPr>
                <w:rFonts w:cs="Times New Roman"/>
                <w:sz w:val="20"/>
                <w:szCs w:val="20"/>
              </w:rPr>
              <w:t xml:space="preserve">978 </w:t>
            </w:r>
            <w:r w:rsidR="0095096B" w:rsidRPr="002E2327">
              <w:rPr>
                <w:rFonts w:cs="Times New Roman"/>
                <w:sz w:val="20"/>
                <w:szCs w:val="20"/>
              </w:rPr>
              <w:t>-</w:t>
            </w:r>
            <w:r>
              <w:rPr>
                <w:rFonts w:cs="Times New Roman"/>
                <w:sz w:val="20"/>
                <w:szCs w:val="20"/>
              </w:rPr>
              <w:t xml:space="preserve"> 980</w:t>
            </w:r>
          </w:p>
          <w:p w:rsidR="0095096B" w:rsidRPr="002E2327" w:rsidRDefault="0095096B" w:rsidP="0095096B">
            <w:pPr>
              <w:jc w:val="center"/>
              <w:rPr>
                <w:rFonts w:cs="Times New Roman"/>
                <w:sz w:val="20"/>
                <w:szCs w:val="20"/>
              </w:rPr>
            </w:pPr>
          </w:p>
          <w:p w:rsidR="0095096B" w:rsidRPr="002E2327" w:rsidRDefault="00660CA6" w:rsidP="0095096B">
            <w:pPr>
              <w:jc w:val="center"/>
              <w:rPr>
                <w:rFonts w:cs="Times New Roman"/>
                <w:sz w:val="20"/>
                <w:szCs w:val="20"/>
              </w:rPr>
            </w:pPr>
            <w:r>
              <w:rPr>
                <w:rFonts w:cs="Times New Roman"/>
                <w:sz w:val="20"/>
                <w:szCs w:val="20"/>
              </w:rPr>
              <w:t xml:space="preserve">981 </w:t>
            </w:r>
            <w:r w:rsidR="0095096B" w:rsidRPr="002E2327">
              <w:rPr>
                <w:rFonts w:cs="Times New Roman"/>
                <w:sz w:val="20"/>
                <w:szCs w:val="20"/>
              </w:rPr>
              <w:t>-</w:t>
            </w:r>
            <w:r>
              <w:rPr>
                <w:rFonts w:cs="Times New Roman"/>
                <w:sz w:val="20"/>
                <w:szCs w:val="20"/>
              </w:rPr>
              <w:t xml:space="preserve"> 987</w:t>
            </w:r>
          </w:p>
          <w:p w:rsidR="0095096B" w:rsidRPr="002E2327" w:rsidRDefault="0095096B" w:rsidP="0095096B">
            <w:pPr>
              <w:jc w:val="center"/>
              <w:rPr>
                <w:rFonts w:cs="Times New Roman"/>
                <w:sz w:val="20"/>
                <w:szCs w:val="20"/>
              </w:rPr>
            </w:pPr>
          </w:p>
          <w:p w:rsidR="0095096B" w:rsidRPr="002E2327" w:rsidRDefault="00660CA6" w:rsidP="0095096B">
            <w:pPr>
              <w:jc w:val="center"/>
              <w:rPr>
                <w:rFonts w:cs="Times New Roman"/>
                <w:sz w:val="20"/>
                <w:szCs w:val="20"/>
              </w:rPr>
            </w:pPr>
            <w:r>
              <w:rPr>
                <w:rFonts w:cs="Times New Roman"/>
                <w:sz w:val="20"/>
                <w:szCs w:val="20"/>
              </w:rPr>
              <w:t>988</w:t>
            </w:r>
          </w:p>
          <w:p w:rsidR="0095096B" w:rsidRPr="002E2327" w:rsidRDefault="0095096B" w:rsidP="0095096B">
            <w:pPr>
              <w:jc w:val="center"/>
              <w:rPr>
                <w:rFonts w:cs="Times New Roman"/>
                <w:sz w:val="20"/>
                <w:szCs w:val="20"/>
              </w:rPr>
            </w:pPr>
          </w:p>
          <w:p w:rsidR="00567DDC" w:rsidRDefault="00567DDC" w:rsidP="0095096B">
            <w:pPr>
              <w:jc w:val="center"/>
              <w:rPr>
                <w:rFonts w:cs="Times New Roman"/>
                <w:sz w:val="20"/>
                <w:szCs w:val="20"/>
              </w:rPr>
            </w:pPr>
          </w:p>
          <w:p w:rsidR="0095096B" w:rsidRPr="002E2327" w:rsidRDefault="00660CA6" w:rsidP="0095096B">
            <w:pPr>
              <w:jc w:val="center"/>
              <w:rPr>
                <w:rFonts w:cs="Times New Roman"/>
                <w:sz w:val="20"/>
                <w:szCs w:val="20"/>
              </w:rPr>
            </w:pPr>
            <w:r>
              <w:rPr>
                <w:rFonts w:cs="Times New Roman"/>
                <w:sz w:val="20"/>
                <w:szCs w:val="20"/>
              </w:rPr>
              <w:t>989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60CA6" w:rsidP="0095096B">
            <w:pPr>
              <w:jc w:val="center"/>
              <w:rPr>
                <w:rFonts w:cs="Times New Roman"/>
                <w:sz w:val="20"/>
                <w:szCs w:val="20"/>
              </w:rPr>
            </w:pPr>
            <w:r>
              <w:rPr>
                <w:rFonts w:cs="Times New Roman"/>
                <w:sz w:val="20"/>
                <w:szCs w:val="20"/>
              </w:rPr>
              <w:t xml:space="preserve">990 </w:t>
            </w:r>
            <w:r w:rsidR="0095096B" w:rsidRPr="002E2327">
              <w:rPr>
                <w:rFonts w:cs="Times New Roman"/>
                <w:sz w:val="20"/>
                <w:szCs w:val="20"/>
              </w:rPr>
              <w:t>-</w:t>
            </w:r>
            <w:r>
              <w:rPr>
                <w:rFonts w:cs="Times New Roman"/>
                <w:sz w:val="20"/>
                <w:szCs w:val="20"/>
              </w:rPr>
              <w:t xml:space="preserve"> 997</w:t>
            </w:r>
          </w:p>
          <w:p w:rsidR="00A87207" w:rsidRPr="002E2327" w:rsidRDefault="00A87207" w:rsidP="00754CFA">
            <w:pPr>
              <w:jc w:val="center"/>
              <w:rPr>
                <w:rFonts w:cs="Times New Roman"/>
                <w:sz w:val="20"/>
                <w:szCs w:val="20"/>
              </w:rPr>
            </w:pPr>
          </w:p>
        </w:tc>
        <w:tc>
          <w:tcPr>
            <w:tcW w:w="3888" w:type="dxa"/>
          </w:tcPr>
          <w:p w:rsidR="0095096B" w:rsidRPr="002E2327" w:rsidRDefault="00547297"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Jugement sur requête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567DDC">
            <w:pPr>
              <w:tabs>
                <w:tab w:val="right" w:pos="9360"/>
              </w:tabs>
              <w:rPr>
                <w:rFonts w:cs="Times New Roman"/>
                <w:sz w:val="20"/>
                <w:szCs w:val="20"/>
                <w:lang w:val="fr-CA"/>
              </w:rPr>
            </w:pPr>
          </w:p>
        </w:tc>
      </w:tr>
    </w:tbl>
    <w:p w:rsidR="0095096B" w:rsidRDefault="0095096B" w:rsidP="0095096B">
      <w:pPr>
        <w:tabs>
          <w:tab w:val="right" w:pos="9360"/>
        </w:tabs>
      </w:pPr>
    </w:p>
    <w:p w:rsidR="007F2048" w:rsidRDefault="007F2048" w:rsidP="0095096B">
      <w:pPr>
        <w:tabs>
          <w:tab w:val="right" w:pos="9360"/>
        </w:tabs>
      </w:pPr>
    </w:p>
    <w:p w:rsidR="007F2048" w:rsidRDefault="007F2048" w:rsidP="0095096B">
      <w:pPr>
        <w:tabs>
          <w:tab w:val="right" w:pos="9360"/>
        </w:tabs>
      </w:pPr>
    </w:p>
    <w:p w:rsidR="007F2048" w:rsidRDefault="007F2048" w:rsidP="0095096B">
      <w:pPr>
        <w:tabs>
          <w:tab w:val="right" w:pos="9360"/>
        </w:tabs>
      </w:pPr>
    </w:p>
    <w:p w:rsidR="007F2048" w:rsidRPr="002E2327" w:rsidRDefault="007F2048" w:rsidP="0095096B">
      <w:pPr>
        <w:tabs>
          <w:tab w:val="right" w:pos="9360"/>
        </w:tabs>
      </w:pPr>
    </w:p>
    <w:tbl>
      <w:tblPr>
        <w:tblStyle w:val="TableGrid"/>
        <w:tblW w:w="0" w:type="auto"/>
        <w:tblLook w:val="04A0"/>
      </w:tblPr>
      <w:tblGrid>
        <w:gridCol w:w="9576"/>
      </w:tblGrid>
      <w:tr w:rsidR="0079724F" w:rsidRPr="00672656"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082042">
        <w:tc>
          <w:tcPr>
            <w:tcW w:w="4320" w:type="dxa"/>
            <w:shd w:val="clear" w:color="auto" w:fill="auto"/>
          </w:tcPr>
          <w:p w:rsidR="00082042" w:rsidRPr="005756A5" w:rsidRDefault="00082042" w:rsidP="00082042">
            <w:pPr>
              <w:rPr>
                <w:b/>
                <w:sz w:val="20"/>
                <w:szCs w:val="20"/>
                <w:lang w:val="fr-CA"/>
              </w:rPr>
            </w:pPr>
            <w:r w:rsidRPr="005756A5">
              <w:rPr>
                <w:b/>
                <w:sz w:val="20"/>
                <w:szCs w:val="20"/>
                <w:lang w:val="fr-CA"/>
              </w:rPr>
              <w:t xml:space="preserve">Violeta </w:t>
            </w:r>
            <w:proofErr w:type="spellStart"/>
            <w:r w:rsidRPr="005756A5">
              <w:rPr>
                <w:b/>
                <w:sz w:val="20"/>
                <w:szCs w:val="20"/>
                <w:lang w:val="fr-CA"/>
              </w:rPr>
              <w:t>Duni</w:t>
            </w:r>
            <w:proofErr w:type="spellEnd"/>
          </w:p>
          <w:p w:rsidR="00082042" w:rsidRPr="005756A5" w:rsidRDefault="00082042" w:rsidP="00082042">
            <w:pPr>
              <w:rPr>
                <w:sz w:val="20"/>
                <w:szCs w:val="20"/>
                <w:lang w:val="fr-CA"/>
              </w:rPr>
            </w:pPr>
            <w:r w:rsidRPr="005756A5">
              <w:rPr>
                <w:sz w:val="20"/>
                <w:szCs w:val="20"/>
                <w:lang w:val="fr-CA"/>
              </w:rPr>
              <w:tab/>
              <w:t xml:space="preserve">Violeta </w:t>
            </w:r>
            <w:proofErr w:type="spellStart"/>
            <w:r w:rsidRPr="005756A5">
              <w:rPr>
                <w:sz w:val="20"/>
                <w:szCs w:val="20"/>
                <w:lang w:val="fr-CA"/>
              </w:rPr>
              <w:t>Duni</w:t>
            </w:r>
            <w:proofErr w:type="spellEnd"/>
          </w:p>
          <w:p w:rsidR="00082042" w:rsidRPr="005756A5" w:rsidRDefault="00082042" w:rsidP="00082042">
            <w:pPr>
              <w:rPr>
                <w:b/>
                <w:sz w:val="20"/>
                <w:szCs w:val="20"/>
                <w:lang w:val="fr-CA"/>
              </w:rPr>
            </w:pPr>
          </w:p>
          <w:p w:rsidR="00082042" w:rsidRPr="005756A5" w:rsidRDefault="00082042" w:rsidP="00082042">
            <w:pPr>
              <w:rPr>
                <w:sz w:val="20"/>
                <w:szCs w:val="20"/>
                <w:lang w:val="fr-CA"/>
              </w:rPr>
            </w:pPr>
            <w:r w:rsidRPr="005756A5">
              <w:rPr>
                <w:b/>
                <w:sz w:val="20"/>
                <w:szCs w:val="20"/>
                <w:lang w:val="fr-CA"/>
              </w:rPr>
              <w:tab/>
            </w:r>
            <w:r w:rsidRPr="005756A5">
              <w:rPr>
                <w:sz w:val="20"/>
                <w:szCs w:val="20"/>
                <w:lang w:val="fr-CA"/>
              </w:rPr>
              <w:t>c. (34312)</w:t>
            </w:r>
          </w:p>
          <w:p w:rsidR="00082042" w:rsidRPr="005756A5" w:rsidRDefault="00082042" w:rsidP="00082042">
            <w:pPr>
              <w:rPr>
                <w:sz w:val="20"/>
                <w:szCs w:val="20"/>
                <w:lang w:val="fr-CA"/>
              </w:rPr>
            </w:pPr>
          </w:p>
          <w:p w:rsidR="00082042" w:rsidRPr="005756A5" w:rsidRDefault="00082042" w:rsidP="00082042">
            <w:pPr>
              <w:rPr>
                <w:b/>
                <w:sz w:val="20"/>
                <w:szCs w:val="20"/>
                <w:lang w:val="fr-CA"/>
              </w:rPr>
            </w:pPr>
            <w:r w:rsidRPr="005756A5">
              <w:rPr>
                <w:b/>
                <w:sz w:val="20"/>
                <w:szCs w:val="20"/>
                <w:lang w:val="fr-CA"/>
              </w:rPr>
              <w:t>Robinson Sheppard Shapiro, S.E.N.C.R.L</w:t>
            </w:r>
            <w:proofErr w:type="gramStart"/>
            <w:r w:rsidRPr="005756A5">
              <w:rPr>
                <w:b/>
                <w:sz w:val="20"/>
                <w:szCs w:val="20"/>
                <w:lang w:val="fr-CA"/>
              </w:rPr>
              <w:t>./</w:t>
            </w:r>
            <w:proofErr w:type="gramEnd"/>
            <w:r w:rsidRPr="005756A5">
              <w:rPr>
                <w:b/>
                <w:sz w:val="20"/>
                <w:szCs w:val="20"/>
                <w:lang w:val="fr-CA"/>
              </w:rPr>
              <w:t>L.L.P. (</w:t>
            </w:r>
            <w:proofErr w:type="spellStart"/>
            <w:r w:rsidRPr="005756A5">
              <w:rPr>
                <w:b/>
                <w:sz w:val="20"/>
                <w:szCs w:val="20"/>
                <w:lang w:val="fr-CA"/>
              </w:rPr>
              <w:t>Qc</w:t>
            </w:r>
            <w:proofErr w:type="spellEnd"/>
            <w:r w:rsidRPr="005756A5">
              <w:rPr>
                <w:b/>
                <w:sz w:val="20"/>
                <w:szCs w:val="20"/>
                <w:lang w:val="fr-CA"/>
              </w:rPr>
              <w:t>)</w:t>
            </w:r>
          </w:p>
          <w:p w:rsidR="00082042" w:rsidRPr="005756A5" w:rsidRDefault="00082042" w:rsidP="00082042">
            <w:pPr>
              <w:rPr>
                <w:sz w:val="20"/>
                <w:szCs w:val="20"/>
                <w:lang w:val="fr-CA"/>
              </w:rPr>
            </w:pPr>
            <w:r w:rsidRPr="005756A5">
              <w:rPr>
                <w:sz w:val="20"/>
                <w:szCs w:val="20"/>
                <w:lang w:val="fr-CA"/>
              </w:rPr>
              <w:tab/>
              <w:t>Daniel Dumais</w:t>
            </w:r>
          </w:p>
          <w:p w:rsidR="00082042" w:rsidRPr="005756A5" w:rsidRDefault="00082042" w:rsidP="00082042">
            <w:pPr>
              <w:rPr>
                <w:sz w:val="20"/>
                <w:szCs w:val="20"/>
                <w:lang w:val="fr-CA"/>
              </w:rPr>
            </w:pPr>
            <w:r w:rsidRPr="005756A5">
              <w:rPr>
                <w:sz w:val="20"/>
                <w:szCs w:val="20"/>
                <w:lang w:val="fr-CA"/>
              </w:rPr>
              <w:tab/>
            </w:r>
            <w:proofErr w:type="spellStart"/>
            <w:r w:rsidRPr="005756A5">
              <w:rPr>
                <w:sz w:val="20"/>
                <w:szCs w:val="20"/>
                <w:lang w:val="fr-CA"/>
              </w:rPr>
              <w:t>Heenan</w:t>
            </w:r>
            <w:proofErr w:type="spellEnd"/>
            <w:r w:rsidRPr="005756A5">
              <w:rPr>
                <w:sz w:val="20"/>
                <w:szCs w:val="20"/>
                <w:lang w:val="fr-CA"/>
              </w:rPr>
              <w:t xml:space="preserve"> </w:t>
            </w:r>
            <w:proofErr w:type="spellStart"/>
            <w:r w:rsidRPr="005756A5">
              <w:rPr>
                <w:sz w:val="20"/>
                <w:szCs w:val="20"/>
                <w:lang w:val="fr-CA"/>
              </w:rPr>
              <w:t>Blaikie</w:t>
            </w:r>
            <w:proofErr w:type="spellEnd"/>
            <w:r w:rsidRPr="005756A5">
              <w:rPr>
                <w:sz w:val="20"/>
                <w:szCs w:val="20"/>
                <w:lang w:val="fr-CA"/>
              </w:rPr>
              <w:t xml:space="preserve"> Aubut</w:t>
            </w:r>
          </w:p>
          <w:p w:rsidR="00082042" w:rsidRPr="005756A5" w:rsidRDefault="00082042" w:rsidP="00082042">
            <w:pPr>
              <w:rPr>
                <w:sz w:val="20"/>
                <w:szCs w:val="20"/>
                <w:lang w:val="fr-CA"/>
              </w:rPr>
            </w:pPr>
          </w:p>
          <w:p w:rsidR="00082042" w:rsidRPr="005756A5" w:rsidRDefault="00B4407C" w:rsidP="00082042">
            <w:pPr>
              <w:rPr>
                <w:sz w:val="20"/>
                <w:szCs w:val="20"/>
                <w:lang w:val="fr-CA"/>
              </w:rPr>
            </w:pPr>
            <w:r w:rsidRPr="00B4407C">
              <w:rPr>
                <w:sz w:val="20"/>
                <w:szCs w:val="20"/>
                <w:lang w:val="fr-CA"/>
              </w:rPr>
              <w:t xml:space="preserve">DATE DE PRODUCTION : </w:t>
            </w:r>
            <w:r w:rsidR="00082042" w:rsidRPr="005756A5">
              <w:rPr>
                <w:sz w:val="20"/>
                <w:szCs w:val="20"/>
                <w:lang w:val="fr-CA"/>
              </w:rPr>
              <w:t>07.06.2011</w:t>
            </w:r>
          </w:p>
          <w:p w:rsidR="00242AEE" w:rsidRPr="00B4407C" w:rsidRDefault="00547297" w:rsidP="003B3977">
            <w:pPr>
              <w:rPr>
                <w:sz w:val="20"/>
                <w:szCs w:val="20"/>
              </w:rPr>
            </w:pPr>
            <w:r w:rsidRPr="00547297">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B4407C" w:rsidRDefault="00242AEE" w:rsidP="00242AEE">
            <w:pPr>
              <w:jc w:val="center"/>
              <w:rPr>
                <w:sz w:val="20"/>
                <w:szCs w:val="20"/>
              </w:rPr>
            </w:pPr>
          </w:p>
          <w:p w:rsidR="00242AEE" w:rsidRPr="00B4407C" w:rsidRDefault="00242AEE" w:rsidP="00242AEE">
            <w:pPr>
              <w:jc w:val="center"/>
              <w:rPr>
                <w:sz w:val="20"/>
                <w:szCs w:val="20"/>
              </w:rPr>
            </w:pPr>
          </w:p>
          <w:p w:rsidR="00242AEE" w:rsidRPr="00B4407C" w:rsidRDefault="00242AEE" w:rsidP="00242AEE">
            <w:pPr>
              <w:jc w:val="center"/>
              <w:rPr>
                <w:sz w:val="20"/>
                <w:szCs w:val="20"/>
              </w:rPr>
            </w:pPr>
          </w:p>
          <w:p w:rsidR="00242AEE" w:rsidRPr="00B4407C" w:rsidRDefault="00242AEE" w:rsidP="00242AEE">
            <w:pPr>
              <w:jc w:val="center"/>
              <w:rPr>
                <w:sz w:val="20"/>
                <w:szCs w:val="20"/>
              </w:rPr>
            </w:pPr>
          </w:p>
          <w:p w:rsidR="00242AEE" w:rsidRPr="00B4407C" w:rsidRDefault="00242AEE" w:rsidP="00242AEE">
            <w:pPr>
              <w:jc w:val="center"/>
              <w:rPr>
                <w:sz w:val="20"/>
                <w:szCs w:val="20"/>
              </w:rPr>
            </w:pPr>
          </w:p>
          <w:p w:rsidR="00242AEE" w:rsidRPr="00B4407C" w:rsidRDefault="00242AEE" w:rsidP="00242AEE">
            <w:pPr>
              <w:jc w:val="center"/>
              <w:rPr>
                <w:sz w:val="20"/>
                <w:szCs w:val="20"/>
              </w:rPr>
            </w:pPr>
          </w:p>
          <w:p w:rsidR="00242AEE" w:rsidRPr="00B4407C" w:rsidRDefault="00242AEE" w:rsidP="00242AEE">
            <w:pPr>
              <w:jc w:val="center"/>
              <w:rPr>
                <w:sz w:val="20"/>
                <w:szCs w:val="20"/>
              </w:rPr>
            </w:pPr>
          </w:p>
          <w:p w:rsidR="00242AEE" w:rsidRPr="00B4407C" w:rsidRDefault="00242AEE" w:rsidP="00242AEE">
            <w:pPr>
              <w:jc w:val="center"/>
              <w:rPr>
                <w:sz w:val="20"/>
                <w:szCs w:val="20"/>
              </w:rPr>
            </w:pPr>
          </w:p>
          <w:p w:rsidR="00242AEE" w:rsidRPr="00B4407C" w:rsidRDefault="00242AEE" w:rsidP="00242AEE">
            <w:pPr>
              <w:jc w:val="center"/>
              <w:rPr>
                <w:sz w:val="20"/>
                <w:szCs w:val="20"/>
              </w:rPr>
            </w:pPr>
          </w:p>
          <w:p w:rsidR="00242AEE" w:rsidRPr="00B4407C" w:rsidRDefault="00242AEE" w:rsidP="00242AEE">
            <w:pPr>
              <w:jc w:val="center"/>
              <w:rPr>
                <w:sz w:val="20"/>
                <w:szCs w:val="20"/>
              </w:rPr>
            </w:pPr>
          </w:p>
          <w:p w:rsidR="00242AEE" w:rsidRPr="00B4407C" w:rsidRDefault="00242AEE" w:rsidP="00242AEE">
            <w:pPr>
              <w:jc w:val="center"/>
              <w:rPr>
                <w:sz w:val="20"/>
                <w:szCs w:val="20"/>
              </w:rPr>
            </w:pPr>
          </w:p>
          <w:p w:rsidR="00242AEE" w:rsidRPr="00B4407C" w:rsidRDefault="00242AEE" w:rsidP="00242AEE">
            <w:pPr>
              <w:jc w:val="center"/>
              <w:rPr>
                <w:sz w:val="20"/>
                <w:szCs w:val="20"/>
              </w:rPr>
            </w:pPr>
          </w:p>
          <w:p w:rsidR="00242AEE" w:rsidRPr="00B4407C" w:rsidRDefault="00242AEE" w:rsidP="00242AEE">
            <w:pPr>
              <w:jc w:val="center"/>
              <w:rPr>
                <w:sz w:val="20"/>
                <w:szCs w:val="20"/>
              </w:rPr>
            </w:pPr>
          </w:p>
        </w:tc>
        <w:tc>
          <w:tcPr>
            <w:tcW w:w="4320" w:type="dxa"/>
            <w:shd w:val="clear" w:color="auto" w:fill="auto"/>
          </w:tcPr>
          <w:p w:rsidR="00FF0756" w:rsidRPr="00B4407C" w:rsidRDefault="00FF0756" w:rsidP="00FF0756">
            <w:pPr>
              <w:rPr>
                <w:b/>
                <w:sz w:val="20"/>
                <w:szCs w:val="20"/>
              </w:rPr>
            </w:pPr>
            <w:r w:rsidRPr="00B4407C">
              <w:rPr>
                <w:b/>
                <w:sz w:val="20"/>
                <w:szCs w:val="20"/>
              </w:rPr>
              <w:t xml:space="preserve">Gregory Alan Richmond </w:t>
            </w:r>
          </w:p>
          <w:p w:rsidR="00FF0756" w:rsidRPr="00FF0756" w:rsidRDefault="00FF0756" w:rsidP="00FF0756">
            <w:pPr>
              <w:rPr>
                <w:sz w:val="20"/>
                <w:szCs w:val="20"/>
              </w:rPr>
            </w:pPr>
            <w:r w:rsidRPr="00FF0756">
              <w:rPr>
                <w:sz w:val="20"/>
                <w:szCs w:val="20"/>
              </w:rPr>
              <w:tab/>
              <w:t xml:space="preserve">Gregory Alan Richmond </w:t>
            </w:r>
          </w:p>
          <w:p w:rsidR="00FF0756" w:rsidRPr="00FF0756" w:rsidRDefault="00FF0756" w:rsidP="00FF0756">
            <w:pPr>
              <w:rPr>
                <w:sz w:val="20"/>
                <w:szCs w:val="20"/>
              </w:rPr>
            </w:pPr>
          </w:p>
          <w:p w:rsidR="00FF0756" w:rsidRPr="00FF0756" w:rsidRDefault="00FF0756" w:rsidP="00FF0756">
            <w:pPr>
              <w:rPr>
                <w:sz w:val="20"/>
                <w:szCs w:val="20"/>
                <w:lang w:val="fr-CA"/>
              </w:rPr>
            </w:pPr>
            <w:r w:rsidRPr="00B4407C">
              <w:rPr>
                <w:b/>
                <w:sz w:val="20"/>
                <w:szCs w:val="20"/>
              </w:rPr>
              <w:tab/>
            </w:r>
            <w:r w:rsidRPr="00FF0756">
              <w:rPr>
                <w:sz w:val="20"/>
                <w:szCs w:val="20"/>
                <w:lang w:val="fr-CA"/>
              </w:rPr>
              <w:t>v. (34306)</w:t>
            </w:r>
          </w:p>
          <w:p w:rsidR="00FF0756" w:rsidRPr="00FF0756" w:rsidRDefault="00FF0756" w:rsidP="00FF0756">
            <w:pPr>
              <w:rPr>
                <w:b/>
                <w:sz w:val="20"/>
                <w:szCs w:val="20"/>
                <w:lang w:val="fr-CA"/>
              </w:rPr>
            </w:pPr>
          </w:p>
          <w:p w:rsidR="00FF0756" w:rsidRPr="00FF0756" w:rsidRDefault="00FF0756" w:rsidP="00FF0756">
            <w:pPr>
              <w:rPr>
                <w:b/>
                <w:sz w:val="20"/>
                <w:szCs w:val="20"/>
                <w:lang w:val="fr-CA"/>
              </w:rPr>
            </w:pPr>
            <w:proofErr w:type="spellStart"/>
            <w:r w:rsidRPr="00FF0756">
              <w:rPr>
                <w:b/>
                <w:sz w:val="20"/>
                <w:szCs w:val="20"/>
                <w:lang w:val="fr-CA"/>
              </w:rPr>
              <w:t>Pradeep</w:t>
            </w:r>
            <w:proofErr w:type="spellEnd"/>
            <w:r w:rsidRPr="00FF0756">
              <w:rPr>
                <w:b/>
                <w:sz w:val="20"/>
                <w:szCs w:val="20"/>
                <w:lang w:val="fr-CA"/>
              </w:rPr>
              <w:t xml:space="preserve"> </w:t>
            </w:r>
            <w:proofErr w:type="spellStart"/>
            <w:r w:rsidRPr="00FF0756">
              <w:rPr>
                <w:b/>
                <w:sz w:val="20"/>
                <w:szCs w:val="20"/>
                <w:lang w:val="fr-CA"/>
              </w:rPr>
              <w:t>Balakrishnan</w:t>
            </w:r>
            <w:proofErr w:type="spellEnd"/>
            <w:r w:rsidRPr="00FF0756">
              <w:rPr>
                <w:b/>
                <w:sz w:val="20"/>
                <w:szCs w:val="20"/>
                <w:lang w:val="fr-CA"/>
              </w:rPr>
              <w:t xml:space="preserve"> et al. (Ont.)</w:t>
            </w:r>
          </w:p>
          <w:p w:rsidR="00FF0756" w:rsidRDefault="00FF0756" w:rsidP="00FF0756">
            <w:pPr>
              <w:rPr>
                <w:sz w:val="20"/>
                <w:szCs w:val="20"/>
              </w:rPr>
            </w:pPr>
            <w:r w:rsidRPr="00FF0756">
              <w:rPr>
                <w:sz w:val="20"/>
                <w:szCs w:val="20"/>
                <w:lang w:val="fr-CA"/>
              </w:rPr>
              <w:tab/>
            </w:r>
            <w:r>
              <w:rPr>
                <w:sz w:val="20"/>
                <w:szCs w:val="20"/>
              </w:rPr>
              <w:t>Andrew Parley</w:t>
            </w:r>
          </w:p>
          <w:p w:rsidR="00FF0756" w:rsidRDefault="00FF0756" w:rsidP="00771544">
            <w:pPr>
              <w:ind w:left="720" w:hanging="720"/>
              <w:rPr>
                <w:sz w:val="20"/>
                <w:szCs w:val="20"/>
              </w:rPr>
            </w:pPr>
            <w:r>
              <w:rPr>
                <w:sz w:val="20"/>
                <w:szCs w:val="20"/>
              </w:rPr>
              <w:tab/>
            </w:r>
            <w:proofErr w:type="spellStart"/>
            <w:r>
              <w:rPr>
                <w:sz w:val="20"/>
                <w:szCs w:val="20"/>
              </w:rPr>
              <w:t>Lenczner</w:t>
            </w:r>
            <w:proofErr w:type="spellEnd"/>
            <w:r>
              <w:rPr>
                <w:sz w:val="20"/>
                <w:szCs w:val="20"/>
              </w:rPr>
              <w:t xml:space="preserve"> </w:t>
            </w:r>
            <w:proofErr w:type="spellStart"/>
            <w:r>
              <w:rPr>
                <w:sz w:val="20"/>
                <w:szCs w:val="20"/>
              </w:rPr>
              <w:t>Slaght</w:t>
            </w:r>
            <w:proofErr w:type="spellEnd"/>
            <w:r>
              <w:rPr>
                <w:sz w:val="20"/>
                <w:szCs w:val="20"/>
              </w:rPr>
              <w:t xml:space="preserve"> Royce Smith Griffin LLP</w:t>
            </w:r>
          </w:p>
          <w:p w:rsidR="00FF0756" w:rsidRPr="00B4407C" w:rsidRDefault="00FF0756" w:rsidP="00FF0756">
            <w:pPr>
              <w:rPr>
                <w:sz w:val="20"/>
                <w:szCs w:val="20"/>
              </w:rPr>
            </w:pPr>
          </w:p>
          <w:p w:rsidR="00FF0756" w:rsidRPr="00B4407C" w:rsidRDefault="00FF0756" w:rsidP="00FF0756">
            <w:pPr>
              <w:rPr>
                <w:sz w:val="20"/>
                <w:szCs w:val="20"/>
                <w:lang w:val="fr-CA"/>
              </w:rPr>
            </w:pPr>
            <w:r w:rsidRPr="00FF0756">
              <w:rPr>
                <w:sz w:val="20"/>
                <w:szCs w:val="20"/>
                <w:lang w:val="fr-CA"/>
              </w:rPr>
              <w:t>FILING DATE: 13.06.2011</w:t>
            </w:r>
            <w:r w:rsidRPr="00B4407C">
              <w:rPr>
                <w:b/>
                <w:sz w:val="20"/>
                <w:szCs w:val="20"/>
                <w:lang w:val="fr-CA"/>
              </w:rPr>
              <w:t xml:space="preserve"> </w:t>
            </w:r>
          </w:p>
          <w:p w:rsidR="00FF0756" w:rsidRPr="00B4407C" w:rsidRDefault="00547297" w:rsidP="00FF0756">
            <w:pPr>
              <w:rPr>
                <w:sz w:val="20"/>
                <w:szCs w:val="20"/>
              </w:rPr>
            </w:pPr>
            <w:r w:rsidRPr="00547297">
              <w:rPr>
                <w:sz w:val="20"/>
                <w:szCs w:val="20"/>
                <w:lang w:val="fr-CA"/>
              </w:rPr>
              <w:pict>
                <v:rect id="_x0000_i1026" style="width:108pt;height:1pt" o:hrpct="0" o:hralign="center" o:hrstd="t" o:hrnoshade="t" o:hr="t" fillcolor="black [3213]" stroked="f"/>
              </w:pict>
            </w:r>
          </w:p>
          <w:p w:rsidR="00242AEE" w:rsidRPr="00B4407C" w:rsidRDefault="00242AEE" w:rsidP="00B4407C">
            <w:pPr>
              <w:rPr>
                <w:sz w:val="20"/>
                <w:szCs w:val="20"/>
              </w:rPr>
            </w:pPr>
          </w:p>
        </w:tc>
      </w:tr>
      <w:tr w:rsidR="00242AEE" w:rsidRPr="00A935AA" w:rsidTr="00082042">
        <w:tc>
          <w:tcPr>
            <w:tcW w:w="4320" w:type="dxa"/>
            <w:shd w:val="clear" w:color="auto" w:fill="auto"/>
          </w:tcPr>
          <w:p w:rsidR="00FF0756" w:rsidRPr="00B4407C" w:rsidRDefault="00FF0756" w:rsidP="00FF0756">
            <w:pPr>
              <w:rPr>
                <w:b/>
                <w:sz w:val="20"/>
                <w:szCs w:val="20"/>
                <w:lang w:val="fr-CA"/>
              </w:rPr>
            </w:pPr>
            <w:r w:rsidRPr="00B4407C">
              <w:rPr>
                <w:b/>
                <w:sz w:val="20"/>
                <w:szCs w:val="20"/>
                <w:lang w:val="fr-CA"/>
              </w:rPr>
              <w:t xml:space="preserve">Claudette </w:t>
            </w:r>
            <w:proofErr w:type="spellStart"/>
            <w:r w:rsidRPr="00B4407C">
              <w:rPr>
                <w:b/>
                <w:sz w:val="20"/>
                <w:szCs w:val="20"/>
                <w:lang w:val="fr-CA"/>
              </w:rPr>
              <w:t>Tabib</w:t>
            </w:r>
            <w:proofErr w:type="spellEnd"/>
          </w:p>
          <w:p w:rsidR="00FF0756" w:rsidRPr="00B4407C" w:rsidRDefault="00FF0756" w:rsidP="00FF0756">
            <w:pPr>
              <w:rPr>
                <w:sz w:val="20"/>
                <w:szCs w:val="20"/>
                <w:lang w:val="fr-CA"/>
              </w:rPr>
            </w:pPr>
            <w:r>
              <w:rPr>
                <w:b/>
                <w:sz w:val="20"/>
                <w:szCs w:val="20"/>
                <w:lang w:val="fr-CA"/>
              </w:rPr>
              <w:tab/>
            </w:r>
            <w:r w:rsidRPr="00B4407C">
              <w:rPr>
                <w:sz w:val="20"/>
                <w:szCs w:val="20"/>
                <w:lang w:val="fr-CA"/>
              </w:rPr>
              <w:t xml:space="preserve">Claudette </w:t>
            </w:r>
            <w:proofErr w:type="spellStart"/>
            <w:r w:rsidRPr="00B4407C">
              <w:rPr>
                <w:sz w:val="20"/>
                <w:szCs w:val="20"/>
                <w:lang w:val="fr-CA"/>
              </w:rPr>
              <w:t>Tabib</w:t>
            </w:r>
            <w:proofErr w:type="spellEnd"/>
          </w:p>
          <w:p w:rsidR="00FF0756" w:rsidRPr="00B4407C" w:rsidRDefault="00FF0756" w:rsidP="00FF0756">
            <w:pPr>
              <w:rPr>
                <w:b/>
                <w:sz w:val="20"/>
                <w:szCs w:val="20"/>
                <w:lang w:val="fr-CA"/>
              </w:rPr>
            </w:pPr>
          </w:p>
          <w:p w:rsidR="00FF0756" w:rsidRPr="00B4407C" w:rsidRDefault="00FF0756" w:rsidP="00FF0756">
            <w:pPr>
              <w:rPr>
                <w:sz w:val="20"/>
                <w:szCs w:val="20"/>
                <w:lang w:val="fr-CA"/>
              </w:rPr>
            </w:pPr>
            <w:r w:rsidRPr="00B4407C">
              <w:rPr>
                <w:b/>
                <w:sz w:val="20"/>
                <w:szCs w:val="20"/>
                <w:lang w:val="fr-CA"/>
              </w:rPr>
              <w:tab/>
            </w:r>
            <w:r w:rsidRPr="00B4407C">
              <w:rPr>
                <w:sz w:val="20"/>
                <w:szCs w:val="20"/>
                <w:lang w:val="fr-CA"/>
              </w:rPr>
              <w:t>c. (34302)</w:t>
            </w:r>
          </w:p>
          <w:p w:rsidR="00FF0756" w:rsidRPr="00B4407C" w:rsidRDefault="00FF0756" w:rsidP="00FF0756">
            <w:pPr>
              <w:rPr>
                <w:b/>
                <w:sz w:val="20"/>
                <w:szCs w:val="20"/>
                <w:lang w:val="fr-CA"/>
              </w:rPr>
            </w:pPr>
          </w:p>
          <w:p w:rsidR="00FF0756" w:rsidRPr="00B4407C" w:rsidRDefault="00FF0756" w:rsidP="00FF0756">
            <w:pPr>
              <w:rPr>
                <w:b/>
                <w:sz w:val="20"/>
                <w:szCs w:val="20"/>
                <w:lang w:val="fr-CA"/>
              </w:rPr>
            </w:pPr>
            <w:r w:rsidRPr="00B4407C">
              <w:rPr>
                <w:b/>
                <w:sz w:val="20"/>
                <w:szCs w:val="20"/>
                <w:lang w:val="fr-CA"/>
              </w:rPr>
              <w:t>Cégep Édouard-</w:t>
            </w:r>
            <w:proofErr w:type="spellStart"/>
            <w:r w:rsidRPr="00B4407C">
              <w:rPr>
                <w:b/>
                <w:sz w:val="20"/>
                <w:szCs w:val="20"/>
                <w:lang w:val="fr-CA"/>
              </w:rPr>
              <w:t>Montpetit</w:t>
            </w:r>
            <w:proofErr w:type="spellEnd"/>
            <w:r w:rsidRPr="00B4407C">
              <w:rPr>
                <w:b/>
                <w:sz w:val="20"/>
                <w:szCs w:val="20"/>
                <w:lang w:val="fr-CA"/>
              </w:rPr>
              <w:t xml:space="preserve"> (</w:t>
            </w:r>
            <w:proofErr w:type="spellStart"/>
            <w:r w:rsidRPr="00B4407C">
              <w:rPr>
                <w:b/>
                <w:sz w:val="20"/>
                <w:szCs w:val="20"/>
                <w:lang w:val="fr-CA"/>
              </w:rPr>
              <w:t>Qc</w:t>
            </w:r>
            <w:proofErr w:type="spellEnd"/>
            <w:r w:rsidRPr="00B4407C">
              <w:rPr>
                <w:b/>
                <w:sz w:val="20"/>
                <w:szCs w:val="20"/>
                <w:lang w:val="fr-CA"/>
              </w:rPr>
              <w:t>)</w:t>
            </w:r>
          </w:p>
          <w:p w:rsidR="00FF0756" w:rsidRDefault="00FF0756" w:rsidP="00FF0756">
            <w:pPr>
              <w:rPr>
                <w:sz w:val="20"/>
                <w:szCs w:val="20"/>
                <w:lang w:val="fr-CA"/>
              </w:rPr>
            </w:pPr>
            <w:r>
              <w:rPr>
                <w:sz w:val="20"/>
                <w:szCs w:val="20"/>
                <w:lang w:val="fr-CA"/>
              </w:rPr>
              <w:tab/>
              <w:t>Bernard Dufour</w:t>
            </w:r>
          </w:p>
          <w:p w:rsidR="00FF0756" w:rsidRDefault="00FF0756" w:rsidP="00FF0756">
            <w:pPr>
              <w:rPr>
                <w:sz w:val="20"/>
                <w:szCs w:val="20"/>
                <w:lang w:val="fr-CA"/>
              </w:rPr>
            </w:pPr>
            <w:r>
              <w:rPr>
                <w:sz w:val="20"/>
                <w:szCs w:val="20"/>
                <w:lang w:val="fr-CA"/>
              </w:rPr>
              <w:tab/>
            </w:r>
            <w:proofErr w:type="spellStart"/>
            <w:r>
              <w:rPr>
                <w:sz w:val="20"/>
                <w:szCs w:val="20"/>
                <w:lang w:val="fr-CA"/>
              </w:rPr>
              <w:t>Ellefsen</w:t>
            </w:r>
            <w:proofErr w:type="spellEnd"/>
            <w:r>
              <w:rPr>
                <w:sz w:val="20"/>
                <w:szCs w:val="20"/>
                <w:lang w:val="fr-CA"/>
              </w:rPr>
              <w:t xml:space="preserve"> Bergeron Tremblay</w:t>
            </w:r>
          </w:p>
          <w:p w:rsidR="00FF0756" w:rsidRPr="00B4407C" w:rsidRDefault="00FF0756" w:rsidP="00FF0756">
            <w:pPr>
              <w:rPr>
                <w:sz w:val="20"/>
                <w:szCs w:val="20"/>
                <w:lang w:val="fr-CA"/>
              </w:rPr>
            </w:pPr>
          </w:p>
          <w:p w:rsidR="00242AEE" w:rsidRPr="005756A5" w:rsidRDefault="00FF0756" w:rsidP="00FF0756">
            <w:pPr>
              <w:rPr>
                <w:sz w:val="20"/>
                <w:szCs w:val="20"/>
                <w:lang w:val="fr-CA"/>
              </w:rPr>
            </w:pPr>
            <w:r w:rsidRPr="00B4407C">
              <w:rPr>
                <w:sz w:val="20"/>
                <w:szCs w:val="20"/>
                <w:lang w:val="fr-CA"/>
              </w:rPr>
              <w:t>DATE DE PRODUCTION : 09.06.2011</w:t>
            </w:r>
            <w:r w:rsidR="00547297" w:rsidRPr="00547297">
              <w:rPr>
                <w:sz w:val="20"/>
                <w:szCs w:val="20"/>
                <w:lang w:val="fr-CA"/>
              </w:rPr>
              <w:pict>
                <v:rect id="_x0000_i1027" style="width:108pt;height:1pt" o:hrpct="0" o:hralign="center" o:hrstd="t" o:hrnoshade="t" o:hr="t" fillcolor="black [3213]" stroked="f"/>
              </w:pict>
            </w:r>
          </w:p>
        </w:tc>
        <w:tc>
          <w:tcPr>
            <w:tcW w:w="1181" w:type="dxa"/>
            <w:shd w:val="clear" w:color="auto" w:fill="auto"/>
          </w:tcPr>
          <w:p w:rsidR="00242AEE" w:rsidRPr="005756A5" w:rsidRDefault="00242AEE" w:rsidP="00242AEE">
            <w:pPr>
              <w:jc w:val="center"/>
              <w:rPr>
                <w:sz w:val="20"/>
                <w:szCs w:val="20"/>
                <w:lang w:val="fr-CA"/>
              </w:rPr>
            </w:pPr>
          </w:p>
          <w:p w:rsidR="00242AEE" w:rsidRPr="005756A5" w:rsidRDefault="00242AEE" w:rsidP="00242AEE">
            <w:pPr>
              <w:jc w:val="center"/>
              <w:rPr>
                <w:sz w:val="20"/>
                <w:szCs w:val="20"/>
                <w:lang w:val="fr-CA"/>
              </w:rPr>
            </w:pPr>
          </w:p>
          <w:p w:rsidR="00242AEE" w:rsidRPr="005756A5" w:rsidRDefault="00242AEE" w:rsidP="00242AEE">
            <w:pPr>
              <w:jc w:val="center"/>
              <w:rPr>
                <w:sz w:val="20"/>
                <w:szCs w:val="20"/>
                <w:lang w:val="fr-CA"/>
              </w:rPr>
            </w:pPr>
          </w:p>
          <w:p w:rsidR="00242AEE" w:rsidRPr="005756A5" w:rsidRDefault="00242AEE" w:rsidP="00242AEE">
            <w:pPr>
              <w:jc w:val="center"/>
              <w:rPr>
                <w:sz w:val="20"/>
                <w:szCs w:val="20"/>
                <w:lang w:val="fr-CA"/>
              </w:rPr>
            </w:pPr>
          </w:p>
          <w:p w:rsidR="00242AEE" w:rsidRPr="005756A5" w:rsidRDefault="00242AEE" w:rsidP="00242AEE">
            <w:pPr>
              <w:jc w:val="center"/>
              <w:rPr>
                <w:sz w:val="20"/>
                <w:szCs w:val="20"/>
                <w:lang w:val="fr-CA"/>
              </w:rPr>
            </w:pPr>
          </w:p>
          <w:p w:rsidR="00242AEE" w:rsidRPr="005756A5" w:rsidRDefault="00242AEE" w:rsidP="00242AEE">
            <w:pPr>
              <w:jc w:val="center"/>
              <w:rPr>
                <w:sz w:val="20"/>
                <w:szCs w:val="20"/>
                <w:lang w:val="fr-CA"/>
              </w:rPr>
            </w:pPr>
          </w:p>
          <w:p w:rsidR="00242AEE" w:rsidRPr="005756A5" w:rsidRDefault="00242AEE" w:rsidP="00242AEE">
            <w:pPr>
              <w:jc w:val="center"/>
              <w:rPr>
                <w:sz w:val="20"/>
                <w:szCs w:val="20"/>
                <w:lang w:val="fr-CA"/>
              </w:rPr>
            </w:pPr>
          </w:p>
          <w:p w:rsidR="00242AEE" w:rsidRPr="005756A5" w:rsidRDefault="00242AEE" w:rsidP="00242AEE">
            <w:pPr>
              <w:jc w:val="center"/>
              <w:rPr>
                <w:sz w:val="20"/>
                <w:szCs w:val="20"/>
                <w:lang w:val="fr-CA"/>
              </w:rPr>
            </w:pPr>
          </w:p>
          <w:p w:rsidR="00242AEE" w:rsidRPr="005756A5" w:rsidRDefault="00242AEE" w:rsidP="00242AEE">
            <w:pPr>
              <w:jc w:val="center"/>
              <w:rPr>
                <w:sz w:val="20"/>
                <w:szCs w:val="20"/>
                <w:lang w:val="fr-CA"/>
              </w:rPr>
            </w:pPr>
          </w:p>
          <w:p w:rsidR="00242AEE" w:rsidRPr="005756A5" w:rsidRDefault="00242AEE" w:rsidP="00242AEE">
            <w:pPr>
              <w:jc w:val="center"/>
              <w:rPr>
                <w:sz w:val="20"/>
                <w:szCs w:val="20"/>
                <w:lang w:val="fr-CA"/>
              </w:rPr>
            </w:pPr>
          </w:p>
          <w:p w:rsidR="00A935AA" w:rsidRPr="005756A5" w:rsidRDefault="00A935AA" w:rsidP="00242AEE">
            <w:pPr>
              <w:jc w:val="center"/>
              <w:rPr>
                <w:sz w:val="20"/>
                <w:szCs w:val="20"/>
                <w:lang w:val="fr-CA"/>
              </w:rPr>
            </w:pPr>
          </w:p>
          <w:p w:rsidR="00A935AA" w:rsidRPr="005756A5" w:rsidRDefault="00A935AA" w:rsidP="00242AEE">
            <w:pPr>
              <w:jc w:val="center"/>
              <w:rPr>
                <w:sz w:val="20"/>
                <w:szCs w:val="20"/>
                <w:lang w:val="fr-CA"/>
              </w:rPr>
            </w:pPr>
          </w:p>
        </w:tc>
        <w:tc>
          <w:tcPr>
            <w:tcW w:w="4320" w:type="dxa"/>
            <w:shd w:val="clear" w:color="auto" w:fill="auto"/>
          </w:tcPr>
          <w:p w:rsidR="00B4407C" w:rsidRPr="00B4407C" w:rsidRDefault="00B4407C" w:rsidP="00B4407C">
            <w:pPr>
              <w:rPr>
                <w:b/>
                <w:sz w:val="20"/>
                <w:szCs w:val="20"/>
              </w:rPr>
            </w:pPr>
            <w:r w:rsidRPr="00B4407C">
              <w:rPr>
                <w:b/>
                <w:sz w:val="20"/>
                <w:szCs w:val="20"/>
              </w:rPr>
              <w:t xml:space="preserve">Gregory Alan Richmond </w:t>
            </w:r>
          </w:p>
          <w:p w:rsidR="00FF0756" w:rsidRPr="00FF0756" w:rsidRDefault="00FF0756" w:rsidP="00FF0756">
            <w:pPr>
              <w:rPr>
                <w:sz w:val="20"/>
                <w:szCs w:val="20"/>
              </w:rPr>
            </w:pPr>
            <w:r w:rsidRPr="00FF0756">
              <w:rPr>
                <w:sz w:val="20"/>
                <w:szCs w:val="20"/>
              </w:rPr>
              <w:tab/>
              <w:t xml:space="preserve">Gregory Alan Richmond </w:t>
            </w:r>
          </w:p>
          <w:p w:rsidR="00FF0756" w:rsidRDefault="00FF0756" w:rsidP="00B4407C">
            <w:pPr>
              <w:rPr>
                <w:b/>
                <w:sz w:val="20"/>
                <w:szCs w:val="20"/>
              </w:rPr>
            </w:pPr>
          </w:p>
          <w:p w:rsidR="00B4407C" w:rsidRPr="00B4407C" w:rsidRDefault="00B4407C" w:rsidP="00B4407C">
            <w:pPr>
              <w:rPr>
                <w:sz w:val="20"/>
                <w:szCs w:val="20"/>
              </w:rPr>
            </w:pPr>
            <w:r w:rsidRPr="00B4407C">
              <w:rPr>
                <w:b/>
                <w:sz w:val="20"/>
                <w:szCs w:val="20"/>
              </w:rPr>
              <w:tab/>
            </w:r>
            <w:r w:rsidRPr="00B4407C">
              <w:rPr>
                <w:sz w:val="20"/>
                <w:szCs w:val="20"/>
              </w:rPr>
              <w:t>v. (34305)</w:t>
            </w:r>
          </w:p>
          <w:p w:rsidR="00B4407C" w:rsidRPr="00B4407C" w:rsidRDefault="00B4407C" w:rsidP="00B4407C">
            <w:pPr>
              <w:rPr>
                <w:b/>
                <w:sz w:val="20"/>
                <w:szCs w:val="20"/>
              </w:rPr>
            </w:pPr>
          </w:p>
          <w:p w:rsidR="00B4407C" w:rsidRPr="00B4407C" w:rsidRDefault="00B4407C" w:rsidP="00B4407C">
            <w:pPr>
              <w:rPr>
                <w:b/>
                <w:sz w:val="20"/>
                <w:szCs w:val="20"/>
              </w:rPr>
            </w:pPr>
            <w:r w:rsidRPr="00B4407C">
              <w:rPr>
                <w:b/>
                <w:sz w:val="20"/>
                <w:szCs w:val="20"/>
              </w:rPr>
              <w:t>Her Majesty the Queen et al. (Ont.)</w:t>
            </w:r>
          </w:p>
          <w:p w:rsidR="00B4407C" w:rsidRPr="005756A5" w:rsidRDefault="00FF0756" w:rsidP="00B4407C">
            <w:pPr>
              <w:rPr>
                <w:sz w:val="20"/>
                <w:szCs w:val="20"/>
                <w:lang w:val="en-US"/>
              </w:rPr>
            </w:pPr>
            <w:r w:rsidRPr="005756A5">
              <w:rPr>
                <w:sz w:val="20"/>
                <w:szCs w:val="20"/>
                <w:lang w:val="en-US"/>
              </w:rPr>
              <w:tab/>
              <w:t>James W. Smith</w:t>
            </w:r>
          </w:p>
          <w:p w:rsidR="00FF0756" w:rsidRPr="005756A5" w:rsidRDefault="00FF0756" w:rsidP="00B4407C">
            <w:pPr>
              <w:rPr>
                <w:sz w:val="20"/>
                <w:szCs w:val="20"/>
                <w:lang w:val="en-US"/>
              </w:rPr>
            </w:pPr>
            <w:r w:rsidRPr="005756A5">
              <w:rPr>
                <w:sz w:val="20"/>
                <w:szCs w:val="20"/>
                <w:lang w:val="en-US"/>
              </w:rPr>
              <w:tab/>
              <w:t>A.G. of Ontario</w:t>
            </w:r>
          </w:p>
          <w:p w:rsidR="00FF0756" w:rsidRPr="005756A5" w:rsidRDefault="00FF0756" w:rsidP="00B4407C">
            <w:pPr>
              <w:rPr>
                <w:sz w:val="20"/>
                <w:szCs w:val="20"/>
                <w:lang w:val="en-US"/>
              </w:rPr>
            </w:pPr>
          </w:p>
          <w:p w:rsidR="00B4407C" w:rsidRPr="00B4407C" w:rsidRDefault="00242AEE" w:rsidP="00B4407C">
            <w:pPr>
              <w:rPr>
                <w:sz w:val="20"/>
                <w:szCs w:val="20"/>
              </w:rPr>
            </w:pPr>
            <w:r w:rsidRPr="00B4407C">
              <w:rPr>
                <w:sz w:val="20"/>
                <w:szCs w:val="20"/>
              </w:rPr>
              <w:t xml:space="preserve">FILING DATE: </w:t>
            </w:r>
            <w:r w:rsidR="00B4407C" w:rsidRPr="00B4407C">
              <w:rPr>
                <w:sz w:val="20"/>
                <w:szCs w:val="20"/>
              </w:rPr>
              <w:t>13.06.2011</w:t>
            </w:r>
          </w:p>
          <w:p w:rsidR="00242AEE" w:rsidRPr="00B4407C" w:rsidRDefault="00547297" w:rsidP="003B3977">
            <w:pPr>
              <w:keepNext/>
              <w:keepLines/>
              <w:tabs>
                <w:tab w:val="left" w:pos="-1440"/>
                <w:tab w:val="left" w:pos="-720"/>
              </w:tabs>
              <w:rPr>
                <w:sz w:val="20"/>
                <w:szCs w:val="20"/>
              </w:rPr>
            </w:pPr>
            <w:r w:rsidRPr="00547297">
              <w:rPr>
                <w:sz w:val="20"/>
                <w:szCs w:val="20"/>
                <w:lang w:val="fr-CA"/>
              </w:rPr>
              <w:pict>
                <v:rect id="_x0000_i1028" style="width:108pt;height:1pt" o:hrpct="0" o:hralign="center" o:hrstd="t" o:hrnoshade="t" o:hr="t" fillcolor="black [3213]" stroked="f"/>
              </w:pict>
            </w:r>
          </w:p>
        </w:tc>
      </w:tr>
      <w:tr w:rsidR="00242AEE" w:rsidRPr="00A935AA" w:rsidTr="00082042">
        <w:trPr>
          <w:cantSplit/>
        </w:trPr>
        <w:tc>
          <w:tcPr>
            <w:tcW w:w="4320" w:type="dxa"/>
            <w:shd w:val="clear" w:color="auto" w:fill="auto"/>
          </w:tcPr>
          <w:p w:rsidR="00495EEA" w:rsidRPr="00B8620C" w:rsidRDefault="00495EEA" w:rsidP="00495EEA">
            <w:pPr>
              <w:rPr>
                <w:b/>
                <w:sz w:val="20"/>
                <w:szCs w:val="20"/>
                <w:lang w:val="fr-CA"/>
              </w:rPr>
            </w:pPr>
            <w:r w:rsidRPr="00B8620C">
              <w:rPr>
                <w:b/>
                <w:sz w:val="20"/>
                <w:szCs w:val="20"/>
                <w:lang w:val="fr-CA"/>
              </w:rPr>
              <w:t xml:space="preserve">United </w:t>
            </w:r>
            <w:proofErr w:type="spellStart"/>
            <w:r w:rsidRPr="00B8620C">
              <w:rPr>
                <w:b/>
                <w:sz w:val="20"/>
                <w:szCs w:val="20"/>
                <w:lang w:val="fr-CA"/>
              </w:rPr>
              <w:t>Parcel</w:t>
            </w:r>
            <w:proofErr w:type="spellEnd"/>
            <w:r w:rsidRPr="00B8620C">
              <w:rPr>
                <w:b/>
                <w:sz w:val="20"/>
                <w:szCs w:val="20"/>
                <w:lang w:val="fr-CA"/>
              </w:rPr>
              <w:t xml:space="preserve"> Service du Canada </w:t>
            </w:r>
            <w:proofErr w:type="spellStart"/>
            <w:r w:rsidRPr="00B8620C">
              <w:rPr>
                <w:b/>
                <w:sz w:val="20"/>
                <w:szCs w:val="20"/>
                <w:lang w:val="fr-CA"/>
              </w:rPr>
              <w:t>Ltée</w:t>
            </w:r>
            <w:proofErr w:type="spellEnd"/>
          </w:p>
          <w:p w:rsidR="00495EEA" w:rsidRPr="00B8620C" w:rsidRDefault="00495EEA" w:rsidP="00495EEA">
            <w:pPr>
              <w:tabs>
                <w:tab w:val="left" w:pos="-1440"/>
                <w:tab w:val="left" w:pos="-720"/>
              </w:tabs>
              <w:rPr>
                <w:sz w:val="20"/>
                <w:szCs w:val="20"/>
                <w:lang w:val="fr-CA"/>
              </w:rPr>
            </w:pPr>
            <w:r w:rsidRPr="00B8620C">
              <w:rPr>
                <w:sz w:val="20"/>
                <w:szCs w:val="20"/>
                <w:lang w:val="fr-CA"/>
              </w:rPr>
              <w:tab/>
              <w:t xml:space="preserve">Denis </w:t>
            </w:r>
            <w:proofErr w:type="spellStart"/>
            <w:r w:rsidRPr="00B8620C">
              <w:rPr>
                <w:sz w:val="20"/>
                <w:szCs w:val="20"/>
                <w:lang w:val="fr-CA"/>
              </w:rPr>
              <w:t>Manzo</w:t>
            </w:r>
            <w:proofErr w:type="spellEnd"/>
          </w:p>
          <w:p w:rsidR="00495EEA" w:rsidRPr="00B8620C" w:rsidRDefault="00495EEA" w:rsidP="00495EEA">
            <w:pPr>
              <w:tabs>
                <w:tab w:val="left" w:pos="-1440"/>
                <w:tab w:val="left" w:pos="-720"/>
              </w:tabs>
              <w:rPr>
                <w:sz w:val="20"/>
                <w:szCs w:val="20"/>
                <w:lang w:val="fr-CA"/>
              </w:rPr>
            </w:pPr>
            <w:r w:rsidRPr="00B8620C">
              <w:rPr>
                <w:sz w:val="20"/>
                <w:szCs w:val="20"/>
                <w:lang w:val="fr-CA"/>
              </w:rPr>
              <w:tab/>
              <w:t xml:space="preserve">Fraser Milner </w:t>
            </w:r>
            <w:proofErr w:type="spellStart"/>
            <w:r w:rsidRPr="00B8620C">
              <w:rPr>
                <w:sz w:val="20"/>
                <w:szCs w:val="20"/>
                <w:lang w:val="fr-CA"/>
              </w:rPr>
              <w:t>Casgrain</w:t>
            </w:r>
            <w:proofErr w:type="spellEnd"/>
            <w:r w:rsidRPr="00B8620C">
              <w:rPr>
                <w:sz w:val="20"/>
                <w:szCs w:val="20"/>
                <w:lang w:val="fr-CA"/>
              </w:rPr>
              <w:t xml:space="preserve"> </w:t>
            </w:r>
            <w:proofErr w:type="spellStart"/>
            <w:r w:rsidRPr="00B8620C">
              <w:rPr>
                <w:sz w:val="20"/>
                <w:szCs w:val="20"/>
                <w:lang w:val="fr-CA"/>
              </w:rPr>
              <w:t>s.r.l</w:t>
            </w:r>
            <w:proofErr w:type="spellEnd"/>
            <w:r w:rsidRPr="00B8620C">
              <w:rPr>
                <w:sz w:val="20"/>
                <w:szCs w:val="20"/>
                <w:lang w:val="fr-CA"/>
              </w:rPr>
              <w:t>.</w:t>
            </w:r>
          </w:p>
          <w:p w:rsidR="00495EEA" w:rsidRPr="00B8620C" w:rsidRDefault="00495EEA" w:rsidP="00495EEA">
            <w:pPr>
              <w:tabs>
                <w:tab w:val="left" w:pos="-1440"/>
                <w:tab w:val="left" w:pos="-720"/>
              </w:tabs>
              <w:rPr>
                <w:sz w:val="20"/>
                <w:szCs w:val="20"/>
                <w:lang w:val="fr-CA"/>
              </w:rPr>
            </w:pPr>
          </w:p>
          <w:p w:rsidR="00495EEA" w:rsidRPr="00B8620C" w:rsidRDefault="00495EEA" w:rsidP="00495EEA">
            <w:pPr>
              <w:tabs>
                <w:tab w:val="left" w:pos="-1440"/>
                <w:tab w:val="left" w:pos="-720"/>
              </w:tabs>
              <w:rPr>
                <w:sz w:val="20"/>
                <w:szCs w:val="20"/>
                <w:lang w:val="fr-CA"/>
              </w:rPr>
            </w:pPr>
            <w:r w:rsidRPr="00B8620C">
              <w:rPr>
                <w:sz w:val="20"/>
                <w:szCs w:val="20"/>
                <w:lang w:val="fr-CA"/>
              </w:rPr>
              <w:tab/>
              <w:t>c. (34277)</w:t>
            </w:r>
          </w:p>
          <w:p w:rsidR="00495EEA" w:rsidRPr="00B8620C" w:rsidRDefault="00495EEA" w:rsidP="00495EEA">
            <w:pPr>
              <w:tabs>
                <w:tab w:val="left" w:pos="-1440"/>
                <w:tab w:val="left" w:pos="-720"/>
              </w:tabs>
              <w:rPr>
                <w:sz w:val="20"/>
                <w:szCs w:val="20"/>
                <w:lang w:val="fr-CA"/>
              </w:rPr>
            </w:pPr>
          </w:p>
          <w:p w:rsidR="00495EEA" w:rsidRPr="00B8620C" w:rsidRDefault="00495EEA" w:rsidP="00495EEA">
            <w:pPr>
              <w:tabs>
                <w:tab w:val="left" w:pos="-1440"/>
                <w:tab w:val="left" w:pos="-720"/>
              </w:tabs>
              <w:rPr>
                <w:b/>
                <w:sz w:val="20"/>
                <w:szCs w:val="20"/>
                <w:lang w:val="fr-CA"/>
              </w:rPr>
            </w:pPr>
            <w:r w:rsidRPr="00B8620C">
              <w:rPr>
                <w:b/>
                <w:sz w:val="20"/>
                <w:szCs w:val="20"/>
                <w:lang w:val="fr-CA"/>
              </w:rPr>
              <w:t>Directeur des poursuites criminelles et pénales (</w:t>
            </w:r>
            <w:proofErr w:type="spellStart"/>
            <w:r w:rsidRPr="00B8620C">
              <w:rPr>
                <w:b/>
                <w:sz w:val="20"/>
                <w:szCs w:val="20"/>
                <w:lang w:val="fr-CA"/>
              </w:rPr>
              <w:t>Qc</w:t>
            </w:r>
            <w:proofErr w:type="spellEnd"/>
            <w:r w:rsidRPr="00B8620C">
              <w:rPr>
                <w:b/>
                <w:sz w:val="20"/>
                <w:szCs w:val="20"/>
                <w:lang w:val="fr-CA"/>
              </w:rPr>
              <w:t>)</w:t>
            </w:r>
          </w:p>
          <w:p w:rsidR="00495EEA" w:rsidRPr="00B8620C" w:rsidRDefault="00495EEA" w:rsidP="00495EEA">
            <w:pPr>
              <w:tabs>
                <w:tab w:val="left" w:pos="-1440"/>
                <w:tab w:val="left" w:pos="-720"/>
              </w:tabs>
              <w:rPr>
                <w:sz w:val="20"/>
                <w:szCs w:val="20"/>
                <w:lang w:val="fr-CA"/>
              </w:rPr>
            </w:pPr>
            <w:r w:rsidRPr="00B8620C">
              <w:rPr>
                <w:sz w:val="20"/>
                <w:szCs w:val="20"/>
                <w:lang w:val="fr-CA"/>
              </w:rPr>
              <w:tab/>
              <w:t>Jean-François Bouvette</w:t>
            </w:r>
          </w:p>
          <w:p w:rsidR="00495EEA" w:rsidRPr="00B8620C" w:rsidRDefault="00495EEA" w:rsidP="00B8620C">
            <w:pPr>
              <w:tabs>
                <w:tab w:val="left" w:pos="-1440"/>
                <w:tab w:val="left" w:pos="-720"/>
              </w:tabs>
              <w:ind w:left="720" w:hanging="720"/>
              <w:rPr>
                <w:sz w:val="20"/>
                <w:szCs w:val="20"/>
                <w:lang w:val="fr-CA"/>
              </w:rPr>
            </w:pPr>
            <w:r w:rsidRPr="00B8620C">
              <w:rPr>
                <w:sz w:val="20"/>
                <w:szCs w:val="20"/>
                <w:lang w:val="fr-CA"/>
              </w:rPr>
              <w:tab/>
              <w:t>Poursuites criminelles et pénales du Québec</w:t>
            </w:r>
          </w:p>
          <w:p w:rsidR="00495EEA" w:rsidRPr="00B8620C" w:rsidRDefault="00495EEA" w:rsidP="00495EEA">
            <w:pPr>
              <w:tabs>
                <w:tab w:val="left" w:pos="-1440"/>
                <w:tab w:val="left" w:pos="-720"/>
              </w:tabs>
              <w:rPr>
                <w:sz w:val="20"/>
                <w:szCs w:val="20"/>
                <w:lang w:val="fr-CA"/>
              </w:rPr>
            </w:pPr>
          </w:p>
          <w:p w:rsidR="00242AEE" w:rsidRPr="00B8620C" w:rsidRDefault="00495EEA" w:rsidP="00495EEA">
            <w:pPr>
              <w:rPr>
                <w:sz w:val="20"/>
                <w:szCs w:val="20"/>
              </w:rPr>
            </w:pPr>
            <w:r w:rsidRPr="00B8620C">
              <w:rPr>
                <w:sz w:val="20"/>
                <w:szCs w:val="20"/>
                <w:lang w:val="fr-CA"/>
              </w:rPr>
              <w:t>DATE DE PRODUCTION : 27.05.2011</w:t>
            </w:r>
            <w:r w:rsidR="00547297" w:rsidRPr="00547297">
              <w:rPr>
                <w:sz w:val="20"/>
                <w:szCs w:val="20"/>
                <w:lang w:val="fr-CA"/>
              </w:rPr>
              <w:pict>
                <v:rect id="_x0000_i1029" style="width:108pt;height:1pt" o:hrpct="0" o:hralign="center" o:hrstd="t" o:hrnoshade="t" o:hr="t" fillcolor="black [3213]" stroked="f"/>
              </w:pict>
            </w:r>
          </w:p>
        </w:tc>
        <w:tc>
          <w:tcPr>
            <w:tcW w:w="1181" w:type="dxa"/>
            <w:shd w:val="clear" w:color="auto" w:fill="auto"/>
          </w:tcPr>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tc>
        <w:tc>
          <w:tcPr>
            <w:tcW w:w="4320" w:type="dxa"/>
            <w:shd w:val="clear" w:color="auto" w:fill="auto"/>
          </w:tcPr>
          <w:p w:rsidR="00FF0756" w:rsidRPr="00B8620C" w:rsidRDefault="00FF0756" w:rsidP="00FF0756">
            <w:pPr>
              <w:rPr>
                <w:b/>
                <w:sz w:val="20"/>
                <w:szCs w:val="20"/>
              </w:rPr>
            </w:pPr>
            <w:r w:rsidRPr="00B8620C">
              <w:rPr>
                <w:b/>
                <w:sz w:val="20"/>
                <w:szCs w:val="20"/>
              </w:rPr>
              <w:t xml:space="preserve">Eric Victor </w:t>
            </w:r>
            <w:proofErr w:type="spellStart"/>
            <w:r w:rsidRPr="00B8620C">
              <w:rPr>
                <w:b/>
                <w:sz w:val="20"/>
                <w:szCs w:val="20"/>
              </w:rPr>
              <w:t>Cojocaru</w:t>
            </w:r>
            <w:proofErr w:type="spellEnd"/>
            <w:r w:rsidRPr="00B8620C">
              <w:rPr>
                <w:b/>
                <w:sz w:val="20"/>
                <w:szCs w:val="20"/>
              </w:rPr>
              <w:t xml:space="preserve">, an infant by his Guardian Ad </w:t>
            </w:r>
            <w:proofErr w:type="spellStart"/>
            <w:r w:rsidRPr="00B8620C">
              <w:rPr>
                <w:b/>
                <w:sz w:val="20"/>
                <w:szCs w:val="20"/>
              </w:rPr>
              <w:t>Litem</w:t>
            </w:r>
            <w:proofErr w:type="spellEnd"/>
            <w:r w:rsidRPr="00B8620C">
              <w:rPr>
                <w:b/>
                <w:sz w:val="20"/>
                <w:szCs w:val="20"/>
              </w:rPr>
              <w:t xml:space="preserve">, Monica </w:t>
            </w:r>
            <w:proofErr w:type="spellStart"/>
            <w:r w:rsidRPr="00B8620C">
              <w:rPr>
                <w:b/>
                <w:sz w:val="20"/>
                <w:szCs w:val="20"/>
              </w:rPr>
              <w:t>Cojocaru</w:t>
            </w:r>
            <w:proofErr w:type="spellEnd"/>
            <w:r w:rsidRPr="00B8620C">
              <w:rPr>
                <w:b/>
                <w:sz w:val="20"/>
                <w:szCs w:val="20"/>
              </w:rPr>
              <w:t xml:space="preserve"> et al.</w:t>
            </w:r>
          </w:p>
          <w:p w:rsidR="00FF0756" w:rsidRPr="00B8620C" w:rsidRDefault="00FF0756" w:rsidP="00FF0756">
            <w:pPr>
              <w:rPr>
                <w:sz w:val="20"/>
                <w:szCs w:val="20"/>
              </w:rPr>
            </w:pPr>
            <w:r w:rsidRPr="00B8620C">
              <w:rPr>
                <w:b/>
                <w:sz w:val="20"/>
                <w:szCs w:val="20"/>
              </w:rPr>
              <w:tab/>
            </w:r>
            <w:r w:rsidRPr="00B8620C">
              <w:rPr>
                <w:sz w:val="20"/>
                <w:szCs w:val="20"/>
              </w:rPr>
              <w:t xml:space="preserve">Paul </w:t>
            </w:r>
            <w:proofErr w:type="spellStart"/>
            <w:r w:rsidRPr="00B8620C">
              <w:rPr>
                <w:sz w:val="20"/>
                <w:szCs w:val="20"/>
              </w:rPr>
              <w:t>McGivern</w:t>
            </w:r>
            <w:proofErr w:type="spellEnd"/>
          </w:p>
          <w:p w:rsidR="00FF0756" w:rsidRPr="00B8620C" w:rsidRDefault="00FF0756" w:rsidP="00FF0756">
            <w:pPr>
              <w:rPr>
                <w:sz w:val="20"/>
                <w:szCs w:val="20"/>
              </w:rPr>
            </w:pPr>
            <w:r w:rsidRPr="00B8620C">
              <w:rPr>
                <w:sz w:val="20"/>
                <w:szCs w:val="20"/>
              </w:rPr>
              <w:tab/>
              <w:t>Pacific Medical Law</w:t>
            </w:r>
          </w:p>
          <w:p w:rsidR="00FF0756" w:rsidRPr="00B8620C" w:rsidRDefault="00FF0756" w:rsidP="00FF0756">
            <w:pPr>
              <w:rPr>
                <w:b/>
                <w:sz w:val="20"/>
                <w:szCs w:val="20"/>
              </w:rPr>
            </w:pPr>
          </w:p>
          <w:p w:rsidR="00FF0756" w:rsidRPr="00B8620C" w:rsidRDefault="00FF0756" w:rsidP="00FF0756">
            <w:pPr>
              <w:rPr>
                <w:sz w:val="20"/>
                <w:szCs w:val="20"/>
              </w:rPr>
            </w:pPr>
            <w:r w:rsidRPr="00B8620C">
              <w:rPr>
                <w:b/>
                <w:sz w:val="20"/>
                <w:szCs w:val="20"/>
              </w:rPr>
              <w:tab/>
            </w:r>
            <w:r w:rsidRPr="00B8620C">
              <w:rPr>
                <w:sz w:val="20"/>
                <w:szCs w:val="20"/>
              </w:rPr>
              <w:t>v. (34304)</w:t>
            </w:r>
          </w:p>
          <w:p w:rsidR="00FF0756" w:rsidRPr="00B8620C" w:rsidRDefault="00FF0756" w:rsidP="00FF0756">
            <w:pPr>
              <w:rPr>
                <w:b/>
                <w:sz w:val="20"/>
                <w:szCs w:val="20"/>
              </w:rPr>
            </w:pPr>
          </w:p>
          <w:p w:rsidR="00FF0756" w:rsidRPr="00B8620C" w:rsidRDefault="00FF0756" w:rsidP="00FF0756">
            <w:pPr>
              <w:rPr>
                <w:b/>
                <w:sz w:val="20"/>
                <w:szCs w:val="20"/>
              </w:rPr>
            </w:pPr>
            <w:r w:rsidRPr="00B8620C">
              <w:rPr>
                <w:b/>
                <w:sz w:val="20"/>
                <w:szCs w:val="20"/>
              </w:rPr>
              <w:t>British Columbia Women's Hospital and Health Center et al. (B.C.)</w:t>
            </w:r>
          </w:p>
          <w:p w:rsidR="00FF0756" w:rsidRPr="00B8620C" w:rsidRDefault="00FF0756" w:rsidP="00FF0756">
            <w:pPr>
              <w:rPr>
                <w:sz w:val="20"/>
                <w:szCs w:val="20"/>
              </w:rPr>
            </w:pPr>
            <w:r w:rsidRPr="00B8620C">
              <w:rPr>
                <w:sz w:val="20"/>
                <w:szCs w:val="20"/>
              </w:rPr>
              <w:tab/>
              <w:t>Catherine L. Woods</w:t>
            </w:r>
          </w:p>
          <w:p w:rsidR="00FF0756" w:rsidRPr="00B8620C" w:rsidRDefault="00FF0756" w:rsidP="00FF0756">
            <w:pPr>
              <w:rPr>
                <w:sz w:val="20"/>
                <w:szCs w:val="20"/>
              </w:rPr>
            </w:pPr>
            <w:r w:rsidRPr="00B8620C">
              <w:rPr>
                <w:sz w:val="20"/>
                <w:szCs w:val="20"/>
              </w:rPr>
              <w:tab/>
              <w:t>Guild Yule LLP</w:t>
            </w:r>
          </w:p>
          <w:p w:rsidR="00FF0756" w:rsidRPr="00B8620C" w:rsidRDefault="00FF0756" w:rsidP="00FF0756">
            <w:pPr>
              <w:rPr>
                <w:sz w:val="20"/>
                <w:szCs w:val="20"/>
              </w:rPr>
            </w:pPr>
          </w:p>
          <w:p w:rsidR="00FF0756" w:rsidRPr="00B8620C" w:rsidRDefault="00FF0756" w:rsidP="00FF0756">
            <w:pPr>
              <w:rPr>
                <w:sz w:val="20"/>
                <w:szCs w:val="20"/>
              </w:rPr>
            </w:pPr>
            <w:r w:rsidRPr="00B8620C">
              <w:rPr>
                <w:sz w:val="20"/>
                <w:szCs w:val="20"/>
              </w:rPr>
              <w:t>FILING DATE: 10.06.2011</w:t>
            </w:r>
          </w:p>
          <w:p w:rsidR="00242AEE" w:rsidRPr="00B8620C" w:rsidRDefault="00547297" w:rsidP="00FF0756">
            <w:pPr>
              <w:keepNext/>
              <w:keepLines/>
              <w:tabs>
                <w:tab w:val="left" w:pos="-1440"/>
                <w:tab w:val="left" w:pos="-720"/>
              </w:tabs>
              <w:rPr>
                <w:sz w:val="20"/>
                <w:szCs w:val="20"/>
              </w:rPr>
            </w:pPr>
            <w:r w:rsidRPr="00547297">
              <w:rPr>
                <w:sz w:val="20"/>
                <w:szCs w:val="20"/>
                <w:lang w:val="fr-CA"/>
              </w:rPr>
              <w:pict>
                <v:rect id="_x0000_i1030" style="width:106.1pt;height:1pt" o:hrpct="500" o:hralign="center" o:hrstd="t" o:hrnoshade="t" o:hr="t" fillcolor="black [3213]" stroked="f"/>
              </w:pict>
            </w:r>
          </w:p>
        </w:tc>
      </w:tr>
      <w:tr w:rsidR="00242AEE" w:rsidRPr="00A935AA" w:rsidTr="00082042">
        <w:trPr>
          <w:cantSplit/>
        </w:trPr>
        <w:tc>
          <w:tcPr>
            <w:tcW w:w="4320" w:type="dxa"/>
            <w:shd w:val="clear" w:color="auto" w:fill="auto"/>
          </w:tcPr>
          <w:p w:rsidR="00242AEE" w:rsidRPr="00B8620C" w:rsidRDefault="00242AEE" w:rsidP="003B3977">
            <w:pPr>
              <w:rPr>
                <w:b/>
                <w:sz w:val="20"/>
                <w:szCs w:val="20"/>
              </w:rPr>
            </w:pPr>
          </w:p>
          <w:p w:rsidR="007B4896" w:rsidRPr="007B4896" w:rsidRDefault="007B4896" w:rsidP="007B4896">
            <w:pPr>
              <w:keepNext/>
              <w:keepLines/>
              <w:tabs>
                <w:tab w:val="left" w:pos="-1440"/>
                <w:tab w:val="left" w:pos="-720"/>
              </w:tabs>
              <w:rPr>
                <w:b/>
                <w:sz w:val="20"/>
                <w:szCs w:val="20"/>
                <w:lang w:val="fr-CA"/>
              </w:rPr>
            </w:pPr>
            <w:r w:rsidRPr="007B4896">
              <w:rPr>
                <w:b/>
                <w:sz w:val="20"/>
                <w:szCs w:val="20"/>
                <w:lang w:val="fr-CA"/>
              </w:rPr>
              <w:t>Georges Lemieux</w:t>
            </w:r>
          </w:p>
          <w:p w:rsidR="007B4896" w:rsidRPr="007B4896" w:rsidRDefault="007B4896" w:rsidP="007B4896">
            <w:pPr>
              <w:keepNext/>
              <w:keepLines/>
              <w:tabs>
                <w:tab w:val="left" w:pos="-1440"/>
                <w:tab w:val="left" w:pos="-720"/>
              </w:tabs>
              <w:rPr>
                <w:sz w:val="20"/>
                <w:szCs w:val="20"/>
                <w:lang w:val="fr-CA"/>
              </w:rPr>
            </w:pPr>
            <w:r w:rsidRPr="007B4896">
              <w:rPr>
                <w:sz w:val="20"/>
                <w:szCs w:val="20"/>
                <w:lang w:val="fr-CA"/>
              </w:rPr>
              <w:tab/>
              <w:t>Georges Lemieux</w:t>
            </w:r>
          </w:p>
          <w:p w:rsidR="007B4896" w:rsidRPr="007B4896" w:rsidRDefault="007B4896" w:rsidP="007B4896">
            <w:pPr>
              <w:keepNext/>
              <w:keepLines/>
              <w:tabs>
                <w:tab w:val="left" w:pos="-1440"/>
                <w:tab w:val="left" w:pos="-720"/>
              </w:tabs>
              <w:rPr>
                <w:sz w:val="20"/>
                <w:szCs w:val="20"/>
                <w:lang w:val="fr-CA"/>
              </w:rPr>
            </w:pPr>
          </w:p>
          <w:p w:rsidR="007B4896" w:rsidRPr="007B4896" w:rsidRDefault="007B4896" w:rsidP="007B4896">
            <w:pPr>
              <w:keepNext/>
              <w:keepLines/>
              <w:tabs>
                <w:tab w:val="left" w:pos="-1440"/>
                <w:tab w:val="left" w:pos="-720"/>
              </w:tabs>
              <w:rPr>
                <w:sz w:val="20"/>
                <w:szCs w:val="20"/>
                <w:lang w:val="fr-CA"/>
              </w:rPr>
            </w:pPr>
            <w:r w:rsidRPr="007B4896">
              <w:rPr>
                <w:sz w:val="20"/>
                <w:szCs w:val="20"/>
                <w:lang w:val="fr-CA"/>
              </w:rPr>
              <w:tab/>
              <w:t>v. (34295)</w:t>
            </w:r>
          </w:p>
          <w:p w:rsidR="007B4896" w:rsidRPr="007B4896" w:rsidRDefault="007B4896" w:rsidP="007B4896">
            <w:pPr>
              <w:keepNext/>
              <w:keepLines/>
              <w:tabs>
                <w:tab w:val="left" w:pos="-1440"/>
                <w:tab w:val="left" w:pos="-720"/>
              </w:tabs>
              <w:rPr>
                <w:sz w:val="20"/>
                <w:szCs w:val="20"/>
                <w:lang w:val="fr-CA"/>
              </w:rPr>
            </w:pPr>
          </w:p>
          <w:p w:rsidR="007B4896" w:rsidRPr="000430C4" w:rsidRDefault="007B4896" w:rsidP="007B4896">
            <w:pPr>
              <w:keepNext/>
              <w:keepLines/>
              <w:tabs>
                <w:tab w:val="left" w:pos="-1440"/>
                <w:tab w:val="left" w:pos="-720"/>
              </w:tabs>
              <w:rPr>
                <w:b/>
                <w:sz w:val="20"/>
                <w:szCs w:val="20"/>
                <w:lang w:val="fr-CA"/>
              </w:rPr>
            </w:pPr>
            <w:r w:rsidRPr="000430C4">
              <w:rPr>
                <w:b/>
                <w:sz w:val="20"/>
                <w:szCs w:val="20"/>
                <w:lang w:val="fr-CA"/>
              </w:rPr>
              <w:t xml:space="preserve">Bar of </w:t>
            </w:r>
            <w:proofErr w:type="spellStart"/>
            <w:r w:rsidRPr="000430C4">
              <w:rPr>
                <w:b/>
                <w:sz w:val="20"/>
                <w:szCs w:val="20"/>
                <w:lang w:val="fr-CA"/>
              </w:rPr>
              <w:t>Quebec</w:t>
            </w:r>
            <w:proofErr w:type="spellEnd"/>
            <w:r w:rsidRPr="000430C4">
              <w:rPr>
                <w:b/>
                <w:sz w:val="20"/>
                <w:szCs w:val="20"/>
                <w:lang w:val="fr-CA"/>
              </w:rPr>
              <w:t xml:space="preserve"> (Que.)</w:t>
            </w:r>
          </w:p>
          <w:p w:rsidR="007B4896" w:rsidRPr="000430C4" w:rsidRDefault="007B4896" w:rsidP="007B4896">
            <w:pPr>
              <w:keepNext/>
              <w:keepLines/>
              <w:tabs>
                <w:tab w:val="left" w:pos="-1440"/>
                <w:tab w:val="left" w:pos="-720"/>
              </w:tabs>
              <w:rPr>
                <w:sz w:val="20"/>
                <w:szCs w:val="20"/>
                <w:lang w:val="fr-CA"/>
              </w:rPr>
            </w:pPr>
            <w:r w:rsidRPr="000430C4">
              <w:rPr>
                <w:sz w:val="20"/>
                <w:szCs w:val="20"/>
                <w:lang w:val="fr-CA"/>
              </w:rPr>
              <w:tab/>
              <w:t>Sylvie Champagne</w:t>
            </w:r>
          </w:p>
          <w:p w:rsidR="007B4896" w:rsidRPr="000430C4" w:rsidRDefault="007B4896" w:rsidP="007B4896">
            <w:pPr>
              <w:keepNext/>
              <w:keepLines/>
              <w:tabs>
                <w:tab w:val="left" w:pos="-1440"/>
                <w:tab w:val="left" w:pos="-720"/>
              </w:tabs>
              <w:rPr>
                <w:sz w:val="20"/>
                <w:szCs w:val="20"/>
                <w:lang w:val="fr-CA"/>
              </w:rPr>
            </w:pPr>
            <w:r w:rsidRPr="000430C4">
              <w:rPr>
                <w:sz w:val="20"/>
                <w:szCs w:val="20"/>
                <w:lang w:val="fr-CA"/>
              </w:rPr>
              <w:tab/>
              <w:t>Barreau du Québec</w:t>
            </w:r>
          </w:p>
          <w:p w:rsidR="007B4896" w:rsidRPr="000430C4" w:rsidRDefault="007B4896" w:rsidP="007B4896">
            <w:pPr>
              <w:keepNext/>
              <w:keepLines/>
              <w:tabs>
                <w:tab w:val="left" w:pos="-1440"/>
                <w:tab w:val="left" w:pos="-720"/>
              </w:tabs>
              <w:rPr>
                <w:sz w:val="20"/>
                <w:szCs w:val="20"/>
                <w:lang w:val="fr-CA"/>
              </w:rPr>
            </w:pPr>
          </w:p>
          <w:p w:rsidR="007B4896" w:rsidRPr="000430C4" w:rsidRDefault="007B4896" w:rsidP="007B4896">
            <w:pPr>
              <w:rPr>
                <w:sz w:val="20"/>
                <w:szCs w:val="20"/>
                <w:lang w:val="fr-CA"/>
              </w:rPr>
            </w:pPr>
            <w:r w:rsidRPr="000430C4">
              <w:rPr>
                <w:sz w:val="20"/>
                <w:szCs w:val="20"/>
                <w:lang w:val="fr-CA"/>
              </w:rPr>
              <w:t>FILING DATE: 27.05.2011</w:t>
            </w:r>
          </w:p>
          <w:p w:rsidR="00242AEE" w:rsidRPr="00B8620C" w:rsidRDefault="00547297" w:rsidP="007B4896">
            <w:pPr>
              <w:rPr>
                <w:sz w:val="20"/>
                <w:szCs w:val="20"/>
              </w:rPr>
            </w:pPr>
            <w:r w:rsidRPr="00547297">
              <w:rPr>
                <w:sz w:val="20"/>
                <w:szCs w:val="20"/>
                <w:lang w:val="fr-CA"/>
              </w:rPr>
              <w:pict>
                <v:rect id="_x0000_i1031" style="width:108pt;height:1pt" o:hrpct="0" o:hralign="center" o:hrstd="t" o:hrnoshade="t" o:hr="t" fillcolor="black [3213]" stroked="f"/>
              </w:pict>
            </w:r>
            <w:r w:rsidR="007B4896" w:rsidRPr="00B8620C">
              <w:rPr>
                <w:sz w:val="20"/>
                <w:szCs w:val="20"/>
              </w:rPr>
              <w:t xml:space="preserve"> </w:t>
            </w:r>
          </w:p>
        </w:tc>
        <w:tc>
          <w:tcPr>
            <w:tcW w:w="1181" w:type="dxa"/>
            <w:shd w:val="clear" w:color="auto" w:fill="auto"/>
          </w:tcPr>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p w:rsidR="00242AEE" w:rsidRPr="00B8620C" w:rsidRDefault="00242AEE" w:rsidP="00242AEE">
            <w:pPr>
              <w:jc w:val="center"/>
              <w:rPr>
                <w:sz w:val="20"/>
                <w:szCs w:val="20"/>
              </w:rPr>
            </w:pPr>
          </w:p>
        </w:tc>
        <w:tc>
          <w:tcPr>
            <w:tcW w:w="4320" w:type="dxa"/>
            <w:shd w:val="clear" w:color="auto" w:fill="auto"/>
          </w:tcPr>
          <w:p w:rsidR="00242AEE" w:rsidRPr="00B8620C" w:rsidRDefault="00242AEE" w:rsidP="003B3977">
            <w:pPr>
              <w:keepNext/>
              <w:keepLines/>
              <w:tabs>
                <w:tab w:val="left" w:pos="-1440"/>
                <w:tab w:val="left" w:pos="-720"/>
              </w:tabs>
              <w:rPr>
                <w:b/>
                <w:sz w:val="20"/>
                <w:szCs w:val="20"/>
              </w:rPr>
            </w:pPr>
          </w:p>
          <w:p w:rsidR="00495EEA" w:rsidRPr="00B8620C" w:rsidRDefault="00495EEA" w:rsidP="003B3977">
            <w:pPr>
              <w:keepNext/>
              <w:keepLines/>
              <w:tabs>
                <w:tab w:val="left" w:pos="-1440"/>
                <w:tab w:val="left" w:pos="-720"/>
              </w:tabs>
              <w:rPr>
                <w:b/>
                <w:sz w:val="20"/>
                <w:szCs w:val="20"/>
              </w:rPr>
            </w:pPr>
            <w:r w:rsidRPr="00B8620C">
              <w:rPr>
                <w:b/>
                <w:sz w:val="20"/>
                <w:szCs w:val="20"/>
              </w:rPr>
              <w:t>David Mark Black</w:t>
            </w:r>
          </w:p>
          <w:p w:rsidR="00B8620C" w:rsidRPr="00B8620C" w:rsidRDefault="00242AEE" w:rsidP="00B8620C">
            <w:pPr>
              <w:keepNext/>
              <w:keepLines/>
              <w:tabs>
                <w:tab w:val="left" w:pos="-1440"/>
                <w:tab w:val="left" w:pos="-720"/>
              </w:tabs>
              <w:rPr>
                <w:sz w:val="20"/>
                <w:szCs w:val="20"/>
              </w:rPr>
            </w:pPr>
            <w:r w:rsidRPr="00B8620C">
              <w:rPr>
                <w:sz w:val="20"/>
                <w:szCs w:val="20"/>
              </w:rPr>
              <w:tab/>
            </w:r>
            <w:r w:rsidR="00B8620C" w:rsidRPr="00B8620C">
              <w:rPr>
                <w:sz w:val="20"/>
                <w:szCs w:val="20"/>
              </w:rPr>
              <w:t>David Mark Black</w:t>
            </w:r>
          </w:p>
          <w:p w:rsidR="00242AEE" w:rsidRPr="00B8620C" w:rsidRDefault="00242AEE" w:rsidP="003B3977">
            <w:pPr>
              <w:keepNext/>
              <w:keepLines/>
              <w:tabs>
                <w:tab w:val="left" w:pos="-1440"/>
                <w:tab w:val="left" w:pos="-720"/>
              </w:tabs>
              <w:rPr>
                <w:sz w:val="20"/>
                <w:szCs w:val="20"/>
              </w:rPr>
            </w:pPr>
          </w:p>
          <w:p w:rsidR="00242AEE" w:rsidRPr="00B8620C" w:rsidRDefault="00242AEE" w:rsidP="003B3977">
            <w:pPr>
              <w:keepNext/>
              <w:keepLines/>
              <w:tabs>
                <w:tab w:val="left" w:pos="-1440"/>
                <w:tab w:val="left" w:pos="-720"/>
              </w:tabs>
              <w:rPr>
                <w:sz w:val="20"/>
                <w:szCs w:val="20"/>
              </w:rPr>
            </w:pPr>
            <w:r w:rsidRPr="00B8620C">
              <w:rPr>
                <w:sz w:val="20"/>
                <w:szCs w:val="20"/>
              </w:rPr>
              <w:tab/>
              <w:t>v. (</w:t>
            </w:r>
            <w:r w:rsidR="00B8620C" w:rsidRPr="00B8620C">
              <w:rPr>
                <w:sz w:val="20"/>
                <w:szCs w:val="20"/>
              </w:rPr>
              <w:t>34274</w:t>
            </w:r>
            <w:r w:rsidRPr="00B8620C">
              <w:rPr>
                <w:sz w:val="20"/>
                <w:szCs w:val="20"/>
              </w:rPr>
              <w:t>)</w:t>
            </w:r>
          </w:p>
          <w:p w:rsidR="00242AEE" w:rsidRPr="00B8620C" w:rsidRDefault="00242AEE" w:rsidP="003B3977">
            <w:pPr>
              <w:keepNext/>
              <w:keepLines/>
              <w:tabs>
                <w:tab w:val="left" w:pos="-1440"/>
                <w:tab w:val="left" w:pos="-720"/>
              </w:tabs>
              <w:rPr>
                <w:sz w:val="20"/>
                <w:szCs w:val="20"/>
              </w:rPr>
            </w:pPr>
          </w:p>
          <w:p w:rsidR="00242AEE" w:rsidRPr="00B8620C" w:rsidRDefault="00B8620C" w:rsidP="003B3977">
            <w:pPr>
              <w:keepNext/>
              <w:keepLines/>
              <w:tabs>
                <w:tab w:val="left" w:pos="-1440"/>
                <w:tab w:val="left" w:pos="-720"/>
              </w:tabs>
              <w:rPr>
                <w:b/>
                <w:sz w:val="20"/>
                <w:szCs w:val="20"/>
              </w:rPr>
            </w:pPr>
            <w:r w:rsidRPr="00B8620C">
              <w:rPr>
                <w:b/>
                <w:sz w:val="20"/>
                <w:szCs w:val="20"/>
              </w:rPr>
              <w:t xml:space="preserve">Her Majesty the Queen </w:t>
            </w:r>
            <w:r w:rsidR="00242AEE" w:rsidRPr="00B8620C">
              <w:rPr>
                <w:b/>
                <w:sz w:val="20"/>
                <w:szCs w:val="20"/>
              </w:rPr>
              <w:t>(</w:t>
            </w:r>
            <w:r w:rsidRPr="00B8620C">
              <w:rPr>
                <w:b/>
                <w:sz w:val="20"/>
                <w:szCs w:val="20"/>
              </w:rPr>
              <w:t>N.B.</w:t>
            </w:r>
            <w:r w:rsidR="00242AEE" w:rsidRPr="00B8620C">
              <w:rPr>
                <w:b/>
                <w:sz w:val="20"/>
                <w:szCs w:val="20"/>
              </w:rPr>
              <w:t>)</w:t>
            </w:r>
          </w:p>
          <w:p w:rsidR="00242AEE" w:rsidRPr="00B8620C" w:rsidRDefault="00242AEE" w:rsidP="003B3977">
            <w:pPr>
              <w:keepNext/>
              <w:keepLines/>
              <w:tabs>
                <w:tab w:val="left" w:pos="-1440"/>
                <w:tab w:val="left" w:pos="-720"/>
              </w:tabs>
              <w:rPr>
                <w:sz w:val="20"/>
                <w:szCs w:val="20"/>
              </w:rPr>
            </w:pPr>
            <w:r w:rsidRPr="00B8620C">
              <w:rPr>
                <w:sz w:val="20"/>
                <w:szCs w:val="20"/>
              </w:rPr>
              <w:tab/>
            </w:r>
            <w:r w:rsidR="00B8620C" w:rsidRPr="00B8620C">
              <w:rPr>
                <w:sz w:val="20"/>
                <w:szCs w:val="20"/>
              </w:rPr>
              <w:t>Monica G. McQueen</w:t>
            </w:r>
          </w:p>
          <w:p w:rsidR="00242AEE" w:rsidRPr="00B8620C" w:rsidRDefault="00242AEE" w:rsidP="003B3977">
            <w:pPr>
              <w:keepNext/>
              <w:keepLines/>
              <w:tabs>
                <w:tab w:val="left" w:pos="-1440"/>
                <w:tab w:val="left" w:pos="-720"/>
              </w:tabs>
              <w:rPr>
                <w:sz w:val="20"/>
                <w:szCs w:val="20"/>
              </w:rPr>
            </w:pPr>
            <w:r w:rsidRPr="00B8620C">
              <w:rPr>
                <w:sz w:val="20"/>
                <w:szCs w:val="20"/>
              </w:rPr>
              <w:tab/>
            </w:r>
            <w:r w:rsidR="00B8620C" w:rsidRPr="00B8620C">
              <w:rPr>
                <w:sz w:val="20"/>
                <w:szCs w:val="20"/>
              </w:rPr>
              <w:t>Public Prosecution Service of Canada</w:t>
            </w:r>
          </w:p>
          <w:p w:rsidR="00242AEE" w:rsidRPr="00B8620C" w:rsidRDefault="00242AEE" w:rsidP="003B3977">
            <w:pPr>
              <w:keepNext/>
              <w:keepLines/>
              <w:tabs>
                <w:tab w:val="left" w:pos="-1440"/>
                <w:tab w:val="left" w:pos="-720"/>
              </w:tabs>
              <w:rPr>
                <w:sz w:val="20"/>
                <w:szCs w:val="20"/>
              </w:rPr>
            </w:pPr>
          </w:p>
          <w:p w:rsidR="00242AEE" w:rsidRPr="00B8620C" w:rsidRDefault="00242AEE" w:rsidP="00B8620C">
            <w:pPr>
              <w:rPr>
                <w:sz w:val="20"/>
                <w:szCs w:val="20"/>
              </w:rPr>
            </w:pPr>
            <w:r w:rsidRPr="00B8620C">
              <w:rPr>
                <w:sz w:val="20"/>
                <w:szCs w:val="20"/>
              </w:rPr>
              <w:t xml:space="preserve">FILING DATE: </w:t>
            </w:r>
            <w:r w:rsidR="00B8620C" w:rsidRPr="00B8620C">
              <w:rPr>
                <w:sz w:val="20"/>
                <w:szCs w:val="20"/>
              </w:rPr>
              <w:t>11</w:t>
            </w:r>
            <w:r w:rsidRPr="00B8620C">
              <w:rPr>
                <w:sz w:val="20"/>
                <w:szCs w:val="20"/>
              </w:rPr>
              <w:t>.0</w:t>
            </w:r>
            <w:r w:rsidR="00B8620C" w:rsidRPr="00B8620C">
              <w:rPr>
                <w:sz w:val="20"/>
                <w:szCs w:val="20"/>
              </w:rPr>
              <w:t>5</w:t>
            </w:r>
            <w:r w:rsidRPr="00B8620C">
              <w:rPr>
                <w:sz w:val="20"/>
                <w:szCs w:val="20"/>
              </w:rPr>
              <w:t>.201</w:t>
            </w:r>
            <w:r w:rsidR="00B8620C" w:rsidRPr="00B8620C">
              <w:rPr>
                <w:sz w:val="20"/>
                <w:szCs w:val="20"/>
              </w:rPr>
              <w:t>1</w:t>
            </w:r>
            <w:r w:rsidR="00547297" w:rsidRPr="00547297">
              <w:rPr>
                <w:sz w:val="20"/>
                <w:szCs w:val="20"/>
                <w:lang w:val="fr-CA"/>
              </w:rPr>
              <w:pict>
                <v:rect id="_x0000_i1032" style="width:108pt;height:1pt" o:hrpct="0" o:hralign="center" o:hrstd="t" o:hrnoshade="t" o:hr="t" fillcolor="black [3213]" stroked="f"/>
              </w:pict>
            </w:r>
          </w:p>
        </w:tc>
      </w:tr>
      <w:tr w:rsidR="00242AEE" w:rsidRPr="00A935AA" w:rsidTr="00082042">
        <w:trPr>
          <w:cantSplit/>
        </w:trPr>
        <w:tc>
          <w:tcPr>
            <w:tcW w:w="4320" w:type="dxa"/>
            <w:shd w:val="clear" w:color="auto" w:fill="auto"/>
          </w:tcPr>
          <w:p w:rsidR="00E32566" w:rsidRPr="00E32566" w:rsidRDefault="00E32566" w:rsidP="00E32566">
            <w:pPr>
              <w:keepNext/>
              <w:keepLines/>
              <w:tabs>
                <w:tab w:val="left" w:pos="-1440"/>
                <w:tab w:val="left" w:pos="-720"/>
              </w:tabs>
              <w:rPr>
                <w:b/>
                <w:sz w:val="20"/>
                <w:szCs w:val="20"/>
                <w:lang w:val="en-US"/>
              </w:rPr>
            </w:pPr>
            <w:r w:rsidRPr="00E32566">
              <w:rPr>
                <w:b/>
                <w:sz w:val="20"/>
                <w:szCs w:val="20"/>
                <w:lang w:val="en-US"/>
              </w:rPr>
              <w:lastRenderedPageBreak/>
              <w:t>Lyle Jacob John</w:t>
            </w:r>
          </w:p>
          <w:p w:rsidR="00E32566" w:rsidRPr="00E32566" w:rsidRDefault="00E32566" w:rsidP="00E32566">
            <w:pPr>
              <w:keepNext/>
              <w:keepLines/>
              <w:tabs>
                <w:tab w:val="left" w:pos="-1440"/>
                <w:tab w:val="left" w:pos="-720"/>
              </w:tabs>
              <w:rPr>
                <w:sz w:val="20"/>
                <w:szCs w:val="20"/>
              </w:rPr>
            </w:pPr>
            <w:r w:rsidRPr="00E32566">
              <w:rPr>
                <w:sz w:val="20"/>
                <w:szCs w:val="20"/>
                <w:lang w:val="en-US"/>
              </w:rPr>
              <w:tab/>
            </w:r>
            <w:proofErr w:type="spellStart"/>
            <w:r w:rsidRPr="00E32566">
              <w:rPr>
                <w:sz w:val="20"/>
                <w:szCs w:val="20"/>
              </w:rPr>
              <w:t>Bibhas</w:t>
            </w:r>
            <w:proofErr w:type="spellEnd"/>
            <w:r w:rsidRPr="00E32566">
              <w:rPr>
                <w:sz w:val="20"/>
                <w:szCs w:val="20"/>
              </w:rPr>
              <w:t xml:space="preserve"> D. </w:t>
            </w:r>
            <w:proofErr w:type="spellStart"/>
            <w:r w:rsidRPr="00E32566">
              <w:rPr>
                <w:sz w:val="20"/>
                <w:szCs w:val="20"/>
              </w:rPr>
              <w:t>Vaze</w:t>
            </w:r>
            <w:proofErr w:type="spellEnd"/>
          </w:p>
          <w:p w:rsidR="00E32566" w:rsidRPr="00E32566" w:rsidRDefault="00E32566" w:rsidP="00E32566">
            <w:pPr>
              <w:keepNext/>
              <w:keepLines/>
              <w:tabs>
                <w:tab w:val="left" w:pos="-1440"/>
                <w:tab w:val="left" w:pos="-720"/>
              </w:tabs>
              <w:rPr>
                <w:sz w:val="20"/>
                <w:szCs w:val="20"/>
              </w:rPr>
            </w:pPr>
            <w:r w:rsidRPr="00E32566">
              <w:rPr>
                <w:sz w:val="20"/>
                <w:szCs w:val="20"/>
              </w:rPr>
              <w:tab/>
              <w:t>Conroy &amp; Company</w:t>
            </w:r>
          </w:p>
          <w:p w:rsidR="00E32566" w:rsidRPr="00E32566" w:rsidRDefault="00E32566" w:rsidP="00E32566">
            <w:pPr>
              <w:keepNext/>
              <w:keepLines/>
              <w:tabs>
                <w:tab w:val="left" w:pos="-1440"/>
                <w:tab w:val="left" w:pos="-720"/>
              </w:tabs>
              <w:rPr>
                <w:sz w:val="20"/>
                <w:szCs w:val="20"/>
              </w:rPr>
            </w:pPr>
          </w:p>
          <w:p w:rsidR="00E32566" w:rsidRPr="00E32566" w:rsidRDefault="00E32566" w:rsidP="00E32566">
            <w:pPr>
              <w:keepNext/>
              <w:keepLines/>
              <w:tabs>
                <w:tab w:val="left" w:pos="-1440"/>
                <w:tab w:val="left" w:pos="-720"/>
              </w:tabs>
              <w:rPr>
                <w:sz w:val="20"/>
                <w:szCs w:val="20"/>
              </w:rPr>
            </w:pPr>
            <w:r w:rsidRPr="00E32566">
              <w:rPr>
                <w:sz w:val="20"/>
                <w:szCs w:val="20"/>
              </w:rPr>
              <w:tab/>
              <w:t>v. (34309)</w:t>
            </w:r>
          </w:p>
          <w:p w:rsidR="00E32566" w:rsidRPr="00E32566" w:rsidRDefault="00E32566" w:rsidP="00E32566">
            <w:pPr>
              <w:keepNext/>
              <w:keepLines/>
              <w:tabs>
                <w:tab w:val="left" w:pos="-1440"/>
                <w:tab w:val="left" w:pos="-720"/>
              </w:tabs>
              <w:rPr>
                <w:sz w:val="20"/>
                <w:szCs w:val="20"/>
              </w:rPr>
            </w:pPr>
          </w:p>
          <w:p w:rsidR="00E32566" w:rsidRPr="00E32566" w:rsidRDefault="00E32566" w:rsidP="00E32566">
            <w:pPr>
              <w:keepNext/>
              <w:keepLines/>
              <w:tabs>
                <w:tab w:val="left" w:pos="-1440"/>
                <w:tab w:val="left" w:pos="-720"/>
              </w:tabs>
              <w:rPr>
                <w:b/>
                <w:sz w:val="20"/>
                <w:szCs w:val="20"/>
              </w:rPr>
            </w:pPr>
            <w:r w:rsidRPr="00E32566">
              <w:rPr>
                <w:b/>
                <w:sz w:val="20"/>
                <w:szCs w:val="20"/>
              </w:rPr>
              <w:t>National Parole Board (B.C.)</w:t>
            </w:r>
          </w:p>
          <w:p w:rsidR="00E32566" w:rsidRPr="00E32566" w:rsidRDefault="00E32566" w:rsidP="00E32566">
            <w:pPr>
              <w:keepNext/>
              <w:keepLines/>
              <w:tabs>
                <w:tab w:val="left" w:pos="-1440"/>
                <w:tab w:val="left" w:pos="-720"/>
              </w:tabs>
              <w:rPr>
                <w:sz w:val="20"/>
                <w:szCs w:val="20"/>
              </w:rPr>
            </w:pPr>
            <w:r w:rsidRPr="00E32566">
              <w:rPr>
                <w:sz w:val="20"/>
                <w:szCs w:val="20"/>
              </w:rPr>
              <w:tab/>
              <w:t xml:space="preserve">Curtis S. </w:t>
            </w:r>
            <w:proofErr w:type="spellStart"/>
            <w:r w:rsidRPr="00E32566">
              <w:rPr>
                <w:sz w:val="20"/>
                <w:szCs w:val="20"/>
              </w:rPr>
              <w:t>Workun</w:t>
            </w:r>
            <w:proofErr w:type="spellEnd"/>
          </w:p>
          <w:p w:rsidR="00E32566" w:rsidRPr="00E32566" w:rsidRDefault="00E32566" w:rsidP="00E32566">
            <w:pPr>
              <w:keepNext/>
              <w:keepLines/>
              <w:tabs>
                <w:tab w:val="left" w:pos="-1440"/>
                <w:tab w:val="left" w:pos="-720"/>
              </w:tabs>
              <w:rPr>
                <w:sz w:val="20"/>
                <w:szCs w:val="20"/>
              </w:rPr>
            </w:pPr>
            <w:r w:rsidRPr="00E32566">
              <w:rPr>
                <w:sz w:val="20"/>
                <w:szCs w:val="20"/>
              </w:rPr>
              <w:tab/>
              <w:t>A.G. of Canada</w:t>
            </w:r>
          </w:p>
          <w:p w:rsidR="00E32566" w:rsidRPr="00E32566" w:rsidRDefault="00E32566" w:rsidP="00E32566">
            <w:pPr>
              <w:keepNext/>
              <w:keepLines/>
              <w:tabs>
                <w:tab w:val="left" w:pos="-1440"/>
                <w:tab w:val="left" w:pos="-720"/>
              </w:tabs>
              <w:rPr>
                <w:sz w:val="20"/>
                <w:szCs w:val="20"/>
              </w:rPr>
            </w:pPr>
          </w:p>
          <w:p w:rsidR="00E32566" w:rsidRPr="00E32566" w:rsidRDefault="00E32566" w:rsidP="00E32566">
            <w:pPr>
              <w:rPr>
                <w:sz w:val="20"/>
                <w:szCs w:val="20"/>
              </w:rPr>
            </w:pPr>
            <w:r w:rsidRPr="00E32566">
              <w:rPr>
                <w:sz w:val="20"/>
                <w:szCs w:val="20"/>
              </w:rPr>
              <w:t>FILING DATE: 13.06.2011</w:t>
            </w:r>
          </w:p>
          <w:p w:rsidR="00242AEE" w:rsidRDefault="00547297" w:rsidP="00E32566">
            <w:pPr>
              <w:rPr>
                <w:sz w:val="20"/>
                <w:szCs w:val="20"/>
                <w:lang w:val="fr-CA"/>
              </w:rPr>
            </w:pPr>
            <w:r w:rsidRPr="00547297">
              <w:rPr>
                <w:sz w:val="20"/>
                <w:szCs w:val="20"/>
                <w:lang w:val="fr-CA"/>
              </w:rPr>
              <w:pict>
                <v:rect id="_x0000_i1033" style="width:108pt;height:1pt" o:hrpct="0" o:hralign="center" o:hrstd="t" o:hrnoshade="t" o:hr="t" fillcolor="black [3213]" stroked="f"/>
              </w:pict>
            </w:r>
          </w:p>
          <w:p w:rsidR="00E32566" w:rsidRPr="00E32566" w:rsidRDefault="00E32566" w:rsidP="00E32566">
            <w:pPr>
              <w:rPr>
                <w:sz w:val="20"/>
                <w:szCs w:val="20"/>
              </w:rPr>
            </w:pPr>
          </w:p>
        </w:tc>
        <w:tc>
          <w:tcPr>
            <w:tcW w:w="1181" w:type="dxa"/>
            <w:shd w:val="clear" w:color="auto" w:fill="auto"/>
          </w:tcPr>
          <w:p w:rsidR="00242AEE" w:rsidRPr="00E32566" w:rsidRDefault="00242AEE" w:rsidP="00242AEE">
            <w:pPr>
              <w:jc w:val="center"/>
              <w:rPr>
                <w:sz w:val="20"/>
                <w:szCs w:val="20"/>
              </w:rPr>
            </w:pPr>
          </w:p>
          <w:p w:rsidR="00242AEE" w:rsidRPr="00E32566" w:rsidRDefault="00242AEE" w:rsidP="00242AEE">
            <w:pPr>
              <w:jc w:val="center"/>
              <w:rPr>
                <w:sz w:val="20"/>
                <w:szCs w:val="20"/>
              </w:rPr>
            </w:pPr>
          </w:p>
          <w:p w:rsidR="00242AEE" w:rsidRPr="00E32566" w:rsidRDefault="00242AEE" w:rsidP="00242AEE">
            <w:pPr>
              <w:jc w:val="center"/>
              <w:rPr>
                <w:sz w:val="20"/>
                <w:szCs w:val="20"/>
              </w:rPr>
            </w:pPr>
          </w:p>
          <w:p w:rsidR="00242AEE" w:rsidRPr="00E32566" w:rsidRDefault="00242AEE" w:rsidP="00242AEE">
            <w:pPr>
              <w:jc w:val="center"/>
              <w:rPr>
                <w:sz w:val="20"/>
                <w:szCs w:val="20"/>
              </w:rPr>
            </w:pPr>
          </w:p>
          <w:p w:rsidR="00242AEE" w:rsidRPr="00E32566" w:rsidRDefault="00242AEE" w:rsidP="00242AEE">
            <w:pPr>
              <w:jc w:val="center"/>
              <w:rPr>
                <w:sz w:val="20"/>
                <w:szCs w:val="20"/>
              </w:rPr>
            </w:pPr>
          </w:p>
          <w:p w:rsidR="00242AEE" w:rsidRPr="00E32566" w:rsidRDefault="00242AEE" w:rsidP="00242AEE">
            <w:pPr>
              <w:jc w:val="center"/>
              <w:rPr>
                <w:sz w:val="20"/>
                <w:szCs w:val="20"/>
              </w:rPr>
            </w:pPr>
          </w:p>
          <w:p w:rsidR="00242AEE" w:rsidRPr="00E32566" w:rsidRDefault="00242AEE" w:rsidP="00242AEE">
            <w:pPr>
              <w:jc w:val="center"/>
              <w:rPr>
                <w:sz w:val="20"/>
                <w:szCs w:val="20"/>
              </w:rPr>
            </w:pPr>
          </w:p>
          <w:p w:rsidR="00242AEE" w:rsidRPr="00E32566" w:rsidRDefault="00242AEE" w:rsidP="00242AEE">
            <w:pPr>
              <w:jc w:val="center"/>
              <w:rPr>
                <w:sz w:val="20"/>
                <w:szCs w:val="20"/>
              </w:rPr>
            </w:pPr>
          </w:p>
          <w:p w:rsidR="00242AEE" w:rsidRPr="00E32566" w:rsidRDefault="00242AEE" w:rsidP="00242AEE">
            <w:pPr>
              <w:jc w:val="center"/>
              <w:rPr>
                <w:sz w:val="20"/>
                <w:szCs w:val="20"/>
              </w:rPr>
            </w:pPr>
          </w:p>
          <w:p w:rsidR="00242AEE" w:rsidRPr="00E32566" w:rsidRDefault="00242AEE" w:rsidP="00242AEE">
            <w:pPr>
              <w:jc w:val="center"/>
              <w:rPr>
                <w:sz w:val="20"/>
                <w:szCs w:val="20"/>
              </w:rPr>
            </w:pPr>
          </w:p>
          <w:p w:rsidR="00242AEE" w:rsidRPr="00E32566" w:rsidRDefault="00242AEE" w:rsidP="00242AEE">
            <w:pPr>
              <w:jc w:val="center"/>
              <w:rPr>
                <w:sz w:val="20"/>
                <w:szCs w:val="20"/>
              </w:rPr>
            </w:pPr>
          </w:p>
          <w:p w:rsidR="00242AEE" w:rsidRPr="00E32566" w:rsidRDefault="00242AEE" w:rsidP="00242AEE">
            <w:pPr>
              <w:jc w:val="center"/>
              <w:rPr>
                <w:sz w:val="20"/>
                <w:szCs w:val="20"/>
              </w:rPr>
            </w:pPr>
          </w:p>
          <w:p w:rsidR="00242AEE" w:rsidRPr="00E32566" w:rsidRDefault="00242AEE" w:rsidP="00242AEE">
            <w:pPr>
              <w:jc w:val="center"/>
              <w:rPr>
                <w:sz w:val="20"/>
                <w:szCs w:val="20"/>
              </w:rPr>
            </w:pPr>
          </w:p>
        </w:tc>
        <w:tc>
          <w:tcPr>
            <w:tcW w:w="4320" w:type="dxa"/>
            <w:shd w:val="clear" w:color="auto" w:fill="auto"/>
          </w:tcPr>
          <w:p w:rsidR="007B4896" w:rsidRPr="00E32566" w:rsidRDefault="007B4896" w:rsidP="007B4896">
            <w:pPr>
              <w:rPr>
                <w:b/>
                <w:sz w:val="20"/>
                <w:szCs w:val="20"/>
              </w:rPr>
            </w:pPr>
            <w:r w:rsidRPr="00E32566">
              <w:rPr>
                <w:b/>
                <w:sz w:val="20"/>
                <w:szCs w:val="20"/>
              </w:rPr>
              <w:t xml:space="preserve">City of New Westminster </w:t>
            </w:r>
          </w:p>
          <w:p w:rsidR="007B4896" w:rsidRPr="00E32566" w:rsidRDefault="007B4896" w:rsidP="007B4896">
            <w:pPr>
              <w:rPr>
                <w:sz w:val="20"/>
                <w:szCs w:val="20"/>
              </w:rPr>
            </w:pPr>
            <w:r w:rsidRPr="00E32566">
              <w:rPr>
                <w:b/>
                <w:sz w:val="20"/>
                <w:szCs w:val="20"/>
              </w:rPr>
              <w:tab/>
            </w:r>
            <w:r w:rsidRPr="00E32566">
              <w:rPr>
                <w:sz w:val="20"/>
                <w:szCs w:val="20"/>
              </w:rPr>
              <w:t xml:space="preserve">David </w:t>
            </w:r>
            <w:proofErr w:type="spellStart"/>
            <w:r w:rsidRPr="00E32566">
              <w:rPr>
                <w:sz w:val="20"/>
                <w:szCs w:val="20"/>
              </w:rPr>
              <w:t>Gooderham</w:t>
            </w:r>
            <w:proofErr w:type="spellEnd"/>
          </w:p>
          <w:p w:rsidR="007B4896" w:rsidRPr="00E32566" w:rsidRDefault="007B4896" w:rsidP="007B4896">
            <w:pPr>
              <w:rPr>
                <w:sz w:val="20"/>
                <w:szCs w:val="20"/>
              </w:rPr>
            </w:pPr>
            <w:r w:rsidRPr="00E32566">
              <w:rPr>
                <w:sz w:val="20"/>
                <w:szCs w:val="20"/>
              </w:rPr>
              <w:tab/>
              <w:t xml:space="preserve">Alexander </w:t>
            </w:r>
            <w:proofErr w:type="spellStart"/>
            <w:r w:rsidRPr="00E32566">
              <w:rPr>
                <w:sz w:val="20"/>
                <w:szCs w:val="20"/>
              </w:rPr>
              <w:t>Holburn</w:t>
            </w:r>
            <w:proofErr w:type="spellEnd"/>
            <w:r w:rsidRPr="00E32566">
              <w:rPr>
                <w:sz w:val="20"/>
                <w:szCs w:val="20"/>
              </w:rPr>
              <w:t xml:space="preserve"> </w:t>
            </w:r>
            <w:proofErr w:type="spellStart"/>
            <w:r w:rsidRPr="00E32566">
              <w:rPr>
                <w:sz w:val="20"/>
                <w:szCs w:val="20"/>
              </w:rPr>
              <w:t>Beaudin</w:t>
            </w:r>
            <w:proofErr w:type="spellEnd"/>
            <w:r w:rsidRPr="00E32566">
              <w:rPr>
                <w:sz w:val="20"/>
                <w:szCs w:val="20"/>
              </w:rPr>
              <w:t xml:space="preserve"> &amp; Lang LLP</w:t>
            </w:r>
          </w:p>
          <w:p w:rsidR="007B4896" w:rsidRPr="00E32566" w:rsidRDefault="007B4896" w:rsidP="007B4896">
            <w:pPr>
              <w:rPr>
                <w:b/>
                <w:sz w:val="20"/>
                <w:szCs w:val="20"/>
              </w:rPr>
            </w:pPr>
          </w:p>
          <w:p w:rsidR="007B4896" w:rsidRPr="00E32566" w:rsidRDefault="007B4896" w:rsidP="007B4896">
            <w:pPr>
              <w:rPr>
                <w:sz w:val="20"/>
                <w:szCs w:val="20"/>
              </w:rPr>
            </w:pPr>
            <w:r w:rsidRPr="00E32566">
              <w:rPr>
                <w:b/>
                <w:sz w:val="20"/>
                <w:szCs w:val="20"/>
              </w:rPr>
              <w:tab/>
            </w:r>
            <w:r w:rsidRPr="00E32566">
              <w:rPr>
                <w:sz w:val="20"/>
                <w:szCs w:val="20"/>
              </w:rPr>
              <w:t>v. (34303)</w:t>
            </w:r>
          </w:p>
          <w:p w:rsidR="007B4896" w:rsidRPr="00E32566" w:rsidRDefault="007B4896" w:rsidP="007B4896">
            <w:pPr>
              <w:rPr>
                <w:b/>
                <w:sz w:val="20"/>
                <w:szCs w:val="20"/>
              </w:rPr>
            </w:pPr>
          </w:p>
          <w:p w:rsidR="007B4896" w:rsidRPr="00E32566" w:rsidRDefault="007B4896" w:rsidP="007B4896">
            <w:pPr>
              <w:rPr>
                <w:b/>
                <w:sz w:val="20"/>
                <w:szCs w:val="20"/>
              </w:rPr>
            </w:pPr>
            <w:r w:rsidRPr="00E32566">
              <w:rPr>
                <w:b/>
                <w:sz w:val="20"/>
                <w:szCs w:val="20"/>
              </w:rPr>
              <w:t>Eileen Lennox (B.C.)</w:t>
            </w:r>
          </w:p>
          <w:p w:rsidR="007B4896" w:rsidRPr="00E32566" w:rsidRDefault="007B4896" w:rsidP="007B4896">
            <w:pPr>
              <w:rPr>
                <w:sz w:val="20"/>
                <w:szCs w:val="20"/>
              </w:rPr>
            </w:pPr>
            <w:r w:rsidRPr="00E32566">
              <w:rPr>
                <w:sz w:val="20"/>
                <w:szCs w:val="20"/>
              </w:rPr>
              <w:tab/>
              <w:t>J. Scott Stanley</w:t>
            </w:r>
          </w:p>
          <w:p w:rsidR="007B4896" w:rsidRPr="00E32566" w:rsidRDefault="007B4896" w:rsidP="007B4896">
            <w:pPr>
              <w:rPr>
                <w:sz w:val="20"/>
                <w:szCs w:val="20"/>
              </w:rPr>
            </w:pPr>
            <w:r w:rsidRPr="00E32566">
              <w:rPr>
                <w:sz w:val="20"/>
                <w:szCs w:val="20"/>
              </w:rPr>
              <w:tab/>
              <w:t>Murphy, Battista</w:t>
            </w:r>
          </w:p>
          <w:p w:rsidR="007B4896" w:rsidRPr="00E32566" w:rsidRDefault="007B4896" w:rsidP="007B4896">
            <w:pPr>
              <w:rPr>
                <w:sz w:val="20"/>
                <w:szCs w:val="20"/>
              </w:rPr>
            </w:pPr>
          </w:p>
          <w:p w:rsidR="007B4896" w:rsidRPr="00E32566" w:rsidRDefault="007B4896" w:rsidP="007B4896">
            <w:pPr>
              <w:rPr>
                <w:sz w:val="20"/>
                <w:szCs w:val="20"/>
              </w:rPr>
            </w:pPr>
            <w:r w:rsidRPr="00E32566">
              <w:rPr>
                <w:sz w:val="20"/>
                <w:szCs w:val="20"/>
              </w:rPr>
              <w:t>FILING DATE: 10.06.2011</w:t>
            </w:r>
          </w:p>
          <w:p w:rsidR="007B4896" w:rsidRPr="00E32566" w:rsidRDefault="00547297" w:rsidP="007B4896">
            <w:pPr>
              <w:rPr>
                <w:sz w:val="20"/>
                <w:szCs w:val="20"/>
              </w:rPr>
            </w:pPr>
            <w:r w:rsidRPr="00547297">
              <w:rPr>
                <w:sz w:val="20"/>
                <w:szCs w:val="20"/>
                <w:lang w:val="fr-CA"/>
              </w:rPr>
              <w:pict>
                <v:rect id="_x0000_i1034" style="width:108pt;height:1pt" o:hrpct="0" o:hralign="center" o:hrstd="t" o:hrnoshade="t" o:hr="t" fillcolor="black [3213]" stroked="f"/>
              </w:pict>
            </w:r>
          </w:p>
          <w:p w:rsidR="00242AEE" w:rsidRPr="00E32566" w:rsidRDefault="00242AEE" w:rsidP="003B3977">
            <w:pPr>
              <w:rPr>
                <w:sz w:val="20"/>
                <w:szCs w:val="20"/>
              </w:rPr>
            </w:pPr>
          </w:p>
        </w:tc>
      </w:tr>
      <w:tr w:rsidR="00B8620C" w:rsidRPr="00A935AA" w:rsidTr="00082042">
        <w:trPr>
          <w:cantSplit/>
        </w:trPr>
        <w:tc>
          <w:tcPr>
            <w:tcW w:w="4320" w:type="dxa"/>
            <w:shd w:val="clear" w:color="auto" w:fill="auto"/>
          </w:tcPr>
          <w:p w:rsidR="00B8620C" w:rsidRPr="00F43F5F" w:rsidRDefault="000430C4" w:rsidP="00B8620C">
            <w:pPr>
              <w:keepNext/>
              <w:keepLines/>
              <w:tabs>
                <w:tab w:val="left" w:pos="-1440"/>
                <w:tab w:val="left" w:pos="-720"/>
              </w:tabs>
              <w:rPr>
                <w:b/>
                <w:sz w:val="20"/>
                <w:szCs w:val="20"/>
                <w:lang w:val="en-US"/>
              </w:rPr>
            </w:pPr>
            <w:r w:rsidRPr="00F43F5F">
              <w:rPr>
                <w:b/>
                <w:sz w:val="20"/>
                <w:szCs w:val="20"/>
                <w:lang w:val="en-US"/>
              </w:rPr>
              <w:t xml:space="preserve">Simone Wellington </w:t>
            </w:r>
            <w:r w:rsidR="00B8620C" w:rsidRPr="00F43F5F">
              <w:rPr>
                <w:b/>
                <w:sz w:val="20"/>
                <w:szCs w:val="20"/>
                <w:lang w:val="en-US"/>
              </w:rPr>
              <w:t>et al.</w:t>
            </w:r>
          </w:p>
          <w:p w:rsidR="00B8620C" w:rsidRPr="00F43F5F" w:rsidRDefault="00B8620C" w:rsidP="00B8620C">
            <w:pPr>
              <w:keepNext/>
              <w:keepLines/>
              <w:tabs>
                <w:tab w:val="left" w:pos="-1440"/>
                <w:tab w:val="left" w:pos="-720"/>
              </w:tabs>
              <w:rPr>
                <w:sz w:val="20"/>
                <w:szCs w:val="20"/>
              </w:rPr>
            </w:pPr>
            <w:r w:rsidRPr="00F43F5F">
              <w:rPr>
                <w:sz w:val="20"/>
                <w:szCs w:val="20"/>
                <w:lang w:val="en-US"/>
              </w:rPr>
              <w:tab/>
            </w:r>
            <w:r w:rsidR="000430C4" w:rsidRPr="00F43F5F">
              <w:rPr>
                <w:sz w:val="20"/>
                <w:szCs w:val="20"/>
              </w:rPr>
              <w:t>Peter Rosenthal</w:t>
            </w:r>
          </w:p>
          <w:p w:rsidR="00B8620C" w:rsidRPr="00F43F5F" w:rsidRDefault="00B8620C" w:rsidP="00B8620C">
            <w:pPr>
              <w:keepNext/>
              <w:keepLines/>
              <w:tabs>
                <w:tab w:val="left" w:pos="-1440"/>
                <w:tab w:val="left" w:pos="-720"/>
              </w:tabs>
              <w:rPr>
                <w:sz w:val="20"/>
                <w:szCs w:val="20"/>
              </w:rPr>
            </w:pPr>
            <w:r w:rsidRPr="00F43F5F">
              <w:rPr>
                <w:sz w:val="20"/>
                <w:szCs w:val="20"/>
              </w:rPr>
              <w:tab/>
            </w:r>
            <w:r w:rsidR="007B4896" w:rsidRPr="00F43F5F">
              <w:rPr>
                <w:sz w:val="20"/>
                <w:szCs w:val="20"/>
              </w:rPr>
              <w:t>Roach Schwartz &amp; Associates</w:t>
            </w:r>
          </w:p>
          <w:p w:rsidR="00B8620C" w:rsidRPr="00F43F5F" w:rsidRDefault="00B8620C" w:rsidP="00B8620C">
            <w:pPr>
              <w:keepNext/>
              <w:keepLines/>
              <w:tabs>
                <w:tab w:val="left" w:pos="-1440"/>
                <w:tab w:val="left" w:pos="-720"/>
              </w:tabs>
              <w:rPr>
                <w:sz w:val="20"/>
                <w:szCs w:val="20"/>
              </w:rPr>
            </w:pPr>
          </w:p>
          <w:p w:rsidR="00B8620C" w:rsidRPr="00F43F5F" w:rsidRDefault="00B8620C" w:rsidP="00B8620C">
            <w:pPr>
              <w:keepNext/>
              <w:keepLines/>
              <w:tabs>
                <w:tab w:val="left" w:pos="-1440"/>
                <w:tab w:val="left" w:pos="-720"/>
              </w:tabs>
              <w:rPr>
                <w:sz w:val="20"/>
                <w:szCs w:val="20"/>
              </w:rPr>
            </w:pPr>
            <w:r w:rsidRPr="00F43F5F">
              <w:rPr>
                <w:sz w:val="20"/>
                <w:szCs w:val="20"/>
              </w:rPr>
              <w:tab/>
              <w:t>v. (</w:t>
            </w:r>
            <w:r w:rsidR="007B4896" w:rsidRPr="00F43F5F">
              <w:rPr>
                <w:sz w:val="20"/>
                <w:szCs w:val="20"/>
              </w:rPr>
              <w:t>34294</w:t>
            </w:r>
            <w:r w:rsidRPr="00F43F5F">
              <w:rPr>
                <w:sz w:val="20"/>
                <w:szCs w:val="20"/>
              </w:rPr>
              <w:t>)</w:t>
            </w:r>
          </w:p>
          <w:p w:rsidR="00B8620C" w:rsidRPr="00F43F5F" w:rsidRDefault="00B8620C" w:rsidP="00B8620C">
            <w:pPr>
              <w:keepNext/>
              <w:keepLines/>
              <w:tabs>
                <w:tab w:val="left" w:pos="-1440"/>
                <w:tab w:val="left" w:pos="-720"/>
              </w:tabs>
              <w:rPr>
                <w:sz w:val="20"/>
                <w:szCs w:val="20"/>
              </w:rPr>
            </w:pPr>
          </w:p>
          <w:p w:rsidR="00B8620C" w:rsidRPr="00F43F5F" w:rsidRDefault="007B4896" w:rsidP="00B8620C">
            <w:pPr>
              <w:keepNext/>
              <w:keepLines/>
              <w:tabs>
                <w:tab w:val="left" w:pos="-1440"/>
                <w:tab w:val="left" w:pos="-720"/>
              </w:tabs>
              <w:rPr>
                <w:b/>
                <w:sz w:val="20"/>
                <w:szCs w:val="20"/>
              </w:rPr>
            </w:pPr>
            <w:r w:rsidRPr="00F43F5F">
              <w:rPr>
                <w:b/>
                <w:sz w:val="20"/>
                <w:szCs w:val="20"/>
              </w:rPr>
              <w:t xml:space="preserve">Her Majesty the Queen in Right of Ontario </w:t>
            </w:r>
            <w:r w:rsidR="00E32566" w:rsidRPr="00F43F5F">
              <w:rPr>
                <w:b/>
                <w:sz w:val="20"/>
                <w:szCs w:val="20"/>
              </w:rPr>
              <w:t xml:space="preserve">et al. </w:t>
            </w:r>
            <w:r w:rsidR="00B8620C" w:rsidRPr="00F43F5F">
              <w:rPr>
                <w:b/>
                <w:sz w:val="20"/>
                <w:szCs w:val="20"/>
              </w:rPr>
              <w:t>(</w:t>
            </w:r>
            <w:r w:rsidRPr="00F43F5F">
              <w:rPr>
                <w:b/>
                <w:sz w:val="20"/>
                <w:szCs w:val="20"/>
              </w:rPr>
              <w:t>Ont.</w:t>
            </w:r>
            <w:r w:rsidR="00B8620C" w:rsidRPr="00F43F5F">
              <w:rPr>
                <w:b/>
                <w:sz w:val="20"/>
                <w:szCs w:val="20"/>
              </w:rPr>
              <w:t>)</w:t>
            </w:r>
          </w:p>
          <w:p w:rsidR="00B8620C" w:rsidRPr="00F43F5F" w:rsidRDefault="00B8620C" w:rsidP="00B8620C">
            <w:pPr>
              <w:keepNext/>
              <w:keepLines/>
              <w:tabs>
                <w:tab w:val="left" w:pos="-1440"/>
                <w:tab w:val="left" w:pos="-720"/>
              </w:tabs>
              <w:rPr>
                <w:sz w:val="20"/>
                <w:szCs w:val="20"/>
              </w:rPr>
            </w:pPr>
            <w:r w:rsidRPr="00F43F5F">
              <w:rPr>
                <w:sz w:val="20"/>
                <w:szCs w:val="20"/>
              </w:rPr>
              <w:tab/>
            </w:r>
            <w:r w:rsidR="007B4896" w:rsidRPr="00F43F5F">
              <w:rPr>
                <w:sz w:val="20"/>
                <w:szCs w:val="20"/>
              </w:rPr>
              <w:t xml:space="preserve">James </w:t>
            </w:r>
            <w:proofErr w:type="spellStart"/>
            <w:r w:rsidR="007B4896" w:rsidRPr="00F43F5F">
              <w:rPr>
                <w:sz w:val="20"/>
                <w:szCs w:val="20"/>
              </w:rPr>
              <w:t>Kendik</w:t>
            </w:r>
            <w:proofErr w:type="spellEnd"/>
          </w:p>
          <w:p w:rsidR="00B8620C" w:rsidRPr="00F43F5F" w:rsidRDefault="00B8620C" w:rsidP="00B8620C">
            <w:pPr>
              <w:keepNext/>
              <w:keepLines/>
              <w:tabs>
                <w:tab w:val="left" w:pos="-1440"/>
                <w:tab w:val="left" w:pos="-720"/>
              </w:tabs>
              <w:rPr>
                <w:sz w:val="20"/>
                <w:szCs w:val="20"/>
              </w:rPr>
            </w:pPr>
            <w:r w:rsidRPr="00F43F5F">
              <w:rPr>
                <w:sz w:val="20"/>
                <w:szCs w:val="20"/>
              </w:rPr>
              <w:tab/>
            </w:r>
            <w:r w:rsidR="007B4896" w:rsidRPr="00F43F5F">
              <w:rPr>
                <w:sz w:val="20"/>
                <w:szCs w:val="20"/>
              </w:rPr>
              <w:t>A.G. of Ontario</w:t>
            </w:r>
          </w:p>
          <w:p w:rsidR="00B8620C" w:rsidRPr="00F43F5F" w:rsidRDefault="00B8620C" w:rsidP="00B8620C">
            <w:pPr>
              <w:keepNext/>
              <w:keepLines/>
              <w:tabs>
                <w:tab w:val="left" w:pos="-1440"/>
                <w:tab w:val="left" w:pos="-720"/>
              </w:tabs>
              <w:rPr>
                <w:sz w:val="20"/>
                <w:szCs w:val="20"/>
              </w:rPr>
            </w:pPr>
          </w:p>
          <w:p w:rsidR="00B8620C" w:rsidRPr="00F43F5F" w:rsidRDefault="00B8620C" w:rsidP="00B8620C">
            <w:pPr>
              <w:rPr>
                <w:sz w:val="20"/>
                <w:szCs w:val="20"/>
              </w:rPr>
            </w:pPr>
            <w:r w:rsidRPr="00F43F5F">
              <w:rPr>
                <w:sz w:val="20"/>
                <w:szCs w:val="20"/>
              </w:rPr>
              <w:t>FILING DATE: 0</w:t>
            </w:r>
            <w:r w:rsidR="007B4896" w:rsidRPr="00F43F5F">
              <w:rPr>
                <w:sz w:val="20"/>
                <w:szCs w:val="20"/>
              </w:rPr>
              <w:t>6</w:t>
            </w:r>
            <w:r w:rsidRPr="00F43F5F">
              <w:rPr>
                <w:sz w:val="20"/>
                <w:szCs w:val="20"/>
              </w:rPr>
              <w:t>.</w:t>
            </w:r>
            <w:r w:rsidR="007B4896" w:rsidRPr="00F43F5F">
              <w:rPr>
                <w:sz w:val="20"/>
                <w:szCs w:val="20"/>
              </w:rPr>
              <w:t>06</w:t>
            </w:r>
            <w:r w:rsidRPr="00F43F5F">
              <w:rPr>
                <w:sz w:val="20"/>
                <w:szCs w:val="20"/>
              </w:rPr>
              <w:t>.201</w:t>
            </w:r>
            <w:r w:rsidR="007B4896" w:rsidRPr="00F43F5F">
              <w:rPr>
                <w:sz w:val="20"/>
                <w:szCs w:val="20"/>
              </w:rPr>
              <w:t>1</w:t>
            </w:r>
          </w:p>
          <w:p w:rsidR="00B8620C" w:rsidRDefault="00547297" w:rsidP="00B8620C">
            <w:pPr>
              <w:rPr>
                <w:sz w:val="20"/>
                <w:szCs w:val="20"/>
                <w:lang w:val="fr-CA"/>
              </w:rPr>
            </w:pPr>
            <w:r w:rsidRPr="00547297">
              <w:rPr>
                <w:sz w:val="20"/>
                <w:szCs w:val="20"/>
                <w:lang w:val="fr-CA"/>
              </w:rPr>
              <w:pict>
                <v:rect id="_x0000_i1035" style="width:108pt;height:1pt" o:hrpct="0" o:hralign="center" o:hrstd="t" o:hrnoshade="t" o:hr="t" fillcolor="black [3213]" stroked="f"/>
              </w:pict>
            </w:r>
          </w:p>
          <w:p w:rsidR="0091510C" w:rsidRPr="00F43F5F" w:rsidRDefault="0091510C" w:rsidP="00B8620C">
            <w:pPr>
              <w:rPr>
                <w:b/>
                <w:sz w:val="20"/>
                <w:szCs w:val="20"/>
              </w:rPr>
            </w:pPr>
          </w:p>
        </w:tc>
        <w:tc>
          <w:tcPr>
            <w:tcW w:w="1181" w:type="dxa"/>
            <w:shd w:val="clear" w:color="auto" w:fill="auto"/>
          </w:tcPr>
          <w:p w:rsidR="00B8620C" w:rsidRPr="00F43F5F" w:rsidRDefault="00B8620C" w:rsidP="00242AEE">
            <w:pPr>
              <w:jc w:val="center"/>
              <w:rPr>
                <w:sz w:val="20"/>
                <w:szCs w:val="20"/>
              </w:rPr>
            </w:pPr>
          </w:p>
          <w:p w:rsidR="00E32566" w:rsidRPr="00F43F5F" w:rsidRDefault="00E32566" w:rsidP="00242AEE">
            <w:pPr>
              <w:jc w:val="center"/>
              <w:rPr>
                <w:sz w:val="20"/>
                <w:szCs w:val="20"/>
              </w:rPr>
            </w:pPr>
          </w:p>
          <w:p w:rsidR="00E32566" w:rsidRPr="00F43F5F" w:rsidRDefault="00E32566" w:rsidP="00242AEE">
            <w:pPr>
              <w:jc w:val="center"/>
              <w:rPr>
                <w:sz w:val="20"/>
                <w:szCs w:val="20"/>
              </w:rPr>
            </w:pPr>
          </w:p>
          <w:p w:rsidR="00E32566" w:rsidRPr="00F43F5F" w:rsidRDefault="00E32566" w:rsidP="00242AEE">
            <w:pPr>
              <w:jc w:val="center"/>
              <w:rPr>
                <w:sz w:val="20"/>
                <w:szCs w:val="20"/>
              </w:rPr>
            </w:pPr>
          </w:p>
          <w:p w:rsidR="00E32566" w:rsidRPr="00F43F5F" w:rsidRDefault="00E32566" w:rsidP="00242AEE">
            <w:pPr>
              <w:jc w:val="center"/>
              <w:rPr>
                <w:sz w:val="20"/>
                <w:szCs w:val="20"/>
              </w:rPr>
            </w:pPr>
          </w:p>
          <w:p w:rsidR="00E32566" w:rsidRPr="00F43F5F" w:rsidRDefault="00E32566" w:rsidP="00242AEE">
            <w:pPr>
              <w:jc w:val="center"/>
              <w:rPr>
                <w:sz w:val="20"/>
                <w:szCs w:val="20"/>
              </w:rPr>
            </w:pPr>
          </w:p>
          <w:p w:rsidR="00E32566" w:rsidRPr="00F43F5F" w:rsidRDefault="00E32566" w:rsidP="00242AEE">
            <w:pPr>
              <w:jc w:val="center"/>
              <w:rPr>
                <w:sz w:val="20"/>
                <w:szCs w:val="20"/>
              </w:rPr>
            </w:pPr>
          </w:p>
          <w:p w:rsidR="00E32566" w:rsidRPr="00F43F5F" w:rsidRDefault="00E32566" w:rsidP="00242AEE">
            <w:pPr>
              <w:jc w:val="center"/>
              <w:rPr>
                <w:sz w:val="20"/>
                <w:szCs w:val="20"/>
              </w:rPr>
            </w:pPr>
          </w:p>
          <w:p w:rsidR="00E32566" w:rsidRPr="00F43F5F" w:rsidRDefault="00E32566" w:rsidP="00242AEE">
            <w:pPr>
              <w:jc w:val="center"/>
              <w:rPr>
                <w:sz w:val="20"/>
                <w:szCs w:val="20"/>
              </w:rPr>
            </w:pPr>
          </w:p>
          <w:p w:rsidR="00E32566" w:rsidRPr="00F43F5F" w:rsidRDefault="00E32566" w:rsidP="00242AEE">
            <w:pPr>
              <w:jc w:val="center"/>
              <w:rPr>
                <w:sz w:val="20"/>
                <w:szCs w:val="20"/>
              </w:rPr>
            </w:pPr>
          </w:p>
          <w:p w:rsidR="00E32566" w:rsidRPr="00F43F5F" w:rsidRDefault="00E32566" w:rsidP="00242AEE">
            <w:pPr>
              <w:jc w:val="center"/>
              <w:rPr>
                <w:sz w:val="20"/>
                <w:szCs w:val="20"/>
              </w:rPr>
            </w:pPr>
          </w:p>
          <w:p w:rsidR="00E32566" w:rsidRPr="00F43F5F" w:rsidRDefault="00E32566" w:rsidP="00242AEE">
            <w:pPr>
              <w:jc w:val="center"/>
              <w:rPr>
                <w:sz w:val="20"/>
                <w:szCs w:val="20"/>
              </w:rPr>
            </w:pPr>
          </w:p>
          <w:p w:rsidR="00E32566" w:rsidRPr="00F43F5F" w:rsidRDefault="00E32566" w:rsidP="00242AEE">
            <w:pPr>
              <w:jc w:val="center"/>
              <w:rPr>
                <w:sz w:val="20"/>
                <w:szCs w:val="20"/>
              </w:rPr>
            </w:pPr>
          </w:p>
          <w:p w:rsidR="00E32566" w:rsidRPr="00F43F5F" w:rsidRDefault="00E32566" w:rsidP="00242AEE">
            <w:pPr>
              <w:jc w:val="center"/>
              <w:rPr>
                <w:sz w:val="20"/>
                <w:szCs w:val="20"/>
              </w:rPr>
            </w:pPr>
          </w:p>
        </w:tc>
        <w:tc>
          <w:tcPr>
            <w:tcW w:w="4320" w:type="dxa"/>
            <w:shd w:val="clear" w:color="auto" w:fill="auto"/>
          </w:tcPr>
          <w:p w:rsidR="00F43F5F" w:rsidRDefault="00F43F5F" w:rsidP="00F43F5F">
            <w:pPr>
              <w:keepNext/>
              <w:keepLines/>
              <w:tabs>
                <w:tab w:val="left" w:pos="-1440"/>
                <w:tab w:val="left" w:pos="-720"/>
              </w:tabs>
              <w:rPr>
                <w:b/>
                <w:sz w:val="20"/>
                <w:szCs w:val="20"/>
                <w:lang w:val="fr-CA"/>
              </w:rPr>
            </w:pPr>
            <w:r w:rsidRPr="00E32566">
              <w:rPr>
                <w:b/>
                <w:sz w:val="20"/>
                <w:szCs w:val="20"/>
                <w:lang w:val="fr-CA"/>
              </w:rPr>
              <w:t>Corporation d'Entretien d'Ascenseur Indépendant</w:t>
            </w:r>
          </w:p>
          <w:p w:rsidR="00F43F5F" w:rsidRPr="00F43F5F" w:rsidRDefault="00F43F5F" w:rsidP="00F43F5F">
            <w:pPr>
              <w:keepNext/>
              <w:keepLines/>
              <w:tabs>
                <w:tab w:val="left" w:pos="-1440"/>
                <w:tab w:val="left" w:pos="-720"/>
              </w:tabs>
              <w:rPr>
                <w:sz w:val="20"/>
                <w:szCs w:val="20"/>
                <w:lang w:val="fr-CA"/>
              </w:rPr>
            </w:pPr>
            <w:r w:rsidRPr="00E32566">
              <w:rPr>
                <w:sz w:val="20"/>
                <w:szCs w:val="20"/>
                <w:lang w:val="fr-CA"/>
              </w:rPr>
              <w:tab/>
            </w:r>
            <w:r w:rsidRPr="00F43F5F">
              <w:rPr>
                <w:sz w:val="20"/>
                <w:szCs w:val="20"/>
                <w:lang w:val="fr-CA"/>
              </w:rPr>
              <w:t>Douglas C. Mitchell</w:t>
            </w:r>
          </w:p>
          <w:p w:rsidR="00F43F5F" w:rsidRPr="00E32566" w:rsidRDefault="00F43F5F" w:rsidP="00F43F5F">
            <w:pPr>
              <w:keepNext/>
              <w:keepLines/>
              <w:tabs>
                <w:tab w:val="left" w:pos="-1440"/>
                <w:tab w:val="left" w:pos="-720"/>
              </w:tabs>
              <w:rPr>
                <w:sz w:val="20"/>
                <w:szCs w:val="20"/>
              </w:rPr>
            </w:pPr>
            <w:r w:rsidRPr="00F43F5F">
              <w:rPr>
                <w:sz w:val="20"/>
                <w:szCs w:val="20"/>
                <w:lang w:val="fr-CA"/>
              </w:rPr>
              <w:tab/>
            </w:r>
            <w:r>
              <w:rPr>
                <w:sz w:val="20"/>
                <w:szCs w:val="20"/>
              </w:rPr>
              <w:t xml:space="preserve">Irving Mitchell </w:t>
            </w:r>
            <w:proofErr w:type="spellStart"/>
            <w:r>
              <w:rPr>
                <w:sz w:val="20"/>
                <w:szCs w:val="20"/>
              </w:rPr>
              <w:t>Kalichman</w:t>
            </w:r>
            <w:proofErr w:type="spellEnd"/>
            <w:r>
              <w:rPr>
                <w:sz w:val="20"/>
                <w:szCs w:val="20"/>
              </w:rPr>
              <w:t xml:space="preserve"> </w:t>
            </w:r>
            <w:r w:rsidRPr="00E32566">
              <w:rPr>
                <w:sz w:val="20"/>
                <w:szCs w:val="20"/>
              </w:rPr>
              <w:t>LLP</w:t>
            </w:r>
          </w:p>
          <w:p w:rsidR="00F43F5F" w:rsidRPr="00E32566" w:rsidRDefault="00F43F5F" w:rsidP="00F43F5F">
            <w:pPr>
              <w:keepNext/>
              <w:keepLines/>
              <w:tabs>
                <w:tab w:val="left" w:pos="-1440"/>
                <w:tab w:val="left" w:pos="-720"/>
              </w:tabs>
              <w:rPr>
                <w:sz w:val="20"/>
                <w:szCs w:val="20"/>
              </w:rPr>
            </w:pPr>
          </w:p>
          <w:p w:rsidR="00F43F5F" w:rsidRPr="00F43F5F" w:rsidRDefault="00F43F5F" w:rsidP="00F43F5F">
            <w:pPr>
              <w:keepNext/>
              <w:keepLines/>
              <w:tabs>
                <w:tab w:val="left" w:pos="-1440"/>
                <w:tab w:val="left" w:pos="-720"/>
              </w:tabs>
              <w:rPr>
                <w:sz w:val="20"/>
                <w:szCs w:val="20"/>
                <w:lang w:val="en-US"/>
              </w:rPr>
            </w:pPr>
            <w:r w:rsidRPr="00E32566">
              <w:rPr>
                <w:sz w:val="20"/>
                <w:szCs w:val="20"/>
              </w:rPr>
              <w:tab/>
            </w:r>
            <w:r w:rsidRPr="00F43F5F">
              <w:rPr>
                <w:sz w:val="20"/>
                <w:szCs w:val="20"/>
                <w:lang w:val="en-US"/>
              </w:rPr>
              <w:t>v. (34310)</w:t>
            </w:r>
          </w:p>
          <w:p w:rsidR="00F43F5F" w:rsidRPr="00F43F5F" w:rsidRDefault="00F43F5F" w:rsidP="00F43F5F">
            <w:pPr>
              <w:keepNext/>
              <w:keepLines/>
              <w:tabs>
                <w:tab w:val="left" w:pos="-1440"/>
                <w:tab w:val="left" w:pos="-720"/>
              </w:tabs>
              <w:rPr>
                <w:sz w:val="20"/>
                <w:szCs w:val="20"/>
                <w:lang w:val="en-US"/>
              </w:rPr>
            </w:pPr>
          </w:p>
          <w:p w:rsidR="00F43F5F" w:rsidRPr="00E32566" w:rsidRDefault="00F43F5F" w:rsidP="00F43F5F">
            <w:pPr>
              <w:keepNext/>
              <w:keepLines/>
              <w:tabs>
                <w:tab w:val="left" w:pos="-1440"/>
                <w:tab w:val="left" w:pos="-720"/>
              </w:tabs>
              <w:rPr>
                <w:b/>
                <w:sz w:val="20"/>
                <w:szCs w:val="20"/>
                <w:lang w:val="fr-CA"/>
              </w:rPr>
            </w:pPr>
            <w:r w:rsidRPr="00E32566">
              <w:rPr>
                <w:b/>
                <w:sz w:val="20"/>
                <w:szCs w:val="20"/>
                <w:lang w:val="fr-CA"/>
              </w:rPr>
              <w:t xml:space="preserve">J.E. </w:t>
            </w:r>
            <w:proofErr w:type="spellStart"/>
            <w:r w:rsidRPr="00E32566">
              <w:rPr>
                <w:b/>
                <w:sz w:val="20"/>
                <w:szCs w:val="20"/>
                <w:lang w:val="fr-CA"/>
              </w:rPr>
              <w:t>Verreault</w:t>
            </w:r>
            <w:proofErr w:type="spellEnd"/>
            <w:r w:rsidRPr="00E32566">
              <w:rPr>
                <w:b/>
                <w:sz w:val="20"/>
                <w:szCs w:val="20"/>
                <w:lang w:val="fr-CA"/>
              </w:rPr>
              <w:t xml:space="preserve"> &amp; Fils </w:t>
            </w:r>
            <w:proofErr w:type="spellStart"/>
            <w:r w:rsidRPr="00E32566">
              <w:rPr>
                <w:b/>
                <w:sz w:val="20"/>
                <w:szCs w:val="20"/>
                <w:lang w:val="fr-CA"/>
              </w:rPr>
              <w:t>Ltée</w:t>
            </w:r>
            <w:proofErr w:type="spellEnd"/>
            <w:r w:rsidRPr="00E32566">
              <w:rPr>
                <w:b/>
                <w:sz w:val="20"/>
                <w:szCs w:val="20"/>
                <w:lang w:val="fr-CA"/>
              </w:rPr>
              <w:t xml:space="preserve"> (</w:t>
            </w:r>
            <w:r>
              <w:rPr>
                <w:b/>
                <w:sz w:val="20"/>
                <w:szCs w:val="20"/>
                <w:lang w:val="fr-CA"/>
              </w:rPr>
              <w:t>Que</w:t>
            </w:r>
            <w:r w:rsidRPr="00E32566">
              <w:rPr>
                <w:b/>
                <w:sz w:val="20"/>
                <w:szCs w:val="20"/>
                <w:lang w:val="fr-CA"/>
              </w:rPr>
              <w:t>.)</w:t>
            </w:r>
          </w:p>
          <w:p w:rsidR="00F43F5F" w:rsidRPr="00F43F5F" w:rsidRDefault="00F43F5F" w:rsidP="00F43F5F">
            <w:pPr>
              <w:keepNext/>
              <w:keepLines/>
              <w:tabs>
                <w:tab w:val="left" w:pos="-1440"/>
                <w:tab w:val="left" w:pos="-720"/>
              </w:tabs>
              <w:rPr>
                <w:sz w:val="20"/>
                <w:szCs w:val="20"/>
                <w:lang w:val="fr-CA"/>
              </w:rPr>
            </w:pPr>
            <w:r w:rsidRPr="00E32566">
              <w:rPr>
                <w:sz w:val="20"/>
                <w:szCs w:val="20"/>
                <w:lang w:val="fr-CA"/>
              </w:rPr>
              <w:tab/>
            </w:r>
            <w:r w:rsidRPr="00F43F5F">
              <w:rPr>
                <w:sz w:val="20"/>
                <w:szCs w:val="20"/>
                <w:lang w:val="fr-CA"/>
              </w:rPr>
              <w:t>Pierre A. Gagnon</w:t>
            </w:r>
          </w:p>
          <w:p w:rsidR="00F43F5F" w:rsidRPr="00E32566" w:rsidRDefault="00F43F5F" w:rsidP="00F43F5F">
            <w:pPr>
              <w:keepNext/>
              <w:keepLines/>
              <w:tabs>
                <w:tab w:val="left" w:pos="-1440"/>
                <w:tab w:val="left" w:pos="-720"/>
              </w:tabs>
              <w:rPr>
                <w:sz w:val="20"/>
                <w:szCs w:val="20"/>
                <w:lang w:val="fr-CA"/>
              </w:rPr>
            </w:pPr>
            <w:r w:rsidRPr="00F43F5F">
              <w:rPr>
                <w:sz w:val="20"/>
                <w:szCs w:val="20"/>
                <w:lang w:val="fr-CA"/>
              </w:rPr>
              <w:tab/>
            </w:r>
            <w:r w:rsidRPr="00E32566">
              <w:rPr>
                <w:sz w:val="20"/>
                <w:szCs w:val="20"/>
                <w:lang w:val="fr-CA"/>
              </w:rPr>
              <w:t xml:space="preserve">Beauvais, </w:t>
            </w:r>
            <w:proofErr w:type="spellStart"/>
            <w:r w:rsidRPr="00E32566">
              <w:rPr>
                <w:sz w:val="20"/>
                <w:szCs w:val="20"/>
                <w:lang w:val="fr-CA"/>
              </w:rPr>
              <w:t>Truchon</w:t>
            </w:r>
            <w:proofErr w:type="spellEnd"/>
            <w:r w:rsidRPr="00E32566">
              <w:rPr>
                <w:sz w:val="20"/>
                <w:szCs w:val="20"/>
                <w:lang w:val="fr-CA"/>
              </w:rPr>
              <w:t>, s.e.n.c.</w:t>
            </w:r>
          </w:p>
          <w:p w:rsidR="00F43F5F" w:rsidRPr="00E32566" w:rsidRDefault="00F43F5F" w:rsidP="00F43F5F">
            <w:pPr>
              <w:keepNext/>
              <w:keepLines/>
              <w:tabs>
                <w:tab w:val="left" w:pos="-1440"/>
                <w:tab w:val="left" w:pos="-720"/>
              </w:tabs>
              <w:rPr>
                <w:sz w:val="20"/>
                <w:szCs w:val="20"/>
                <w:lang w:val="fr-CA"/>
              </w:rPr>
            </w:pPr>
          </w:p>
          <w:p w:rsidR="00F43F5F" w:rsidRPr="00E32566" w:rsidRDefault="00F43F5F" w:rsidP="00F43F5F">
            <w:pPr>
              <w:rPr>
                <w:sz w:val="20"/>
                <w:szCs w:val="20"/>
              </w:rPr>
            </w:pPr>
            <w:r>
              <w:rPr>
                <w:sz w:val="20"/>
                <w:szCs w:val="20"/>
              </w:rPr>
              <w:t xml:space="preserve">FILING DATE: </w:t>
            </w:r>
            <w:r w:rsidRPr="00E32566">
              <w:rPr>
                <w:sz w:val="20"/>
                <w:szCs w:val="20"/>
              </w:rPr>
              <w:t>1</w:t>
            </w:r>
            <w:r w:rsidR="00771544">
              <w:rPr>
                <w:sz w:val="20"/>
                <w:szCs w:val="20"/>
              </w:rPr>
              <w:t>3</w:t>
            </w:r>
            <w:r w:rsidRPr="00E32566">
              <w:rPr>
                <w:sz w:val="20"/>
                <w:szCs w:val="20"/>
              </w:rPr>
              <w:t>.</w:t>
            </w:r>
            <w:r>
              <w:rPr>
                <w:sz w:val="20"/>
                <w:szCs w:val="20"/>
              </w:rPr>
              <w:t>06</w:t>
            </w:r>
            <w:r w:rsidRPr="00E32566">
              <w:rPr>
                <w:sz w:val="20"/>
                <w:szCs w:val="20"/>
              </w:rPr>
              <w:t>.201</w:t>
            </w:r>
            <w:r>
              <w:rPr>
                <w:sz w:val="20"/>
                <w:szCs w:val="20"/>
              </w:rPr>
              <w:t>1</w:t>
            </w:r>
          </w:p>
          <w:p w:rsidR="00F43F5F" w:rsidRPr="00E32566" w:rsidRDefault="00547297" w:rsidP="00F43F5F">
            <w:pPr>
              <w:rPr>
                <w:b/>
                <w:sz w:val="20"/>
                <w:szCs w:val="20"/>
                <w:lang w:val="en-US"/>
              </w:rPr>
            </w:pPr>
            <w:r w:rsidRPr="00547297">
              <w:rPr>
                <w:sz w:val="20"/>
                <w:szCs w:val="20"/>
                <w:lang w:val="fr-CA"/>
              </w:rPr>
              <w:pict>
                <v:rect id="_x0000_i1036" style="width:108pt;height:1pt" o:hrpct="0" o:hralign="center" o:hrstd="t" o:hrnoshade="t" o:hr="t" fillcolor="black [3213]" stroked="f"/>
              </w:pict>
            </w:r>
          </w:p>
          <w:p w:rsidR="00B8620C" w:rsidRPr="00E32566" w:rsidRDefault="00B8620C" w:rsidP="00E32566">
            <w:pPr>
              <w:keepNext/>
              <w:keepLines/>
              <w:tabs>
                <w:tab w:val="left" w:pos="-1440"/>
                <w:tab w:val="left" w:pos="-720"/>
              </w:tabs>
              <w:rPr>
                <w:b/>
                <w:sz w:val="20"/>
                <w:szCs w:val="20"/>
                <w:lang w:val="en-US"/>
              </w:rPr>
            </w:pPr>
          </w:p>
        </w:tc>
      </w:tr>
      <w:tr w:rsidR="00B8620C" w:rsidRPr="00A935AA" w:rsidTr="00082042">
        <w:trPr>
          <w:cantSplit/>
        </w:trPr>
        <w:tc>
          <w:tcPr>
            <w:tcW w:w="4320" w:type="dxa"/>
            <w:shd w:val="clear" w:color="auto" w:fill="auto"/>
          </w:tcPr>
          <w:p w:rsidR="00F43F5F" w:rsidRPr="00F43F5F" w:rsidRDefault="00F43F5F" w:rsidP="00F43F5F">
            <w:pPr>
              <w:rPr>
                <w:b/>
                <w:sz w:val="20"/>
                <w:szCs w:val="20"/>
              </w:rPr>
            </w:pPr>
            <w:r w:rsidRPr="00F43F5F">
              <w:rPr>
                <w:b/>
                <w:sz w:val="20"/>
                <w:szCs w:val="20"/>
              </w:rPr>
              <w:t>Information and Privacy Commissioner of Alberta</w:t>
            </w:r>
          </w:p>
          <w:p w:rsidR="00F43F5F" w:rsidRPr="00F43F5F" w:rsidRDefault="00F43F5F" w:rsidP="00F43F5F">
            <w:pPr>
              <w:tabs>
                <w:tab w:val="left" w:pos="-1440"/>
                <w:tab w:val="left" w:pos="-720"/>
              </w:tabs>
              <w:rPr>
                <w:sz w:val="20"/>
                <w:szCs w:val="20"/>
              </w:rPr>
            </w:pPr>
            <w:r w:rsidRPr="00F43F5F">
              <w:rPr>
                <w:sz w:val="20"/>
                <w:szCs w:val="20"/>
              </w:rPr>
              <w:tab/>
            </w:r>
            <w:r w:rsidR="002D1834">
              <w:rPr>
                <w:sz w:val="20"/>
                <w:szCs w:val="20"/>
              </w:rPr>
              <w:t>G</w:t>
            </w:r>
            <w:r w:rsidRPr="00F43F5F">
              <w:rPr>
                <w:sz w:val="20"/>
                <w:szCs w:val="20"/>
              </w:rPr>
              <w:t>lenn Solomon</w:t>
            </w:r>
          </w:p>
          <w:p w:rsidR="00F43F5F" w:rsidRPr="00F43F5F" w:rsidRDefault="00F43F5F" w:rsidP="00F43F5F">
            <w:pPr>
              <w:tabs>
                <w:tab w:val="left" w:pos="-1440"/>
                <w:tab w:val="left" w:pos="-720"/>
              </w:tabs>
              <w:ind w:left="720" w:hanging="720"/>
              <w:rPr>
                <w:sz w:val="20"/>
                <w:szCs w:val="20"/>
                <w:lang w:val="en-US"/>
              </w:rPr>
            </w:pPr>
            <w:r w:rsidRPr="00F43F5F">
              <w:rPr>
                <w:sz w:val="20"/>
                <w:szCs w:val="20"/>
              </w:rPr>
              <w:tab/>
            </w:r>
            <w:r w:rsidRPr="00F43F5F">
              <w:rPr>
                <w:sz w:val="20"/>
                <w:szCs w:val="20"/>
                <w:lang w:val="en-US"/>
              </w:rPr>
              <w:t xml:space="preserve">Jensen </w:t>
            </w:r>
            <w:proofErr w:type="spellStart"/>
            <w:r w:rsidRPr="00F43F5F">
              <w:rPr>
                <w:sz w:val="20"/>
                <w:szCs w:val="20"/>
                <w:lang w:val="en-US"/>
              </w:rPr>
              <w:t>Shawa</w:t>
            </w:r>
            <w:proofErr w:type="spellEnd"/>
            <w:r w:rsidRPr="00F43F5F">
              <w:rPr>
                <w:sz w:val="20"/>
                <w:szCs w:val="20"/>
                <w:lang w:val="en-US"/>
              </w:rPr>
              <w:t xml:space="preserve"> Solomon </w:t>
            </w:r>
            <w:proofErr w:type="spellStart"/>
            <w:r w:rsidRPr="00F43F5F">
              <w:rPr>
                <w:sz w:val="20"/>
                <w:szCs w:val="20"/>
                <w:lang w:val="en-US"/>
              </w:rPr>
              <w:t>Duguid</w:t>
            </w:r>
            <w:proofErr w:type="spellEnd"/>
            <w:r w:rsidRPr="00F43F5F">
              <w:rPr>
                <w:sz w:val="20"/>
                <w:szCs w:val="20"/>
                <w:lang w:val="en-US"/>
              </w:rPr>
              <w:t xml:space="preserve"> </w:t>
            </w:r>
            <w:proofErr w:type="spellStart"/>
            <w:r w:rsidRPr="00F43F5F">
              <w:rPr>
                <w:sz w:val="20"/>
                <w:szCs w:val="20"/>
                <w:lang w:val="en-US"/>
              </w:rPr>
              <w:t>Hawkes</w:t>
            </w:r>
            <w:proofErr w:type="spellEnd"/>
            <w:r w:rsidRPr="00F43F5F">
              <w:rPr>
                <w:sz w:val="20"/>
                <w:szCs w:val="20"/>
                <w:lang w:val="en-US"/>
              </w:rPr>
              <w:t xml:space="preserve"> LLP</w:t>
            </w:r>
          </w:p>
          <w:p w:rsidR="00F43F5F" w:rsidRPr="00F43F5F" w:rsidRDefault="00F43F5F" w:rsidP="00F43F5F">
            <w:pPr>
              <w:tabs>
                <w:tab w:val="left" w:pos="-1440"/>
                <w:tab w:val="left" w:pos="-720"/>
              </w:tabs>
              <w:rPr>
                <w:sz w:val="20"/>
                <w:szCs w:val="20"/>
              </w:rPr>
            </w:pPr>
          </w:p>
          <w:p w:rsidR="00F43F5F" w:rsidRPr="00F43F5F" w:rsidRDefault="00F43F5F" w:rsidP="00F43F5F">
            <w:pPr>
              <w:tabs>
                <w:tab w:val="left" w:pos="-1440"/>
                <w:tab w:val="left" w:pos="-720"/>
              </w:tabs>
              <w:rPr>
                <w:sz w:val="20"/>
                <w:szCs w:val="20"/>
              </w:rPr>
            </w:pPr>
            <w:r w:rsidRPr="00F43F5F">
              <w:rPr>
                <w:sz w:val="20"/>
                <w:szCs w:val="20"/>
              </w:rPr>
              <w:tab/>
              <w:t>v. (34279)</w:t>
            </w:r>
          </w:p>
          <w:p w:rsidR="00F43F5F" w:rsidRPr="00F43F5F" w:rsidRDefault="00F43F5F" w:rsidP="00F43F5F">
            <w:pPr>
              <w:tabs>
                <w:tab w:val="left" w:pos="-1440"/>
                <w:tab w:val="left" w:pos="-720"/>
              </w:tabs>
              <w:rPr>
                <w:sz w:val="20"/>
                <w:szCs w:val="20"/>
              </w:rPr>
            </w:pPr>
          </w:p>
          <w:p w:rsidR="00F43F5F" w:rsidRPr="00F43F5F" w:rsidRDefault="00F43F5F" w:rsidP="00F43F5F">
            <w:pPr>
              <w:tabs>
                <w:tab w:val="left" w:pos="-1440"/>
                <w:tab w:val="left" w:pos="-720"/>
              </w:tabs>
              <w:rPr>
                <w:b/>
                <w:sz w:val="20"/>
                <w:szCs w:val="20"/>
              </w:rPr>
            </w:pPr>
            <w:r w:rsidRPr="00F43F5F">
              <w:rPr>
                <w:b/>
                <w:sz w:val="20"/>
                <w:szCs w:val="20"/>
              </w:rPr>
              <w:t>Leon's Furniture Limited (Alta.)</w:t>
            </w:r>
          </w:p>
          <w:p w:rsidR="00F43F5F" w:rsidRPr="00F43F5F" w:rsidRDefault="00F43F5F" w:rsidP="00F43F5F">
            <w:pPr>
              <w:tabs>
                <w:tab w:val="left" w:pos="-1440"/>
                <w:tab w:val="left" w:pos="-720"/>
              </w:tabs>
              <w:rPr>
                <w:sz w:val="20"/>
                <w:szCs w:val="20"/>
              </w:rPr>
            </w:pPr>
            <w:r w:rsidRPr="00F43F5F">
              <w:rPr>
                <w:sz w:val="20"/>
                <w:szCs w:val="20"/>
              </w:rPr>
              <w:tab/>
              <w:t>Geoff R. Hall</w:t>
            </w:r>
          </w:p>
          <w:p w:rsidR="00F43F5F" w:rsidRPr="00F43F5F" w:rsidRDefault="00F43F5F" w:rsidP="00F43F5F">
            <w:pPr>
              <w:tabs>
                <w:tab w:val="left" w:pos="-1440"/>
                <w:tab w:val="left" w:pos="-720"/>
              </w:tabs>
              <w:rPr>
                <w:sz w:val="20"/>
                <w:szCs w:val="20"/>
              </w:rPr>
            </w:pPr>
            <w:r w:rsidRPr="00F43F5F">
              <w:rPr>
                <w:sz w:val="20"/>
                <w:szCs w:val="20"/>
              </w:rPr>
              <w:tab/>
              <w:t xml:space="preserve">McCarthy </w:t>
            </w:r>
            <w:proofErr w:type="spellStart"/>
            <w:r w:rsidRPr="00F43F5F">
              <w:rPr>
                <w:sz w:val="20"/>
                <w:szCs w:val="20"/>
              </w:rPr>
              <w:t>Tétrault</w:t>
            </w:r>
            <w:proofErr w:type="spellEnd"/>
            <w:r w:rsidRPr="00F43F5F">
              <w:rPr>
                <w:sz w:val="20"/>
                <w:szCs w:val="20"/>
              </w:rPr>
              <w:t xml:space="preserve"> LLP</w:t>
            </w:r>
          </w:p>
          <w:p w:rsidR="00F43F5F" w:rsidRPr="00F43F5F" w:rsidRDefault="00F43F5F" w:rsidP="00F43F5F">
            <w:pPr>
              <w:tabs>
                <w:tab w:val="left" w:pos="-1440"/>
                <w:tab w:val="left" w:pos="-720"/>
              </w:tabs>
              <w:rPr>
                <w:sz w:val="20"/>
                <w:szCs w:val="20"/>
              </w:rPr>
            </w:pPr>
          </w:p>
          <w:p w:rsidR="00F43F5F" w:rsidRPr="00F43F5F" w:rsidRDefault="00F43F5F" w:rsidP="00F43F5F">
            <w:pPr>
              <w:rPr>
                <w:sz w:val="20"/>
                <w:szCs w:val="20"/>
              </w:rPr>
            </w:pPr>
            <w:r w:rsidRPr="00F43F5F">
              <w:rPr>
                <w:sz w:val="20"/>
                <w:szCs w:val="20"/>
              </w:rPr>
              <w:t>FILING DATE: 26.05.2011</w:t>
            </w:r>
          </w:p>
          <w:p w:rsidR="00B8620C" w:rsidRPr="00F43F5F" w:rsidRDefault="00547297" w:rsidP="00F43F5F">
            <w:pPr>
              <w:keepNext/>
              <w:keepLines/>
              <w:tabs>
                <w:tab w:val="left" w:pos="-1440"/>
                <w:tab w:val="left" w:pos="-720"/>
              </w:tabs>
              <w:rPr>
                <w:b/>
                <w:sz w:val="20"/>
                <w:szCs w:val="20"/>
                <w:lang w:val="en-US"/>
              </w:rPr>
            </w:pPr>
            <w:r w:rsidRPr="00547297">
              <w:rPr>
                <w:sz w:val="20"/>
                <w:szCs w:val="20"/>
                <w:lang w:val="fr-CA"/>
              </w:rPr>
              <w:pict>
                <v:rect id="_x0000_i1037" style="width:108pt;height:1pt" o:hrpct="0" o:hralign="center" o:hrstd="t" o:hrnoshade="t" o:hr="t" fillcolor="black [3213]" stroked="f"/>
              </w:pict>
            </w:r>
          </w:p>
        </w:tc>
        <w:tc>
          <w:tcPr>
            <w:tcW w:w="1181" w:type="dxa"/>
            <w:shd w:val="clear" w:color="auto" w:fill="auto"/>
          </w:tcPr>
          <w:p w:rsidR="00B8620C" w:rsidRPr="0092530F" w:rsidRDefault="00B8620C" w:rsidP="00242AEE">
            <w:pPr>
              <w:jc w:val="center"/>
              <w:rPr>
                <w:sz w:val="20"/>
                <w:szCs w:val="20"/>
              </w:rPr>
            </w:pPr>
          </w:p>
        </w:tc>
        <w:tc>
          <w:tcPr>
            <w:tcW w:w="4320" w:type="dxa"/>
            <w:shd w:val="clear" w:color="auto" w:fill="auto"/>
          </w:tcPr>
          <w:p w:rsidR="00B8620C" w:rsidRPr="0092530F" w:rsidRDefault="00B8620C" w:rsidP="00B8620C">
            <w:pPr>
              <w:keepNext/>
              <w:keepLines/>
              <w:tabs>
                <w:tab w:val="left" w:pos="-1440"/>
                <w:tab w:val="left" w:pos="-720"/>
              </w:tabs>
              <w:rPr>
                <w:b/>
                <w:sz w:val="20"/>
                <w:szCs w:val="20"/>
                <w:lang w:val="en-US"/>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C3118F">
          <w:headerReference w:type="default" r:id="rId14"/>
          <w:footerReference w:type="default" r:id="rId15"/>
          <w:headerReference w:type="first" r:id="rId16"/>
          <w:footerReference w:type="first" r:id="rId17"/>
          <w:pgSz w:w="12240" w:h="15840"/>
          <w:pgMar w:top="720" w:right="965" w:bottom="1080" w:left="1656" w:header="706" w:footer="706" w:gutter="0"/>
          <w:pgNumType w:start="96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2D1834"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C50A5C" w:rsidRDefault="00AE2056" w:rsidP="003359D3">
      <w:pPr>
        <w:widowControl w:val="0"/>
        <w:rPr>
          <w:b/>
          <w:sz w:val="20"/>
          <w:szCs w:val="20"/>
        </w:rPr>
      </w:pPr>
      <w:r>
        <w:rPr>
          <w:b/>
          <w:sz w:val="20"/>
          <w:szCs w:val="20"/>
        </w:rPr>
        <w:t>J</w:t>
      </w:r>
      <w:r w:rsidR="00771544">
        <w:rPr>
          <w:b/>
          <w:sz w:val="20"/>
          <w:szCs w:val="20"/>
        </w:rPr>
        <w:t>UNE</w:t>
      </w:r>
      <w:r>
        <w:rPr>
          <w:b/>
          <w:sz w:val="20"/>
          <w:szCs w:val="20"/>
        </w:rPr>
        <w:t xml:space="preserve"> 20</w:t>
      </w:r>
      <w:r w:rsidR="003359D3" w:rsidRPr="00C50A5C">
        <w:rPr>
          <w:b/>
          <w:sz w:val="20"/>
          <w:szCs w:val="20"/>
        </w:rPr>
        <w:t>, 201</w:t>
      </w:r>
      <w:r w:rsidR="003359D3">
        <w:rPr>
          <w:b/>
          <w:sz w:val="20"/>
          <w:szCs w:val="20"/>
        </w:rPr>
        <w:t>1</w:t>
      </w:r>
      <w:r w:rsidR="003359D3" w:rsidRPr="00C50A5C">
        <w:rPr>
          <w:b/>
          <w:sz w:val="20"/>
          <w:szCs w:val="20"/>
        </w:rPr>
        <w:t xml:space="preserve"> / LE </w:t>
      </w:r>
      <w:r>
        <w:rPr>
          <w:b/>
          <w:sz w:val="20"/>
          <w:szCs w:val="20"/>
        </w:rPr>
        <w:t>20</w:t>
      </w:r>
      <w:r w:rsidR="003359D3" w:rsidRPr="00C50A5C">
        <w:rPr>
          <w:b/>
          <w:sz w:val="20"/>
          <w:szCs w:val="20"/>
        </w:rPr>
        <w:t xml:space="preserve"> </w:t>
      </w:r>
      <w:r>
        <w:rPr>
          <w:b/>
          <w:sz w:val="20"/>
          <w:szCs w:val="20"/>
        </w:rPr>
        <w:t xml:space="preserve">JUIN </w:t>
      </w:r>
      <w:r w:rsidR="003359D3" w:rsidRPr="00C50A5C">
        <w:rPr>
          <w:b/>
          <w:sz w:val="20"/>
          <w:szCs w:val="20"/>
        </w:rPr>
        <w:t>201</w:t>
      </w:r>
      <w:r w:rsidR="003359D3">
        <w:rPr>
          <w:b/>
          <w:sz w:val="20"/>
          <w:szCs w:val="20"/>
        </w:rPr>
        <w:t>1</w:t>
      </w:r>
    </w:p>
    <w:p w:rsidR="003359D3" w:rsidRPr="00C50A5C" w:rsidRDefault="003359D3" w:rsidP="003359D3">
      <w:pPr>
        <w:widowControl w:val="0"/>
        <w:rPr>
          <w:b/>
          <w:sz w:val="20"/>
          <w:szCs w:val="20"/>
        </w:rPr>
      </w:pPr>
    </w:p>
    <w:p w:rsidR="003359D3" w:rsidRPr="00C50A5C" w:rsidRDefault="003359D3" w:rsidP="003359D3">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Pr>
          <w:b/>
          <w:sz w:val="20"/>
          <w:szCs w:val="20"/>
        </w:rPr>
        <w:t>Deschamps</w:t>
      </w:r>
      <w:proofErr w:type="spellEnd"/>
      <w:r w:rsidRPr="00C50A5C">
        <w:rPr>
          <w:b/>
          <w:sz w:val="20"/>
          <w:szCs w:val="20"/>
        </w:rPr>
        <w:t xml:space="preserve"> and </w:t>
      </w:r>
      <w:proofErr w:type="spellStart"/>
      <w:r w:rsidRPr="00C50A5C">
        <w:rPr>
          <w:b/>
          <w:sz w:val="20"/>
          <w:szCs w:val="20"/>
        </w:rPr>
        <w:t>C</w:t>
      </w:r>
      <w:r>
        <w:rPr>
          <w:b/>
          <w:sz w:val="20"/>
          <w:szCs w:val="20"/>
        </w:rPr>
        <w:t>har</w:t>
      </w:r>
      <w:r w:rsidRPr="00C50A5C">
        <w:rPr>
          <w:b/>
          <w:sz w:val="20"/>
          <w:szCs w:val="20"/>
        </w:rPr>
        <w:t>ro</w:t>
      </w:r>
      <w:r>
        <w:rPr>
          <w:b/>
          <w:sz w:val="20"/>
          <w:szCs w:val="20"/>
        </w:rPr>
        <w:t>n</w:t>
      </w:r>
      <w:proofErr w:type="spellEnd"/>
      <w:r w:rsidRPr="00C50A5C">
        <w:rPr>
          <w:b/>
          <w:sz w:val="20"/>
          <w:szCs w:val="20"/>
        </w:rPr>
        <w:t xml:space="preserve"> JJ.</w:t>
      </w:r>
    </w:p>
    <w:p w:rsidR="003359D3" w:rsidRPr="00C50A5C" w:rsidRDefault="003359D3" w:rsidP="003359D3">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r>
        <w:rPr>
          <w:b/>
          <w:sz w:val="20"/>
          <w:szCs w:val="20"/>
          <w:lang w:val="fr-CA"/>
        </w:rPr>
        <w:t>Deschamps</w:t>
      </w:r>
      <w:r w:rsidRPr="00C50A5C">
        <w:rPr>
          <w:b/>
          <w:sz w:val="20"/>
          <w:szCs w:val="20"/>
          <w:lang w:val="fr-CA"/>
        </w:rPr>
        <w:t xml:space="preserve"> et C</w:t>
      </w:r>
      <w:r>
        <w:rPr>
          <w:b/>
          <w:sz w:val="20"/>
          <w:szCs w:val="20"/>
          <w:lang w:val="fr-CA"/>
        </w:rPr>
        <w:t>har</w:t>
      </w:r>
      <w:r w:rsidRPr="00C50A5C">
        <w:rPr>
          <w:b/>
          <w:sz w:val="20"/>
          <w:szCs w:val="20"/>
          <w:lang w:val="fr-CA"/>
        </w:rPr>
        <w:t>ro</w:t>
      </w:r>
      <w:r>
        <w:rPr>
          <w:b/>
          <w:sz w:val="20"/>
          <w:szCs w:val="20"/>
          <w:lang w:val="fr-CA"/>
        </w:rPr>
        <w:t>n</w:t>
      </w:r>
    </w:p>
    <w:p w:rsidR="003359D3" w:rsidRPr="00C50A5C" w:rsidRDefault="003359D3" w:rsidP="003359D3">
      <w:pPr>
        <w:widowControl w:val="0"/>
        <w:rPr>
          <w:sz w:val="20"/>
          <w:szCs w:val="20"/>
          <w:lang w:val="fr-CA"/>
        </w:rPr>
      </w:pPr>
    </w:p>
    <w:p w:rsidR="00AE2056" w:rsidRPr="00AE2056" w:rsidRDefault="00AE2056" w:rsidP="00AE2056">
      <w:pPr>
        <w:pStyle w:val="SCCAppellantInfoAppellantInfo"/>
        <w:numPr>
          <w:ilvl w:val="0"/>
          <w:numId w:val="2"/>
        </w:numPr>
        <w:ind w:hanging="720"/>
        <w:rPr>
          <w:sz w:val="20"/>
          <w:szCs w:val="20"/>
        </w:rPr>
      </w:pPr>
      <w:r w:rsidRPr="00AE2056">
        <w:rPr>
          <w:i/>
          <w:sz w:val="20"/>
          <w:szCs w:val="20"/>
        </w:rPr>
        <w:t xml:space="preserve">Brook </w:t>
      </w:r>
      <w:proofErr w:type="spellStart"/>
      <w:r w:rsidRPr="00AE2056">
        <w:rPr>
          <w:i/>
          <w:sz w:val="20"/>
          <w:szCs w:val="20"/>
        </w:rPr>
        <w:t>Makara</w:t>
      </w:r>
      <w:proofErr w:type="spellEnd"/>
      <w:r w:rsidRPr="00AE2056">
        <w:rPr>
          <w:i/>
          <w:sz w:val="20"/>
          <w:szCs w:val="20"/>
        </w:rPr>
        <w:t xml:space="preserve"> v. Her Majesty the Queen</w:t>
      </w:r>
      <w:r w:rsidRPr="00AE2056">
        <w:rPr>
          <w:sz w:val="20"/>
          <w:szCs w:val="20"/>
        </w:rPr>
        <w:t xml:space="preserve"> (Que.) (Crim</w:t>
      </w:r>
      <w:r w:rsidR="00771544">
        <w:rPr>
          <w:sz w:val="20"/>
          <w:szCs w:val="20"/>
        </w:rPr>
        <w:t>.</w:t>
      </w:r>
      <w:r w:rsidRPr="00AE2056">
        <w:rPr>
          <w:sz w:val="20"/>
          <w:szCs w:val="20"/>
        </w:rPr>
        <w:t>) (By Leave) (34134)</w:t>
      </w:r>
    </w:p>
    <w:p w:rsidR="00AE2056" w:rsidRDefault="00AE2056" w:rsidP="00AE2056">
      <w:pPr>
        <w:pStyle w:val="SCCAppellantInfoAppellantInfo"/>
        <w:ind w:left="720" w:hanging="720"/>
        <w:rPr>
          <w:i/>
          <w:sz w:val="20"/>
          <w:szCs w:val="20"/>
        </w:rPr>
      </w:pPr>
    </w:p>
    <w:p w:rsidR="00AE2056" w:rsidRPr="00AE2056" w:rsidRDefault="00AE2056" w:rsidP="00AE2056">
      <w:pPr>
        <w:pStyle w:val="SCCAppellantInfoAppellantInfo"/>
        <w:numPr>
          <w:ilvl w:val="0"/>
          <w:numId w:val="2"/>
        </w:numPr>
        <w:ind w:hanging="720"/>
        <w:rPr>
          <w:sz w:val="20"/>
          <w:szCs w:val="20"/>
        </w:rPr>
      </w:pPr>
      <w:r w:rsidRPr="00AE2056">
        <w:rPr>
          <w:i/>
          <w:sz w:val="20"/>
          <w:szCs w:val="20"/>
        </w:rPr>
        <w:t>Edward R. Currie v. Her Majesty the Queen</w:t>
      </w:r>
      <w:r w:rsidRPr="00AE2056">
        <w:rPr>
          <w:sz w:val="20"/>
          <w:szCs w:val="20"/>
        </w:rPr>
        <w:t xml:space="preserve"> (Alta.) (Crim</w:t>
      </w:r>
      <w:r w:rsidR="00771544">
        <w:rPr>
          <w:sz w:val="20"/>
          <w:szCs w:val="20"/>
        </w:rPr>
        <w:t>.</w:t>
      </w:r>
      <w:r w:rsidRPr="00AE2056">
        <w:rPr>
          <w:sz w:val="20"/>
          <w:szCs w:val="20"/>
        </w:rPr>
        <w:t>) (By Leave) (34262)</w:t>
      </w:r>
    </w:p>
    <w:p w:rsidR="003359D3" w:rsidRDefault="003359D3" w:rsidP="003359D3">
      <w:pPr>
        <w:widowControl w:val="0"/>
        <w:jc w:val="both"/>
        <w:rPr>
          <w:sz w:val="20"/>
          <w:szCs w:val="20"/>
        </w:rPr>
      </w:pPr>
    </w:p>
    <w:p w:rsidR="003359D3" w:rsidRDefault="003359D3" w:rsidP="003359D3">
      <w:pPr>
        <w:widowControl w:val="0"/>
        <w:jc w:val="both"/>
        <w:rPr>
          <w:sz w:val="20"/>
          <w:szCs w:val="20"/>
        </w:rPr>
      </w:pPr>
    </w:p>
    <w:p w:rsidR="003359D3" w:rsidRPr="00C50A5C" w:rsidRDefault="003359D3" w:rsidP="003359D3">
      <w:pPr>
        <w:widowControl w:val="0"/>
        <w:jc w:val="center"/>
        <w:rPr>
          <w:b/>
          <w:sz w:val="20"/>
          <w:szCs w:val="20"/>
        </w:rPr>
      </w:pPr>
      <w:r w:rsidRPr="00C50A5C">
        <w:rPr>
          <w:b/>
          <w:sz w:val="20"/>
          <w:szCs w:val="20"/>
        </w:rPr>
        <w:t xml:space="preserve">CORAM: </w:t>
      </w:r>
      <w:proofErr w:type="spellStart"/>
      <w:r w:rsidRPr="00C50A5C">
        <w:rPr>
          <w:b/>
          <w:sz w:val="20"/>
          <w:szCs w:val="20"/>
        </w:rPr>
        <w:t>Binnie</w:t>
      </w:r>
      <w:proofErr w:type="spellEnd"/>
      <w:r w:rsidRPr="00C50A5C">
        <w:rPr>
          <w:b/>
          <w:sz w:val="20"/>
          <w:szCs w:val="20"/>
        </w:rPr>
        <w:t xml:space="preserve">, </w:t>
      </w:r>
      <w:proofErr w:type="spellStart"/>
      <w:r>
        <w:rPr>
          <w:b/>
          <w:sz w:val="20"/>
          <w:szCs w:val="20"/>
        </w:rPr>
        <w:t>Abella</w:t>
      </w:r>
      <w:proofErr w:type="spellEnd"/>
      <w:r w:rsidRPr="00C50A5C">
        <w:rPr>
          <w:b/>
          <w:sz w:val="20"/>
          <w:szCs w:val="20"/>
        </w:rPr>
        <w:t xml:space="preserve"> and Rothstein JJ.</w:t>
      </w:r>
    </w:p>
    <w:p w:rsidR="003359D3" w:rsidRPr="00C50A5C" w:rsidRDefault="003359D3" w:rsidP="003359D3">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Binnie</w:t>
      </w:r>
      <w:proofErr w:type="spellEnd"/>
      <w:r w:rsidRPr="00C50A5C">
        <w:rPr>
          <w:b/>
          <w:sz w:val="20"/>
          <w:szCs w:val="20"/>
          <w:lang w:val="fr-CA"/>
        </w:rPr>
        <w:t xml:space="preserve">, </w:t>
      </w:r>
      <w:r>
        <w:rPr>
          <w:b/>
          <w:sz w:val="20"/>
          <w:szCs w:val="20"/>
          <w:lang w:val="fr-CA"/>
        </w:rPr>
        <w:t>Abella</w:t>
      </w:r>
      <w:r w:rsidRPr="00C50A5C">
        <w:rPr>
          <w:b/>
          <w:sz w:val="20"/>
          <w:szCs w:val="20"/>
          <w:lang w:val="fr-CA"/>
        </w:rPr>
        <w:t xml:space="preserve"> et </w:t>
      </w:r>
      <w:proofErr w:type="spellStart"/>
      <w:r w:rsidRPr="00C50A5C">
        <w:rPr>
          <w:b/>
          <w:sz w:val="20"/>
          <w:szCs w:val="20"/>
          <w:lang w:val="fr-CA"/>
        </w:rPr>
        <w:t>Rothstein</w:t>
      </w:r>
      <w:proofErr w:type="spellEnd"/>
    </w:p>
    <w:p w:rsidR="003359D3" w:rsidRDefault="003359D3" w:rsidP="003359D3">
      <w:pPr>
        <w:widowControl w:val="0"/>
        <w:jc w:val="both"/>
        <w:rPr>
          <w:sz w:val="20"/>
          <w:szCs w:val="20"/>
          <w:lang w:val="fr-CA"/>
        </w:rPr>
      </w:pPr>
    </w:p>
    <w:p w:rsidR="00AE2056" w:rsidRPr="00AE2056" w:rsidRDefault="00AE2056" w:rsidP="00AE2056">
      <w:pPr>
        <w:pStyle w:val="SCCAppellantInfoAppellantInfo"/>
        <w:numPr>
          <w:ilvl w:val="0"/>
          <w:numId w:val="2"/>
        </w:numPr>
        <w:ind w:hanging="720"/>
        <w:rPr>
          <w:i/>
          <w:sz w:val="20"/>
          <w:szCs w:val="20"/>
        </w:rPr>
      </w:pPr>
      <w:r w:rsidRPr="00AE2056">
        <w:rPr>
          <w:i/>
          <w:sz w:val="20"/>
          <w:szCs w:val="20"/>
        </w:rPr>
        <w:t xml:space="preserve">Robert </w:t>
      </w:r>
      <w:proofErr w:type="spellStart"/>
      <w:r w:rsidRPr="00AE2056">
        <w:rPr>
          <w:i/>
          <w:sz w:val="20"/>
          <w:szCs w:val="20"/>
        </w:rPr>
        <w:t>Bilich</w:t>
      </w:r>
      <w:proofErr w:type="spellEnd"/>
      <w:r w:rsidRPr="00AE2056">
        <w:rPr>
          <w:i/>
          <w:sz w:val="20"/>
          <w:szCs w:val="20"/>
        </w:rPr>
        <w:t xml:space="preserve"> v. Her Majesty the Queen </w:t>
      </w:r>
      <w:r w:rsidRPr="003E5FDC">
        <w:rPr>
          <w:sz w:val="20"/>
          <w:szCs w:val="20"/>
        </w:rPr>
        <w:t>(Ont.) (Crim</w:t>
      </w:r>
      <w:r w:rsidR="00771544">
        <w:rPr>
          <w:sz w:val="20"/>
          <w:szCs w:val="20"/>
        </w:rPr>
        <w:t>.</w:t>
      </w:r>
      <w:r w:rsidRPr="003E5FDC">
        <w:rPr>
          <w:sz w:val="20"/>
          <w:szCs w:val="20"/>
        </w:rPr>
        <w:t>) (By Leave) (34156)</w:t>
      </w:r>
    </w:p>
    <w:p w:rsidR="00AE2056" w:rsidRPr="00AE2056" w:rsidRDefault="00AE2056" w:rsidP="003359D3">
      <w:pPr>
        <w:widowControl w:val="0"/>
        <w:jc w:val="both"/>
        <w:rPr>
          <w:sz w:val="20"/>
          <w:szCs w:val="20"/>
          <w:lang w:val="en-US"/>
        </w:rPr>
      </w:pPr>
    </w:p>
    <w:p w:rsidR="00AE2056" w:rsidRPr="00AE2056" w:rsidRDefault="00AE2056" w:rsidP="003359D3">
      <w:pPr>
        <w:widowControl w:val="0"/>
        <w:jc w:val="both"/>
        <w:rPr>
          <w:sz w:val="20"/>
          <w:szCs w:val="20"/>
          <w:lang w:val="en-US"/>
        </w:rPr>
      </w:pPr>
    </w:p>
    <w:p w:rsidR="003359D3" w:rsidRPr="00C50A5C" w:rsidRDefault="003359D3" w:rsidP="003359D3">
      <w:pPr>
        <w:widowControl w:val="0"/>
        <w:jc w:val="center"/>
        <w:rPr>
          <w:b/>
          <w:sz w:val="20"/>
          <w:szCs w:val="20"/>
        </w:rPr>
      </w:pPr>
      <w:r w:rsidRPr="00C50A5C">
        <w:rPr>
          <w:b/>
          <w:sz w:val="20"/>
          <w:szCs w:val="20"/>
        </w:rPr>
        <w:t xml:space="preserve">CORAM: </w:t>
      </w:r>
      <w:proofErr w:type="spellStart"/>
      <w:r w:rsidRPr="00C50A5C">
        <w:rPr>
          <w:b/>
          <w:sz w:val="20"/>
          <w:szCs w:val="20"/>
        </w:rPr>
        <w:t>LeBel</w:t>
      </w:r>
      <w:proofErr w:type="spellEnd"/>
      <w:r w:rsidRPr="00C50A5C">
        <w:rPr>
          <w:b/>
          <w:sz w:val="20"/>
          <w:szCs w:val="20"/>
        </w:rPr>
        <w:t xml:space="preserve">,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3359D3" w:rsidRPr="00C50A5C" w:rsidRDefault="003359D3" w:rsidP="003359D3">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LeBel</w:t>
      </w:r>
      <w:proofErr w:type="spellEnd"/>
      <w:r w:rsidRPr="00C50A5C">
        <w:rPr>
          <w:b/>
          <w:sz w:val="20"/>
          <w:szCs w:val="20"/>
          <w:lang w:val="fr-CA"/>
        </w:rPr>
        <w:t xml:space="preserve">, </w:t>
      </w:r>
      <w:r>
        <w:rPr>
          <w:b/>
          <w:sz w:val="20"/>
          <w:szCs w:val="20"/>
          <w:lang w:val="fr-CA"/>
        </w:rPr>
        <w:t>Fish</w:t>
      </w:r>
      <w:r w:rsidRPr="00C50A5C">
        <w:rPr>
          <w:b/>
          <w:sz w:val="20"/>
          <w:szCs w:val="20"/>
          <w:lang w:val="fr-CA"/>
        </w:rPr>
        <w:t xml:space="preserve"> et Cro</w:t>
      </w:r>
      <w:r>
        <w:rPr>
          <w:b/>
          <w:sz w:val="20"/>
          <w:szCs w:val="20"/>
          <w:lang w:val="fr-CA"/>
        </w:rPr>
        <w:t>mwell</w:t>
      </w:r>
    </w:p>
    <w:p w:rsidR="003359D3" w:rsidRPr="003E5FDC" w:rsidRDefault="003359D3" w:rsidP="003359D3">
      <w:pPr>
        <w:widowControl w:val="0"/>
        <w:jc w:val="both"/>
        <w:rPr>
          <w:sz w:val="20"/>
          <w:szCs w:val="20"/>
          <w:lang w:val="fr-CA"/>
        </w:rPr>
      </w:pPr>
    </w:p>
    <w:p w:rsidR="00AE2056" w:rsidRPr="003E5FDC" w:rsidRDefault="00AE2056" w:rsidP="003E5FDC">
      <w:pPr>
        <w:pStyle w:val="SCCAppellantInfoAppellantInfo"/>
        <w:numPr>
          <w:ilvl w:val="0"/>
          <w:numId w:val="2"/>
        </w:numPr>
        <w:ind w:hanging="720"/>
        <w:rPr>
          <w:sz w:val="20"/>
          <w:szCs w:val="20"/>
        </w:rPr>
      </w:pPr>
      <w:r w:rsidRPr="003E5FDC">
        <w:rPr>
          <w:i/>
          <w:sz w:val="20"/>
          <w:szCs w:val="20"/>
        </w:rPr>
        <w:t xml:space="preserve">A.B. by her Litigation Guardian, C.D. v. Bragg Communications Incorporated, a body corporate et al. </w:t>
      </w:r>
      <w:r w:rsidRPr="003E5FDC">
        <w:rPr>
          <w:sz w:val="20"/>
          <w:szCs w:val="20"/>
        </w:rPr>
        <w:t>(N.S.) (Civil) (By Leave) (34240)</w:t>
      </w:r>
    </w:p>
    <w:p w:rsidR="003E5FDC" w:rsidRPr="003E5FDC" w:rsidRDefault="003E5FDC" w:rsidP="003E5FDC">
      <w:pPr>
        <w:rPr>
          <w:sz w:val="20"/>
          <w:szCs w:val="20"/>
        </w:rPr>
      </w:pPr>
    </w:p>
    <w:p w:rsidR="00AE2056" w:rsidRPr="003E5FDC" w:rsidRDefault="00AE2056" w:rsidP="003E5FDC">
      <w:pPr>
        <w:pStyle w:val="SCCAppellantInfoAppellantInfo"/>
        <w:numPr>
          <w:ilvl w:val="0"/>
          <w:numId w:val="2"/>
        </w:numPr>
        <w:ind w:hanging="720"/>
        <w:rPr>
          <w:sz w:val="20"/>
          <w:szCs w:val="20"/>
          <w:lang w:val="fr-CA"/>
        </w:rPr>
      </w:pPr>
      <w:r w:rsidRPr="003E5FDC">
        <w:rPr>
          <w:i/>
          <w:sz w:val="20"/>
          <w:szCs w:val="20"/>
          <w:lang w:val="fr-CA"/>
        </w:rPr>
        <w:t xml:space="preserve">Jacques Marquis c. Conseil d'arbitrage des comptes des avocats du Barreau du Québec </w:t>
      </w:r>
      <w:r w:rsidRPr="003E5FDC">
        <w:rPr>
          <w:sz w:val="20"/>
          <w:szCs w:val="20"/>
          <w:lang w:val="fr-CA"/>
        </w:rPr>
        <w:t>(</w:t>
      </w:r>
      <w:proofErr w:type="spellStart"/>
      <w:r w:rsidRPr="003E5FDC">
        <w:rPr>
          <w:sz w:val="20"/>
          <w:szCs w:val="20"/>
          <w:lang w:val="fr-CA"/>
        </w:rPr>
        <w:t>Qc</w:t>
      </w:r>
      <w:proofErr w:type="spellEnd"/>
      <w:r w:rsidRPr="003E5FDC">
        <w:rPr>
          <w:sz w:val="20"/>
          <w:szCs w:val="20"/>
          <w:lang w:val="fr-CA"/>
        </w:rPr>
        <w:t>) (Civile) (Autorisation) (34174)</w:t>
      </w:r>
    </w:p>
    <w:p w:rsidR="003E5FDC" w:rsidRPr="003E5FDC" w:rsidRDefault="003E5FDC" w:rsidP="003E5FDC">
      <w:pPr>
        <w:rPr>
          <w:sz w:val="20"/>
          <w:szCs w:val="20"/>
          <w:lang w:val="fr-CA"/>
        </w:rPr>
      </w:pPr>
    </w:p>
    <w:p w:rsidR="003E5FDC" w:rsidRPr="003E5FDC" w:rsidRDefault="003E5FDC" w:rsidP="003E5FDC">
      <w:pPr>
        <w:pStyle w:val="SCCAppellantInfoAppellantInfo"/>
        <w:numPr>
          <w:ilvl w:val="0"/>
          <w:numId w:val="2"/>
        </w:numPr>
        <w:ind w:hanging="720"/>
        <w:rPr>
          <w:sz w:val="20"/>
          <w:szCs w:val="20"/>
          <w:lang w:val="fr-CA"/>
        </w:rPr>
      </w:pPr>
      <w:proofErr w:type="spellStart"/>
      <w:r w:rsidRPr="005756A5">
        <w:rPr>
          <w:i/>
          <w:sz w:val="20"/>
          <w:szCs w:val="20"/>
          <w:lang w:val="en-US"/>
        </w:rPr>
        <w:t>Farid</w:t>
      </w:r>
      <w:proofErr w:type="spellEnd"/>
      <w:r w:rsidRPr="005756A5">
        <w:rPr>
          <w:i/>
          <w:sz w:val="20"/>
          <w:szCs w:val="20"/>
          <w:lang w:val="en-US"/>
        </w:rPr>
        <w:t xml:space="preserve"> </w:t>
      </w:r>
      <w:proofErr w:type="spellStart"/>
      <w:r w:rsidRPr="005756A5">
        <w:rPr>
          <w:i/>
          <w:sz w:val="20"/>
          <w:szCs w:val="20"/>
          <w:lang w:val="en-US"/>
        </w:rPr>
        <w:t>Kattous</w:t>
      </w:r>
      <w:proofErr w:type="spellEnd"/>
      <w:r w:rsidRPr="005756A5">
        <w:rPr>
          <w:i/>
          <w:sz w:val="20"/>
          <w:szCs w:val="20"/>
          <w:lang w:val="en-US"/>
        </w:rPr>
        <w:t xml:space="preserve"> c. Amex Canada Inc. </w:t>
      </w:r>
      <w:r w:rsidRPr="003E5FDC">
        <w:rPr>
          <w:sz w:val="20"/>
          <w:szCs w:val="20"/>
          <w:lang w:val="fr-CA"/>
        </w:rPr>
        <w:t>(</w:t>
      </w:r>
      <w:proofErr w:type="spellStart"/>
      <w:r w:rsidRPr="003E5FDC">
        <w:rPr>
          <w:sz w:val="20"/>
          <w:szCs w:val="20"/>
          <w:lang w:val="fr-CA"/>
        </w:rPr>
        <w:t>Qc</w:t>
      </w:r>
      <w:proofErr w:type="spellEnd"/>
      <w:r w:rsidRPr="003E5FDC">
        <w:rPr>
          <w:sz w:val="20"/>
          <w:szCs w:val="20"/>
          <w:lang w:val="fr-CA"/>
        </w:rPr>
        <w:t>) (Civile) (Autorisation) (34127)</w:t>
      </w:r>
    </w:p>
    <w:p w:rsidR="00AE2056" w:rsidRPr="003E5FDC" w:rsidRDefault="00AE2056" w:rsidP="003359D3">
      <w:pPr>
        <w:widowControl w:val="0"/>
        <w:jc w:val="both"/>
        <w:rPr>
          <w:sz w:val="20"/>
          <w:szCs w:val="20"/>
          <w:lang w:val="fr-CA"/>
        </w:rPr>
      </w:pPr>
    </w:p>
    <w:p w:rsidR="002E2327" w:rsidRPr="00C50A5C" w:rsidRDefault="00547297" w:rsidP="002E2327">
      <w:pPr>
        <w:widowControl w:val="0"/>
        <w:rPr>
          <w:sz w:val="20"/>
          <w:szCs w:val="20"/>
        </w:rPr>
      </w:pPr>
      <w:r w:rsidRPr="00547297">
        <w:rPr>
          <w:sz w:val="20"/>
          <w:szCs w:val="20"/>
        </w:rPr>
        <w:pict>
          <v:rect id="_x0000_i1040"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2D1834"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384D4D" w:rsidP="008D292F">
      <w:pPr>
        <w:rPr>
          <w:b/>
          <w:sz w:val="20"/>
          <w:szCs w:val="20"/>
        </w:rPr>
      </w:pPr>
      <w:r>
        <w:rPr>
          <w:b/>
          <w:sz w:val="20"/>
          <w:szCs w:val="20"/>
        </w:rPr>
        <w:t>JUNE</w:t>
      </w:r>
      <w:r w:rsidR="008D292F" w:rsidRPr="00C50A5C">
        <w:rPr>
          <w:b/>
          <w:sz w:val="20"/>
          <w:szCs w:val="20"/>
        </w:rPr>
        <w:t xml:space="preserve"> 2</w:t>
      </w:r>
      <w:r w:rsidR="00361C1F">
        <w:rPr>
          <w:b/>
          <w:sz w:val="20"/>
          <w:szCs w:val="20"/>
        </w:rPr>
        <w:t>3</w:t>
      </w:r>
      <w:r w:rsidR="008D292F" w:rsidRPr="00C50A5C">
        <w:rPr>
          <w:b/>
          <w:sz w:val="20"/>
          <w:szCs w:val="20"/>
        </w:rPr>
        <w:t>, 201</w:t>
      </w:r>
      <w:r>
        <w:rPr>
          <w:b/>
          <w:sz w:val="20"/>
          <w:szCs w:val="20"/>
        </w:rPr>
        <w:t>1</w:t>
      </w:r>
      <w:r w:rsidR="008D292F" w:rsidRPr="00C50A5C">
        <w:rPr>
          <w:b/>
          <w:sz w:val="20"/>
          <w:szCs w:val="20"/>
        </w:rPr>
        <w:t xml:space="preserve"> / LE 2</w:t>
      </w:r>
      <w:r w:rsidR="00361C1F">
        <w:rPr>
          <w:b/>
          <w:sz w:val="20"/>
          <w:szCs w:val="20"/>
        </w:rPr>
        <w:t>3</w:t>
      </w:r>
      <w:r w:rsidR="008D292F" w:rsidRPr="00C50A5C">
        <w:rPr>
          <w:b/>
          <w:sz w:val="20"/>
          <w:szCs w:val="20"/>
        </w:rPr>
        <w:t xml:space="preserve"> </w:t>
      </w:r>
      <w:r>
        <w:rPr>
          <w:b/>
          <w:sz w:val="20"/>
          <w:szCs w:val="20"/>
        </w:rPr>
        <w:t>JUIN</w:t>
      </w:r>
      <w:r w:rsidR="008D292F" w:rsidRPr="00C50A5C">
        <w:rPr>
          <w:b/>
          <w:sz w:val="20"/>
          <w:szCs w:val="20"/>
        </w:rPr>
        <w:t xml:space="preserve"> 201</w:t>
      </w:r>
      <w:r>
        <w:rPr>
          <w:b/>
          <w:sz w:val="20"/>
          <w:szCs w:val="20"/>
        </w:rPr>
        <w:t>1</w:t>
      </w:r>
    </w:p>
    <w:p w:rsidR="008D292F" w:rsidRDefault="008D292F" w:rsidP="008D292F">
      <w:pPr>
        <w:rPr>
          <w:b/>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0352D" w:rsidRPr="00A52AF7" w:rsidTr="007477AD">
        <w:trPr>
          <w:cantSplit/>
        </w:trPr>
        <w:tc>
          <w:tcPr>
            <w:tcW w:w="1458" w:type="dxa"/>
          </w:tcPr>
          <w:p w:rsidR="0020352D" w:rsidRPr="00A52AF7" w:rsidRDefault="0020352D" w:rsidP="007477AD">
            <w:pPr>
              <w:rPr>
                <w:sz w:val="20"/>
                <w:szCs w:val="20"/>
              </w:rPr>
            </w:pPr>
            <w:r w:rsidRPr="00A52AF7">
              <w:rPr>
                <w:rStyle w:val="SCCFileNumberChar"/>
                <w:sz w:val="20"/>
                <w:szCs w:val="20"/>
              </w:rPr>
              <w:t>3405</w:t>
            </w:r>
            <w:r>
              <w:rPr>
                <w:rStyle w:val="SCCFileNumberChar"/>
                <w:sz w:val="20"/>
                <w:szCs w:val="20"/>
              </w:rPr>
              <w:t>6</w:t>
            </w:r>
          </w:p>
          <w:p w:rsidR="0020352D" w:rsidRPr="00A52AF7" w:rsidRDefault="0020352D" w:rsidP="007477AD">
            <w:pPr>
              <w:rPr>
                <w:b/>
                <w:sz w:val="20"/>
                <w:szCs w:val="20"/>
                <w:lang w:val="fr-CA"/>
              </w:rPr>
            </w:pPr>
          </w:p>
        </w:tc>
        <w:tc>
          <w:tcPr>
            <w:tcW w:w="8118" w:type="dxa"/>
          </w:tcPr>
          <w:p w:rsidR="0020352D" w:rsidRPr="00A52AF7" w:rsidRDefault="0020352D" w:rsidP="0020352D">
            <w:pPr>
              <w:rPr>
                <w:rFonts w:eastAsia="Calibri"/>
                <w:sz w:val="20"/>
              </w:rPr>
            </w:pPr>
            <w:proofErr w:type="spellStart"/>
            <w:r w:rsidRPr="00A52AF7">
              <w:rPr>
                <w:rStyle w:val="SCCLsocChar"/>
                <w:rFonts w:eastAsia="Calibri"/>
                <w:sz w:val="20"/>
                <w:szCs w:val="22"/>
                <w:lang w:val="en-CA"/>
              </w:rPr>
              <w:t>St.Michael</w:t>
            </w:r>
            <w:proofErr w:type="spellEnd"/>
            <w:r w:rsidRPr="00A52AF7">
              <w:rPr>
                <w:rStyle w:val="SCCLsocChar"/>
                <w:rFonts w:eastAsia="Calibri"/>
                <w:sz w:val="20"/>
                <w:szCs w:val="22"/>
                <w:lang w:val="en-CA"/>
              </w:rPr>
              <w:t xml:space="preserve"> Trust Corp., as Trustee of the Fundy Settlement v. Her Majesty the Queen</w:t>
            </w:r>
            <w:r w:rsidRPr="00A52AF7">
              <w:rPr>
                <w:rFonts w:eastAsia="Calibri"/>
                <w:b/>
                <w:sz w:val="20"/>
              </w:rPr>
              <w:t xml:space="preserve"> </w:t>
            </w:r>
            <w:r w:rsidRPr="00A52AF7">
              <w:rPr>
                <w:rFonts w:eastAsia="Calibri"/>
                <w:sz w:val="20"/>
              </w:rPr>
              <w:t>(F</w:t>
            </w:r>
            <w:r>
              <w:rPr>
                <w:rFonts w:eastAsia="Calibri"/>
                <w:sz w:val="20"/>
              </w:rPr>
              <w:t>.</w:t>
            </w:r>
            <w:r w:rsidRPr="00A52AF7">
              <w:rPr>
                <w:rFonts w:eastAsia="Calibri"/>
                <w:sz w:val="20"/>
              </w:rPr>
              <w:t>C</w:t>
            </w:r>
            <w:r>
              <w:rPr>
                <w:rFonts w:eastAsia="Calibri"/>
                <w:sz w:val="20"/>
              </w:rPr>
              <w:t>.</w:t>
            </w:r>
            <w:r w:rsidRPr="00A52AF7">
              <w:rPr>
                <w:rFonts w:eastAsia="Calibri"/>
                <w:sz w:val="20"/>
              </w:rPr>
              <w:t>) (Civil) (By Leave)</w:t>
            </w:r>
          </w:p>
          <w:p w:rsidR="0020352D" w:rsidRPr="00A52AF7" w:rsidRDefault="0020352D" w:rsidP="007477AD">
            <w:pPr>
              <w:rPr>
                <w:sz w:val="20"/>
                <w:szCs w:val="20"/>
              </w:rPr>
            </w:pPr>
          </w:p>
        </w:tc>
      </w:tr>
      <w:tr w:rsidR="0020352D" w:rsidRPr="00A52AF7" w:rsidTr="007477AD">
        <w:trPr>
          <w:cantSplit/>
        </w:trPr>
        <w:tc>
          <w:tcPr>
            <w:tcW w:w="1458" w:type="dxa"/>
          </w:tcPr>
          <w:p w:rsidR="0020352D" w:rsidRPr="00A52AF7" w:rsidRDefault="0020352D" w:rsidP="007477AD">
            <w:pPr>
              <w:rPr>
                <w:sz w:val="20"/>
                <w:szCs w:val="20"/>
              </w:rPr>
            </w:pPr>
            <w:r w:rsidRPr="00A52AF7">
              <w:rPr>
                <w:sz w:val="20"/>
                <w:szCs w:val="20"/>
              </w:rPr>
              <w:t>Coram :</w:t>
            </w:r>
          </w:p>
        </w:tc>
        <w:tc>
          <w:tcPr>
            <w:tcW w:w="8118" w:type="dxa"/>
          </w:tcPr>
          <w:p w:rsidR="0020352D" w:rsidRPr="00A52AF7" w:rsidRDefault="0020352D" w:rsidP="007477AD">
            <w:pPr>
              <w:rPr>
                <w:sz w:val="20"/>
                <w:szCs w:val="20"/>
              </w:rPr>
            </w:pPr>
            <w:proofErr w:type="spellStart"/>
            <w:r w:rsidRPr="00A52AF7">
              <w:rPr>
                <w:rStyle w:val="SCCCoramChar"/>
                <w:sz w:val="20"/>
                <w:szCs w:val="20"/>
                <w:lang w:val="en-US"/>
              </w:rPr>
              <w:t>Binnie</w:t>
            </w:r>
            <w:proofErr w:type="spellEnd"/>
            <w:r w:rsidRPr="00A52AF7">
              <w:rPr>
                <w:rStyle w:val="SCCCoramChar"/>
                <w:sz w:val="20"/>
                <w:szCs w:val="20"/>
                <w:lang w:val="en-US"/>
              </w:rPr>
              <w:t xml:space="preserve">, </w:t>
            </w:r>
            <w:proofErr w:type="spellStart"/>
            <w:r w:rsidRPr="00A52AF7">
              <w:rPr>
                <w:rStyle w:val="SCCCoramChar"/>
                <w:sz w:val="20"/>
                <w:szCs w:val="20"/>
                <w:lang w:val="en-US"/>
              </w:rPr>
              <w:t>Abella</w:t>
            </w:r>
            <w:proofErr w:type="spellEnd"/>
            <w:r w:rsidRPr="00A52AF7">
              <w:rPr>
                <w:rStyle w:val="SCCCoramChar"/>
                <w:sz w:val="20"/>
                <w:szCs w:val="20"/>
                <w:lang w:val="en-US"/>
              </w:rPr>
              <w:t xml:space="preserve"> and Rothstein JJ.</w:t>
            </w:r>
          </w:p>
          <w:p w:rsidR="0020352D" w:rsidRPr="00A52AF7" w:rsidRDefault="0020352D" w:rsidP="007477AD">
            <w:pPr>
              <w:rPr>
                <w:sz w:val="20"/>
                <w:szCs w:val="20"/>
                <w:u w:val="single"/>
              </w:rPr>
            </w:pPr>
          </w:p>
        </w:tc>
      </w:tr>
      <w:tr w:rsidR="0020352D" w:rsidRPr="002D1834" w:rsidTr="007477AD">
        <w:trPr>
          <w:cantSplit/>
        </w:trPr>
        <w:tc>
          <w:tcPr>
            <w:tcW w:w="9576" w:type="dxa"/>
            <w:gridSpan w:val="2"/>
          </w:tcPr>
          <w:p w:rsidR="0020352D" w:rsidRDefault="0020352D" w:rsidP="0020352D">
            <w:pPr>
              <w:pStyle w:val="SCCShortJudgment"/>
            </w:pPr>
            <w:r>
              <w:t>The application for leave to appeal from the judgment of the Federal Court of Appeal, Number A-419-09, 2010 FCA 309, dated November 17, 2010, is granted with costs in the cause</w:t>
            </w:r>
          </w:p>
          <w:p w:rsidR="0020352D" w:rsidRDefault="0020352D" w:rsidP="0020352D">
            <w:pPr>
              <w:pStyle w:val="SCCShortJudgment"/>
              <w:ind w:firstLine="0"/>
            </w:pPr>
          </w:p>
          <w:p w:rsidR="0020352D" w:rsidRPr="00A52AF7" w:rsidRDefault="0020352D" w:rsidP="0020352D">
            <w:pPr>
              <w:pStyle w:val="SCCShortJudgment"/>
              <w:rPr>
                <w:szCs w:val="20"/>
                <w:lang w:val="fr-CA"/>
              </w:rPr>
            </w:pPr>
            <w:r w:rsidRPr="00124FE3">
              <w:rPr>
                <w:lang w:val="fr-CA"/>
              </w:rPr>
              <w:t>La demande d’autorisation d’appel de l’arrêt de la Cour d’appel fédérale, numéro A-419-09, 2010 CAF 309, daté du 17 novembre 2010, est accordée avec dépens suivant l’issue de la cause.</w:t>
            </w:r>
          </w:p>
        </w:tc>
      </w:tr>
    </w:tbl>
    <w:p w:rsidR="0020352D" w:rsidRPr="0020352D" w:rsidRDefault="0020352D" w:rsidP="008D292F">
      <w:pPr>
        <w:rPr>
          <w:b/>
          <w:sz w:val="20"/>
          <w:szCs w:val="20"/>
          <w:lang w:val="fr-CA"/>
        </w:rPr>
      </w:pPr>
    </w:p>
    <w:p w:rsidR="0070151D" w:rsidRPr="00C50A5C" w:rsidRDefault="0070151D" w:rsidP="0070151D">
      <w:pPr>
        <w:keepNext/>
        <w:rPr>
          <w:sz w:val="20"/>
          <w:szCs w:val="20"/>
        </w:rPr>
      </w:pPr>
      <w:r w:rsidRPr="00C50A5C">
        <w:rPr>
          <w:sz w:val="20"/>
          <w:szCs w:val="20"/>
          <w:u w:val="single"/>
        </w:rPr>
        <w:t>CASE SUMMARY</w:t>
      </w:r>
    </w:p>
    <w:p w:rsidR="0070151D" w:rsidRDefault="0070151D"/>
    <w:p w:rsidR="0070151D" w:rsidRPr="000D3F89" w:rsidRDefault="0070151D" w:rsidP="0070151D">
      <w:pPr>
        <w:jc w:val="both"/>
        <w:rPr>
          <w:rFonts w:eastAsia="Calibri"/>
          <w:sz w:val="20"/>
        </w:rPr>
      </w:pPr>
      <w:r w:rsidRPr="00AB0198">
        <w:rPr>
          <w:rFonts w:eastAsia="Calibri"/>
          <w:sz w:val="20"/>
        </w:rPr>
        <w:t xml:space="preserve">Taxation — Income tax — Trusts — Residency — Legislation — Interpretation — What is the proper test for determining the residence of a trust for income tax purposes — </w:t>
      </w:r>
      <w:r w:rsidRPr="00AB0198">
        <w:rPr>
          <w:rFonts w:eastAsia="Calibri"/>
          <w:i/>
          <w:sz w:val="20"/>
        </w:rPr>
        <w:t>Income Tax Act</w:t>
      </w:r>
      <w:r w:rsidRPr="00AB0198">
        <w:rPr>
          <w:rFonts w:eastAsia="Calibri"/>
          <w:sz w:val="20"/>
        </w:rPr>
        <w:t>, R.S.C. 1985, c. 1 (5</w:t>
      </w:r>
      <w:r w:rsidRPr="00AB0198">
        <w:rPr>
          <w:rFonts w:eastAsia="Calibri"/>
          <w:sz w:val="20"/>
          <w:vertAlign w:val="superscript"/>
        </w:rPr>
        <w:t>th</w:t>
      </w:r>
      <w:r w:rsidRPr="00AB0198">
        <w:rPr>
          <w:rFonts w:eastAsia="Calibri"/>
          <w:sz w:val="20"/>
        </w:rPr>
        <w:t xml:space="preserve"> Supp.) (</w:t>
      </w:r>
      <w:proofErr w:type="gramStart"/>
      <w:r w:rsidRPr="00AB0198">
        <w:rPr>
          <w:rFonts w:eastAsia="Calibri"/>
          <w:sz w:val="20"/>
        </w:rPr>
        <w:t>the</w:t>
      </w:r>
      <w:proofErr w:type="gramEnd"/>
      <w:r w:rsidRPr="00AB0198">
        <w:rPr>
          <w:rFonts w:eastAsia="Calibri"/>
          <w:sz w:val="20"/>
        </w:rPr>
        <w:t xml:space="preserve"> “</w:t>
      </w:r>
      <w:r w:rsidRPr="00AB0198">
        <w:rPr>
          <w:rFonts w:eastAsia="Calibri"/>
          <w:i/>
          <w:sz w:val="20"/>
        </w:rPr>
        <w:t>Act</w:t>
      </w:r>
      <w:r w:rsidRPr="00AB0198">
        <w:rPr>
          <w:rFonts w:eastAsia="Calibri"/>
          <w:sz w:val="20"/>
        </w:rPr>
        <w:t>”), sections 94(1) and 245.</w:t>
      </w:r>
    </w:p>
    <w:p w:rsidR="0070151D" w:rsidRPr="00AB0198" w:rsidRDefault="0070151D" w:rsidP="0070151D">
      <w:pPr>
        <w:jc w:val="both"/>
        <w:rPr>
          <w:rFonts w:eastAsia="Calibri"/>
          <w:sz w:val="20"/>
        </w:rPr>
      </w:pPr>
    </w:p>
    <w:p w:rsidR="0070151D" w:rsidRPr="00AB0198" w:rsidRDefault="0070151D" w:rsidP="0070151D">
      <w:pPr>
        <w:jc w:val="both"/>
        <w:rPr>
          <w:rFonts w:eastAsia="Calibri"/>
          <w:sz w:val="20"/>
        </w:rPr>
      </w:pPr>
      <w:r w:rsidRPr="00AB0198">
        <w:rPr>
          <w:rFonts w:eastAsia="Calibri"/>
          <w:sz w:val="20"/>
        </w:rPr>
        <w:t xml:space="preserve">The applicant is the trustee of the Fundy Settlement (the “Trust”).  The Trust was settled by an individual resident in the Caribbean island of St. Vincent and had Canadian beneficiaries. The trustee is a corporation resident in Barbados.  When the Trust disposed of shares it owned in a Canadian corporation, the purchaser remitted amounts to the Canadian government in accordance with s. 116 of the </w:t>
      </w:r>
      <w:r w:rsidRPr="00AB0198">
        <w:rPr>
          <w:rFonts w:eastAsia="Calibri"/>
          <w:i/>
          <w:sz w:val="20"/>
        </w:rPr>
        <w:t>Act</w:t>
      </w:r>
      <w:r w:rsidRPr="00AB0198">
        <w:rPr>
          <w:rFonts w:eastAsia="Calibri"/>
          <w:sz w:val="20"/>
        </w:rPr>
        <w:t xml:space="preserve">, on account of potential tax from the capital gains realised.  The trustee sought a return of the withheld amount, claiming an exemption from tax pursuant to the </w:t>
      </w:r>
      <w:r w:rsidRPr="00AB0198">
        <w:rPr>
          <w:rFonts w:eastAsia="Calibri"/>
          <w:i/>
          <w:sz w:val="20"/>
        </w:rPr>
        <w:t>Agreement Between Canada and Barbados for the Avoidance of Double Taxation and the Prevention of Fiscal Evasion with Respect to Taxes on Income and Capital. </w:t>
      </w:r>
      <w:r w:rsidRPr="00AB0198">
        <w:rPr>
          <w:rFonts w:eastAsia="Calibri"/>
          <w:sz w:val="20"/>
        </w:rPr>
        <w:t xml:space="preserve"> Under the exemption, tax would only be payable in the country in which the seller was resident, and the trustee claimed that the Trust is a resident of Barbados. </w:t>
      </w:r>
    </w:p>
    <w:p w:rsidR="0070151D" w:rsidRPr="00AB0198" w:rsidRDefault="0070151D" w:rsidP="0070151D">
      <w:pPr>
        <w:jc w:val="both"/>
        <w:rPr>
          <w:rFonts w:eastAsia="Calibri"/>
          <w:sz w:val="20"/>
        </w:rPr>
      </w:pPr>
    </w:p>
    <w:p w:rsidR="0070151D" w:rsidRPr="00AB0198" w:rsidRDefault="0070151D" w:rsidP="0070151D">
      <w:pPr>
        <w:jc w:val="both"/>
        <w:rPr>
          <w:rFonts w:eastAsia="Calibri"/>
          <w:sz w:val="20"/>
        </w:rPr>
      </w:pPr>
      <w:r w:rsidRPr="00AB0198">
        <w:rPr>
          <w:rFonts w:eastAsia="Calibri"/>
          <w:sz w:val="20"/>
        </w:rPr>
        <w:t xml:space="preserve">The Minister of National Revenue took the position that the exemption did not apply because the Trust was a resident of Canada, and issued assessments under the </w:t>
      </w:r>
      <w:r w:rsidRPr="00AB0198">
        <w:rPr>
          <w:rFonts w:eastAsia="Calibri"/>
          <w:i/>
          <w:sz w:val="20"/>
        </w:rPr>
        <w:t>Act</w:t>
      </w:r>
      <w:r w:rsidRPr="00AB0198">
        <w:rPr>
          <w:rFonts w:eastAsia="Calibri"/>
          <w:sz w:val="20"/>
        </w:rPr>
        <w:t>.  The trustee appealed the assessments on behalf of the Trust.  The Tax Court of Canada and the Federal Court of Appeal dismissed the appeals.</w:t>
      </w:r>
    </w:p>
    <w:p w:rsidR="0070151D" w:rsidRPr="00AB0198" w:rsidRDefault="0070151D" w:rsidP="0070151D">
      <w:pPr>
        <w:jc w:val="both"/>
        <w:rPr>
          <w:rFonts w:eastAsia="Calibri"/>
          <w:sz w:val="20"/>
        </w:rPr>
      </w:pPr>
    </w:p>
    <w:tbl>
      <w:tblPr>
        <w:tblW w:w="4952" w:type="pct"/>
        <w:tblLayout w:type="fixed"/>
        <w:tblCellMar>
          <w:left w:w="0" w:type="dxa"/>
          <w:bottom w:w="99" w:type="dxa"/>
          <w:right w:w="0" w:type="dxa"/>
        </w:tblCellMar>
        <w:tblLook w:val="04A0"/>
      </w:tblPr>
      <w:tblGrid>
        <w:gridCol w:w="4624"/>
        <w:gridCol w:w="463"/>
        <w:gridCol w:w="4440"/>
      </w:tblGrid>
      <w:tr w:rsidR="0070151D" w:rsidRPr="00AB0198" w:rsidTr="0070151D">
        <w:tc>
          <w:tcPr>
            <w:tcW w:w="2427" w:type="pct"/>
          </w:tcPr>
          <w:p w:rsidR="0070151D" w:rsidRPr="00AB0198" w:rsidRDefault="0070151D" w:rsidP="0070151D">
            <w:pPr>
              <w:jc w:val="both"/>
              <w:rPr>
                <w:rFonts w:eastAsia="Calibri"/>
                <w:sz w:val="20"/>
              </w:rPr>
            </w:pPr>
            <w:r w:rsidRPr="00AB0198">
              <w:rPr>
                <w:rFonts w:eastAsia="Calibri"/>
                <w:sz w:val="20"/>
              </w:rPr>
              <w:t>September 10, 2009</w:t>
            </w:r>
          </w:p>
          <w:p w:rsidR="0070151D" w:rsidRPr="00AB0198" w:rsidRDefault="0070151D" w:rsidP="0070151D">
            <w:pPr>
              <w:jc w:val="both"/>
              <w:rPr>
                <w:rFonts w:eastAsia="Calibri"/>
                <w:sz w:val="20"/>
              </w:rPr>
            </w:pPr>
            <w:r w:rsidRPr="00AB0198">
              <w:rPr>
                <w:rFonts w:eastAsia="Calibri"/>
                <w:sz w:val="20"/>
              </w:rPr>
              <w:t>Tax Court of Canada</w:t>
            </w:r>
          </w:p>
          <w:p w:rsidR="0070151D" w:rsidRPr="00AB0198" w:rsidRDefault="0070151D" w:rsidP="0070151D">
            <w:pPr>
              <w:jc w:val="both"/>
              <w:rPr>
                <w:rFonts w:eastAsia="Calibri"/>
                <w:sz w:val="20"/>
              </w:rPr>
            </w:pPr>
            <w:r w:rsidRPr="00AB0198">
              <w:rPr>
                <w:rFonts w:eastAsia="Calibri"/>
                <w:sz w:val="20"/>
              </w:rPr>
              <w:t>(Woods J.)</w:t>
            </w:r>
          </w:p>
          <w:p w:rsidR="0070151D" w:rsidRPr="00AB0198" w:rsidRDefault="0070151D" w:rsidP="0070151D">
            <w:pPr>
              <w:jc w:val="both"/>
              <w:rPr>
                <w:rFonts w:eastAsia="Calibri"/>
                <w:sz w:val="20"/>
              </w:rPr>
            </w:pPr>
            <w:r w:rsidRPr="00AB0198">
              <w:rPr>
                <w:rFonts w:eastAsia="Calibri"/>
                <w:sz w:val="20"/>
              </w:rPr>
              <w:t>2009 TCC 450</w:t>
            </w:r>
          </w:p>
          <w:p w:rsidR="0070151D" w:rsidRPr="00AB0198" w:rsidRDefault="0070151D" w:rsidP="0070151D">
            <w:pPr>
              <w:jc w:val="both"/>
              <w:rPr>
                <w:rFonts w:eastAsia="Calibri"/>
                <w:sz w:val="20"/>
              </w:rPr>
            </w:pPr>
          </w:p>
        </w:tc>
        <w:tc>
          <w:tcPr>
            <w:tcW w:w="243" w:type="pct"/>
          </w:tcPr>
          <w:p w:rsidR="0070151D" w:rsidRPr="00AB0198" w:rsidRDefault="0070151D" w:rsidP="0070151D">
            <w:pPr>
              <w:jc w:val="both"/>
              <w:rPr>
                <w:rFonts w:eastAsia="Calibri"/>
                <w:sz w:val="20"/>
              </w:rPr>
            </w:pPr>
          </w:p>
        </w:tc>
        <w:tc>
          <w:tcPr>
            <w:tcW w:w="2330" w:type="pct"/>
          </w:tcPr>
          <w:p w:rsidR="0070151D" w:rsidRPr="00AB0198" w:rsidRDefault="0070151D" w:rsidP="0070151D">
            <w:pPr>
              <w:jc w:val="both"/>
              <w:rPr>
                <w:rFonts w:eastAsia="Calibri"/>
                <w:sz w:val="20"/>
              </w:rPr>
            </w:pPr>
            <w:r w:rsidRPr="00AB0198">
              <w:rPr>
                <w:rFonts w:eastAsia="Calibri"/>
                <w:sz w:val="20"/>
              </w:rPr>
              <w:t>Applicant’s appeal from its assessment for the 2000 taxation year dismissed</w:t>
            </w:r>
          </w:p>
          <w:p w:rsidR="0070151D" w:rsidRPr="00AB0198" w:rsidRDefault="0070151D" w:rsidP="0070151D">
            <w:pPr>
              <w:jc w:val="both"/>
              <w:rPr>
                <w:rFonts w:eastAsia="Calibri"/>
                <w:sz w:val="20"/>
              </w:rPr>
            </w:pPr>
          </w:p>
        </w:tc>
      </w:tr>
      <w:tr w:rsidR="0070151D" w:rsidRPr="00AB0198" w:rsidTr="0070151D">
        <w:tc>
          <w:tcPr>
            <w:tcW w:w="2427" w:type="pct"/>
          </w:tcPr>
          <w:p w:rsidR="0070151D" w:rsidRPr="00AB0198" w:rsidRDefault="0070151D" w:rsidP="0070151D">
            <w:pPr>
              <w:jc w:val="both"/>
              <w:rPr>
                <w:rFonts w:eastAsia="Calibri"/>
                <w:sz w:val="20"/>
              </w:rPr>
            </w:pPr>
            <w:r w:rsidRPr="00AB0198">
              <w:rPr>
                <w:rFonts w:eastAsia="Calibri"/>
                <w:sz w:val="20"/>
              </w:rPr>
              <w:t>November 17, 2010</w:t>
            </w:r>
          </w:p>
          <w:p w:rsidR="0070151D" w:rsidRPr="00AB0198" w:rsidRDefault="0070151D" w:rsidP="0070151D">
            <w:pPr>
              <w:jc w:val="both"/>
              <w:rPr>
                <w:rFonts w:eastAsia="Calibri"/>
                <w:sz w:val="20"/>
              </w:rPr>
            </w:pPr>
            <w:r w:rsidRPr="00AB0198">
              <w:rPr>
                <w:rFonts w:eastAsia="Calibri"/>
                <w:sz w:val="20"/>
              </w:rPr>
              <w:t>Federal Court of Appeal</w:t>
            </w:r>
          </w:p>
          <w:p w:rsidR="0070151D" w:rsidRPr="00AB0198" w:rsidRDefault="0070151D" w:rsidP="0070151D">
            <w:pPr>
              <w:jc w:val="both"/>
              <w:rPr>
                <w:rFonts w:eastAsia="Calibri"/>
                <w:sz w:val="20"/>
              </w:rPr>
            </w:pPr>
            <w:r w:rsidRPr="00AB0198">
              <w:rPr>
                <w:rFonts w:eastAsia="Calibri"/>
                <w:sz w:val="20"/>
              </w:rPr>
              <w:t>(</w:t>
            </w:r>
            <w:proofErr w:type="spellStart"/>
            <w:r w:rsidRPr="00AB0198">
              <w:rPr>
                <w:rFonts w:eastAsia="Calibri"/>
                <w:sz w:val="20"/>
              </w:rPr>
              <w:t>Nadon</w:t>
            </w:r>
            <w:proofErr w:type="spellEnd"/>
            <w:r w:rsidRPr="00AB0198">
              <w:rPr>
                <w:rFonts w:eastAsia="Calibri"/>
                <w:sz w:val="20"/>
              </w:rPr>
              <w:t xml:space="preserve">, </w:t>
            </w:r>
            <w:proofErr w:type="spellStart"/>
            <w:proofErr w:type="gramStart"/>
            <w:r w:rsidRPr="00AB0198">
              <w:rPr>
                <w:rFonts w:eastAsia="Calibri"/>
                <w:sz w:val="20"/>
              </w:rPr>
              <w:t>Sharlow</w:t>
            </w:r>
            <w:proofErr w:type="spellEnd"/>
            <w:r w:rsidRPr="00AB0198">
              <w:rPr>
                <w:rFonts w:eastAsia="Calibri"/>
                <w:sz w:val="20"/>
              </w:rPr>
              <w:t xml:space="preserve">  and</w:t>
            </w:r>
            <w:proofErr w:type="gramEnd"/>
            <w:r w:rsidRPr="00AB0198">
              <w:rPr>
                <w:rFonts w:eastAsia="Calibri"/>
                <w:sz w:val="20"/>
              </w:rPr>
              <w:t xml:space="preserve">  </w:t>
            </w:r>
            <w:proofErr w:type="spellStart"/>
            <w:r w:rsidRPr="00AB0198">
              <w:rPr>
                <w:rFonts w:eastAsia="Calibri"/>
                <w:sz w:val="20"/>
              </w:rPr>
              <w:t>Stratas</w:t>
            </w:r>
            <w:proofErr w:type="spellEnd"/>
            <w:r w:rsidRPr="00AB0198">
              <w:rPr>
                <w:rFonts w:eastAsia="Calibri"/>
                <w:sz w:val="20"/>
              </w:rPr>
              <w:t xml:space="preserve"> JJ.A.)</w:t>
            </w:r>
          </w:p>
          <w:p w:rsidR="0070151D" w:rsidRPr="00AB0198" w:rsidRDefault="0070151D" w:rsidP="0070151D">
            <w:pPr>
              <w:jc w:val="both"/>
              <w:rPr>
                <w:rFonts w:eastAsia="Calibri"/>
                <w:sz w:val="20"/>
              </w:rPr>
            </w:pPr>
            <w:r w:rsidRPr="00AB0198">
              <w:rPr>
                <w:rFonts w:eastAsia="Calibri"/>
                <w:sz w:val="20"/>
              </w:rPr>
              <w:t>2010 FCA 309; A</w:t>
            </w:r>
            <w:r w:rsidRPr="00AB0198">
              <w:rPr>
                <w:rFonts w:eastAsia="Calibri"/>
                <w:sz w:val="20"/>
              </w:rPr>
              <w:noBreakHyphen/>
              <w:t>419</w:t>
            </w:r>
            <w:r w:rsidRPr="00AB0198">
              <w:rPr>
                <w:rFonts w:eastAsia="Calibri"/>
                <w:sz w:val="20"/>
              </w:rPr>
              <w:noBreakHyphen/>
              <w:t>09</w:t>
            </w:r>
          </w:p>
          <w:p w:rsidR="0070151D" w:rsidRPr="00AB0198" w:rsidRDefault="0070151D" w:rsidP="0070151D">
            <w:pPr>
              <w:jc w:val="both"/>
              <w:rPr>
                <w:rFonts w:eastAsia="Calibri"/>
                <w:sz w:val="20"/>
              </w:rPr>
            </w:pPr>
          </w:p>
        </w:tc>
        <w:tc>
          <w:tcPr>
            <w:tcW w:w="243" w:type="pct"/>
          </w:tcPr>
          <w:p w:rsidR="0070151D" w:rsidRPr="00AB0198" w:rsidRDefault="0070151D" w:rsidP="0070151D">
            <w:pPr>
              <w:jc w:val="both"/>
              <w:rPr>
                <w:rFonts w:eastAsia="Calibri"/>
                <w:sz w:val="20"/>
              </w:rPr>
            </w:pPr>
          </w:p>
        </w:tc>
        <w:tc>
          <w:tcPr>
            <w:tcW w:w="2330" w:type="pct"/>
          </w:tcPr>
          <w:p w:rsidR="0070151D" w:rsidRPr="00AB0198" w:rsidRDefault="0070151D" w:rsidP="0070151D">
            <w:pPr>
              <w:jc w:val="both"/>
              <w:rPr>
                <w:rFonts w:eastAsia="Calibri"/>
                <w:sz w:val="20"/>
              </w:rPr>
            </w:pPr>
            <w:r w:rsidRPr="00AB0198">
              <w:rPr>
                <w:rFonts w:eastAsia="Calibri"/>
                <w:sz w:val="20"/>
              </w:rPr>
              <w:t>Appeal dismissed</w:t>
            </w:r>
          </w:p>
          <w:p w:rsidR="0070151D" w:rsidRPr="00AB0198" w:rsidRDefault="0070151D" w:rsidP="0070151D">
            <w:pPr>
              <w:jc w:val="both"/>
              <w:rPr>
                <w:rFonts w:eastAsia="Calibri"/>
                <w:sz w:val="20"/>
              </w:rPr>
            </w:pPr>
          </w:p>
        </w:tc>
      </w:tr>
      <w:tr w:rsidR="0070151D" w:rsidRPr="00AB0198" w:rsidTr="0070151D">
        <w:tc>
          <w:tcPr>
            <w:tcW w:w="2427" w:type="pct"/>
          </w:tcPr>
          <w:p w:rsidR="0070151D" w:rsidRPr="00AB0198" w:rsidRDefault="0070151D" w:rsidP="0070151D">
            <w:pPr>
              <w:jc w:val="both"/>
              <w:rPr>
                <w:rFonts w:eastAsia="Calibri"/>
                <w:sz w:val="20"/>
              </w:rPr>
            </w:pPr>
            <w:r w:rsidRPr="00AB0198">
              <w:rPr>
                <w:rFonts w:eastAsia="Calibri"/>
                <w:sz w:val="20"/>
              </w:rPr>
              <w:t>January 14, 2011</w:t>
            </w:r>
          </w:p>
          <w:p w:rsidR="0070151D" w:rsidRPr="00AB0198" w:rsidRDefault="0070151D" w:rsidP="0070151D">
            <w:pPr>
              <w:jc w:val="both"/>
              <w:rPr>
                <w:rFonts w:eastAsia="Calibri"/>
                <w:sz w:val="20"/>
              </w:rPr>
            </w:pPr>
            <w:r w:rsidRPr="00AB0198">
              <w:rPr>
                <w:rFonts w:eastAsia="Calibri"/>
                <w:sz w:val="20"/>
              </w:rPr>
              <w:t>Supreme Court of Canada</w:t>
            </w:r>
          </w:p>
        </w:tc>
        <w:tc>
          <w:tcPr>
            <w:tcW w:w="243" w:type="pct"/>
          </w:tcPr>
          <w:p w:rsidR="0070151D" w:rsidRPr="00AB0198" w:rsidRDefault="0070151D" w:rsidP="0070151D">
            <w:pPr>
              <w:jc w:val="both"/>
              <w:rPr>
                <w:rFonts w:eastAsia="Calibri"/>
                <w:sz w:val="20"/>
              </w:rPr>
            </w:pPr>
          </w:p>
        </w:tc>
        <w:tc>
          <w:tcPr>
            <w:tcW w:w="2330" w:type="pct"/>
          </w:tcPr>
          <w:p w:rsidR="0070151D" w:rsidRPr="00AB0198" w:rsidRDefault="0070151D" w:rsidP="0070151D">
            <w:pPr>
              <w:jc w:val="both"/>
              <w:rPr>
                <w:rFonts w:eastAsia="Calibri"/>
                <w:sz w:val="20"/>
              </w:rPr>
            </w:pPr>
            <w:r w:rsidRPr="00AB0198">
              <w:rPr>
                <w:rFonts w:eastAsia="Calibri"/>
                <w:sz w:val="20"/>
              </w:rPr>
              <w:t>Application for leave to appeal filed</w:t>
            </w:r>
          </w:p>
          <w:p w:rsidR="0070151D" w:rsidRPr="00AB0198" w:rsidRDefault="0070151D" w:rsidP="0070151D">
            <w:pPr>
              <w:jc w:val="both"/>
              <w:rPr>
                <w:rFonts w:eastAsia="Calibri"/>
                <w:sz w:val="20"/>
              </w:rPr>
            </w:pPr>
          </w:p>
        </w:tc>
      </w:tr>
    </w:tbl>
    <w:p w:rsidR="0070151D" w:rsidRPr="00C50A5C" w:rsidRDefault="0070151D" w:rsidP="0070151D">
      <w:pPr>
        <w:rPr>
          <w:sz w:val="20"/>
          <w:szCs w:val="20"/>
        </w:rPr>
      </w:pPr>
    </w:p>
    <w:p w:rsidR="0070151D" w:rsidRPr="00C50A5C" w:rsidRDefault="00547297" w:rsidP="0070151D">
      <w:pPr>
        <w:rPr>
          <w:sz w:val="20"/>
          <w:szCs w:val="20"/>
        </w:rPr>
      </w:pPr>
      <w:r w:rsidRPr="00547297">
        <w:rPr>
          <w:sz w:val="20"/>
          <w:szCs w:val="20"/>
          <w:lang w:val="fr-CA"/>
        </w:rPr>
        <w:pict>
          <v:rect id="_x0000_i1043" style="width:2in;height:1pt" o:hrpct="0" o:hralign="center" o:hrstd="t" o:hrnoshade="t" o:hr="t" fillcolor="black [3213]" stroked="f"/>
        </w:pict>
      </w:r>
    </w:p>
    <w:p w:rsidR="0070151D" w:rsidRPr="00C50A5C" w:rsidRDefault="0070151D" w:rsidP="0070151D">
      <w:pPr>
        <w:rPr>
          <w:sz w:val="20"/>
          <w:szCs w:val="20"/>
        </w:rPr>
      </w:pPr>
    </w:p>
    <w:p w:rsidR="0070151D" w:rsidRPr="00C50A5C" w:rsidRDefault="0070151D" w:rsidP="0070151D">
      <w:pPr>
        <w:keepNext/>
        <w:rPr>
          <w:sz w:val="20"/>
          <w:szCs w:val="20"/>
          <w:u w:val="single"/>
          <w:lang w:val="fr-CA"/>
        </w:rPr>
      </w:pPr>
      <w:r w:rsidRPr="00C50A5C">
        <w:rPr>
          <w:sz w:val="20"/>
          <w:szCs w:val="20"/>
          <w:u w:val="single"/>
          <w:lang w:val="fr-CA"/>
        </w:rPr>
        <w:lastRenderedPageBreak/>
        <w:t>RÉSUMÉ DE L’AFFAIRE</w:t>
      </w:r>
    </w:p>
    <w:p w:rsidR="0070151D" w:rsidRPr="00C50A5C" w:rsidRDefault="0070151D" w:rsidP="0070151D">
      <w:pPr>
        <w:keepNext/>
        <w:rPr>
          <w:sz w:val="20"/>
          <w:szCs w:val="20"/>
          <w:lang w:val="fr-CA"/>
        </w:rPr>
      </w:pPr>
    </w:p>
    <w:p w:rsidR="0070151D" w:rsidRPr="000D3F89" w:rsidRDefault="0070151D" w:rsidP="0070151D">
      <w:pPr>
        <w:jc w:val="both"/>
        <w:rPr>
          <w:rFonts w:eastAsia="Calibri"/>
          <w:sz w:val="20"/>
          <w:lang w:val="fr-CA"/>
        </w:rPr>
      </w:pPr>
      <w:r w:rsidRPr="00AB0198">
        <w:rPr>
          <w:rFonts w:eastAsia="Calibri"/>
          <w:sz w:val="20"/>
          <w:lang w:val="fr-CA"/>
        </w:rPr>
        <w:t xml:space="preserve">Droit fiscal — Impôt sur le revenu — Fiducie — Résidence — Législation — Interprétation — Quel critère permet de déterminer la résidence d’une fiducie aux fins de l’impôt sur le revenu? — </w:t>
      </w:r>
      <w:r w:rsidRPr="00AB0198">
        <w:rPr>
          <w:rFonts w:eastAsia="Calibri"/>
          <w:i/>
          <w:iCs/>
          <w:sz w:val="20"/>
          <w:lang w:val="fr-CA"/>
        </w:rPr>
        <w:t>Loi de l’impôt sur le revenu</w:t>
      </w:r>
      <w:r w:rsidRPr="00AB0198">
        <w:rPr>
          <w:rFonts w:eastAsia="Calibri"/>
          <w:sz w:val="20"/>
          <w:lang w:val="fr-CA"/>
        </w:rPr>
        <w:t>, L.R.C. 1985, ch. 1 (5</w:t>
      </w:r>
      <w:r w:rsidRPr="00AB0198">
        <w:rPr>
          <w:rFonts w:eastAsia="Calibri"/>
          <w:sz w:val="20"/>
          <w:vertAlign w:val="superscript"/>
          <w:lang w:val="fr-CA"/>
        </w:rPr>
        <w:t>e</w:t>
      </w:r>
      <w:r w:rsidRPr="00AB0198">
        <w:rPr>
          <w:rFonts w:eastAsia="Calibri"/>
          <w:sz w:val="20"/>
          <w:lang w:val="fr-CA"/>
        </w:rPr>
        <w:t xml:space="preserve"> suppl.) (</w:t>
      </w:r>
      <w:proofErr w:type="gramStart"/>
      <w:r w:rsidRPr="00AB0198">
        <w:rPr>
          <w:rFonts w:eastAsia="Calibri"/>
          <w:sz w:val="20"/>
          <w:lang w:val="fr-CA"/>
        </w:rPr>
        <w:t>la</w:t>
      </w:r>
      <w:proofErr w:type="gramEnd"/>
      <w:r w:rsidRPr="00AB0198">
        <w:rPr>
          <w:rFonts w:eastAsia="Calibri"/>
          <w:sz w:val="20"/>
          <w:lang w:val="fr-CA"/>
        </w:rPr>
        <w:t xml:space="preserve"> « </w:t>
      </w:r>
      <w:r w:rsidRPr="00AB0198">
        <w:rPr>
          <w:rFonts w:eastAsia="Calibri"/>
          <w:i/>
          <w:iCs/>
          <w:sz w:val="20"/>
          <w:lang w:val="fr-CA"/>
        </w:rPr>
        <w:t>Loi</w:t>
      </w:r>
      <w:r w:rsidRPr="00AB0198">
        <w:rPr>
          <w:rFonts w:eastAsia="Calibri"/>
          <w:sz w:val="20"/>
          <w:lang w:val="fr-CA"/>
        </w:rPr>
        <w:t> »), articles 94(1) et 245.</w:t>
      </w:r>
    </w:p>
    <w:p w:rsidR="0070151D" w:rsidRPr="00AB0198" w:rsidRDefault="0070151D" w:rsidP="0070151D">
      <w:pPr>
        <w:jc w:val="both"/>
        <w:rPr>
          <w:rFonts w:eastAsia="Calibri"/>
          <w:sz w:val="20"/>
          <w:lang w:val="fr-CA"/>
        </w:rPr>
      </w:pPr>
    </w:p>
    <w:p w:rsidR="0070151D" w:rsidRPr="00AB0198" w:rsidRDefault="0070151D" w:rsidP="0070151D">
      <w:pPr>
        <w:jc w:val="both"/>
        <w:rPr>
          <w:rFonts w:eastAsia="Calibri"/>
          <w:sz w:val="20"/>
          <w:lang w:val="fr-CA"/>
        </w:rPr>
      </w:pPr>
      <w:r w:rsidRPr="00AB0198">
        <w:rPr>
          <w:rFonts w:eastAsia="Calibri"/>
          <w:sz w:val="20"/>
          <w:lang w:val="fr-CA"/>
        </w:rPr>
        <w:t xml:space="preserve">La demanderesse est </w:t>
      </w:r>
      <w:proofErr w:type="gramStart"/>
      <w:r w:rsidRPr="00AB0198">
        <w:rPr>
          <w:rFonts w:eastAsia="Calibri"/>
          <w:sz w:val="20"/>
          <w:lang w:val="fr-CA"/>
        </w:rPr>
        <w:t>la</w:t>
      </w:r>
      <w:proofErr w:type="gramEnd"/>
      <w:r w:rsidRPr="00AB0198">
        <w:rPr>
          <w:rFonts w:eastAsia="Calibri"/>
          <w:sz w:val="20"/>
          <w:lang w:val="fr-CA"/>
        </w:rPr>
        <w:t xml:space="preserve"> fiduciaire de Fundy </w:t>
      </w:r>
      <w:proofErr w:type="spellStart"/>
      <w:r w:rsidRPr="00AB0198">
        <w:rPr>
          <w:rFonts w:eastAsia="Calibri"/>
          <w:sz w:val="20"/>
          <w:lang w:val="fr-CA"/>
        </w:rPr>
        <w:t>Settlement</w:t>
      </w:r>
      <w:proofErr w:type="spellEnd"/>
      <w:r w:rsidRPr="00AB0198">
        <w:rPr>
          <w:rFonts w:eastAsia="Calibri"/>
          <w:sz w:val="20"/>
          <w:lang w:val="fr-CA"/>
        </w:rPr>
        <w:t xml:space="preserve"> (la « fiducie »).  La fiducie a été constituée par un particulier résidant dans l’île de </w:t>
      </w:r>
      <w:proofErr w:type="spellStart"/>
      <w:r w:rsidRPr="00AB0198">
        <w:rPr>
          <w:rFonts w:eastAsia="Calibri"/>
          <w:sz w:val="20"/>
          <w:lang w:val="fr-CA"/>
        </w:rPr>
        <w:t>Saint</w:t>
      </w:r>
      <w:r w:rsidRPr="00AB0198">
        <w:rPr>
          <w:rFonts w:eastAsia="Calibri"/>
          <w:sz w:val="20"/>
          <w:lang w:val="fr-CA"/>
        </w:rPr>
        <w:noBreakHyphen/>
        <w:t>Vincent</w:t>
      </w:r>
      <w:proofErr w:type="spellEnd"/>
      <w:r w:rsidRPr="00AB0198">
        <w:rPr>
          <w:rFonts w:eastAsia="Calibri"/>
          <w:sz w:val="20"/>
          <w:lang w:val="fr-CA"/>
        </w:rPr>
        <w:t xml:space="preserve">, dans les Antilles, et dont les bénéficiaires étaient Canadiens.  </w:t>
      </w:r>
      <w:proofErr w:type="gramStart"/>
      <w:r w:rsidRPr="00AB0198">
        <w:rPr>
          <w:rFonts w:eastAsia="Calibri"/>
          <w:sz w:val="20"/>
          <w:lang w:val="fr-CA"/>
        </w:rPr>
        <w:t>La</w:t>
      </w:r>
      <w:proofErr w:type="gramEnd"/>
      <w:r w:rsidRPr="00AB0198">
        <w:rPr>
          <w:rFonts w:eastAsia="Calibri"/>
          <w:sz w:val="20"/>
          <w:lang w:val="fr-CA"/>
        </w:rPr>
        <w:t xml:space="preserve"> fiduciaire est une société résidant à la Barbade. Lorsque la fiducie a disposé des actions qu’elle détenait dans une société canadienne, l’acheteur a versé des montants au gouvernement canadien conformément à l’article 116 de la </w:t>
      </w:r>
      <w:r w:rsidRPr="00AB0198">
        <w:rPr>
          <w:rFonts w:eastAsia="Calibri"/>
          <w:i/>
          <w:iCs/>
          <w:sz w:val="20"/>
          <w:lang w:val="fr-CA"/>
        </w:rPr>
        <w:t>Loi</w:t>
      </w:r>
      <w:r w:rsidRPr="00AB0198">
        <w:rPr>
          <w:rFonts w:eastAsia="Calibri"/>
          <w:sz w:val="20"/>
          <w:lang w:val="fr-CA"/>
        </w:rPr>
        <w:t>, au titre de l’impôt éventuel sur les gains en capital réalisés.  La fiduciaire a demandé le remboursement du montant retenu, en alléguant être exemptée de l’impôt conformément à l’</w:t>
      </w:r>
      <w:r w:rsidRPr="00AB0198">
        <w:rPr>
          <w:rFonts w:eastAsia="Calibri"/>
          <w:i/>
          <w:iCs/>
          <w:sz w:val="20"/>
          <w:lang w:val="fr-CA"/>
        </w:rPr>
        <w:t>Accord entre le Canada et la Barbade tendant à éviter les doubles impositions et à prévenir l’évasion fiscale en matière d’impôts sur le revenu et sur la fortune</w:t>
      </w:r>
      <w:r w:rsidRPr="00AB0198">
        <w:rPr>
          <w:rFonts w:eastAsia="Calibri"/>
          <w:sz w:val="20"/>
          <w:lang w:val="fr-CA"/>
        </w:rPr>
        <w:t xml:space="preserve">.  En vertu de l’exemption, l’impôt n’est payable que dans le pays dans lequel le vendeur était résident et </w:t>
      </w:r>
      <w:proofErr w:type="gramStart"/>
      <w:r w:rsidRPr="00AB0198">
        <w:rPr>
          <w:rFonts w:eastAsia="Calibri"/>
          <w:sz w:val="20"/>
          <w:lang w:val="fr-CA"/>
        </w:rPr>
        <w:t>la</w:t>
      </w:r>
      <w:proofErr w:type="gramEnd"/>
      <w:r w:rsidRPr="00AB0198">
        <w:rPr>
          <w:rFonts w:eastAsia="Calibri"/>
          <w:sz w:val="20"/>
          <w:lang w:val="fr-CA"/>
        </w:rPr>
        <w:t xml:space="preserve"> fiduciaire a allégué que la fiducie était un résident de la Barbade. </w:t>
      </w:r>
    </w:p>
    <w:p w:rsidR="0070151D" w:rsidRPr="00AB0198" w:rsidRDefault="0070151D" w:rsidP="0070151D">
      <w:pPr>
        <w:jc w:val="both"/>
        <w:rPr>
          <w:rFonts w:eastAsia="Calibri"/>
          <w:sz w:val="20"/>
          <w:lang w:val="fr-CA"/>
        </w:rPr>
      </w:pPr>
    </w:p>
    <w:p w:rsidR="0070151D" w:rsidRPr="00AB0198" w:rsidRDefault="0070151D" w:rsidP="0070151D">
      <w:pPr>
        <w:jc w:val="both"/>
        <w:rPr>
          <w:rFonts w:eastAsia="Calibri"/>
          <w:sz w:val="20"/>
          <w:lang w:val="fr-CA"/>
        </w:rPr>
      </w:pPr>
      <w:r w:rsidRPr="00AB0198">
        <w:rPr>
          <w:rFonts w:eastAsia="Calibri"/>
          <w:sz w:val="20"/>
          <w:lang w:val="fr-CA"/>
        </w:rPr>
        <w:t xml:space="preserve">Le ministre du Revenu national a pris la position que l’exemption ne s’appliquait pas parce que la fiducie était un résident du Canada et a établi des cotisations en vertu de la </w:t>
      </w:r>
      <w:r w:rsidRPr="00AB0198">
        <w:rPr>
          <w:rFonts w:eastAsia="Calibri"/>
          <w:i/>
          <w:iCs/>
          <w:sz w:val="20"/>
          <w:lang w:val="fr-CA"/>
        </w:rPr>
        <w:t>Loi</w:t>
      </w:r>
      <w:r w:rsidRPr="00AB0198">
        <w:rPr>
          <w:rFonts w:eastAsia="Calibri"/>
          <w:sz w:val="20"/>
          <w:lang w:val="fr-CA"/>
        </w:rPr>
        <w:t xml:space="preserve">.  </w:t>
      </w:r>
      <w:proofErr w:type="gramStart"/>
      <w:r w:rsidRPr="00AB0198">
        <w:rPr>
          <w:rFonts w:eastAsia="Calibri"/>
          <w:sz w:val="20"/>
          <w:lang w:val="fr-CA"/>
        </w:rPr>
        <w:t>La</w:t>
      </w:r>
      <w:proofErr w:type="gramEnd"/>
      <w:r w:rsidRPr="00AB0198">
        <w:rPr>
          <w:rFonts w:eastAsia="Calibri"/>
          <w:sz w:val="20"/>
          <w:lang w:val="fr-CA"/>
        </w:rPr>
        <w:t xml:space="preserve"> fiduciaire a interjeté appel des cotisations au nom de la fiducie.  La Cour canadienne de l’impôt et la Cour fédérale du Canada ont rejeté les appels.</w:t>
      </w:r>
    </w:p>
    <w:p w:rsidR="0070151D" w:rsidRPr="005756A5" w:rsidRDefault="0070151D">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70151D" w:rsidRPr="002D1834" w:rsidTr="0070151D">
        <w:tc>
          <w:tcPr>
            <w:tcW w:w="2427" w:type="pct"/>
          </w:tcPr>
          <w:p w:rsidR="0070151D" w:rsidRPr="00AB0198" w:rsidRDefault="0070151D" w:rsidP="0070151D">
            <w:pPr>
              <w:jc w:val="both"/>
              <w:rPr>
                <w:rFonts w:eastAsia="Calibri"/>
                <w:sz w:val="20"/>
                <w:lang w:val="fr-CA"/>
              </w:rPr>
            </w:pPr>
            <w:r w:rsidRPr="00AB0198">
              <w:rPr>
                <w:rFonts w:eastAsia="Calibri"/>
                <w:sz w:val="20"/>
                <w:lang w:val="fr-CA"/>
              </w:rPr>
              <w:t>10 septembre 2009</w:t>
            </w:r>
          </w:p>
          <w:p w:rsidR="0070151D" w:rsidRPr="00AB0198" w:rsidRDefault="0070151D" w:rsidP="0070151D">
            <w:pPr>
              <w:jc w:val="both"/>
              <w:rPr>
                <w:rFonts w:eastAsia="Calibri"/>
                <w:sz w:val="20"/>
                <w:lang w:val="fr-CA"/>
              </w:rPr>
            </w:pPr>
            <w:r w:rsidRPr="00AB0198">
              <w:rPr>
                <w:rFonts w:eastAsia="Calibri"/>
                <w:sz w:val="20"/>
                <w:lang w:val="fr-CA"/>
              </w:rPr>
              <w:t>Cour canadienne de l’impôt</w:t>
            </w:r>
          </w:p>
          <w:p w:rsidR="0070151D" w:rsidRPr="00AB0198" w:rsidRDefault="0070151D" w:rsidP="0070151D">
            <w:pPr>
              <w:jc w:val="both"/>
              <w:rPr>
                <w:rFonts w:eastAsia="Calibri"/>
                <w:sz w:val="20"/>
                <w:lang w:val="fr-CA"/>
              </w:rPr>
            </w:pPr>
            <w:r w:rsidRPr="00AB0198">
              <w:rPr>
                <w:rFonts w:eastAsia="Calibri"/>
                <w:sz w:val="20"/>
                <w:lang w:val="fr-CA"/>
              </w:rPr>
              <w:t xml:space="preserve">(Juge </w:t>
            </w:r>
            <w:proofErr w:type="spellStart"/>
            <w:r w:rsidRPr="00AB0198">
              <w:rPr>
                <w:rFonts w:eastAsia="Calibri"/>
                <w:sz w:val="20"/>
                <w:lang w:val="fr-CA"/>
              </w:rPr>
              <w:t>Woods</w:t>
            </w:r>
            <w:proofErr w:type="spellEnd"/>
            <w:r w:rsidRPr="00AB0198">
              <w:rPr>
                <w:rFonts w:eastAsia="Calibri"/>
                <w:sz w:val="20"/>
                <w:lang w:val="fr-CA"/>
              </w:rPr>
              <w:t>)</w:t>
            </w:r>
          </w:p>
          <w:p w:rsidR="0070151D" w:rsidRPr="00AB0198" w:rsidRDefault="0070151D" w:rsidP="0070151D">
            <w:pPr>
              <w:jc w:val="both"/>
              <w:rPr>
                <w:rFonts w:eastAsia="Calibri"/>
                <w:sz w:val="20"/>
                <w:lang w:val="fr-CA"/>
              </w:rPr>
            </w:pPr>
            <w:r w:rsidRPr="00AB0198">
              <w:rPr>
                <w:rFonts w:eastAsia="Calibri"/>
                <w:sz w:val="20"/>
                <w:lang w:val="fr-CA"/>
              </w:rPr>
              <w:t>2009 CCI 450</w:t>
            </w:r>
          </w:p>
          <w:p w:rsidR="0070151D" w:rsidRPr="00AB0198" w:rsidRDefault="0070151D" w:rsidP="0070151D">
            <w:pPr>
              <w:jc w:val="both"/>
              <w:rPr>
                <w:rFonts w:eastAsia="Calibri"/>
                <w:sz w:val="20"/>
                <w:lang w:val="fr-CA"/>
              </w:rPr>
            </w:pPr>
          </w:p>
        </w:tc>
        <w:tc>
          <w:tcPr>
            <w:tcW w:w="243" w:type="pct"/>
          </w:tcPr>
          <w:p w:rsidR="0070151D" w:rsidRPr="00AB0198" w:rsidRDefault="0070151D" w:rsidP="0070151D">
            <w:pPr>
              <w:jc w:val="both"/>
              <w:rPr>
                <w:rFonts w:eastAsia="Calibri"/>
                <w:sz w:val="20"/>
                <w:lang w:val="fr-CA"/>
              </w:rPr>
            </w:pPr>
          </w:p>
        </w:tc>
        <w:tc>
          <w:tcPr>
            <w:tcW w:w="2330" w:type="pct"/>
          </w:tcPr>
          <w:p w:rsidR="0070151D" w:rsidRPr="00AB0198" w:rsidRDefault="0070151D" w:rsidP="0070151D">
            <w:pPr>
              <w:jc w:val="both"/>
              <w:rPr>
                <w:rFonts w:eastAsia="Calibri"/>
                <w:sz w:val="20"/>
                <w:lang w:val="fr-CA"/>
              </w:rPr>
            </w:pPr>
            <w:r w:rsidRPr="00AB0198">
              <w:rPr>
                <w:rFonts w:eastAsia="Calibri"/>
                <w:sz w:val="20"/>
                <w:lang w:val="fr-CA"/>
              </w:rPr>
              <w:t>Appel de la demanderesse de sa cotisation pour l’année d’imposition 2000, rejeté</w:t>
            </w:r>
          </w:p>
          <w:p w:rsidR="0070151D" w:rsidRPr="00AB0198" w:rsidRDefault="0070151D" w:rsidP="0070151D">
            <w:pPr>
              <w:jc w:val="both"/>
              <w:rPr>
                <w:rFonts w:eastAsia="Calibri"/>
                <w:sz w:val="20"/>
                <w:lang w:val="fr-CA"/>
              </w:rPr>
            </w:pPr>
          </w:p>
        </w:tc>
      </w:tr>
      <w:tr w:rsidR="0070151D" w:rsidRPr="00AB0198" w:rsidTr="0070151D">
        <w:tc>
          <w:tcPr>
            <w:tcW w:w="2427" w:type="pct"/>
          </w:tcPr>
          <w:p w:rsidR="0070151D" w:rsidRPr="00AB0198" w:rsidRDefault="0070151D" w:rsidP="0070151D">
            <w:pPr>
              <w:jc w:val="both"/>
              <w:rPr>
                <w:rFonts w:eastAsia="Calibri"/>
                <w:sz w:val="20"/>
                <w:lang w:val="fr-CA"/>
              </w:rPr>
            </w:pPr>
            <w:r w:rsidRPr="00AB0198">
              <w:rPr>
                <w:rFonts w:eastAsia="Calibri"/>
                <w:sz w:val="20"/>
                <w:lang w:val="fr-CA"/>
              </w:rPr>
              <w:t>17 novembre 2010</w:t>
            </w:r>
          </w:p>
          <w:p w:rsidR="0070151D" w:rsidRPr="00AB0198" w:rsidRDefault="0070151D" w:rsidP="0070151D">
            <w:pPr>
              <w:jc w:val="both"/>
              <w:rPr>
                <w:rFonts w:eastAsia="Calibri"/>
                <w:sz w:val="20"/>
                <w:lang w:val="fr-CA"/>
              </w:rPr>
            </w:pPr>
            <w:r w:rsidRPr="00AB0198">
              <w:rPr>
                <w:rFonts w:eastAsia="Calibri"/>
                <w:sz w:val="20"/>
                <w:lang w:val="fr-CA"/>
              </w:rPr>
              <w:t>Cour d’appel fédérale</w:t>
            </w:r>
          </w:p>
          <w:p w:rsidR="0070151D" w:rsidRPr="00AB0198" w:rsidRDefault="0070151D" w:rsidP="0070151D">
            <w:pPr>
              <w:jc w:val="both"/>
              <w:rPr>
                <w:rFonts w:eastAsia="Calibri"/>
                <w:sz w:val="20"/>
                <w:lang w:val="fr-CA"/>
              </w:rPr>
            </w:pPr>
            <w:r w:rsidRPr="00AB0198">
              <w:rPr>
                <w:rFonts w:eastAsia="Calibri"/>
                <w:sz w:val="20"/>
                <w:lang w:val="fr-CA"/>
              </w:rPr>
              <w:t xml:space="preserve">(Juges Nadon, </w:t>
            </w:r>
            <w:proofErr w:type="spellStart"/>
            <w:r w:rsidRPr="00AB0198">
              <w:rPr>
                <w:rFonts w:eastAsia="Calibri"/>
                <w:sz w:val="20"/>
                <w:lang w:val="fr-CA"/>
              </w:rPr>
              <w:t>Sharlow</w:t>
            </w:r>
            <w:proofErr w:type="spellEnd"/>
            <w:r w:rsidRPr="00AB0198">
              <w:rPr>
                <w:rFonts w:eastAsia="Calibri"/>
                <w:sz w:val="20"/>
                <w:lang w:val="fr-CA"/>
              </w:rPr>
              <w:t xml:space="preserve">  et  </w:t>
            </w:r>
            <w:proofErr w:type="spellStart"/>
            <w:r w:rsidRPr="00AB0198">
              <w:rPr>
                <w:rFonts w:eastAsia="Calibri"/>
                <w:sz w:val="20"/>
                <w:lang w:val="fr-CA"/>
              </w:rPr>
              <w:t>Stratas</w:t>
            </w:r>
            <w:proofErr w:type="spellEnd"/>
            <w:r w:rsidRPr="00AB0198">
              <w:rPr>
                <w:rFonts w:eastAsia="Calibri"/>
                <w:sz w:val="20"/>
                <w:lang w:val="fr-CA"/>
              </w:rPr>
              <w:t>)</w:t>
            </w:r>
          </w:p>
          <w:p w:rsidR="0070151D" w:rsidRPr="00AB0198" w:rsidRDefault="0070151D" w:rsidP="0070151D">
            <w:pPr>
              <w:jc w:val="both"/>
              <w:rPr>
                <w:rFonts w:eastAsia="Calibri"/>
                <w:sz w:val="20"/>
                <w:lang w:val="fr-CA"/>
              </w:rPr>
            </w:pPr>
            <w:r w:rsidRPr="00AB0198">
              <w:rPr>
                <w:rFonts w:eastAsia="Calibri"/>
                <w:sz w:val="20"/>
                <w:lang w:val="fr-CA"/>
              </w:rPr>
              <w:t>2010 CAF 309; A</w:t>
            </w:r>
            <w:r w:rsidRPr="00AB0198">
              <w:rPr>
                <w:rFonts w:eastAsia="Calibri"/>
                <w:sz w:val="20"/>
                <w:lang w:val="fr-CA"/>
              </w:rPr>
              <w:noBreakHyphen/>
              <w:t>419</w:t>
            </w:r>
            <w:r w:rsidRPr="00AB0198">
              <w:rPr>
                <w:rFonts w:eastAsia="Calibri"/>
                <w:sz w:val="20"/>
                <w:lang w:val="fr-CA"/>
              </w:rPr>
              <w:noBreakHyphen/>
              <w:t>09</w:t>
            </w:r>
          </w:p>
          <w:p w:rsidR="0070151D" w:rsidRPr="00AB0198" w:rsidRDefault="0070151D" w:rsidP="0070151D">
            <w:pPr>
              <w:jc w:val="both"/>
              <w:rPr>
                <w:rFonts w:eastAsia="Calibri"/>
                <w:sz w:val="20"/>
                <w:lang w:val="fr-CA"/>
              </w:rPr>
            </w:pPr>
          </w:p>
        </w:tc>
        <w:tc>
          <w:tcPr>
            <w:tcW w:w="243" w:type="pct"/>
          </w:tcPr>
          <w:p w:rsidR="0070151D" w:rsidRPr="00AB0198" w:rsidRDefault="0070151D" w:rsidP="0070151D">
            <w:pPr>
              <w:jc w:val="both"/>
              <w:rPr>
                <w:rFonts w:eastAsia="Calibri"/>
                <w:sz w:val="20"/>
                <w:lang w:val="fr-CA"/>
              </w:rPr>
            </w:pPr>
          </w:p>
        </w:tc>
        <w:tc>
          <w:tcPr>
            <w:tcW w:w="2330" w:type="pct"/>
          </w:tcPr>
          <w:p w:rsidR="0070151D" w:rsidRPr="00AB0198" w:rsidRDefault="0070151D" w:rsidP="0070151D">
            <w:pPr>
              <w:jc w:val="both"/>
              <w:rPr>
                <w:rFonts w:eastAsia="Calibri"/>
                <w:sz w:val="20"/>
                <w:lang w:val="fr-CA"/>
              </w:rPr>
            </w:pPr>
            <w:r w:rsidRPr="00AB0198">
              <w:rPr>
                <w:rFonts w:eastAsia="Calibri"/>
                <w:sz w:val="20"/>
                <w:lang w:val="fr-CA"/>
              </w:rPr>
              <w:t>Appel rejeté</w:t>
            </w:r>
          </w:p>
          <w:p w:rsidR="0070151D" w:rsidRPr="00AB0198" w:rsidRDefault="0070151D" w:rsidP="0070151D">
            <w:pPr>
              <w:jc w:val="both"/>
              <w:rPr>
                <w:rFonts w:eastAsia="Calibri"/>
                <w:sz w:val="20"/>
                <w:lang w:val="fr-CA"/>
              </w:rPr>
            </w:pPr>
          </w:p>
        </w:tc>
      </w:tr>
      <w:tr w:rsidR="0070151D" w:rsidRPr="00AB0198" w:rsidTr="0070151D">
        <w:tc>
          <w:tcPr>
            <w:tcW w:w="2427" w:type="pct"/>
          </w:tcPr>
          <w:p w:rsidR="0070151D" w:rsidRPr="00AB0198" w:rsidRDefault="0070151D" w:rsidP="0070151D">
            <w:pPr>
              <w:jc w:val="both"/>
              <w:rPr>
                <w:rFonts w:eastAsia="Calibri"/>
                <w:sz w:val="20"/>
                <w:lang w:val="fr-CA"/>
              </w:rPr>
            </w:pPr>
            <w:r w:rsidRPr="00AB0198">
              <w:rPr>
                <w:rFonts w:eastAsia="Calibri"/>
                <w:sz w:val="20"/>
                <w:lang w:val="fr-CA"/>
              </w:rPr>
              <w:t>14 janvier 2011</w:t>
            </w:r>
          </w:p>
          <w:p w:rsidR="0070151D" w:rsidRPr="00AB0198" w:rsidRDefault="0070151D" w:rsidP="0070151D">
            <w:pPr>
              <w:jc w:val="both"/>
              <w:rPr>
                <w:rFonts w:eastAsia="Calibri"/>
                <w:sz w:val="20"/>
                <w:lang w:val="fr-CA"/>
              </w:rPr>
            </w:pPr>
            <w:r w:rsidRPr="00AB0198">
              <w:rPr>
                <w:rFonts w:eastAsia="Calibri"/>
                <w:sz w:val="20"/>
                <w:lang w:val="fr-CA"/>
              </w:rPr>
              <w:t>Cour suprême du Canada</w:t>
            </w:r>
          </w:p>
        </w:tc>
        <w:tc>
          <w:tcPr>
            <w:tcW w:w="243" w:type="pct"/>
          </w:tcPr>
          <w:p w:rsidR="0070151D" w:rsidRPr="00AB0198" w:rsidRDefault="0070151D" w:rsidP="0070151D">
            <w:pPr>
              <w:jc w:val="both"/>
              <w:rPr>
                <w:rFonts w:eastAsia="Calibri"/>
                <w:sz w:val="20"/>
                <w:lang w:val="fr-CA"/>
              </w:rPr>
            </w:pPr>
          </w:p>
        </w:tc>
        <w:tc>
          <w:tcPr>
            <w:tcW w:w="2330" w:type="pct"/>
          </w:tcPr>
          <w:p w:rsidR="0070151D" w:rsidRPr="00AB0198" w:rsidRDefault="0070151D" w:rsidP="0070151D">
            <w:pPr>
              <w:jc w:val="both"/>
              <w:rPr>
                <w:rFonts w:eastAsia="Calibri"/>
                <w:sz w:val="20"/>
                <w:lang w:val="fr-CA"/>
              </w:rPr>
            </w:pPr>
            <w:r w:rsidRPr="00AB0198">
              <w:rPr>
                <w:rFonts w:eastAsia="Calibri"/>
                <w:sz w:val="20"/>
                <w:lang w:val="fr-CA"/>
              </w:rPr>
              <w:t>Demande d’autorisation d’appel, déposée</w:t>
            </w:r>
          </w:p>
          <w:p w:rsidR="0070151D" w:rsidRPr="00AB0198" w:rsidRDefault="0070151D" w:rsidP="0070151D">
            <w:pPr>
              <w:jc w:val="both"/>
              <w:rPr>
                <w:rFonts w:eastAsia="Calibri"/>
                <w:sz w:val="20"/>
                <w:lang w:val="fr-CA"/>
              </w:rPr>
            </w:pPr>
          </w:p>
        </w:tc>
      </w:tr>
    </w:tbl>
    <w:p w:rsidR="00900073" w:rsidRPr="00C50A5C" w:rsidRDefault="00900073" w:rsidP="00900073">
      <w:pPr>
        <w:rPr>
          <w:sz w:val="20"/>
          <w:szCs w:val="20"/>
        </w:rPr>
      </w:pPr>
    </w:p>
    <w:p w:rsidR="00900073" w:rsidRPr="00C50A5C" w:rsidRDefault="00547297" w:rsidP="00900073">
      <w:pPr>
        <w:rPr>
          <w:sz w:val="20"/>
          <w:szCs w:val="20"/>
        </w:rPr>
      </w:pPr>
      <w:r w:rsidRPr="00547297">
        <w:rPr>
          <w:sz w:val="20"/>
          <w:szCs w:val="20"/>
          <w:lang w:val="fr-CA"/>
        </w:rPr>
        <w:pict>
          <v:rect id="_x0000_i1044" style="width:2in;height:1pt" o:hrpct="0" o:hralign="center" o:hrstd="t" o:hrnoshade="t" o:hr="t" fillcolor="black [3213]" stroked="f"/>
        </w:pict>
      </w:r>
    </w:p>
    <w:p w:rsidR="00900073" w:rsidRDefault="00900073" w:rsidP="00900073">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52AF7" w:rsidRPr="00A52AF7" w:rsidTr="007F2048">
        <w:trPr>
          <w:cantSplit/>
        </w:trPr>
        <w:tc>
          <w:tcPr>
            <w:tcW w:w="1458" w:type="dxa"/>
          </w:tcPr>
          <w:p w:rsidR="00A52AF7" w:rsidRPr="00A52AF7" w:rsidRDefault="00A52AF7" w:rsidP="007F2048">
            <w:pPr>
              <w:rPr>
                <w:sz w:val="20"/>
                <w:szCs w:val="20"/>
              </w:rPr>
            </w:pPr>
            <w:r w:rsidRPr="00A52AF7">
              <w:rPr>
                <w:rStyle w:val="SCCFileNumberChar"/>
                <w:sz w:val="20"/>
                <w:szCs w:val="20"/>
              </w:rPr>
              <w:t>34057</w:t>
            </w:r>
          </w:p>
          <w:p w:rsidR="00A52AF7" w:rsidRPr="00A52AF7" w:rsidRDefault="00A52AF7" w:rsidP="007F2048">
            <w:pPr>
              <w:rPr>
                <w:b/>
                <w:sz w:val="20"/>
                <w:szCs w:val="20"/>
                <w:lang w:val="fr-CA"/>
              </w:rPr>
            </w:pPr>
          </w:p>
        </w:tc>
        <w:tc>
          <w:tcPr>
            <w:tcW w:w="8118" w:type="dxa"/>
          </w:tcPr>
          <w:p w:rsidR="00A52AF7" w:rsidRPr="00A52AF7" w:rsidRDefault="00A52AF7" w:rsidP="007F2048">
            <w:pPr>
              <w:jc w:val="both"/>
              <w:rPr>
                <w:sz w:val="20"/>
                <w:szCs w:val="20"/>
              </w:rPr>
            </w:pPr>
            <w:proofErr w:type="spellStart"/>
            <w:r w:rsidRPr="00A52AF7">
              <w:rPr>
                <w:rStyle w:val="SCCLsocChar"/>
                <w:sz w:val="20"/>
                <w:szCs w:val="20"/>
                <w:lang w:val="en-US"/>
              </w:rPr>
              <w:t>St.Michael</w:t>
            </w:r>
            <w:proofErr w:type="spellEnd"/>
            <w:r w:rsidRPr="00A52AF7">
              <w:rPr>
                <w:rStyle w:val="SCCLsocChar"/>
                <w:sz w:val="20"/>
                <w:szCs w:val="20"/>
                <w:lang w:val="en-US"/>
              </w:rPr>
              <w:t xml:space="preserve"> Trust Corp., as Trustee of the </w:t>
            </w:r>
            <w:proofErr w:type="spellStart"/>
            <w:r w:rsidRPr="00A52AF7">
              <w:rPr>
                <w:rStyle w:val="SCCLsocChar"/>
                <w:sz w:val="20"/>
                <w:szCs w:val="20"/>
                <w:lang w:val="en-US"/>
              </w:rPr>
              <w:t>Summersby</w:t>
            </w:r>
            <w:proofErr w:type="spellEnd"/>
            <w:r w:rsidRPr="00A52AF7">
              <w:rPr>
                <w:rStyle w:val="SCCLsocChar"/>
                <w:sz w:val="20"/>
                <w:szCs w:val="20"/>
                <w:lang w:val="en-US"/>
              </w:rPr>
              <w:t xml:space="preserve"> Settlement v. Her Majesty the Queen</w:t>
            </w:r>
            <w:r w:rsidRPr="00A52AF7">
              <w:rPr>
                <w:sz w:val="20"/>
                <w:szCs w:val="20"/>
              </w:rPr>
              <w:t xml:space="preserve"> (F</w:t>
            </w:r>
            <w:r w:rsidR="007F2048">
              <w:rPr>
                <w:sz w:val="20"/>
                <w:szCs w:val="20"/>
              </w:rPr>
              <w:t>.</w:t>
            </w:r>
            <w:r w:rsidRPr="00A52AF7">
              <w:rPr>
                <w:sz w:val="20"/>
                <w:szCs w:val="20"/>
              </w:rPr>
              <w:t>C</w:t>
            </w:r>
            <w:r w:rsidR="007F2048">
              <w:rPr>
                <w:sz w:val="20"/>
                <w:szCs w:val="20"/>
              </w:rPr>
              <w:t>.</w:t>
            </w:r>
            <w:r w:rsidRPr="00A52AF7">
              <w:rPr>
                <w:sz w:val="20"/>
                <w:szCs w:val="20"/>
              </w:rPr>
              <w:t>) (Civil) (By Leave)</w:t>
            </w:r>
          </w:p>
          <w:p w:rsidR="00A52AF7" w:rsidRPr="00A52AF7" w:rsidRDefault="00A52AF7" w:rsidP="007F2048">
            <w:pPr>
              <w:rPr>
                <w:sz w:val="20"/>
                <w:szCs w:val="20"/>
              </w:rPr>
            </w:pPr>
          </w:p>
        </w:tc>
      </w:tr>
      <w:tr w:rsidR="00A52AF7" w:rsidRPr="00A52AF7" w:rsidTr="007F2048">
        <w:trPr>
          <w:cantSplit/>
        </w:trPr>
        <w:tc>
          <w:tcPr>
            <w:tcW w:w="1458" w:type="dxa"/>
          </w:tcPr>
          <w:p w:rsidR="00A52AF7" w:rsidRPr="00A52AF7" w:rsidRDefault="00A52AF7" w:rsidP="007F2048">
            <w:pPr>
              <w:rPr>
                <w:sz w:val="20"/>
                <w:szCs w:val="20"/>
              </w:rPr>
            </w:pPr>
            <w:r w:rsidRPr="00A52AF7">
              <w:rPr>
                <w:sz w:val="20"/>
                <w:szCs w:val="20"/>
              </w:rPr>
              <w:t>Coram :</w:t>
            </w:r>
          </w:p>
        </w:tc>
        <w:tc>
          <w:tcPr>
            <w:tcW w:w="8118" w:type="dxa"/>
          </w:tcPr>
          <w:p w:rsidR="00A52AF7" w:rsidRPr="00A52AF7" w:rsidRDefault="00A52AF7" w:rsidP="007F2048">
            <w:pPr>
              <w:rPr>
                <w:sz w:val="20"/>
                <w:szCs w:val="20"/>
              </w:rPr>
            </w:pPr>
            <w:proofErr w:type="spellStart"/>
            <w:r w:rsidRPr="00A52AF7">
              <w:rPr>
                <w:rStyle w:val="SCCCoramChar"/>
                <w:sz w:val="20"/>
                <w:szCs w:val="20"/>
                <w:lang w:val="en-US"/>
              </w:rPr>
              <w:t>Binnie</w:t>
            </w:r>
            <w:proofErr w:type="spellEnd"/>
            <w:r w:rsidRPr="00A52AF7">
              <w:rPr>
                <w:rStyle w:val="SCCCoramChar"/>
                <w:sz w:val="20"/>
                <w:szCs w:val="20"/>
                <w:lang w:val="en-US"/>
              </w:rPr>
              <w:t xml:space="preserve">, </w:t>
            </w:r>
            <w:proofErr w:type="spellStart"/>
            <w:r w:rsidRPr="00A52AF7">
              <w:rPr>
                <w:rStyle w:val="SCCCoramChar"/>
                <w:sz w:val="20"/>
                <w:szCs w:val="20"/>
                <w:lang w:val="en-US"/>
              </w:rPr>
              <w:t>Abella</w:t>
            </w:r>
            <w:proofErr w:type="spellEnd"/>
            <w:r w:rsidRPr="00A52AF7">
              <w:rPr>
                <w:rStyle w:val="SCCCoramChar"/>
                <w:sz w:val="20"/>
                <w:szCs w:val="20"/>
                <w:lang w:val="en-US"/>
              </w:rPr>
              <w:t xml:space="preserve"> and Rothstein JJ.</w:t>
            </w:r>
          </w:p>
          <w:p w:rsidR="00A52AF7" w:rsidRPr="00A52AF7" w:rsidRDefault="00A52AF7" w:rsidP="007F2048">
            <w:pPr>
              <w:rPr>
                <w:sz w:val="20"/>
                <w:szCs w:val="20"/>
                <w:u w:val="single"/>
              </w:rPr>
            </w:pPr>
          </w:p>
        </w:tc>
      </w:tr>
      <w:tr w:rsidR="00A52AF7" w:rsidRPr="002D1834" w:rsidTr="007F2048">
        <w:trPr>
          <w:cantSplit/>
        </w:trPr>
        <w:tc>
          <w:tcPr>
            <w:tcW w:w="9576" w:type="dxa"/>
            <w:gridSpan w:val="2"/>
          </w:tcPr>
          <w:p w:rsidR="00A52AF7" w:rsidRPr="00A52AF7" w:rsidRDefault="00A52AF7" w:rsidP="007F2048">
            <w:pPr>
              <w:pStyle w:val="SCCShortJudgment"/>
              <w:rPr>
                <w:szCs w:val="20"/>
              </w:rPr>
            </w:pPr>
            <w:r w:rsidRPr="00A52AF7">
              <w:rPr>
                <w:szCs w:val="20"/>
              </w:rPr>
              <w:t>The application for leave to appeal from the judgment of the Federal Court of Appeal, Number A-420-09, 2010 FCA 309, dated November 17, 2010, is granted with costs in the cause.</w:t>
            </w:r>
          </w:p>
          <w:p w:rsidR="00A52AF7" w:rsidRPr="00A52AF7" w:rsidRDefault="00A52AF7" w:rsidP="007F2048">
            <w:pPr>
              <w:pStyle w:val="SCCShortJudgment"/>
              <w:ind w:firstLine="0"/>
              <w:rPr>
                <w:szCs w:val="20"/>
              </w:rPr>
            </w:pPr>
          </w:p>
          <w:p w:rsidR="00A52AF7" w:rsidRPr="00A52AF7" w:rsidRDefault="00A52AF7" w:rsidP="00A52AF7">
            <w:pPr>
              <w:pStyle w:val="SCCShortJudgment"/>
              <w:rPr>
                <w:szCs w:val="20"/>
                <w:lang w:val="fr-CA"/>
              </w:rPr>
            </w:pPr>
            <w:r w:rsidRPr="00A52AF7">
              <w:rPr>
                <w:szCs w:val="20"/>
                <w:lang w:val="fr-CA"/>
              </w:rPr>
              <w:t>La demande d’autorisation d’appel de l’arrêt de la Cour d’appel fédérale, numéro A-420-09, 2010 CAF 309, daté du 17 novembre 2010, est accordée avec dépens suivant l’issue de la cause.</w:t>
            </w:r>
          </w:p>
          <w:p w:rsidR="00A52AF7" w:rsidRPr="00A52AF7" w:rsidRDefault="00A52AF7" w:rsidP="007F2048">
            <w:pPr>
              <w:rPr>
                <w:sz w:val="20"/>
                <w:szCs w:val="20"/>
                <w:lang w:val="fr-CA"/>
              </w:rPr>
            </w:pPr>
          </w:p>
        </w:tc>
      </w:tr>
    </w:tbl>
    <w:p w:rsidR="0070151D" w:rsidRPr="00C50A5C" w:rsidRDefault="0070151D" w:rsidP="0070151D">
      <w:pPr>
        <w:keepNext/>
        <w:rPr>
          <w:sz w:val="20"/>
          <w:szCs w:val="20"/>
        </w:rPr>
      </w:pPr>
      <w:r w:rsidRPr="00C50A5C">
        <w:rPr>
          <w:sz w:val="20"/>
          <w:szCs w:val="20"/>
          <w:u w:val="single"/>
        </w:rPr>
        <w:t>CASE SUMMARY</w:t>
      </w:r>
    </w:p>
    <w:p w:rsidR="0070151D" w:rsidRDefault="0070151D" w:rsidP="0070151D"/>
    <w:p w:rsidR="006C3BEE" w:rsidRDefault="006C3BEE" w:rsidP="007F2048">
      <w:pPr>
        <w:jc w:val="both"/>
        <w:rPr>
          <w:sz w:val="20"/>
        </w:rPr>
      </w:pPr>
      <w:r w:rsidRPr="00A74A70">
        <w:rPr>
          <w:sz w:val="20"/>
        </w:rPr>
        <w:t xml:space="preserve">Taxation — Income tax — Trusts — Residency — Legislation — Interpretation — What is the proper test for determining the residence of a trust for income tax purposes — </w:t>
      </w:r>
      <w:r w:rsidRPr="00A74A70">
        <w:rPr>
          <w:i/>
          <w:sz w:val="20"/>
        </w:rPr>
        <w:t>Income Tax Act</w:t>
      </w:r>
      <w:r w:rsidRPr="00A74A70">
        <w:rPr>
          <w:sz w:val="20"/>
        </w:rPr>
        <w:t>, R.S.C. 1985, c. 1 (5</w:t>
      </w:r>
      <w:r w:rsidRPr="00A74A70">
        <w:rPr>
          <w:sz w:val="20"/>
          <w:vertAlign w:val="superscript"/>
        </w:rPr>
        <w:t>th</w:t>
      </w:r>
      <w:r w:rsidRPr="00A74A70">
        <w:rPr>
          <w:sz w:val="20"/>
        </w:rPr>
        <w:t xml:space="preserve"> Supp.) (</w:t>
      </w:r>
      <w:proofErr w:type="gramStart"/>
      <w:r w:rsidRPr="00A74A70">
        <w:rPr>
          <w:sz w:val="20"/>
        </w:rPr>
        <w:t>the</w:t>
      </w:r>
      <w:proofErr w:type="gramEnd"/>
      <w:r w:rsidRPr="00A74A70">
        <w:rPr>
          <w:sz w:val="20"/>
        </w:rPr>
        <w:t xml:space="preserve"> “</w:t>
      </w:r>
      <w:r w:rsidRPr="00A74A70">
        <w:rPr>
          <w:i/>
          <w:sz w:val="20"/>
        </w:rPr>
        <w:t>Act</w:t>
      </w:r>
      <w:r w:rsidRPr="00A74A70">
        <w:rPr>
          <w:sz w:val="20"/>
        </w:rPr>
        <w:t>”), sections 94(1) and 245.</w:t>
      </w:r>
    </w:p>
    <w:p w:rsidR="006C3BEE" w:rsidRPr="00A74A70" w:rsidRDefault="006C3BEE" w:rsidP="007F2048">
      <w:pPr>
        <w:jc w:val="both"/>
        <w:rPr>
          <w:sz w:val="20"/>
        </w:rPr>
      </w:pPr>
      <w:r w:rsidRPr="00A74A70">
        <w:rPr>
          <w:sz w:val="20"/>
        </w:rPr>
        <w:lastRenderedPageBreak/>
        <w:t xml:space="preserve">The applicant is the trustee of the </w:t>
      </w:r>
      <w:proofErr w:type="spellStart"/>
      <w:r w:rsidRPr="00A74A70">
        <w:rPr>
          <w:sz w:val="20"/>
        </w:rPr>
        <w:t>Summersby</w:t>
      </w:r>
      <w:proofErr w:type="spellEnd"/>
      <w:r w:rsidRPr="00A74A70">
        <w:rPr>
          <w:sz w:val="20"/>
        </w:rPr>
        <w:t xml:space="preserve"> Settlement (the “Trust”).  The Trust was settled by an individual resident in the Caribbean island of St. Vincent and had Canadian beneficiaries. The trustee is a corporation resident in Barbados.  When the Trust disposed of shares it owned in a Canadian corporation, the purchaser remitted amounts to the Canadian government in accordance with s. 116 of the </w:t>
      </w:r>
      <w:r w:rsidRPr="00A74A70">
        <w:rPr>
          <w:i/>
          <w:sz w:val="20"/>
        </w:rPr>
        <w:t>Act</w:t>
      </w:r>
      <w:r w:rsidRPr="00A74A70">
        <w:rPr>
          <w:sz w:val="20"/>
        </w:rPr>
        <w:t xml:space="preserve">, on account of potential tax from the capital gains realised.  The trustee sought a return of the withheld amount, claiming an exemption from tax pursuant to the </w:t>
      </w:r>
      <w:r w:rsidRPr="00A74A70">
        <w:rPr>
          <w:i/>
          <w:sz w:val="20"/>
        </w:rPr>
        <w:t xml:space="preserve">Agreement Between Canada and Barbados for the Avoidance of Double Taxation and the Prevention of Fiscal Evasion with Respect to Taxes on Income and Capital.  </w:t>
      </w:r>
      <w:r w:rsidRPr="00A74A70">
        <w:rPr>
          <w:sz w:val="20"/>
        </w:rPr>
        <w:t xml:space="preserve">Under the exemption, tax would only be payable in the country in which the seller was resident, and the trustee claimed that the Trust is a resident of Barbados. </w:t>
      </w:r>
    </w:p>
    <w:p w:rsidR="006C3BEE" w:rsidRPr="00A74A70" w:rsidRDefault="006C3BEE" w:rsidP="007F2048">
      <w:pPr>
        <w:jc w:val="both"/>
        <w:rPr>
          <w:sz w:val="20"/>
        </w:rPr>
      </w:pPr>
    </w:p>
    <w:p w:rsidR="006C3BEE" w:rsidRPr="00A74A70" w:rsidRDefault="006C3BEE" w:rsidP="007F2048">
      <w:pPr>
        <w:jc w:val="both"/>
        <w:rPr>
          <w:sz w:val="20"/>
        </w:rPr>
      </w:pPr>
      <w:r w:rsidRPr="00A74A70">
        <w:rPr>
          <w:sz w:val="20"/>
        </w:rPr>
        <w:t xml:space="preserve">The Minister of National Revenue took the position that the exemption did not apply because the Trust was a resident of Canada, and issued assessments under the </w:t>
      </w:r>
      <w:r w:rsidRPr="00A74A70">
        <w:rPr>
          <w:i/>
          <w:sz w:val="20"/>
        </w:rPr>
        <w:t>Act</w:t>
      </w:r>
      <w:r w:rsidRPr="00A74A70">
        <w:rPr>
          <w:sz w:val="20"/>
        </w:rPr>
        <w:t>. The trustee appealed the assessments on behalf of the Trust.  The Tax Court of Canada and the Federal Court of Appeal dismissed the appeals.</w:t>
      </w:r>
    </w:p>
    <w:p w:rsidR="006C3BEE" w:rsidRDefault="006C3BEE"/>
    <w:tbl>
      <w:tblPr>
        <w:tblW w:w="4952" w:type="pct"/>
        <w:tblLayout w:type="fixed"/>
        <w:tblCellMar>
          <w:left w:w="0" w:type="dxa"/>
          <w:bottom w:w="99" w:type="dxa"/>
          <w:right w:w="0" w:type="dxa"/>
        </w:tblCellMar>
        <w:tblLook w:val="04A0"/>
      </w:tblPr>
      <w:tblGrid>
        <w:gridCol w:w="4624"/>
        <w:gridCol w:w="463"/>
        <w:gridCol w:w="4440"/>
      </w:tblGrid>
      <w:tr w:rsidR="006C3BEE" w:rsidRPr="00A74A70" w:rsidTr="007F2048">
        <w:tc>
          <w:tcPr>
            <w:tcW w:w="2427" w:type="pct"/>
          </w:tcPr>
          <w:p w:rsidR="006C3BEE" w:rsidRPr="00A74A70" w:rsidRDefault="006C3BEE" w:rsidP="007F2048">
            <w:pPr>
              <w:rPr>
                <w:sz w:val="20"/>
              </w:rPr>
            </w:pPr>
            <w:r w:rsidRPr="00A74A70">
              <w:rPr>
                <w:sz w:val="20"/>
              </w:rPr>
              <w:t>September 10, 2009</w:t>
            </w:r>
          </w:p>
          <w:p w:rsidR="006C3BEE" w:rsidRPr="00A74A70" w:rsidRDefault="006C3BEE" w:rsidP="007F2048">
            <w:pPr>
              <w:rPr>
                <w:sz w:val="20"/>
              </w:rPr>
            </w:pPr>
            <w:r w:rsidRPr="00A74A70">
              <w:rPr>
                <w:sz w:val="20"/>
              </w:rPr>
              <w:t>Tax Court of Canada</w:t>
            </w:r>
          </w:p>
          <w:p w:rsidR="006C3BEE" w:rsidRPr="00A74A70" w:rsidRDefault="006C3BEE" w:rsidP="007F2048">
            <w:pPr>
              <w:rPr>
                <w:sz w:val="20"/>
              </w:rPr>
            </w:pPr>
            <w:r w:rsidRPr="00A74A70">
              <w:rPr>
                <w:sz w:val="20"/>
              </w:rPr>
              <w:t>(Woods J.)</w:t>
            </w:r>
          </w:p>
          <w:p w:rsidR="006C3BEE" w:rsidRPr="00A74A70" w:rsidRDefault="006C3BEE" w:rsidP="007F2048">
            <w:pPr>
              <w:rPr>
                <w:sz w:val="20"/>
              </w:rPr>
            </w:pPr>
            <w:r w:rsidRPr="00A74A70">
              <w:rPr>
                <w:sz w:val="20"/>
              </w:rPr>
              <w:t>2009 TCC 450</w:t>
            </w:r>
          </w:p>
          <w:p w:rsidR="006C3BEE" w:rsidRPr="00A74A70" w:rsidRDefault="006C3BEE" w:rsidP="007F2048">
            <w:pPr>
              <w:rPr>
                <w:sz w:val="20"/>
              </w:rPr>
            </w:pPr>
          </w:p>
        </w:tc>
        <w:tc>
          <w:tcPr>
            <w:tcW w:w="243" w:type="pct"/>
          </w:tcPr>
          <w:p w:rsidR="006C3BEE" w:rsidRPr="00A74A70" w:rsidRDefault="006C3BEE" w:rsidP="007F2048">
            <w:pPr>
              <w:rPr>
                <w:sz w:val="20"/>
              </w:rPr>
            </w:pPr>
          </w:p>
        </w:tc>
        <w:tc>
          <w:tcPr>
            <w:tcW w:w="2330" w:type="pct"/>
          </w:tcPr>
          <w:p w:rsidR="006C3BEE" w:rsidRPr="00A74A70" w:rsidRDefault="006C3BEE" w:rsidP="006D6E15">
            <w:pPr>
              <w:jc w:val="both"/>
              <w:rPr>
                <w:sz w:val="20"/>
              </w:rPr>
            </w:pPr>
            <w:r w:rsidRPr="00A74A70">
              <w:rPr>
                <w:sz w:val="20"/>
              </w:rPr>
              <w:t>Applicant’s appeal from its assessment for the 2000 taxation year dismissed</w:t>
            </w:r>
          </w:p>
          <w:p w:rsidR="006C3BEE" w:rsidRPr="00A74A70" w:rsidRDefault="006C3BEE" w:rsidP="007F2048">
            <w:pPr>
              <w:rPr>
                <w:sz w:val="20"/>
              </w:rPr>
            </w:pPr>
          </w:p>
        </w:tc>
      </w:tr>
      <w:tr w:rsidR="006C3BEE" w:rsidRPr="00A74A70" w:rsidTr="007F2048">
        <w:tc>
          <w:tcPr>
            <w:tcW w:w="2427" w:type="pct"/>
          </w:tcPr>
          <w:p w:rsidR="006C3BEE" w:rsidRPr="00A74A70" w:rsidRDefault="006C3BEE" w:rsidP="007F2048">
            <w:pPr>
              <w:rPr>
                <w:sz w:val="20"/>
              </w:rPr>
            </w:pPr>
            <w:r w:rsidRPr="00A74A70">
              <w:rPr>
                <w:sz w:val="20"/>
              </w:rPr>
              <w:t>November 17, 2010</w:t>
            </w:r>
          </w:p>
          <w:p w:rsidR="006C3BEE" w:rsidRPr="00A74A70" w:rsidRDefault="006C3BEE" w:rsidP="007F2048">
            <w:pPr>
              <w:rPr>
                <w:sz w:val="20"/>
              </w:rPr>
            </w:pPr>
            <w:r w:rsidRPr="00A74A70">
              <w:rPr>
                <w:sz w:val="20"/>
              </w:rPr>
              <w:t>Federal Court of Appeal</w:t>
            </w:r>
          </w:p>
          <w:p w:rsidR="006C3BEE" w:rsidRPr="00A74A70" w:rsidRDefault="006C3BEE" w:rsidP="007F2048">
            <w:pPr>
              <w:rPr>
                <w:sz w:val="20"/>
              </w:rPr>
            </w:pPr>
            <w:r w:rsidRPr="00A74A70">
              <w:rPr>
                <w:sz w:val="20"/>
              </w:rPr>
              <w:t>(</w:t>
            </w:r>
            <w:proofErr w:type="spellStart"/>
            <w:r w:rsidRPr="00A74A70">
              <w:rPr>
                <w:sz w:val="20"/>
              </w:rPr>
              <w:t>Nadon</w:t>
            </w:r>
            <w:proofErr w:type="spellEnd"/>
            <w:r w:rsidRPr="00A74A70">
              <w:rPr>
                <w:sz w:val="20"/>
              </w:rPr>
              <w:t xml:space="preserve">, </w:t>
            </w:r>
            <w:proofErr w:type="spellStart"/>
            <w:proofErr w:type="gramStart"/>
            <w:r w:rsidRPr="00A74A70">
              <w:rPr>
                <w:sz w:val="20"/>
              </w:rPr>
              <w:t>Sharlow</w:t>
            </w:r>
            <w:proofErr w:type="spellEnd"/>
            <w:r w:rsidRPr="00A74A70">
              <w:rPr>
                <w:sz w:val="20"/>
              </w:rPr>
              <w:t xml:space="preserve">  and</w:t>
            </w:r>
            <w:proofErr w:type="gramEnd"/>
            <w:r w:rsidRPr="00A74A70">
              <w:rPr>
                <w:sz w:val="20"/>
              </w:rPr>
              <w:t xml:space="preserve">  </w:t>
            </w:r>
            <w:proofErr w:type="spellStart"/>
            <w:r w:rsidRPr="00A74A70">
              <w:rPr>
                <w:sz w:val="20"/>
              </w:rPr>
              <w:t>Stratas</w:t>
            </w:r>
            <w:proofErr w:type="spellEnd"/>
            <w:r w:rsidRPr="00A74A70">
              <w:rPr>
                <w:sz w:val="20"/>
              </w:rPr>
              <w:t xml:space="preserve"> JJ.A.)</w:t>
            </w:r>
          </w:p>
          <w:p w:rsidR="006C3BEE" w:rsidRPr="00A74A70" w:rsidRDefault="006C3BEE" w:rsidP="007F2048">
            <w:pPr>
              <w:rPr>
                <w:sz w:val="20"/>
              </w:rPr>
            </w:pPr>
            <w:r w:rsidRPr="00A74A70">
              <w:rPr>
                <w:sz w:val="20"/>
              </w:rPr>
              <w:t>2010 FCA 309; A</w:t>
            </w:r>
            <w:r w:rsidRPr="00A74A70">
              <w:rPr>
                <w:sz w:val="20"/>
              </w:rPr>
              <w:noBreakHyphen/>
              <w:t>420</w:t>
            </w:r>
            <w:r w:rsidRPr="00A74A70">
              <w:rPr>
                <w:sz w:val="20"/>
              </w:rPr>
              <w:noBreakHyphen/>
              <w:t>09</w:t>
            </w:r>
          </w:p>
          <w:p w:rsidR="006C3BEE" w:rsidRPr="00A74A70" w:rsidRDefault="006C3BEE" w:rsidP="007F2048">
            <w:pPr>
              <w:rPr>
                <w:sz w:val="20"/>
              </w:rPr>
            </w:pPr>
          </w:p>
        </w:tc>
        <w:tc>
          <w:tcPr>
            <w:tcW w:w="243" w:type="pct"/>
          </w:tcPr>
          <w:p w:rsidR="006C3BEE" w:rsidRPr="00A74A70" w:rsidRDefault="006C3BEE" w:rsidP="007F2048">
            <w:pPr>
              <w:rPr>
                <w:sz w:val="20"/>
              </w:rPr>
            </w:pPr>
          </w:p>
        </w:tc>
        <w:tc>
          <w:tcPr>
            <w:tcW w:w="2330" w:type="pct"/>
          </w:tcPr>
          <w:p w:rsidR="006C3BEE" w:rsidRPr="00A74A70" w:rsidRDefault="006C3BEE" w:rsidP="007F2048">
            <w:pPr>
              <w:rPr>
                <w:sz w:val="20"/>
              </w:rPr>
            </w:pPr>
            <w:r w:rsidRPr="00A74A70">
              <w:rPr>
                <w:sz w:val="20"/>
              </w:rPr>
              <w:t>Appeal dismissed</w:t>
            </w:r>
          </w:p>
          <w:p w:rsidR="006C3BEE" w:rsidRPr="00A74A70" w:rsidRDefault="006C3BEE" w:rsidP="007F2048">
            <w:pPr>
              <w:rPr>
                <w:sz w:val="20"/>
              </w:rPr>
            </w:pPr>
          </w:p>
        </w:tc>
      </w:tr>
      <w:tr w:rsidR="006C3BEE" w:rsidRPr="00A74A70" w:rsidTr="007F2048">
        <w:tc>
          <w:tcPr>
            <w:tcW w:w="2427" w:type="pct"/>
          </w:tcPr>
          <w:p w:rsidR="006C3BEE" w:rsidRPr="00A74A70" w:rsidRDefault="006C3BEE" w:rsidP="007F2048">
            <w:pPr>
              <w:rPr>
                <w:sz w:val="20"/>
              </w:rPr>
            </w:pPr>
            <w:r w:rsidRPr="00A74A70">
              <w:rPr>
                <w:sz w:val="20"/>
              </w:rPr>
              <w:t>January 14, 2011</w:t>
            </w:r>
          </w:p>
          <w:p w:rsidR="006C3BEE" w:rsidRPr="00A74A70" w:rsidRDefault="006C3BEE" w:rsidP="007F2048">
            <w:pPr>
              <w:rPr>
                <w:sz w:val="20"/>
              </w:rPr>
            </w:pPr>
            <w:r w:rsidRPr="00A74A70">
              <w:rPr>
                <w:sz w:val="20"/>
              </w:rPr>
              <w:t>Supreme Court of Canada</w:t>
            </w:r>
          </w:p>
        </w:tc>
        <w:tc>
          <w:tcPr>
            <w:tcW w:w="243" w:type="pct"/>
          </w:tcPr>
          <w:p w:rsidR="006C3BEE" w:rsidRPr="00A74A70" w:rsidRDefault="006C3BEE" w:rsidP="007F2048">
            <w:pPr>
              <w:rPr>
                <w:sz w:val="20"/>
              </w:rPr>
            </w:pPr>
          </w:p>
        </w:tc>
        <w:tc>
          <w:tcPr>
            <w:tcW w:w="2330" w:type="pct"/>
          </w:tcPr>
          <w:p w:rsidR="006C3BEE" w:rsidRPr="00A74A70" w:rsidRDefault="006C3BEE" w:rsidP="007F2048">
            <w:pPr>
              <w:rPr>
                <w:sz w:val="20"/>
              </w:rPr>
            </w:pPr>
            <w:r w:rsidRPr="00A74A70">
              <w:rPr>
                <w:sz w:val="20"/>
              </w:rPr>
              <w:t>Application for leave to appeal filed</w:t>
            </w:r>
          </w:p>
          <w:p w:rsidR="006C3BEE" w:rsidRPr="00A74A70" w:rsidRDefault="006C3BEE" w:rsidP="007F2048">
            <w:pPr>
              <w:rPr>
                <w:sz w:val="20"/>
              </w:rPr>
            </w:pPr>
          </w:p>
        </w:tc>
      </w:tr>
    </w:tbl>
    <w:p w:rsidR="006C3BEE" w:rsidRDefault="006C3BEE" w:rsidP="006C3BEE">
      <w:pPr>
        <w:rPr>
          <w:sz w:val="20"/>
        </w:rPr>
      </w:pPr>
    </w:p>
    <w:p w:rsidR="00900073" w:rsidRPr="00C50A5C" w:rsidRDefault="00547297" w:rsidP="00900073">
      <w:pPr>
        <w:rPr>
          <w:sz w:val="20"/>
          <w:szCs w:val="20"/>
        </w:rPr>
      </w:pPr>
      <w:r w:rsidRPr="00547297">
        <w:rPr>
          <w:sz w:val="20"/>
          <w:szCs w:val="20"/>
          <w:lang w:val="fr-CA"/>
        </w:rPr>
        <w:pict>
          <v:rect id="_x0000_i1045" style="width:2in;height:1pt" o:hrpct="0" o:hralign="center" o:hrstd="t" o:hrnoshade="t" o:hr="t" fillcolor="black [3213]" stroked="f"/>
        </w:pict>
      </w:r>
    </w:p>
    <w:p w:rsidR="00900073" w:rsidRPr="00C50A5C" w:rsidRDefault="00900073" w:rsidP="00900073">
      <w:pPr>
        <w:rPr>
          <w:sz w:val="20"/>
          <w:szCs w:val="20"/>
        </w:rPr>
      </w:pPr>
    </w:p>
    <w:p w:rsidR="00900073" w:rsidRPr="00C50A5C" w:rsidRDefault="00900073" w:rsidP="00900073">
      <w:pPr>
        <w:keepNext/>
        <w:rPr>
          <w:sz w:val="20"/>
          <w:szCs w:val="20"/>
          <w:u w:val="single"/>
          <w:lang w:val="fr-CA"/>
        </w:rPr>
      </w:pPr>
      <w:r w:rsidRPr="00C50A5C">
        <w:rPr>
          <w:sz w:val="20"/>
          <w:szCs w:val="20"/>
          <w:u w:val="single"/>
          <w:lang w:val="fr-CA"/>
        </w:rPr>
        <w:t>RÉSUMÉ DE L’AFFAIRE</w:t>
      </w:r>
    </w:p>
    <w:p w:rsidR="00900073" w:rsidRPr="00C50A5C" w:rsidRDefault="00900073" w:rsidP="00900073">
      <w:pPr>
        <w:keepNext/>
        <w:rPr>
          <w:sz w:val="20"/>
          <w:szCs w:val="20"/>
          <w:lang w:val="fr-CA"/>
        </w:rPr>
      </w:pPr>
    </w:p>
    <w:p w:rsidR="006C3BEE" w:rsidRDefault="006C3BEE" w:rsidP="006D6E15">
      <w:pPr>
        <w:jc w:val="both"/>
        <w:rPr>
          <w:sz w:val="20"/>
          <w:lang w:val="fr-CA"/>
        </w:rPr>
      </w:pPr>
      <w:r w:rsidRPr="00A74A70">
        <w:rPr>
          <w:sz w:val="20"/>
          <w:lang w:val="fr-CA"/>
        </w:rPr>
        <w:t xml:space="preserve">Droit fiscal — Impôt sur le revenu — Fiducie — Résidence - Législation — Interprétation — Quel critère permet de déterminer la résidence d’une fiducie aux fins de l’impôt sur le revenu? — </w:t>
      </w:r>
      <w:r w:rsidRPr="00A74A70">
        <w:rPr>
          <w:i/>
          <w:iCs/>
          <w:sz w:val="20"/>
          <w:lang w:val="fr-CA"/>
        </w:rPr>
        <w:t>Loi de l’impôt sur le revenu</w:t>
      </w:r>
      <w:r w:rsidRPr="00A74A70">
        <w:rPr>
          <w:sz w:val="20"/>
          <w:lang w:val="fr-CA"/>
        </w:rPr>
        <w:t>, L.R.C. 1985, ch. 1 (5</w:t>
      </w:r>
      <w:r w:rsidRPr="00A74A70">
        <w:rPr>
          <w:sz w:val="20"/>
          <w:vertAlign w:val="superscript"/>
          <w:lang w:val="fr-CA"/>
        </w:rPr>
        <w:t>e</w:t>
      </w:r>
      <w:r w:rsidRPr="00A74A70">
        <w:rPr>
          <w:sz w:val="20"/>
          <w:lang w:val="fr-CA"/>
        </w:rPr>
        <w:t xml:space="preserve"> suppl.) (</w:t>
      </w:r>
      <w:proofErr w:type="gramStart"/>
      <w:r w:rsidRPr="00A74A70">
        <w:rPr>
          <w:sz w:val="20"/>
          <w:lang w:val="fr-CA"/>
        </w:rPr>
        <w:t>la</w:t>
      </w:r>
      <w:proofErr w:type="gramEnd"/>
      <w:r w:rsidRPr="00A74A70">
        <w:rPr>
          <w:sz w:val="20"/>
          <w:lang w:val="fr-CA"/>
        </w:rPr>
        <w:t xml:space="preserve"> « </w:t>
      </w:r>
      <w:r w:rsidRPr="00A74A70">
        <w:rPr>
          <w:i/>
          <w:iCs/>
          <w:sz w:val="20"/>
          <w:lang w:val="fr-CA"/>
        </w:rPr>
        <w:t>Loi</w:t>
      </w:r>
      <w:r w:rsidRPr="00A74A70">
        <w:rPr>
          <w:sz w:val="20"/>
          <w:lang w:val="fr-CA"/>
        </w:rPr>
        <w:t> »), articles 94(1) et 245.</w:t>
      </w:r>
    </w:p>
    <w:p w:rsidR="006C3BEE" w:rsidRPr="00A74A70" w:rsidRDefault="006C3BEE" w:rsidP="006D6E15">
      <w:pPr>
        <w:jc w:val="both"/>
        <w:rPr>
          <w:sz w:val="20"/>
          <w:lang w:val="fr-CA"/>
        </w:rPr>
      </w:pPr>
    </w:p>
    <w:p w:rsidR="006C3BEE" w:rsidRPr="00A74A70" w:rsidRDefault="006C3BEE" w:rsidP="006D6E15">
      <w:pPr>
        <w:jc w:val="both"/>
        <w:rPr>
          <w:sz w:val="20"/>
          <w:lang w:val="fr-CA"/>
        </w:rPr>
      </w:pPr>
      <w:r w:rsidRPr="00A74A70">
        <w:rPr>
          <w:sz w:val="20"/>
          <w:lang w:val="fr-CA"/>
        </w:rPr>
        <w:t xml:space="preserve">La demanderesse est </w:t>
      </w:r>
      <w:proofErr w:type="gramStart"/>
      <w:r w:rsidRPr="00A74A70">
        <w:rPr>
          <w:sz w:val="20"/>
          <w:lang w:val="fr-CA"/>
        </w:rPr>
        <w:t>la</w:t>
      </w:r>
      <w:proofErr w:type="gramEnd"/>
      <w:r w:rsidRPr="00A74A70">
        <w:rPr>
          <w:sz w:val="20"/>
          <w:lang w:val="fr-CA"/>
        </w:rPr>
        <w:t xml:space="preserve"> fiduciaire de </w:t>
      </w:r>
      <w:proofErr w:type="spellStart"/>
      <w:r w:rsidRPr="00A74A70">
        <w:rPr>
          <w:sz w:val="20"/>
          <w:lang w:val="fr-CA"/>
        </w:rPr>
        <w:t>Summersby</w:t>
      </w:r>
      <w:proofErr w:type="spellEnd"/>
      <w:r w:rsidRPr="00A74A70">
        <w:rPr>
          <w:sz w:val="20"/>
          <w:lang w:val="fr-CA"/>
        </w:rPr>
        <w:t xml:space="preserve"> </w:t>
      </w:r>
      <w:proofErr w:type="spellStart"/>
      <w:r w:rsidRPr="00A74A70">
        <w:rPr>
          <w:sz w:val="20"/>
          <w:lang w:val="fr-CA"/>
        </w:rPr>
        <w:t>Settlement</w:t>
      </w:r>
      <w:proofErr w:type="spellEnd"/>
      <w:r w:rsidRPr="00A74A70">
        <w:rPr>
          <w:sz w:val="20"/>
          <w:lang w:val="fr-CA"/>
        </w:rPr>
        <w:t xml:space="preserve"> (la « fiducie »). La fiducie a été constituée par un particulier résidant dans l’île de Saint-Vincent, dans les Antilles, et dont les bénéficiaires étaient Canadiens.  </w:t>
      </w:r>
      <w:proofErr w:type="gramStart"/>
      <w:r w:rsidRPr="00A74A70">
        <w:rPr>
          <w:sz w:val="20"/>
          <w:lang w:val="fr-CA"/>
        </w:rPr>
        <w:t>La</w:t>
      </w:r>
      <w:proofErr w:type="gramEnd"/>
      <w:r w:rsidRPr="00A74A70">
        <w:rPr>
          <w:sz w:val="20"/>
          <w:lang w:val="fr-CA"/>
        </w:rPr>
        <w:t xml:space="preserve"> fiduciaire est une société résidant à la Barbade.  Lorsque la fiducie a disposé des actions qu’elle détenait dans une société canadienne, l’acheteur a versé des montants au gouvernement canadien conformément à l’art. 116 de la </w:t>
      </w:r>
      <w:r w:rsidRPr="00A74A70">
        <w:rPr>
          <w:i/>
          <w:iCs/>
          <w:sz w:val="20"/>
          <w:lang w:val="fr-CA"/>
        </w:rPr>
        <w:t>Loi</w:t>
      </w:r>
      <w:r w:rsidRPr="00A74A70">
        <w:rPr>
          <w:sz w:val="20"/>
          <w:lang w:val="fr-CA"/>
        </w:rPr>
        <w:t>, au titre de l’impôt éventuel sur les gains en capital réalisés.  La fiduciaire a demandé le remboursement du montant retenu, en alléguant être exemptée de l’impôt conformément à l’</w:t>
      </w:r>
      <w:r w:rsidRPr="00A74A70">
        <w:rPr>
          <w:i/>
          <w:iCs/>
          <w:sz w:val="20"/>
          <w:lang w:val="fr-CA"/>
        </w:rPr>
        <w:t>Accord entre le Canada et la Barbade tendant à éviter les doubles impositions et à prévenir l’évasion fiscale en matière d’impôts sur le revenu et sur la fortune</w:t>
      </w:r>
      <w:r w:rsidRPr="00A74A70">
        <w:rPr>
          <w:sz w:val="20"/>
          <w:lang w:val="fr-CA"/>
        </w:rPr>
        <w:t xml:space="preserve">.  En vertu de l’exemption, l’impôt n’est payable que dans le pays dans lequel le vendeur était résident et </w:t>
      </w:r>
      <w:proofErr w:type="gramStart"/>
      <w:r w:rsidRPr="00A74A70">
        <w:rPr>
          <w:sz w:val="20"/>
          <w:lang w:val="fr-CA"/>
        </w:rPr>
        <w:t>la</w:t>
      </w:r>
      <w:proofErr w:type="gramEnd"/>
      <w:r w:rsidRPr="00A74A70">
        <w:rPr>
          <w:sz w:val="20"/>
          <w:lang w:val="fr-CA"/>
        </w:rPr>
        <w:t xml:space="preserve"> fiduciaire a allégué que la fiducie était un résident de la Barbade. </w:t>
      </w:r>
    </w:p>
    <w:p w:rsidR="006C3BEE" w:rsidRPr="00A74A70" w:rsidRDefault="006C3BEE" w:rsidP="006D6E15">
      <w:pPr>
        <w:jc w:val="both"/>
        <w:rPr>
          <w:sz w:val="20"/>
          <w:lang w:val="fr-CA"/>
        </w:rPr>
      </w:pPr>
    </w:p>
    <w:p w:rsidR="006C3BEE" w:rsidRPr="00A74A70" w:rsidRDefault="006C3BEE" w:rsidP="006D6E15">
      <w:pPr>
        <w:jc w:val="both"/>
        <w:rPr>
          <w:sz w:val="20"/>
          <w:lang w:val="fr-CA"/>
        </w:rPr>
      </w:pPr>
      <w:r w:rsidRPr="00A74A70">
        <w:rPr>
          <w:sz w:val="20"/>
          <w:lang w:val="fr-CA"/>
        </w:rPr>
        <w:t xml:space="preserve">Le ministre du Revenu national a pris la position que l’exemption ne s’appliquait pas parce que la fiducie était un résident du Canada et a établi des cotisations en vertu de la </w:t>
      </w:r>
      <w:r w:rsidRPr="00A74A70">
        <w:rPr>
          <w:i/>
          <w:iCs/>
          <w:sz w:val="20"/>
          <w:lang w:val="fr-CA"/>
        </w:rPr>
        <w:t>Loi</w:t>
      </w:r>
      <w:r w:rsidRPr="00A74A70">
        <w:rPr>
          <w:sz w:val="20"/>
          <w:lang w:val="fr-CA"/>
        </w:rPr>
        <w:t xml:space="preserve">.  </w:t>
      </w:r>
      <w:proofErr w:type="gramStart"/>
      <w:r w:rsidRPr="00A74A70">
        <w:rPr>
          <w:sz w:val="20"/>
          <w:lang w:val="fr-CA"/>
        </w:rPr>
        <w:t>La</w:t>
      </w:r>
      <w:proofErr w:type="gramEnd"/>
      <w:r w:rsidRPr="00A74A70">
        <w:rPr>
          <w:sz w:val="20"/>
          <w:lang w:val="fr-CA"/>
        </w:rPr>
        <w:t xml:space="preserve"> fiduciaire a interjeté appel des cotisations au nom de la fiducie.  La Cour canadienne de l’impôt et la Cour d’appel fédérale du Canada ont rejeté les appels.</w:t>
      </w:r>
    </w:p>
    <w:p w:rsidR="006C3BEE" w:rsidRPr="00A74A70" w:rsidRDefault="006C3BEE" w:rsidP="006C3BEE">
      <w:pPr>
        <w:rPr>
          <w:sz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6C3BEE" w:rsidRPr="002D1834" w:rsidTr="007F2048">
        <w:tc>
          <w:tcPr>
            <w:tcW w:w="2427" w:type="pct"/>
          </w:tcPr>
          <w:p w:rsidR="006C3BEE" w:rsidRPr="00A74A70" w:rsidRDefault="006C3BEE" w:rsidP="007F2048">
            <w:pPr>
              <w:rPr>
                <w:sz w:val="20"/>
                <w:lang w:val="fr-CA"/>
              </w:rPr>
            </w:pPr>
            <w:r w:rsidRPr="00A74A70">
              <w:rPr>
                <w:sz w:val="20"/>
                <w:lang w:val="fr-CA"/>
              </w:rPr>
              <w:t>10 septembre 2009</w:t>
            </w:r>
          </w:p>
          <w:p w:rsidR="006C3BEE" w:rsidRPr="00A74A70" w:rsidRDefault="006C3BEE" w:rsidP="007F2048">
            <w:pPr>
              <w:rPr>
                <w:sz w:val="20"/>
                <w:lang w:val="fr-CA"/>
              </w:rPr>
            </w:pPr>
            <w:r w:rsidRPr="00A74A70">
              <w:rPr>
                <w:sz w:val="20"/>
                <w:lang w:val="fr-CA"/>
              </w:rPr>
              <w:t>Cour canadienne de l’impôt</w:t>
            </w:r>
          </w:p>
          <w:p w:rsidR="006C3BEE" w:rsidRPr="00A74A70" w:rsidRDefault="006C3BEE" w:rsidP="007F2048">
            <w:pPr>
              <w:rPr>
                <w:sz w:val="20"/>
                <w:lang w:val="fr-CA"/>
              </w:rPr>
            </w:pPr>
            <w:r w:rsidRPr="00A74A70">
              <w:rPr>
                <w:sz w:val="20"/>
                <w:lang w:val="fr-CA"/>
              </w:rPr>
              <w:t xml:space="preserve">(Juge </w:t>
            </w:r>
            <w:proofErr w:type="spellStart"/>
            <w:r w:rsidRPr="00A74A70">
              <w:rPr>
                <w:sz w:val="20"/>
                <w:lang w:val="fr-CA"/>
              </w:rPr>
              <w:t>Woods</w:t>
            </w:r>
            <w:proofErr w:type="spellEnd"/>
            <w:r w:rsidRPr="00A74A70">
              <w:rPr>
                <w:sz w:val="20"/>
                <w:lang w:val="fr-CA"/>
              </w:rPr>
              <w:t>)</w:t>
            </w:r>
          </w:p>
          <w:p w:rsidR="006C3BEE" w:rsidRPr="00A74A70" w:rsidRDefault="006C3BEE" w:rsidP="007F2048">
            <w:pPr>
              <w:rPr>
                <w:sz w:val="20"/>
                <w:lang w:val="fr-CA"/>
              </w:rPr>
            </w:pPr>
            <w:r w:rsidRPr="00A74A70">
              <w:rPr>
                <w:sz w:val="20"/>
                <w:lang w:val="fr-CA"/>
              </w:rPr>
              <w:t>2009 CCI 450</w:t>
            </w:r>
          </w:p>
          <w:p w:rsidR="006C3BEE" w:rsidRPr="00A74A70" w:rsidRDefault="006C3BEE" w:rsidP="007F2048">
            <w:pPr>
              <w:rPr>
                <w:sz w:val="20"/>
                <w:lang w:val="fr-CA"/>
              </w:rPr>
            </w:pPr>
          </w:p>
        </w:tc>
        <w:tc>
          <w:tcPr>
            <w:tcW w:w="243" w:type="pct"/>
          </w:tcPr>
          <w:p w:rsidR="006C3BEE" w:rsidRPr="00A74A70" w:rsidRDefault="006C3BEE" w:rsidP="007F2048">
            <w:pPr>
              <w:rPr>
                <w:sz w:val="20"/>
                <w:lang w:val="fr-CA"/>
              </w:rPr>
            </w:pPr>
          </w:p>
        </w:tc>
        <w:tc>
          <w:tcPr>
            <w:tcW w:w="2330" w:type="pct"/>
          </w:tcPr>
          <w:p w:rsidR="006C3BEE" w:rsidRPr="00A74A70" w:rsidRDefault="006C3BEE" w:rsidP="006D6E15">
            <w:pPr>
              <w:jc w:val="both"/>
              <w:rPr>
                <w:sz w:val="20"/>
                <w:lang w:val="fr-CA"/>
              </w:rPr>
            </w:pPr>
            <w:r w:rsidRPr="00A74A70">
              <w:rPr>
                <w:sz w:val="20"/>
                <w:lang w:val="fr-CA"/>
              </w:rPr>
              <w:t>Appel de la demanderesse de sa cotisation pour l’année d’imposition 2000, rejeté</w:t>
            </w:r>
          </w:p>
          <w:p w:rsidR="006C3BEE" w:rsidRPr="00A74A70" w:rsidRDefault="006C3BEE" w:rsidP="007F2048">
            <w:pPr>
              <w:rPr>
                <w:sz w:val="20"/>
                <w:lang w:val="fr-CA"/>
              </w:rPr>
            </w:pPr>
          </w:p>
        </w:tc>
      </w:tr>
      <w:tr w:rsidR="006C3BEE" w:rsidRPr="00A74A70" w:rsidTr="007F2048">
        <w:tc>
          <w:tcPr>
            <w:tcW w:w="2427" w:type="pct"/>
          </w:tcPr>
          <w:p w:rsidR="006C3BEE" w:rsidRPr="00A74A70" w:rsidRDefault="006C3BEE" w:rsidP="007F2048">
            <w:pPr>
              <w:rPr>
                <w:sz w:val="20"/>
                <w:lang w:val="fr-CA"/>
              </w:rPr>
            </w:pPr>
            <w:r w:rsidRPr="00A74A70">
              <w:rPr>
                <w:sz w:val="20"/>
                <w:lang w:val="fr-CA"/>
              </w:rPr>
              <w:lastRenderedPageBreak/>
              <w:t>17 novembre 2010</w:t>
            </w:r>
          </w:p>
          <w:p w:rsidR="006C3BEE" w:rsidRPr="00A74A70" w:rsidRDefault="006C3BEE" w:rsidP="007F2048">
            <w:pPr>
              <w:rPr>
                <w:sz w:val="20"/>
                <w:lang w:val="fr-CA"/>
              </w:rPr>
            </w:pPr>
            <w:r w:rsidRPr="00A74A70">
              <w:rPr>
                <w:sz w:val="20"/>
                <w:lang w:val="fr-CA"/>
              </w:rPr>
              <w:t>Cour d’appel fédérale</w:t>
            </w:r>
          </w:p>
          <w:p w:rsidR="006C3BEE" w:rsidRPr="00A74A70" w:rsidRDefault="006C3BEE" w:rsidP="007F2048">
            <w:pPr>
              <w:rPr>
                <w:sz w:val="20"/>
                <w:lang w:val="fr-CA"/>
              </w:rPr>
            </w:pPr>
            <w:r w:rsidRPr="00A74A70">
              <w:rPr>
                <w:sz w:val="20"/>
                <w:lang w:val="fr-CA"/>
              </w:rPr>
              <w:t xml:space="preserve">(Juges Nadon, </w:t>
            </w:r>
            <w:proofErr w:type="spellStart"/>
            <w:r w:rsidRPr="00A74A70">
              <w:rPr>
                <w:sz w:val="20"/>
                <w:lang w:val="fr-CA"/>
              </w:rPr>
              <w:t>Sharlow</w:t>
            </w:r>
            <w:proofErr w:type="spellEnd"/>
            <w:r w:rsidRPr="00A74A70">
              <w:rPr>
                <w:sz w:val="20"/>
                <w:lang w:val="fr-CA"/>
              </w:rPr>
              <w:t xml:space="preserve">  et  </w:t>
            </w:r>
            <w:proofErr w:type="spellStart"/>
            <w:r w:rsidRPr="00A74A70">
              <w:rPr>
                <w:sz w:val="20"/>
                <w:lang w:val="fr-CA"/>
              </w:rPr>
              <w:t>Stratas</w:t>
            </w:r>
            <w:proofErr w:type="spellEnd"/>
            <w:r w:rsidRPr="00A74A70">
              <w:rPr>
                <w:sz w:val="20"/>
                <w:lang w:val="fr-CA"/>
              </w:rPr>
              <w:t>)</w:t>
            </w:r>
          </w:p>
          <w:p w:rsidR="006C3BEE" w:rsidRPr="00A74A70" w:rsidRDefault="006C3BEE" w:rsidP="007F2048">
            <w:pPr>
              <w:rPr>
                <w:sz w:val="20"/>
                <w:lang w:val="fr-CA"/>
              </w:rPr>
            </w:pPr>
            <w:r w:rsidRPr="00A74A70">
              <w:rPr>
                <w:sz w:val="20"/>
                <w:lang w:val="fr-CA"/>
              </w:rPr>
              <w:t>2010 CAF 309; A-420-09</w:t>
            </w:r>
          </w:p>
          <w:p w:rsidR="006C3BEE" w:rsidRPr="00A74A70" w:rsidRDefault="006C3BEE" w:rsidP="007F2048">
            <w:pPr>
              <w:rPr>
                <w:sz w:val="20"/>
                <w:lang w:val="fr-CA"/>
              </w:rPr>
            </w:pPr>
          </w:p>
        </w:tc>
        <w:tc>
          <w:tcPr>
            <w:tcW w:w="243" w:type="pct"/>
          </w:tcPr>
          <w:p w:rsidR="006C3BEE" w:rsidRPr="00A74A70" w:rsidRDefault="006C3BEE" w:rsidP="007F2048">
            <w:pPr>
              <w:rPr>
                <w:sz w:val="20"/>
                <w:lang w:val="fr-CA"/>
              </w:rPr>
            </w:pPr>
          </w:p>
        </w:tc>
        <w:tc>
          <w:tcPr>
            <w:tcW w:w="2330" w:type="pct"/>
          </w:tcPr>
          <w:p w:rsidR="006C3BEE" w:rsidRPr="00A74A70" w:rsidRDefault="006C3BEE" w:rsidP="007F2048">
            <w:pPr>
              <w:rPr>
                <w:sz w:val="20"/>
                <w:lang w:val="fr-CA"/>
              </w:rPr>
            </w:pPr>
            <w:r w:rsidRPr="00A74A70">
              <w:rPr>
                <w:sz w:val="20"/>
                <w:lang w:val="fr-CA"/>
              </w:rPr>
              <w:t>Appel rejeté</w:t>
            </w:r>
          </w:p>
          <w:p w:rsidR="006C3BEE" w:rsidRPr="00A74A70" w:rsidRDefault="006C3BEE" w:rsidP="007F2048">
            <w:pPr>
              <w:rPr>
                <w:sz w:val="20"/>
                <w:lang w:val="fr-CA"/>
              </w:rPr>
            </w:pPr>
          </w:p>
        </w:tc>
      </w:tr>
      <w:tr w:rsidR="006C3BEE" w:rsidRPr="00A74A70" w:rsidTr="007F2048">
        <w:tc>
          <w:tcPr>
            <w:tcW w:w="2427" w:type="pct"/>
          </w:tcPr>
          <w:p w:rsidR="006C3BEE" w:rsidRPr="00A74A70" w:rsidRDefault="006C3BEE" w:rsidP="007F2048">
            <w:pPr>
              <w:rPr>
                <w:sz w:val="20"/>
                <w:lang w:val="fr-CA"/>
              </w:rPr>
            </w:pPr>
            <w:r w:rsidRPr="00A74A70">
              <w:rPr>
                <w:sz w:val="20"/>
                <w:lang w:val="fr-CA"/>
              </w:rPr>
              <w:t>14 janvier 2011</w:t>
            </w:r>
          </w:p>
          <w:p w:rsidR="006C3BEE" w:rsidRPr="00A74A70" w:rsidRDefault="006C3BEE" w:rsidP="007F2048">
            <w:pPr>
              <w:rPr>
                <w:sz w:val="20"/>
                <w:lang w:val="fr-CA"/>
              </w:rPr>
            </w:pPr>
            <w:r w:rsidRPr="00A74A70">
              <w:rPr>
                <w:sz w:val="20"/>
                <w:lang w:val="fr-CA"/>
              </w:rPr>
              <w:t>Cour suprême du Canada</w:t>
            </w:r>
          </w:p>
        </w:tc>
        <w:tc>
          <w:tcPr>
            <w:tcW w:w="243" w:type="pct"/>
          </w:tcPr>
          <w:p w:rsidR="006C3BEE" w:rsidRPr="00A74A70" w:rsidRDefault="006C3BEE" w:rsidP="007F2048">
            <w:pPr>
              <w:rPr>
                <w:sz w:val="20"/>
                <w:lang w:val="fr-CA"/>
              </w:rPr>
            </w:pPr>
          </w:p>
        </w:tc>
        <w:tc>
          <w:tcPr>
            <w:tcW w:w="2330" w:type="pct"/>
          </w:tcPr>
          <w:p w:rsidR="006C3BEE" w:rsidRPr="00A74A70" w:rsidRDefault="006C3BEE" w:rsidP="007F2048">
            <w:pPr>
              <w:rPr>
                <w:sz w:val="20"/>
                <w:lang w:val="fr-CA"/>
              </w:rPr>
            </w:pPr>
            <w:r w:rsidRPr="00A74A70">
              <w:rPr>
                <w:sz w:val="20"/>
                <w:lang w:val="fr-CA"/>
              </w:rPr>
              <w:t>Demande d’autorisation d’appel, déposée</w:t>
            </w:r>
          </w:p>
          <w:p w:rsidR="006C3BEE" w:rsidRPr="00A74A70" w:rsidRDefault="006C3BEE" w:rsidP="007F2048">
            <w:pPr>
              <w:rPr>
                <w:sz w:val="20"/>
                <w:lang w:val="fr-CA"/>
              </w:rPr>
            </w:pPr>
          </w:p>
        </w:tc>
      </w:tr>
    </w:tbl>
    <w:p w:rsidR="006C3BEE" w:rsidRPr="00A74A70" w:rsidRDefault="006C3BEE" w:rsidP="006C3BEE">
      <w:pPr>
        <w:jc w:val="both"/>
        <w:rPr>
          <w:rFonts w:eastAsia="Calibri"/>
          <w:sz w:val="20"/>
        </w:rPr>
      </w:pPr>
    </w:p>
    <w:p w:rsidR="00900073" w:rsidRPr="00C50A5C" w:rsidRDefault="00547297" w:rsidP="00900073">
      <w:pPr>
        <w:rPr>
          <w:sz w:val="20"/>
          <w:szCs w:val="20"/>
        </w:rPr>
      </w:pPr>
      <w:r w:rsidRPr="00547297">
        <w:rPr>
          <w:sz w:val="20"/>
          <w:szCs w:val="20"/>
          <w:lang w:val="fr-CA"/>
        </w:rPr>
        <w:pict>
          <v:rect id="_x0000_i1046" style="width:2in;height:1pt" o:hrpct="0" o:hralign="center" o:hrstd="t" o:hrnoshade="t" o:hr="t" fillcolor="black [3213]" stroked="f"/>
        </w:pict>
      </w:r>
    </w:p>
    <w:p w:rsidR="00900073" w:rsidRPr="00A52AF7" w:rsidRDefault="00900073" w:rsidP="00900073">
      <w:pPr>
        <w:rPr>
          <w:sz w:val="20"/>
          <w:szCs w:val="20"/>
        </w:rPr>
      </w:pPr>
    </w:p>
    <w:tbl>
      <w:tblPr>
        <w:tblStyle w:val="TableGrid3"/>
        <w:tblW w:w="951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00"/>
        <w:gridCol w:w="8118"/>
      </w:tblGrid>
      <w:tr w:rsidR="00A52AF7" w:rsidRPr="00A52AF7" w:rsidTr="00A52AF7">
        <w:trPr>
          <w:cantSplit/>
        </w:trPr>
        <w:tc>
          <w:tcPr>
            <w:tcW w:w="1400" w:type="dxa"/>
          </w:tcPr>
          <w:p w:rsidR="00A52AF7" w:rsidRPr="00A52AF7" w:rsidRDefault="00A52AF7" w:rsidP="007F2048">
            <w:pPr>
              <w:rPr>
                <w:sz w:val="20"/>
                <w:szCs w:val="20"/>
              </w:rPr>
            </w:pPr>
            <w:r w:rsidRPr="00A52AF7">
              <w:rPr>
                <w:rStyle w:val="SCCFileNumberChar"/>
                <w:sz w:val="20"/>
                <w:szCs w:val="20"/>
              </w:rPr>
              <w:t>34087</w:t>
            </w:r>
          </w:p>
          <w:p w:rsidR="00A52AF7" w:rsidRPr="00A52AF7" w:rsidRDefault="00A52AF7" w:rsidP="007F2048">
            <w:pPr>
              <w:rPr>
                <w:b/>
                <w:sz w:val="20"/>
                <w:szCs w:val="20"/>
                <w:lang w:val="fr-CA"/>
              </w:rPr>
            </w:pPr>
          </w:p>
        </w:tc>
        <w:tc>
          <w:tcPr>
            <w:tcW w:w="8118" w:type="dxa"/>
          </w:tcPr>
          <w:p w:rsidR="00A52AF7" w:rsidRPr="00A52AF7" w:rsidRDefault="00A52AF7" w:rsidP="007F2048">
            <w:pPr>
              <w:rPr>
                <w:sz w:val="20"/>
                <w:szCs w:val="20"/>
              </w:rPr>
            </w:pPr>
            <w:r w:rsidRPr="00A52AF7">
              <w:rPr>
                <w:rStyle w:val="SCCLsocChar"/>
                <w:sz w:val="20"/>
                <w:szCs w:val="20"/>
                <w:lang w:val="en-US"/>
              </w:rPr>
              <w:t xml:space="preserve">James Peter </w:t>
            </w:r>
            <w:proofErr w:type="spellStart"/>
            <w:r w:rsidRPr="00A52AF7">
              <w:rPr>
                <w:rStyle w:val="SCCLsocChar"/>
                <w:sz w:val="20"/>
                <w:szCs w:val="20"/>
                <w:lang w:val="en-US"/>
              </w:rPr>
              <w:t>Emms</w:t>
            </w:r>
            <w:proofErr w:type="spellEnd"/>
            <w:r w:rsidRPr="00A52AF7">
              <w:rPr>
                <w:rStyle w:val="SCCLsocChar"/>
                <w:sz w:val="20"/>
                <w:szCs w:val="20"/>
                <w:lang w:val="en-US"/>
              </w:rPr>
              <w:t xml:space="preserve"> v. Her Majesty the Queen</w:t>
            </w:r>
            <w:r w:rsidRPr="00A52AF7">
              <w:rPr>
                <w:sz w:val="20"/>
                <w:szCs w:val="20"/>
              </w:rPr>
              <w:t xml:space="preserve"> (Ont.) (Criminal) (By Leave)</w:t>
            </w:r>
          </w:p>
          <w:p w:rsidR="00A52AF7" w:rsidRPr="00A52AF7" w:rsidRDefault="00A52AF7" w:rsidP="007F2048">
            <w:pPr>
              <w:rPr>
                <w:sz w:val="20"/>
                <w:szCs w:val="20"/>
              </w:rPr>
            </w:pPr>
          </w:p>
        </w:tc>
      </w:tr>
      <w:tr w:rsidR="00A52AF7" w:rsidRPr="00A52AF7" w:rsidTr="00A52AF7">
        <w:trPr>
          <w:cantSplit/>
        </w:trPr>
        <w:tc>
          <w:tcPr>
            <w:tcW w:w="1400" w:type="dxa"/>
          </w:tcPr>
          <w:p w:rsidR="00A52AF7" w:rsidRPr="00A52AF7" w:rsidRDefault="00A52AF7" w:rsidP="007F2048">
            <w:pPr>
              <w:rPr>
                <w:sz w:val="20"/>
                <w:szCs w:val="20"/>
              </w:rPr>
            </w:pPr>
            <w:r w:rsidRPr="00A52AF7">
              <w:rPr>
                <w:sz w:val="20"/>
                <w:szCs w:val="20"/>
              </w:rPr>
              <w:t>Coram :</w:t>
            </w:r>
          </w:p>
        </w:tc>
        <w:tc>
          <w:tcPr>
            <w:tcW w:w="8118" w:type="dxa"/>
          </w:tcPr>
          <w:p w:rsidR="00A52AF7" w:rsidRPr="00A52AF7" w:rsidRDefault="00A52AF7" w:rsidP="007F2048">
            <w:pPr>
              <w:rPr>
                <w:sz w:val="20"/>
                <w:szCs w:val="20"/>
              </w:rPr>
            </w:pPr>
            <w:proofErr w:type="spellStart"/>
            <w:r w:rsidRPr="00A52AF7">
              <w:rPr>
                <w:rStyle w:val="SCCCoramChar"/>
                <w:sz w:val="20"/>
                <w:szCs w:val="20"/>
                <w:lang w:val="en-US"/>
              </w:rPr>
              <w:t>Binnie</w:t>
            </w:r>
            <w:proofErr w:type="spellEnd"/>
            <w:r w:rsidRPr="00A52AF7">
              <w:rPr>
                <w:rStyle w:val="SCCCoramChar"/>
                <w:sz w:val="20"/>
                <w:szCs w:val="20"/>
                <w:lang w:val="en-US"/>
              </w:rPr>
              <w:t xml:space="preserve">, </w:t>
            </w:r>
            <w:proofErr w:type="spellStart"/>
            <w:r w:rsidRPr="00A52AF7">
              <w:rPr>
                <w:rStyle w:val="SCCCoramChar"/>
                <w:sz w:val="20"/>
                <w:szCs w:val="20"/>
                <w:lang w:val="en-US"/>
              </w:rPr>
              <w:t>Abella</w:t>
            </w:r>
            <w:proofErr w:type="spellEnd"/>
            <w:r w:rsidRPr="00A52AF7">
              <w:rPr>
                <w:rStyle w:val="SCCCoramChar"/>
                <w:sz w:val="20"/>
                <w:szCs w:val="20"/>
                <w:lang w:val="en-US"/>
              </w:rPr>
              <w:t xml:space="preserve"> and Rothstein JJ.</w:t>
            </w:r>
          </w:p>
          <w:p w:rsidR="00A52AF7" w:rsidRPr="00A52AF7" w:rsidRDefault="00A52AF7" w:rsidP="007F2048">
            <w:pPr>
              <w:rPr>
                <w:sz w:val="20"/>
                <w:szCs w:val="20"/>
                <w:u w:val="single"/>
              </w:rPr>
            </w:pPr>
          </w:p>
        </w:tc>
      </w:tr>
      <w:tr w:rsidR="00A52AF7" w:rsidRPr="002D1834" w:rsidTr="00A52AF7">
        <w:trPr>
          <w:cantSplit/>
        </w:trPr>
        <w:tc>
          <w:tcPr>
            <w:tcW w:w="9518" w:type="dxa"/>
            <w:gridSpan w:val="2"/>
          </w:tcPr>
          <w:p w:rsidR="00A52AF7" w:rsidRPr="00A52AF7" w:rsidRDefault="00A52AF7" w:rsidP="007F2048">
            <w:pPr>
              <w:pStyle w:val="SCCShortJudgment"/>
              <w:rPr>
                <w:szCs w:val="20"/>
              </w:rPr>
            </w:pPr>
            <w:r w:rsidRPr="00A52AF7">
              <w:rPr>
                <w:szCs w:val="20"/>
              </w:rPr>
              <w:t>The motion for an extension of time to serve and file the a</w:t>
            </w:r>
            <w:r w:rsidR="00587E6C">
              <w:rPr>
                <w:szCs w:val="20"/>
              </w:rPr>
              <w:t xml:space="preserve">pplication for leave to appeal </w:t>
            </w:r>
            <w:r w:rsidRPr="00A52AF7">
              <w:rPr>
                <w:szCs w:val="20"/>
              </w:rPr>
              <w:t>and the application for leave to appeal from the judgment of the Court of Appeal for Ontario, Number C50049, 2010 ONCA 817, dated December 3, 2010, are granted without costs.</w:t>
            </w:r>
          </w:p>
          <w:p w:rsidR="00A52AF7" w:rsidRPr="00A52AF7" w:rsidRDefault="00A52AF7" w:rsidP="007F2048">
            <w:pPr>
              <w:pStyle w:val="SCCShortJudgment"/>
              <w:ind w:firstLine="0"/>
              <w:rPr>
                <w:szCs w:val="20"/>
              </w:rPr>
            </w:pPr>
          </w:p>
          <w:p w:rsidR="00A52AF7" w:rsidRPr="00A52AF7" w:rsidRDefault="00A52AF7" w:rsidP="007F2048">
            <w:pPr>
              <w:pStyle w:val="SCCShortJudgment"/>
              <w:rPr>
                <w:szCs w:val="20"/>
                <w:lang w:val="fr-CA"/>
              </w:rPr>
            </w:pPr>
            <w:r w:rsidRPr="00A52AF7">
              <w:rPr>
                <w:szCs w:val="20"/>
                <w:lang w:val="fr-CA"/>
              </w:rPr>
              <w:t>La requête en prorogation du délai de signification et de dépôt de la demande d’autorisation d’appel et la demande d’autorisation d’appel de l’arrêt de la Cour d’appel de l’Ontario, numéro C50049, 2010 ONCA 817, daté du 3 décembre 2010, sont accordées sans dépens.</w:t>
            </w:r>
          </w:p>
          <w:p w:rsidR="00A52AF7" w:rsidRPr="00A52AF7" w:rsidRDefault="00A52AF7" w:rsidP="007F2048">
            <w:pPr>
              <w:rPr>
                <w:sz w:val="20"/>
                <w:szCs w:val="20"/>
                <w:lang w:val="fr-CA"/>
              </w:rPr>
            </w:pPr>
          </w:p>
        </w:tc>
      </w:tr>
    </w:tbl>
    <w:p w:rsidR="0070151D" w:rsidRPr="00C50A5C" w:rsidRDefault="0070151D" w:rsidP="0070151D">
      <w:pPr>
        <w:keepNext/>
        <w:rPr>
          <w:sz w:val="20"/>
          <w:szCs w:val="20"/>
        </w:rPr>
      </w:pPr>
      <w:r w:rsidRPr="00C50A5C">
        <w:rPr>
          <w:sz w:val="20"/>
          <w:szCs w:val="20"/>
          <w:u w:val="single"/>
        </w:rPr>
        <w:t>CASE SUMMARY</w:t>
      </w:r>
    </w:p>
    <w:p w:rsidR="0070151D" w:rsidRDefault="0070151D" w:rsidP="0070151D"/>
    <w:p w:rsidR="0070151D" w:rsidRPr="000D3F89" w:rsidRDefault="0070151D" w:rsidP="0070151D">
      <w:pPr>
        <w:jc w:val="both"/>
        <w:rPr>
          <w:rFonts w:eastAsia="Calibri"/>
          <w:sz w:val="20"/>
        </w:rPr>
      </w:pPr>
      <w:r w:rsidRPr="00AB0198">
        <w:rPr>
          <w:rFonts w:eastAsia="Calibri"/>
          <w:sz w:val="20"/>
        </w:rPr>
        <w:t>Criminal law — Juries — Appeals — Fresh evidence admitted on appeal revealed Crown improprieties with respect to selection of the jury — Whether defence bears the burden of demonstrating a “reasonable possibility” that the impropriety affected impartiality or the fairness of the trial — Whether the misuse of private, state funded databases by the Crown in the jury selection process results in an appearance of unfairness that requires a new trial?</w:t>
      </w:r>
    </w:p>
    <w:p w:rsidR="0070151D" w:rsidRPr="00AB0198" w:rsidRDefault="0070151D" w:rsidP="0070151D">
      <w:pPr>
        <w:jc w:val="both"/>
        <w:rPr>
          <w:rFonts w:eastAsia="Calibri"/>
          <w:sz w:val="20"/>
        </w:rPr>
      </w:pPr>
    </w:p>
    <w:p w:rsidR="0070151D" w:rsidRPr="00AB0198" w:rsidRDefault="0070151D" w:rsidP="0070151D">
      <w:pPr>
        <w:jc w:val="both"/>
        <w:rPr>
          <w:rFonts w:eastAsia="Calibri"/>
          <w:sz w:val="20"/>
        </w:rPr>
      </w:pPr>
      <w:r w:rsidRPr="00AB0198">
        <w:rPr>
          <w:rFonts w:eastAsia="Calibri"/>
          <w:sz w:val="20"/>
        </w:rPr>
        <w:t xml:space="preserve">James Peter </w:t>
      </w:r>
      <w:proofErr w:type="spellStart"/>
      <w:r w:rsidRPr="00AB0198">
        <w:rPr>
          <w:rFonts w:eastAsia="Calibri"/>
          <w:sz w:val="20"/>
        </w:rPr>
        <w:t>Emms</w:t>
      </w:r>
      <w:proofErr w:type="spellEnd"/>
      <w:r w:rsidRPr="00AB0198">
        <w:rPr>
          <w:rFonts w:eastAsia="Calibri"/>
          <w:sz w:val="20"/>
        </w:rPr>
        <w:t xml:space="preserve"> was convicted, following a trial before a judge and jury, of three counts of fraud in relation to the sale of office furniture.  After filing his notice of appeal, he was advised that the Crown had requested local police to provide information about prospective jurors which had not been disclosed to him.  The Court of Appeal found there had been no miscarriage of justice and dismissed his appeal.</w:t>
      </w:r>
    </w:p>
    <w:p w:rsidR="0070151D" w:rsidRPr="00AB0198" w:rsidRDefault="0070151D" w:rsidP="0070151D">
      <w:pPr>
        <w:jc w:val="both"/>
        <w:rPr>
          <w:rFonts w:eastAsia="Calibri"/>
          <w:sz w:val="20"/>
        </w:rPr>
      </w:pPr>
    </w:p>
    <w:tbl>
      <w:tblPr>
        <w:tblW w:w="4952" w:type="pct"/>
        <w:tblLayout w:type="fixed"/>
        <w:tblCellMar>
          <w:left w:w="0" w:type="dxa"/>
          <w:bottom w:w="99" w:type="dxa"/>
          <w:right w:w="0" w:type="dxa"/>
        </w:tblCellMar>
        <w:tblLook w:val="04A0"/>
      </w:tblPr>
      <w:tblGrid>
        <w:gridCol w:w="4624"/>
        <w:gridCol w:w="463"/>
        <w:gridCol w:w="4440"/>
      </w:tblGrid>
      <w:tr w:rsidR="0070151D" w:rsidRPr="00AB0198" w:rsidTr="0070151D">
        <w:tc>
          <w:tcPr>
            <w:tcW w:w="2427" w:type="pct"/>
          </w:tcPr>
          <w:p w:rsidR="0070151D" w:rsidRPr="00AB0198" w:rsidRDefault="0070151D" w:rsidP="0070151D">
            <w:pPr>
              <w:jc w:val="both"/>
              <w:rPr>
                <w:rFonts w:eastAsia="Calibri"/>
                <w:sz w:val="20"/>
              </w:rPr>
            </w:pPr>
            <w:r w:rsidRPr="00AB0198">
              <w:rPr>
                <w:rFonts w:eastAsia="Calibri"/>
                <w:sz w:val="20"/>
              </w:rPr>
              <w:t>October 9, 2008</w:t>
            </w:r>
          </w:p>
          <w:p w:rsidR="0070151D" w:rsidRPr="00AB0198" w:rsidRDefault="0070151D" w:rsidP="0070151D">
            <w:pPr>
              <w:jc w:val="both"/>
              <w:rPr>
                <w:rFonts w:eastAsia="Calibri"/>
                <w:sz w:val="20"/>
              </w:rPr>
            </w:pPr>
            <w:r w:rsidRPr="00AB0198">
              <w:rPr>
                <w:rFonts w:eastAsia="Calibri"/>
                <w:sz w:val="20"/>
              </w:rPr>
              <w:t>Ontario Superior Court of Justice</w:t>
            </w:r>
          </w:p>
          <w:p w:rsidR="0070151D" w:rsidRPr="00AB0198" w:rsidRDefault="0070151D" w:rsidP="0070151D">
            <w:pPr>
              <w:jc w:val="both"/>
              <w:rPr>
                <w:rFonts w:eastAsia="Calibri"/>
                <w:sz w:val="20"/>
              </w:rPr>
            </w:pPr>
            <w:r w:rsidRPr="00AB0198">
              <w:rPr>
                <w:rFonts w:eastAsia="Calibri"/>
                <w:sz w:val="20"/>
              </w:rPr>
              <w:t>(</w:t>
            </w:r>
            <w:proofErr w:type="spellStart"/>
            <w:r w:rsidRPr="00AB0198">
              <w:rPr>
                <w:rFonts w:eastAsia="Calibri"/>
                <w:sz w:val="20"/>
              </w:rPr>
              <w:t>Salmers</w:t>
            </w:r>
            <w:proofErr w:type="spellEnd"/>
            <w:r w:rsidRPr="00AB0198">
              <w:rPr>
                <w:rFonts w:eastAsia="Calibri"/>
                <w:sz w:val="20"/>
              </w:rPr>
              <w:t xml:space="preserve"> J.)</w:t>
            </w:r>
          </w:p>
          <w:p w:rsidR="0070151D" w:rsidRPr="00AB0198" w:rsidRDefault="0070151D" w:rsidP="0070151D">
            <w:pPr>
              <w:jc w:val="both"/>
              <w:rPr>
                <w:rFonts w:eastAsia="Calibri"/>
                <w:sz w:val="20"/>
              </w:rPr>
            </w:pPr>
          </w:p>
        </w:tc>
        <w:tc>
          <w:tcPr>
            <w:tcW w:w="243" w:type="pct"/>
          </w:tcPr>
          <w:p w:rsidR="0070151D" w:rsidRPr="00AB0198" w:rsidRDefault="0070151D" w:rsidP="0070151D">
            <w:pPr>
              <w:jc w:val="both"/>
              <w:rPr>
                <w:rFonts w:eastAsia="Calibri"/>
                <w:sz w:val="20"/>
              </w:rPr>
            </w:pPr>
          </w:p>
        </w:tc>
        <w:tc>
          <w:tcPr>
            <w:tcW w:w="2330" w:type="pct"/>
          </w:tcPr>
          <w:p w:rsidR="0070151D" w:rsidRPr="00AB0198" w:rsidRDefault="0070151D" w:rsidP="0070151D">
            <w:pPr>
              <w:jc w:val="both"/>
              <w:rPr>
                <w:rFonts w:eastAsia="Calibri"/>
                <w:sz w:val="20"/>
              </w:rPr>
            </w:pPr>
            <w:r w:rsidRPr="00AB0198">
              <w:rPr>
                <w:rFonts w:eastAsia="Calibri"/>
                <w:sz w:val="20"/>
              </w:rPr>
              <w:t xml:space="preserve">Convictions: fraud </w:t>
            </w:r>
          </w:p>
        </w:tc>
      </w:tr>
      <w:tr w:rsidR="0070151D" w:rsidRPr="00AB0198" w:rsidTr="0070151D">
        <w:tc>
          <w:tcPr>
            <w:tcW w:w="2427" w:type="pct"/>
          </w:tcPr>
          <w:p w:rsidR="0070151D" w:rsidRPr="00AB0198" w:rsidRDefault="0070151D" w:rsidP="0070151D">
            <w:pPr>
              <w:jc w:val="both"/>
              <w:rPr>
                <w:rFonts w:eastAsia="Calibri"/>
                <w:sz w:val="20"/>
              </w:rPr>
            </w:pPr>
            <w:r w:rsidRPr="00AB0198">
              <w:rPr>
                <w:rFonts w:eastAsia="Calibri"/>
                <w:sz w:val="20"/>
              </w:rPr>
              <w:t>December 3, 2009</w:t>
            </w:r>
          </w:p>
          <w:p w:rsidR="0070151D" w:rsidRPr="00AB0198" w:rsidRDefault="0070151D" w:rsidP="0070151D">
            <w:pPr>
              <w:jc w:val="both"/>
              <w:rPr>
                <w:rFonts w:eastAsia="Calibri"/>
                <w:sz w:val="20"/>
              </w:rPr>
            </w:pPr>
            <w:r w:rsidRPr="00AB0198">
              <w:rPr>
                <w:rFonts w:eastAsia="Calibri"/>
                <w:sz w:val="20"/>
              </w:rPr>
              <w:t>Court of Appeal for Ontario</w:t>
            </w:r>
          </w:p>
          <w:p w:rsidR="0070151D" w:rsidRPr="00AB0198" w:rsidRDefault="0070151D" w:rsidP="0070151D">
            <w:pPr>
              <w:jc w:val="both"/>
              <w:rPr>
                <w:rFonts w:eastAsia="Calibri"/>
                <w:sz w:val="20"/>
              </w:rPr>
            </w:pPr>
            <w:r w:rsidRPr="00AB0198">
              <w:rPr>
                <w:rFonts w:eastAsia="Calibri"/>
                <w:sz w:val="20"/>
              </w:rPr>
              <w:t xml:space="preserve">(Rosenberg, Blair and </w:t>
            </w:r>
            <w:proofErr w:type="spellStart"/>
            <w:r w:rsidRPr="00AB0198">
              <w:rPr>
                <w:rFonts w:eastAsia="Calibri"/>
                <w:sz w:val="20"/>
              </w:rPr>
              <w:t>Juriansz</w:t>
            </w:r>
            <w:proofErr w:type="spellEnd"/>
            <w:r w:rsidRPr="00AB0198">
              <w:rPr>
                <w:rFonts w:eastAsia="Calibri"/>
                <w:sz w:val="20"/>
              </w:rPr>
              <w:t xml:space="preserve"> JJ.A.)</w:t>
            </w:r>
          </w:p>
          <w:p w:rsidR="0070151D" w:rsidRPr="00AB0198" w:rsidRDefault="0070151D" w:rsidP="0070151D">
            <w:pPr>
              <w:jc w:val="both"/>
              <w:rPr>
                <w:rFonts w:eastAsia="Calibri"/>
                <w:sz w:val="20"/>
              </w:rPr>
            </w:pPr>
          </w:p>
        </w:tc>
        <w:tc>
          <w:tcPr>
            <w:tcW w:w="243" w:type="pct"/>
          </w:tcPr>
          <w:p w:rsidR="0070151D" w:rsidRPr="00AB0198" w:rsidRDefault="0070151D" w:rsidP="0070151D">
            <w:pPr>
              <w:jc w:val="both"/>
              <w:rPr>
                <w:rFonts w:eastAsia="Calibri"/>
                <w:sz w:val="20"/>
              </w:rPr>
            </w:pPr>
          </w:p>
        </w:tc>
        <w:tc>
          <w:tcPr>
            <w:tcW w:w="2330" w:type="pct"/>
          </w:tcPr>
          <w:p w:rsidR="0070151D" w:rsidRPr="00AB0198" w:rsidRDefault="0070151D" w:rsidP="0070151D">
            <w:pPr>
              <w:jc w:val="both"/>
              <w:rPr>
                <w:rFonts w:eastAsia="Calibri"/>
                <w:sz w:val="20"/>
              </w:rPr>
            </w:pPr>
            <w:r w:rsidRPr="00AB0198">
              <w:rPr>
                <w:rFonts w:eastAsia="Calibri"/>
                <w:sz w:val="20"/>
              </w:rPr>
              <w:t>Appeal dismissed</w:t>
            </w:r>
          </w:p>
          <w:p w:rsidR="0070151D" w:rsidRPr="00AB0198" w:rsidRDefault="0070151D" w:rsidP="0070151D">
            <w:pPr>
              <w:jc w:val="both"/>
              <w:rPr>
                <w:rFonts w:eastAsia="Calibri"/>
                <w:sz w:val="20"/>
              </w:rPr>
            </w:pPr>
          </w:p>
        </w:tc>
      </w:tr>
      <w:tr w:rsidR="0070151D" w:rsidRPr="00AB0198" w:rsidTr="0070151D">
        <w:tc>
          <w:tcPr>
            <w:tcW w:w="2427" w:type="pct"/>
          </w:tcPr>
          <w:p w:rsidR="0070151D" w:rsidRPr="00AB0198" w:rsidRDefault="0070151D" w:rsidP="0070151D">
            <w:pPr>
              <w:jc w:val="both"/>
              <w:rPr>
                <w:rFonts w:eastAsia="Calibri"/>
                <w:sz w:val="20"/>
              </w:rPr>
            </w:pPr>
            <w:r w:rsidRPr="00AB0198">
              <w:rPr>
                <w:rFonts w:eastAsia="Calibri"/>
                <w:sz w:val="20"/>
              </w:rPr>
              <w:t>February 7, 2011</w:t>
            </w:r>
          </w:p>
          <w:p w:rsidR="0070151D" w:rsidRPr="00AB0198" w:rsidRDefault="0070151D" w:rsidP="0070151D">
            <w:pPr>
              <w:jc w:val="both"/>
              <w:rPr>
                <w:rFonts w:eastAsia="Calibri"/>
                <w:sz w:val="20"/>
              </w:rPr>
            </w:pPr>
            <w:r w:rsidRPr="00AB0198">
              <w:rPr>
                <w:rFonts w:eastAsia="Calibri"/>
                <w:sz w:val="20"/>
              </w:rPr>
              <w:t>Supreme Court of Canada</w:t>
            </w:r>
          </w:p>
        </w:tc>
        <w:tc>
          <w:tcPr>
            <w:tcW w:w="243" w:type="pct"/>
          </w:tcPr>
          <w:p w:rsidR="0070151D" w:rsidRPr="00AB0198" w:rsidRDefault="0070151D" w:rsidP="0070151D">
            <w:pPr>
              <w:jc w:val="both"/>
              <w:rPr>
                <w:rFonts w:eastAsia="Calibri"/>
                <w:sz w:val="20"/>
              </w:rPr>
            </w:pPr>
          </w:p>
        </w:tc>
        <w:tc>
          <w:tcPr>
            <w:tcW w:w="2330" w:type="pct"/>
          </w:tcPr>
          <w:p w:rsidR="0070151D" w:rsidRPr="00AB0198" w:rsidRDefault="0070151D" w:rsidP="0070151D">
            <w:pPr>
              <w:jc w:val="both"/>
              <w:rPr>
                <w:rFonts w:eastAsia="Calibri"/>
                <w:sz w:val="20"/>
              </w:rPr>
            </w:pPr>
            <w:r w:rsidRPr="00AB0198">
              <w:rPr>
                <w:rFonts w:eastAsia="Calibri"/>
                <w:sz w:val="20"/>
              </w:rPr>
              <w:t>Application for leave to appeal and motion for extension of time filed</w:t>
            </w:r>
          </w:p>
        </w:tc>
      </w:tr>
    </w:tbl>
    <w:p w:rsidR="00900073" w:rsidRPr="00C50A5C" w:rsidRDefault="00900073" w:rsidP="00900073">
      <w:pPr>
        <w:rPr>
          <w:sz w:val="20"/>
          <w:szCs w:val="20"/>
        </w:rPr>
      </w:pPr>
    </w:p>
    <w:p w:rsidR="00900073" w:rsidRPr="00C50A5C" w:rsidRDefault="00547297" w:rsidP="00900073">
      <w:pPr>
        <w:rPr>
          <w:sz w:val="20"/>
          <w:szCs w:val="20"/>
        </w:rPr>
      </w:pPr>
      <w:r w:rsidRPr="00547297">
        <w:rPr>
          <w:sz w:val="20"/>
          <w:szCs w:val="20"/>
          <w:lang w:val="fr-CA"/>
        </w:rPr>
        <w:pict>
          <v:rect id="_x0000_i1047" style="width:2in;height:1pt" o:hrpct="0" o:hralign="center" o:hrstd="t" o:hrnoshade="t" o:hr="t" fillcolor="black [3213]" stroked="f"/>
        </w:pict>
      </w:r>
    </w:p>
    <w:p w:rsidR="00900073" w:rsidRPr="00C50A5C" w:rsidRDefault="00900073" w:rsidP="00900073">
      <w:pPr>
        <w:rPr>
          <w:sz w:val="20"/>
          <w:szCs w:val="20"/>
        </w:rPr>
      </w:pPr>
    </w:p>
    <w:p w:rsidR="00900073" w:rsidRPr="00C50A5C" w:rsidRDefault="00900073" w:rsidP="00900073">
      <w:pPr>
        <w:keepNext/>
        <w:rPr>
          <w:sz w:val="20"/>
          <w:szCs w:val="20"/>
          <w:u w:val="single"/>
          <w:lang w:val="fr-CA"/>
        </w:rPr>
      </w:pPr>
      <w:r w:rsidRPr="00C50A5C">
        <w:rPr>
          <w:sz w:val="20"/>
          <w:szCs w:val="20"/>
          <w:u w:val="single"/>
          <w:lang w:val="fr-CA"/>
        </w:rPr>
        <w:lastRenderedPageBreak/>
        <w:t>RÉSUMÉ DE L’AFFAIRE</w:t>
      </w:r>
    </w:p>
    <w:p w:rsidR="00900073" w:rsidRPr="00C50A5C" w:rsidRDefault="00900073" w:rsidP="00900073">
      <w:pPr>
        <w:keepNext/>
        <w:rPr>
          <w:sz w:val="20"/>
          <w:szCs w:val="20"/>
          <w:lang w:val="fr-CA"/>
        </w:rPr>
      </w:pPr>
    </w:p>
    <w:p w:rsidR="0070151D" w:rsidRPr="000D3F89" w:rsidRDefault="0070151D" w:rsidP="0070151D">
      <w:pPr>
        <w:jc w:val="both"/>
        <w:rPr>
          <w:rFonts w:eastAsia="Calibri"/>
          <w:sz w:val="20"/>
          <w:lang w:val="fr-CA"/>
        </w:rPr>
      </w:pPr>
      <w:r w:rsidRPr="00AB0198">
        <w:rPr>
          <w:rFonts w:eastAsia="Calibri"/>
          <w:sz w:val="20"/>
          <w:lang w:val="fr-CA"/>
        </w:rPr>
        <w:t>Droit criminel — Jurys — Appels — De nouveaux éléments de preuve admis en appel ont révélé des irrégularités commises par le ministère public relativement à la sélection des jurés — La défense a-t-elle le fardeau de démontrer la « possibilité raisonnable » que l’illégalité ait nui à l’impartialité ou l’équité du procès? — L’utilisation abusive par le ministère public d’une base de données privée financée par l’État dans le processus de sélection des jurés crée-t-elle une apparence d’iniquité qui nécessite la tenue d’un nouveau procès?</w:t>
      </w:r>
    </w:p>
    <w:p w:rsidR="0070151D" w:rsidRPr="00AB0198" w:rsidRDefault="0070151D" w:rsidP="0070151D">
      <w:pPr>
        <w:jc w:val="both"/>
        <w:rPr>
          <w:rFonts w:eastAsia="Calibri"/>
          <w:sz w:val="20"/>
          <w:lang w:val="fr-CA"/>
        </w:rPr>
      </w:pPr>
    </w:p>
    <w:p w:rsidR="0070151D" w:rsidRPr="000D3F89" w:rsidRDefault="0070151D" w:rsidP="0070151D">
      <w:pPr>
        <w:jc w:val="both"/>
        <w:rPr>
          <w:rFonts w:eastAsia="Calibri"/>
          <w:sz w:val="20"/>
          <w:lang w:val="fr-CA"/>
        </w:rPr>
      </w:pPr>
      <w:r w:rsidRPr="00AB0198">
        <w:rPr>
          <w:rFonts w:eastAsia="Calibri"/>
          <w:sz w:val="20"/>
          <w:lang w:val="fr-CA"/>
        </w:rPr>
        <w:t xml:space="preserve">James Peter </w:t>
      </w:r>
      <w:proofErr w:type="spellStart"/>
      <w:r w:rsidRPr="00AB0198">
        <w:rPr>
          <w:rFonts w:eastAsia="Calibri"/>
          <w:sz w:val="20"/>
          <w:lang w:val="fr-CA"/>
        </w:rPr>
        <w:t>Emms</w:t>
      </w:r>
      <w:proofErr w:type="spellEnd"/>
      <w:r w:rsidRPr="00AB0198">
        <w:rPr>
          <w:rFonts w:eastAsia="Calibri"/>
          <w:sz w:val="20"/>
          <w:lang w:val="fr-CA"/>
        </w:rPr>
        <w:t xml:space="preserve"> a été déclaré coupable, au terme d’un procès devant juge et jury, sous trois chefs d’accusation de fraude en rapport avec la vente de mobilier de bureau.  Après avoir déposé son avis d’appel, il a été informé que le ministère public avait demandé à la police locale de lui fournir des renseignements sur des jurés éventuels qui ne lui avaient pas été communiqués.  La Cour d’appel a conclu qu’il n’y avait pas eu de déni de justice et a rejeté son appel.</w:t>
      </w:r>
    </w:p>
    <w:p w:rsidR="0070151D" w:rsidRPr="00AB0198" w:rsidRDefault="0070151D" w:rsidP="0070151D">
      <w:pPr>
        <w:jc w:val="both"/>
        <w:rPr>
          <w:rFonts w:eastAsia="Calibri"/>
          <w:sz w:val="20"/>
          <w:lang w:val="fr-CA"/>
        </w:rPr>
      </w:pPr>
    </w:p>
    <w:tbl>
      <w:tblPr>
        <w:tblW w:w="4952" w:type="pct"/>
        <w:tblLayout w:type="fixed"/>
        <w:tblCellMar>
          <w:left w:w="0" w:type="dxa"/>
          <w:bottom w:w="99" w:type="dxa"/>
          <w:right w:w="0" w:type="dxa"/>
        </w:tblCellMar>
        <w:tblLook w:val="00A0"/>
      </w:tblPr>
      <w:tblGrid>
        <w:gridCol w:w="4624"/>
        <w:gridCol w:w="463"/>
        <w:gridCol w:w="4440"/>
      </w:tblGrid>
      <w:tr w:rsidR="0070151D" w:rsidRPr="00AB0198" w:rsidTr="0070151D">
        <w:tc>
          <w:tcPr>
            <w:tcW w:w="2427" w:type="pct"/>
          </w:tcPr>
          <w:p w:rsidR="0070151D" w:rsidRPr="00AB0198" w:rsidRDefault="0070151D" w:rsidP="0070151D">
            <w:pPr>
              <w:jc w:val="both"/>
              <w:rPr>
                <w:rFonts w:eastAsia="Calibri"/>
                <w:sz w:val="20"/>
                <w:lang w:val="fr-CA"/>
              </w:rPr>
            </w:pPr>
            <w:r w:rsidRPr="00AB0198">
              <w:rPr>
                <w:rFonts w:eastAsia="Calibri"/>
                <w:sz w:val="20"/>
                <w:lang w:val="fr-CA"/>
              </w:rPr>
              <w:t>9 octobre 2008</w:t>
            </w:r>
          </w:p>
          <w:p w:rsidR="0070151D" w:rsidRPr="00AB0198" w:rsidRDefault="0070151D" w:rsidP="0070151D">
            <w:pPr>
              <w:jc w:val="both"/>
              <w:rPr>
                <w:rFonts w:eastAsia="Calibri"/>
                <w:sz w:val="20"/>
                <w:lang w:val="fr-CA"/>
              </w:rPr>
            </w:pPr>
            <w:r w:rsidRPr="00AB0198">
              <w:rPr>
                <w:rFonts w:eastAsia="Calibri"/>
                <w:sz w:val="20"/>
                <w:lang w:val="fr-CA"/>
              </w:rPr>
              <w:t xml:space="preserve">Cour supérieure de justice de l’Ontario </w:t>
            </w:r>
          </w:p>
          <w:p w:rsidR="0070151D" w:rsidRPr="00AB0198" w:rsidRDefault="0070151D" w:rsidP="0070151D">
            <w:pPr>
              <w:jc w:val="both"/>
              <w:rPr>
                <w:rFonts w:eastAsia="Calibri"/>
                <w:sz w:val="20"/>
                <w:lang w:val="fr-CA"/>
              </w:rPr>
            </w:pPr>
            <w:r w:rsidRPr="00AB0198">
              <w:rPr>
                <w:rFonts w:eastAsia="Calibri"/>
                <w:sz w:val="20"/>
                <w:lang w:val="fr-CA"/>
              </w:rPr>
              <w:t xml:space="preserve">(Juge </w:t>
            </w:r>
            <w:proofErr w:type="spellStart"/>
            <w:r w:rsidRPr="00AB0198">
              <w:rPr>
                <w:rFonts w:eastAsia="Calibri"/>
                <w:sz w:val="20"/>
                <w:lang w:val="fr-CA"/>
              </w:rPr>
              <w:t>Salmers</w:t>
            </w:r>
            <w:proofErr w:type="spellEnd"/>
            <w:r w:rsidRPr="00AB0198">
              <w:rPr>
                <w:rFonts w:eastAsia="Calibri"/>
                <w:sz w:val="20"/>
                <w:lang w:val="fr-CA"/>
              </w:rPr>
              <w:t>)</w:t>
            </w:r>
          </w:p>
          <w:p w:rsidR="0070151D" w:rsidRPr="00AB0198" w:rsidRDefault="0070151D" w:rsidP="0070151D">
            <w:pPr>
              <w:jc w:val="both"/>
              <w:rPr>
                <w:rFonts w:eastAsia="Calibri"/>
                <w:sz w:val="20"/>
                <w:lang w:val="fr-CA"/>
              </w:rPr>
            </w:pPr>
          </w:p>
        </w:tc>
        <w:tc>
          <w:tcPr>
            <w:tcW w:w="243" w:type="pct"/>
          </w:tcPr>
          <w:p w:rsidR="0070151D" w:rsidRPr="00AB0198" w:rsidRDefault="0070151D" w:rsidP="0070151D">
            <w:pPr>
              <w:jc w:val="both"/>
              <w:rPr>
                <w:rFonts w:eastAsia="Calibri"/>
                <w:sz w:val="20"/>
                <w:lang w:val="fr-CA"/>
              </w:rPr>
            </w:pPr>
          </w:p>
        </w:tc>
        <w:tc>
          <w:tcPr>
            <w:tcW w:w="2330" w:type="pct"/>
          </w:tcPr>
          <w:p w:rsidR="0070151D" w:rsidRPr="00AB0198" w:rsidRDefault="0070151D" w:rsidP="0070151D">
            <w:pPr>
              <w:jc w:val="both"/>
              <w:rPr>
                <w:rFonts w:eastAsia="Calibri"/>
                <w:sz w:val="20"/>
                <w:lang w:val="fr-CA"/>
              </w:rPr>
            </w:pPr>
            <w:r w:rsidRPr="00AB0198">
              <w:rPr>
                <w:rFonts w:eastAsia="Calibri"/>
                <w:sz w:val="20"/>
                <w:lang w:val="fr-CA"/>
              </w:rPr>
              <w:t>Déclarations de culpabilité : fraude</w:t>
            </w:r>
          </w:p>
        </w:tc>
      </w:tr>
      <w:tr w:rsidR="0070151D" w:rsidRPr="00AB0198" w:rsidTr="0070151D">
        <w:tc>
          <w:tcPr>
            <w:tcW w:w="2427" w:type="pct"/>
          </w:tcPr>
          <w:p w:rsidR="0070151D" w:rsidRPr="00AB0198" w:rsidRDefault="0070151D" w:rsidP="0070151D">
            <w:pPr>
              <w:jc w:val="both"/>
              <w:rPr>
                <w:rFonts w:eastAsia="Calibri"/>
                <w:sz w:val="20"/>
                <w:lang w:val="fr-CA"/>
              </w:rPr>
            </w:pPr>
            <w:r w:rsidRPr="00AB0198">
              <w:rPr>
                <w:rFonts w:eastAsia="Calibri"/>
                <w:sz w:val="20"/>
                <w:lang w:val="fr-CA"/>
              </w:rPr>
              <w:t>3 décembre 2009</w:t>
            </w:r>
          </w:p>
          <w:p w:rsidR="0070151D" w:rsidRPr="00AB0198" w:rsidRDefault="0070151D" w:rsidP="0070151D">
            <w:pPr>
              <w:jc w:val="both"/>
              <w:rPr>
                <w:rFonts w:eastAsia="Calibri"/>
                <w:sz w:val="20"/>
                <w:lang w:val="fr-CA"/>
              </w:rPr>
            </w:pPr>
            <w:r w:rsidRPr="00AB0198">
              <w:rPr>
                <w:rFonts w:eastAsia="Calibri"/>
                <w:sz w:val="20"/>
                <w:lang w:val="fr-CA"/>
              </w:rPr>
              <w:t xml:space="preserve">Cour d’appel de l’Ontario </w:t>
            </w:r>
          </w:p>
          <w:p w:rsidR="0070151D" w:rsidRPr="00AB0198" w:rsidRDefault="0070151D" w:rsidP="0070151D">
            <w:pPr>
              <w:jc w:val="both"/>
              <w:rPr>
                <w:rFonts w:eastAsia="Calibri"/>
                <w:sz w:val="20"/>
                <w:lang w:val="fr-CA"/>
              </w:rPr>
            </w:pPr>
            <w:r w:rsidRPr="00AB0198">
              <w:rPr>
                <w:rFonts w:eastAsia="Calibri"/>
                <w:sz w:val="20"/>
                <w:lang w:val="fr-CA"/>
              </w:rPr>
              <w:t xml:space="preserve">(Juges Rosenberg, Blair et </w:t>
            </w:r>
            <w:proofErr w:type="spellStart"/>
            <w:r w:rsidRPr="00AB0198">
              <w:rPr>
                <w:rFonts w:eastAsia="Calibri"/>
                <w:sz w:val="20"/>
                <w:lang w:val="fr-CA"/>
              </w:rPr>
              <w:t>Juriansz</w:t>
            </w:r>
            <w:proofErr w:type="spellEnd"/>
            <w:r w:rsidRPr="00AB0198">
              <w:rPr>
                <w:rFonts w:eastAsia="Calibri"/>
                <w:sz w:val="20"/>
                <w:lang w:val="fr-CA"/>
              </w:rPr>
              <w:t>)</w:t>
            </w:r>
          </w:p>
          <w:p w:rsidR="0070151D" w:rsidRPr="00AB0198" w:rsidRDefault="0070151D" w:rsidP="0070151D">
            <w:pPr>
              <w:jc w:val="both"/>
              <w:rPr>
                <w:rFonts w:eastAsia="Calibri"/>
                <w:sz w:val="20"/>
                <w:lang w:val="fr-CA"/>
              </w:rPr>
            </w:pPr>
          </w:p>
        </w:tc>
        <w:tc>
          <w:tcPr>
            <w:tcW w:w="243" w:type="pct"/>
          </w:tcPr>
          <w:p w:rsidR="0070151D" w:rsidRPr="00AB0198" w:rsidRDefault="0070151D" w:rsidP="0070151D">
            <w:pPr>
              <w:jc w:val="both"/>
              <w:rPr>
                <w:rFonts w:eastAsia="Calibri"/>
                <w:sz w:val="20"/>
                <w:lang w:val="fr-CA"/>
              </w:rPr>
            </w:pPr>
          </w:p>
        </w:tc>
        <w:tc>
          <w:tcPr>
            <w:tcW w:w="2330" w:type="pct"/>
          </w:tcPr>
          <w:p w:rsidR="0070151D" w:rsidRPr="00AB0198" w:rsidRDefault="0070151D" w:rsidP="0070151D">
            <w:pPr>
              <w:jc w:val="both"/>
              <w:rPr>
                <w:rFonts w:eastAsia="Calibri"/>
                <w:sz w:val="20"/>
                <w:lang w:val="fr-CA"/>
              </w:rPr>
            </w:pPr>
            <w:r w:rsidRPr="00AB0198">
              <w:rPr>
                <w:rFonts w:eastAsia="Calibri"/>
                <w:sz w:val="20"/>
                <w:lang w:val="fr-CA"/>
              </w:rPr>
              <w:t>Appel rejeté</w:t>
            </w:r>
          </w:p>
          <w:p w:rsidR="0070151D" w:rsidRPr="00AB0198" w:rsidRDefault="0070151D" w:rsidP="0070151D">
            <w:pPr>
              <w:jc w:val="both"/>
              <w:rPr>
                <w:rFonts w:eastAsia="Calibri"/>
                <w:sz w:val="20"/>
                <w:lang w:val="fr-CA"/>
              </w:rPr>
            </w:pPr>
          </w:p>
        </w:tc>
      </w:tr>
      <w:tr w:rsidR="0070151D" w:rsidRPr="002D1834" w:rsidTr="0070151D">
        <w:tc>
          <w:tcPr>
            <w:tcW w:w="2427" w:type="pct"/>
          </w:tcPr>
          <w:p w:rsidR="0070151D" w:rsidRPr="00AB0198" w:rsidRDefault="0070151D" w:rsidP="0070151D">
            <w:pPr>
              <w:jc w:val="both"/>
              <w:rPr>
                <w:rFonts w:eastAsia="Calibri"/>
                <w:sz w:val="20"/>
                <w:lang w:val="fr-CA"/>
              </w:rPr>
            </w:pPr>
            <w:r w:rsidRPr="00AB0198">
              <w:rPr>
                <w:rFonts w:eastAsia="Calibri"/>
                <w:sz w:val="20"/>
                <w:lang w:val="fr-CA"/>
              </w:rPr>
              <w:t>7 février 2011</w:t>
            </w:r>
          </w:p>
          <w:p w:rsidR="0070151D" w:rsidRPr="00AB0198" w:rsidRDefault="0070151D" w:rsidP="0070151D">
            <w:pPr>
              <w:jc w:val="both"/>
              <w:rPr>
                <w:rFonts w:eastAsia="Calibri"/>
                <w:sz w:val="20"/>
                <w:lang w:val="fr-CA"/>
              </w:rPr>
            </w:pPr>
            <w:r w:rsidRPr="00AB0198">
              <w:rPr>
                <w:rFonts w:eastAsia="Calibri"/>
                <w:sz w:val="20"/>
                <w:lang w:val="fr-CA"/>
              </w:rPr>
              <w:t>Cour suprême du Canada</w:t>
            </w:r>
          </w:p>
        </w:tc>
        <w:tc>
          <w:tcPr>
            <w:tcW w:w="243" w:type="pct"/>
          </w:tcPr>
          <w:p w:rsidR="0070151D" w:rsidRPr="00AB0198" w:rsidRDefault="0070151D" w:rsidP="0070151D">
            <w:pPr>
              <w:jc w:val="both"/>
              <w:rPr>
                <w:rFonts w:eastAsia="Calibri"/>
                <w:sz w:val="20"/>
                <w:lang w:val="fr-CA"/>
              </w:rPr>
            </w:pPr>
          </w:p>
        </w:tc>
        <w:tc>
          <w:tcPr>
            <w:tcW w:w="2330" w:type="pct"/>
          </w:tcPr>
          <w:p w:rsidR="0070151D" w:rsidRPr="00AB0198" w:rsidRDefault="0070151D" w:rsidP="0070151D">
            <w:pPr>
              <w:jc w:val="both"/>
              <w:rPr>
                <w:rFonts w:eastAsia="Calibri"/>
                <w:sz w:val="20"/>
                <w:lang w:val="fr-CA"/>
              </w:rPr>
            </w:pPr>
            <w:r w:rsidRPr="00AB0198">
              <w:rPr>
                <w:rFonts w:eastAsia="Calibri"/>
                <w:sz w:val="20"/>
                <w:lang w:val="fr-CA"/>
              </w:rPr>
              <w:t>Demande d’autorisation d’appel et requête en prorogation de délai, déposées</w:t>
            </w:r>
          </w:p>
        </w:tc>
      </w:tr>
    </w:tbl>
    <w:p w:rsidR="00900073" w:rsidRPr="005756A5" w:rsidRDefault="00900073" w:rsidP="00900073">
      <w:pPr>
        <w:rPr>
          <w:sz w:val="20"/>
          <w:szCs w:val="20"/>
          <w:lang w:val="fr-CA"/>
        </w:rPr>
      </w:pPr>
    </w:p>
    <w:p w:rsidR="00900073" w:rsidRPr="00C50A5C" w:rsidRDefault="00547297" w:rsidP="00900073">
      <w:pPr>
        <w:rPr>
          <w:sz w:val="20"/>
          <w:szCs w:val="20"/>
        </w:rPr>
      </w:pPr>
      <w:r w:rsidRPr="00547297">
        <w:rPr>
          <w:sz w:val="20"/>
          <w:szCs w:val="20"/>
          <w:lang w:val="fr-CA"/>
        </w:rPr>
        <w:pict>
          <v:rect id="_x0000_i1048" style="width:2in;height:1pt" o:hrpct="0" o:hralign="center" o:hrstd="t" o:hrnoshade="t" o:hr="t" fillcolor="black [3213]" stroked="f"/>
        </w:pict>
      </w:r>
    </w:p>
    <w:p w:rsidR="00900073" w:rsidRPr="00C50A5C" w:rsidRDefault="00900073" w:rsidP="00900073">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52AF7" w:rsidRPr="00A52AF7" w:rsidTr="007F2048">
        <w:trPr>
          <w:cantSplit/>
        </w:trPr>
        <w:tc>
          <w:tcPr>
            <w:tcW w:w="1458" w:type="dxa"/>
          </w:tcPr>
          <w:p w:rsidR="00A52AF7" w:rsidRPr="00A52AF7" w:rsidRDefault="00A52AF7" w:rsidP="00A52AF7">
            <w:pPr>
              <w:rPr>
                <w:sz w:val="20"/>
              </w:rPr>
            </w:pPr>
            <w:r w:rsidRPr="00A52AF7">
              <w:rPr>
                <w:b/>
                <w:sz w:val="20"/>
                <w:lang w:val="fr-CA"/>
              </w:rPr>
              <w:t>34090</w:t>
            </w:r>
          </w:p>
          <w:p w:rsidR="00A52AF7" w:rsidRPr="00A52AF7" w:rsidRDefault="00A52AF7" w:rsidP="00A52AF7">
            <w:pPr>
              <w:rPr>
                <w:b/>
                <w:sz w:val="20"/>
                <w:lang w:val="fr-CA"/>
              </w:rPr>
            </w:pPr>
          </w:p>
        </w:tc>
        <w:tc>
          <w:tcPr>
            <w:tcW w:w="8118" w:type="dxa"/>
          </w:tcPr>
          <w:p w:rsidR="00A52AF7" w:rsidRPr="00A52AF7" w:rsidRDefault="00A52AF7" w:rsidP="00A52AF7">
            <w:pPr>
              <w:rPr>
                <w:sz w:val="20"/>
              </w:rPr>
            </w:pPr>
            <w:r w:rsidRPr="00A52AF7">
              <w:rPr>
                <w:b/>
                <w:sz w:val="20"/>
                <w:u w:val="single"/>
                <w:lang w:val="en-US"/>
              </w:rPr>
              <w:t xml:space="preserve">Ibrahim </w:t>
            </w:r>
            <w:proofErr w:type="spellStart"/>
            <w:r w:rsidRPr="00A52AF7">
              <w:rPr>
                <w:b/>
                <w:sz w:val="20"/>
                <w:u w:val="single"/>
                <w:lang w:val="en-US"/>
              </w:rPr>
              <w:t>Yumnu</w:t>
            </w:r>
            <w:proofErr w:type="spellEnd"/>
            <w:r w:rsidRPr="00A52AF7">
              <w:rPr>
                <w:b/>
                <w:sz w:val="20"/>
                <w:u w:val="single"/>
                <w:lang w:val="en-US"/>
              </w:rPr>
              <w:t xml:space="preserve"> v. Her Majesty the Queen</w:t>
            </w:r>
            <w:r w:rsidRPr="00A52AF7">
              <w:rPr>
                <w:sz w:val="20"/>
              </w:rPr>
              <w:t xml:space="preserve"> (Ont.) (Criminal) (By Leave)</w:t>
            </w:r>
          </w:p>
          <w:p w:rsidR="00A52AF7" w:rsidRPr="00A52AF7" w:rsidRDefault="00A52AF7" w:rsidP="00A52AF7">
            <w:pPr>
              <w:rPr>
                <w:sz w:val="20"/>
              </w:rPr>
            </w:pPr>
          </w:p>
        </w:tc>
      </w:tr>
      <w:tr w:rsidR="00A52AF7" w:rsidRPr="00A52AF7" w:rsidTr="007F2048">
        <w:trPr>
          <w:cantSplit/>
        </w:trPr>
        <w:tc>
          <w:tcPr>
            <w:tcW w:w="1458" w:type="dxa"/>
          </w:tcPr>
          <w:p w:rsidR="00A52AF7" w:rsidRPr="00A52AF7" w:rsidRDefault="00A52AF7" w:rsidP="00A52AF7">
            <w:pPr>
              <w:rPr>
                <w:sz w:val="20"/>
              </w:rPr>
            </w:pPr>
            <w:r w:rsidRPr="00A52AF7">
              <w:rPr>
                <w:sz w:val="20"/>
              </w:rPr>
              <w:t>Coram :</w:t>
            </w:r>
          </w:p>
        </w:tc>
        <w:tc>
          <w:tcPr>
            <w:tcW w:w="8118" w:type="dxa"/>
          </w:tcPr>
          <w:p w:rsidR="00A52AF7" w:rsidRPr="00A52AF7" w:rsidRDefault="00A52AF7" w:rsidP="00A52AF7">
            <w:pPr>
              <w:rPr>
                <w:sz w:val="20"/>
              </w:rPr>
            </w:pPr>
            <w:proofErr w:type="spellStart"/>
            <w:r w:rsidRPr="00A52AF7">
              <w:rPr>
                <w:sz w:val="20"/>
                <w:u w:val="single"/>
                <w:lang w:val="en-US"/>
              </w:rPr>
              <w:t>Binnie</w:t>
            </w:r>
            <w:proofErr w:type="spellEnd"/>
            <w:r w:rsidRPr="00A52AF7">
              <w:rPr>
                <w:sz w:val="20"/>
                <w:u w:val="single"/>
                <w:lang w:val="en-US"/>
              </w:rPr>
              <w:t xml:space="preserve">, </w:t>
            </w:r>
            <w:proofErr w:type="spellStart"/>
            <w:r w:rsidRPr="00A52AF7">
              <w:rPr>
                <w:sz w:val="20"/>
                <w:u w:val="single"/>
                <w:lang w:val="en-US"/>
              </w:rPr>
              <w:t>Abella</w:t>
            </w:r>
            <w:proofErr w:type="spellEnd"/>
            <w:r w:rsidRPr="00A52AF7">
              <w:rPr>
                <w:sz w:val="20"/>
                <w:u w:val="single"/>
                <w:lang w:val="en-US"/>
              </w:rPr>
              <w:t xml:space="preserve"> and Rothstein JJ.</w:t>
            </w:r>
          </w:p>
          <w:p w:rsidR="00A52AF7" w:rsidRPr="00A52AF7" w:rsidRDefault="00A52AF7" w:rsidP="00A52AF7">
            <w:pPr>
              <w:rPr>
                <w:sz w:val="20"/>
                <w:u w:val="single"/>
              </w:rPr>
            </w:pPr>
          </w:p>
        </w:tc>
      </w:tr>
      <w:tr w:rsidR="00A52AF7" w:rsidRPr="002D1834" w:rsidTr="007F2048">
        <w:trPr>
          <w:cantSplit/>
        </w:trPr>
        <w:tc>
          <w:tcPr>
            <w:tcW w:w="9576" w:type="dxa"/>
            <w:gridSpan w:val="2"/>
          </w:tcPr>
          <w:p w:rsidR="00A52AF7" w:rsidRPr="00A52AF7" w:rsidRDefault="00A52AF7" w:rsidP="00A52AF7">
            <w:pPr>
              <w:ind w:firstLine="720"/>
              <w:jc w:val="both"/>
              <w:rPr>
                <w:sz w:val="20"/>
              </w:rPr>
            </w:pPr>
            <w:r w:rsidRPr="00A52AF7">
              <w:rPr>
                <w:sz w:val="20"/>
              </w:rPr>
              <w:t>The motion for an extension of time to serve and file the application for leave to appeal and the application for leave to appeal from the judgment of the Court of Appeal for Ontario, Number C44836, 2010 ONCA 637, dated October 5, 2010, are granted without costs.</w:t>
            </w:r>
          </w:p>
          <w:p w:rsidR="00A52AF7" w:rsidRPr="00A52AF7" w:rsidRDefault="00A52AF7" w:rsidP="00A52AF7">
            <w:pPr>
              <w:jc w:val="both"/>
              <w:rPr>
                <w:sz w:val="20"/>
              </w:rPr>
            </w:pPr>
          </w:p>
          <w:p w:rsidR="00A52AF7" w:rsidRPr="00A52AF7" w:rsidRDefault="00A52AF7" w:rsidP="00A52AF7">
            <w:pPr>
              <w:ind w:firstLine="720"/>
              <w:jc w:val="both"/>
              <w:rPr>
                <w:sz w:val="20"/>
                <w:lang w:val="fr-CA"/>
              </w:rPr>
            </w:pPr>
            <w:r w:rsidRPr="00A52AF7">
              <w:rPr>
                <w:sz w:val="20"/>
                <w:lang w:val="fr-CA"/>
              </w:rPr>
              <w:t>La requête en prorogation du délai de signification et de dépôt de la demande d’autorisation d’appel et la demande d’autorisation d’appel de l’arrêt de la Cour d’appel de l’Ontario, numéro C44836, 2010 ONCA 637, daté du 5 octobre 2010, sont accordées sans dépens.</w:t>
            </w:r>
          </w:p>
          <w:p w:rsidR="00A52AF7" w:rsidRPr="00A52AF7" w:rsidRDefault="00A52AF7" w:rsidP="00A52AF7">
            <w:pPr>
              <w:rPr>
                <w:sz w:val="20"/>
                <w:lang w:val="fr-CA"/>
              </w:rPr>
            </w:pPr>
          </w:p>
        </w:tc>
      </w:tr>
    </w:tbl>
    <w:p w:rsidR="0070151D" w:rsidRPr="00C50A5C" w:rsidRDefault="0070151D" w:rsidP="0070151D">
      <w:pPr>
        <w:keepNext/>
        <w:rPr>
          <w:sz w:val="20"/>
          <w:szCs w:val="20"/>
        </w:rPr>
      </w:pPr>
      <w:r w:rsidRPr="00C50A5C">
        <w:rPr>
          <w:sz w:val="20"/>
          <w:szCs w:val="20"/>
          <w:u w:val="single"/>
        </w:rPr>
        <w:t>CASE SUMMARY</w:t>
      </w:r>
    </w:p>
    <w:p w:rsidR="0070151D" w:rsidRDefault="0070151D" w:rsidP="0070151D"/>
    <w:p w:rsidR="0070151D" w:rsidRPr="00AB0198" w:rsidRDefault="0070151D" w:rsidP="0070151D">
      <w:pPr>
        <w:jc w:val="both"/>
        <w:rPr>
          <w:rFonts w:eastAsia="Calibri"/>
          <w:smallCaps/>
          <w:sz w:val="20"/>
        </w:rPr>
      </w:pPr>
      <w:r w:rsidRPr="00AB0198">
        <w:rPr>
          <w:rFonts w:eastAsia="Calibri"/>
          <w:smallCaps/>
          <w:sz w:val="20"/>
        </w:rPr>
        <w:t xml:space="preserve">(Publication ban in case) </w:t>
      </w:r>
    </w:p>
    <w:p w:rsidR="0070151D" w:rsidRPr="00AB0198" w:rsidRDefault="0070151D" w:rsidP="0070151D">
      <w:pPr>
        <w:jc w:val="both"/>
        <w:rPr>
          <w:rFonts w:eastAsia="Calibri"/>
          <w:sz w:val="20"/>
        </w:rPr>
      </w:pPr>
    </w:p>
    <w:p w:rsidR="0070151D" w:rsidRPr="00AB0198" w:rsidRDefault="0070151D" w:rsidP="0070151D">
      <w:pPr>
        <w:jc w:val="both"/>
        <w:rPr>
          <w:rFonts w:eastAsia="Calibri"/>
          <w:sz w:val="20"/>
        </w:rPr>
      </w:pPr>
      <w:r w:rsidRPr="00AB0198">
        <w:rPr>
          <w:rFonts w:eastAsia="Calibri"/>
          <w:sz w:val="20"/>
        </w:rPr>
        <w:t xml:space="preserve">Criminal law — Juries — Selection </w:t>
      </w:r>
      <w:r w:rsidRPr="00AB0198">
        <w:rPr>
          <w:rFonts w:eastAsia="Calibri"/>
          <w:sz w:val="20"/>
        </w:rPr>
        <w:noBreakHyphen/>
        <w:t xml:space="preserve"> Non</w:t>
      </w:r>
      <w:r w:rsidRPr="00AB0198">
        <w:rPr>
          <w:rFonts w:eastAsia="Calibri"/>
          <w:sz w:val="20"/>
        </w:rPr>
        <w:noBreakHyphen/>
        <w:t>disclosure of results of investigation of potential jurors conducted by the police and the Crown prior to the selection of the jury — Impact of this on the overall fairness of the trial process — Was Applicant’s right to make full answer and defence impaired? — Whether this so affected the overall appearance of fairness that a new trial is required.</w:t>
      </w:r>
    </w:p>
    <w:p w:rsidR="0070151D" w:rsidRPr="00AB0198" w:rsidRDefault="0070151D" w:rsidP="0070151D">
      <w:pPr>
        <w:jc w:val="both"/>
        <w:rPr>
          <w:rFonts w:eastAsia="Calibri"/>
          <w:sz w:val="20"/>
        </w:rPr>
      </w:pPr>
    </w:p>
    <w:p w:rsidR="0070151D" w:rsidRPr="00AB0198" w:rsidRDefault="0070151D" w:rsidP="0070151D">
      <w:pPr>
        <w:jc w:val="both"/>
        <w:rPr>
          <w:rFonts w:eastAsia="Calibri"/>
          <w:sz w:val="20"/>
        </w:rPr>
      </w:pPr>
      <w:proofErr w:type="spellStart"/>
      <w:r w:rsidRPr="00AB0198">
        <w:rPr>
          <w:rFonts w:eastAsia="Calibri"/>
          <w:sz w:val="20"/>
        </w:rPr>
        <w:t>Yumnu</w:t>
      </w:r>
      <w:proofErr w:type="spellEnd"/>
      <w:r w:rsidRPr="00AB0198">
        <w:rPr>
          <w:rFonts w:eastAsia="Calibri"/>
          <w:sz w:val="20"/>
        </w:rPr>
        <w:t xml:space="preserve"> and two others were convicted of first degree murder.  On the appeal to the Ontario Court of Appeal, it was disclosed that the Crown had engaged in a practice of jury vetting in the Barrie area.  Fresh evidence was admitted on appeal that established that the Crown had enlisted the aid of police forces to obtain information about prospective jurors, which was not disclosed to the defence.  The Court of Appeal dismissed the appeal, finding that although the </w:t>
      </w:r>
      <w:r w:rsidRPr="00AB0198">
        <w:rPr>
          <w:rFonts w:eastAsia="Calibri"/>
          <w:sz w:val="20"/>
        </w:rPr>
        <w:lastRenderedPageBreak/>
        <w:t xml:space="preserve">Crown had an obligation to disclose the information to the defence, the failure to do so did not taint the fairness of the trial or impede the right to make fair answer and defence.  </w:t>
      </w:r>
    </w:p>
    <w:p w:rsidR="0070151D" w:rsidRPr="00AB0198" w:rsidRDefault="0070151D" w:rsidP="0070151D">
      <w:pPr>
        <w:jc w:val="both"/>
        <w:rPr>
          <w:rFonts w:eastAsia="Calibri"/>
          <w:sz w:val="20"/>
        </w:rPr>
      </w:pPr>
    </w:p>
    <w:tbl>
      <w:tblPr>
        <w:tblW w:w="4952" w:type="pct"/>
        <w:tblLayout w:type="fixed"/>
        <w:tblCellMar>
          <w:left w:w="0" w:type="dxa"/>
          <w:bottom w:w="99" w:type="dxa"/>
          <w:right w:w="0" w:type="dxa"/>
        </w:tblCellMar>
        <w:tblLook w:val="04A0"/>
      </w:tblPr>
      <w:tblGrid>
        <w:gridCol w:w="4624"/>
        <w:gridCol w:w="463"/>
        <w:gridCol w:w="4440"/>
      </w:tblGrid>
      <w:tr w:rsidR="0070151D" w:rsidRPr="00AB0198" w:rsidTr="0070151D">
        <w:tc>
          <w:tcPr>
            <w:tcW w:w="2427" w:type="pct"/>
          </w:tcPr>
          <w:p w:rsidR="0070151D" w:rsidRPr="00AB0198" w:rsidRDefault="0070151D" w:rsidP="0070151D">
            <w:pPr>
              <w:jc w:val="both"/>
              <w:rPr>
                <w:rFonts w:eastAsia="Calibri"/>
                <w:sz w:val="20"/>
              </w:rPr>
            </w:pPr>
            <w:r w:rsidRPr="00AB0198">
              <w:rPr>
                <w:rFonts w:eastAsia="Calibri"/>
                <w:sz w:val="20"/>
              </w:rPr>
              <w:t>December 22, 2005</w:t>
            </w:r>
          </w:p>
          <w:p w:rsidR="0070151D" w:rsidRPr="00AB0198" w:rsidRDefault="0070151D" w:rsidP="0070151D">
            <w:pPr>
              <w:jc w:val="both"/>
              <w:rPr>
                <w:rFonts w:eastAsia="Calibri"/>
                <w:sz w:val="20"/>
              </w:rPr>
            </w:pPr>
            <w:r w:rsidRPr="00AB0198">
              <w:rPr>
                <w:rFonts w:eastAsia="Calibri"/>
                <w:sz w:val="20"/>
              </w:rPr>
              <w:t>Ontario Superior Court of Justice</w:t>
            </w:r>
          </w:p>
          <w:p w:rsidR="0070151D" w:rsidRPr="00AB0198" w:rsidRDefault="0070151D" w:rsidP="0070151D">
            <w:pPr>
              <w:jc w:val="both"/>
              <w:rPr>
                <w:rFonts w:eastAsia="Calibri"/>
                <w:sz w:val="20"/>
              </w:rPr>
            </w:pPr>
            <w:r w:rsidRPr="00AB0198">
              <w:rPr>
                <w:rFonts w:eastAsia="Calibri"/>
                <w:sz w:val="20"/>
              </w:rPr>
              <w:t>(</w:t>
            </w:r>
            <w:proofErr w:type="spellStart"/>
            <w:r w:rsidRPr="00AB0198">
              <w:rPr>
                <w:rFonts w:eastAsia="Calibri"/>
                <w:sz w:val="20"/>
              </w:rPr>
              <w:t>Stong</w:t>
            </w:r>
            <w:proofErr w:type="spellEnd"/>
            <w:r w:rsidRPr="00AB0198">
              <w:rPr>
                <w:rFonts w:eastAsia="Calibri"/>
                <w:sz w:val="20"/>
              </w:rPr>
              <w:t xml:space="preserve"> J.)</w:t>
            </w:r>
          </w:p>
          <w:p w:rsidR="0070151D" w:rsidRPr="00AB0198" w:rsidRDefault="0070151D" w:rsidP="0070151D">
            <w:pPr>
              <w:jc w:val="both"/>
              <w:rPr>
                <w:rFonts w:eastAsia="Calibri"/>
                <w:sz w:val="20"/>
              </w:rPr>
            </w:pPr>
          </w:p>
        </w:tc>
        <w:tc>
          <w:tcPr>
            <w:tcW w:w="243" w:type="pct"/>
          </w:tcPr>
          <w:p w:rsidR="0070151D" w:rsidRPr="00AB0198" w:rsidRDefault="0070151D" w:rsidP="0070151D">
            <w:pPr>
              <w:jc w:val="both"/>
              <w:rPr>
                <w:rFonts w:eastAsia="Calibri"/>
                <w:sz w:val="20"/>
              </w:rPr>
            </w:pPr>
          </w:p>
        </w:tc>
        <w:tc>
          <w:tcPr>
            <w:tcW w:w="2330" w:type="pct"/>
          </w:tcPr>
          <w:p w:rsidR="0070151D" w:rsidRPr="00AB0198" w:rsidRDefault="0070151D" w:rsidP="0070151D">
            <w:pPr>
              <w:jc w:val="both"/>
              <w:rPr>
                <w:rFonts w:eastAsia="Calibri"/>
                <w:sz w:val="20"/>
              </w:rPr>
            </w:pPr>
            <w:r w:rsidRPr="00AB0198">
              <w:rPr>
                <w:rFonts w:eastAsia="Calibri"/>
                <w:sz w:val="20"/>
              </w:rPr>
              <w:t>Convictions:  first degree murder (two counts) and conspiracy to commit murder (two counts)</w:t>
            </w:r>
          </w:p>
          <w:p w:rsidR="0070151D" w:rsidRPr="00AB0198" w:rsidRDefault="0070151D" w:rsidP="0070151D">
            <w:pPr>
              <w:jc w:val="both"/>
              <w:rPr>
                <w:rFonts w:eastAsia="Calibri"/>
                <w:sz w:val="20"/>
              </w:rPr>
            </w:pPr>
          </w:p>
        </w:tc>
      </w:tr>
      <w:tr w:rsidR="0070151D" w:rsidRPr="00AB0198" w:rsidTr="0070151D">
        <w:tc>
          <w:tcPr>
            <w:tcW w:w="2427" w:type="pct"/>
          </w:tcPr>
          <w:p w:rsidR="0070151D" w:rsidRPr="00AB0198" w:rsidRDefault="0070151D" w:rsidP="0070151D">
            <w:pPr>
              <w:jc w:val="both"/>
              <w:rPr>
                <w:rFonts w:eastAsia="Calibri"/>
                <w:sz w:val="20"/>
              </w:rPr>
            </w:pPr>
            <w:r w:rsidRPr="00AB0198">
              <w:rPr>
                <w:rFonts w:eastAsia="Calibri"/>
                <w:sz w:val="20"/>
              </w:rPr>
              <w:t>October 5, 2010</w:t>
            </w:r>
          </w:p>
          <w:p w:rsidR="0070151D" w:rsidRPr="00AB0198" w:rsidRDefault="0070151D" w:rsidP="0070151D">
            <w:pPr>
              <w:jc w:val="both"/>
              <w:rPr>
                <w:rFonts w:eastAsia="Calibri"/>
                <w:sz w:val="20"/>
              </w:rPr>
            </w:pPr>
            <w:r w:rsidRPr="00AB0198">
              <w:rPr>
                <w:rFonts w:eastAsia="Calibri"/>
                <w:sz w:val="20"/>
              </w:rPr>
              <w:t>Court of Appeal for Ontario</w:t>
            </w:r>
          </w:p>
          <w:p w:rsidR="0070151D" w:rsidRPr="00AB0198" w:rsidRDefault="0070151D" w:rsidP="0070151D">
            <w:pPr>
              <w:jc w:val="both"/>
              <w:rPr>
                <w:rFonts w:eastAsia="Calibri"/>
                <w:sz w:val="20"/>
              </w:rPr>
            </w:pPr>
            <w:r w:rsidRPr="00AB0198">
              <w:rPr>
                <w:rFonts w:eastAsia="Calibri"/>
                <w:sz w:val="20"/>
              </w:rPr>
              <w:t>(</w:t>
            </w:r>
            <w:proofErr w:type="spellStart"/>
            <w:r w:rsidRPr="00AB0198">
              <w:rPr>
                <w:rFonts w:eastAsia="Calibri"/>
                <w:sz w:val="20"/>
              </w:rPr>
              <w:t>Weiler</w:t>
            </w:r>
            <w:proofErr w:type="spellEnd"/>
            <w:r w:rsidRPr="00AB0198">
              <w:rPr>
                <w:rFonts w:eastAsia="Calibri"/>
                <w:sz w:val="20"/>
              </w:rPr>
              <w:t xml:space="preserve">, </w:t>
            </w:r>
            <w:proofErr w:type="spellStart"/>
            <w:r w:rsidRPr="00AB0198">
              <w:rPr>
                <w:rFonts w:eastAsia="Calibri"/>
                <w:sz w:val="20"/>
              </w:rPr>
              <w:t>Gillese</w:t>
            </w:r>
            <w:proofErr w:type="spellEnd"/>
            <w:r w:rsidRPr="00AB0198">
              <w:rPr>
                <w:rFonts w:eastAsia="Calibri"/>
                <w:sz w:val="20"/>
              </w:rPr>
              <w:t>, and Watt JJ.A.)</w:t>
            </w:r>
          </w:p>
          <w:p w:rsidR="0070151D" w:rsidRPr="00AB0198" w:rsidRDefault="0070151D" w:rsidP="0070151D">
            <w:pPr>
              <w:jc w:val="both"/>
              <w:rPr>
                <w:rFonts w:eastAsia="Calibri"/>
                <w:sz w:val="20"/>
              </w:rPr>
            </w:pPr>
            <w:r w:rsidRPr="00AB0198">
              <w:rPr>
                <w:rFonts w:eastAsia="Calibri"/>
                <w:sz w:val="20"/>
              </w:rPr>
              <w:t>Neutral citation: 2010 ONCA 637</w:t>
            </w:r>
          </w:p>
          <w:p w:rsidR="0070151D" w:rsidRPr="00AB0198" w:rsidRDefault="0070151D" w:rsidP="0070151D">
            <w:pPr>
              <w:jc w:val="both"/>
              <w:rPr>
                <w:rFonts w:eastAsia="Calibri"/>
                <w:sz w:val="20"/>
              </w:rPr>
            </w:pPr>
          </w:p>
        </w:tc>
        <w:tc>
          <w:tcPr>
            <w:tcW w:w="243" w:type="pct"/>
          </w:tcPr>
          <w:p w:rsidR="0070151D" w:rsidRPr="00AB0198" w:rsidRDefault="0070151D" w:rsidP="0070151D">
            <w:pPr>
              <w:jc w:val="both"/>
              <w:rPr>
                <w:rFonts w:eastAsia="Calibri"/>
                <w:sz w:val="20"/>
              </w:rPr>
            </w:pPr>
          </w:p>
        </w:tc>
        <w:tc>
          <w:tcPr>
            <w:tcW w:w="2330" w:type="pct"/>
          </w:tcPr>
          <w:p w:rsidR="0070151D" w:rsidRPr="00AB0198" w:rsidRDefault="0070151D" w:rsidP="0070151D">
            <w:pPr>
              <w:jc w:val="both"/>
              <w:rPr>
                <w:rFonts w:eastAsia="Calibri"/>
                <w:sz w:val="20"/>
              </w:rPr>
            </w:pPr>
            <w:r w:rsidRPr="00AB0198">
              <w:rPr>
                <w:rFonts w:eastAsia="Calibri"/>
                <w:sz w:val="20"/>
              </w:rPr>
              <w:t>Appeal dismissed</w:t>
            </w:r>
          </w:p>
          <w:p w:rsidR="0070151D" w:rsidRPr="00AB0198" w:rsidRDefault="0070151D" w:rsidP="0070151D">
            <w:pPr>
              <w:jc w:val="both"/>
              <w:rPr>
                <w:rFonts w:eastAsia="Calibri"/>
                <w:sz w:val="20"/>
              </w:rPr>
            </w:pPr>
          </w:p>
        </w:tc>
      </w:tr>
      <w:tr w:rsidR="0070151D" w:rsidRPr="00AB0198" w:rsidTr="0070151D">
        <w:tc>
          <w:tcPr>
            <w:tcW w:w="2427" w:type="pct"/>
          </w:tcPr>
          <w:p w:rsidR="0070151D" w:rsidRPr="00AB0198" w:rsidRDefault="0070151D" w:rsidP="0070151D">
            <w:pPr>
              <w:jc w:val="both"/>
              <w:rPr>
                <w:rFonts w:eastAsia="Calibri"/>
                <w:sz w:val="20"/>
              </w:rPr>
            </w:pPr>
            <w:r w:rsidRPr="00AB0198">
              <w:rPr>
                <w:rFonts w:eastAsia="Calibri"/>
                <w:sz w:val="20"/>
              </w:rPr>
              <w:t>February 8, 2011</w:t>
            </w:r>
          </w:p>
          <w:p w:rsidR="0070151D" w:rsidRPr="00AB0198" w:rsidRDefault="0070151D" w:rsidP="0070151D">
            <w:pPr>
              <w:jc w:val="both"/>
              <w:rPr>
                <w:rFonts w:eastAsia="Calibri"/>
                <w:sz w:val="20"/>
              </w:rPr>
            </w:pPr>
            <w:r w:rsidRPr="00AB0198">
              <w:rPr>
                <w:rFonts w:eastAsia="Calibri"/>
                <w:sz w:val="20"/>
              </w:rPr>
              <w:t>Supreme Court of Canada</w:t>
            </w:r>
          </w:p>
        </w:tc>
        <w:tc>
          <w:tcPr>
            <w:tcW w:w="243" w:type="pct"/>
          </w:tcPr>
          <w:p w:rsidR="0070151D" w:rsidRPr="00AB0198" w:rsidRDefault="0070151D" w:rsidP="0070151D">
            <w:pPr>
              <w:jc w:val="both"/>
              <w:rPr>
                <w:rFonts w:eastAsia="Calibri"/>
                <w:sz w:val="20"/>
              </w:rPr>
            </w:pPr>
          </w:p>
        </w:tc>
        <w:tc>
          <w:tcPr>
            <w:tcW w:w="2330" w:type="pct"/>
          </w:tcPr>
          <w:p w:rsidR="0070151D" w:rsidRPr="00AB0198" w:rsidRDefault="0070151D" w:rsidP="0070151D">
            <w:pPr>
              <w:jc w:val="both"/>
              <w:rPr>
                <w:rFonts w:eastAsia="Calibri"/>
                <w:sz w:val="20"/>
              </w:rPr>
            </w:pPr>
            <w:r w:rsidRPr="00AB0198">
              <w:rPr>
                <w:rFonts w:eastAsia="Calibri"/>
                <w:sz w:val="20"/>
              </w:rPr>
              <w:t>Application for leave to appeal and motion to extend time filed</w:t>
            </w:r>
          </w:p>
        </w:tc>
      </w:tr>
    </w:tbl>
    <w:p w:rsidR="00900073" w:rsidRPr="00C50A5C" w:rsidRDefault="00900073" w:rsidP="00900073">
      <w:pPr>
        <w:rPr>
          <w:sz w:val="20"/>
          <w:szCs w:val="20"/>
        </w:rPr>
      </w:pPr>
    </w:p>
    <w:p w:rsidR="00900073" w:rsidRPr="00C50A5C" w:rsidRDefault="00547297" w:rsidP="00900073">
      <w:pPr>
        <w:rPr>
          <w:sz w:val="20"/>
          <w:szCs w:val="20"/>
        </w:rPr>
      </w:pPr>
      <w:r w:rsidRPr="00547297">
        <w:rPr>
          <w:sz w:val="20"/>
          <w:szCs w:val="20"/>
          <w:lang w:val="fr-CA"/>
        </w:rPr>
        <w:pict>
          <v:rect id="_x0000_i1049" style="width:2in;height:1pt" o:hrpct="0" o:hralign="center" o:hrstd="t" o:hrnoshade="t" o:hr="t" fillcolor="black [3213]" stroked="f"/>
        </w:pict>
      </w:r>
    </w:p>
    <w:p w:rsidR="00900073" w:rsidRPr="00C50A5C" w:rsidRDefault="00900073" w:rsidP="00900073">
      <w:pPr>
        <w:rPr>
          <w:sz w:val="20"/>
          <w:szCs w:val="20"/>
        </w:rPr>
      </w:pPr>
    </w:p>
    <w:p w:rsidR="00900073" w:rsidRPr="00C50A5C" w:rsidRDefault="00900073" w:rsidP="00900073">
      <w:pPr>
        <w:keepNext/>
        <w:rPr>
          <w:sz w:val="20"/>
          <w:szCs w:val="20"/>
          <w:u w:val="single"/>
          <w:lang w:val="fr-CA"/>
        </w:rPr>
      </w:pPr>
      <w:r w:rsidRPr="00C50A5C">
        <w:rPr>
          <w:sz w:val="20"/>
          <w:szCs w:val="20"/>
          <w:u w:val="single"/>
          <w:lang w:val="fr-CA"/>
        </w:rPr>
        <w:t>RÉSUMÉ DE L’AFFAIRE</w:t>
      </w:r>
    </w:p>
    <w:p w:rsidR="00900073" w:rsidRPr="00C50A5C" w:rsidRDefault="00900073" w:rsidP="00900073">
      <w:pPr>
        <w:keepNext/>
        <w:rPr>
          <w:sz w:val="20"/>
          <w:szCs w:val="20"/>
          <w:lang w:val="fr-CA"/>
        </w:rPr>
      </w:pPr>
    </w:p>
    <w:p w:rsidR="0070151D" w:rsidRPr="00AB0198" w:rsidRDefault="0070151D" w:rsidP="00900073">
      <w:pPr>
        <w:jc w:val="both"/>
        <w:rPr>
          <w:rFonts w:eastAsia="Calibri"/>
          <w:smallCaps/>
          <w:sz w:val="20"/>
          <w:lang w:val="fr-CA"/>
        </w:rPr>
      </w:pPr>
      <w:r w:rsidRPr="00AB0198">
        <w:rPr>
          <w:rFonts w:eastAsia="Calibri"/>
          <w:smallCaps/>
          <w:sz w:val="20"/>
          <w:lang w:val="fr-CA"/>
        </w:rPr>
        <w:t xml:space="preserve">(Ordonnance de </w:t>
      </w:r>
      <w:proofErr w:type="spellStart"/>
      <w:r w:rsidRPr="00AB0198">
        <w:rPr>
          <w:rFonts w:eastAsia="Calibri"/>
          <w:smallCaps/>
          <w:sz w:val="20"/>
          <w:lang w:val="fr-CA"/>
        </w:rPr>
        <w:t>non</w:t>
      </w:r>
      <w:r w:rsidRPr="00AB0198">
        <w:rPr>
          <w:rFonts w:eastAsia="Calibri"/>
          <w:smallCaps/>
          <w:sz w:val="20"/>
          <w:lang w:val="fr-CA"/>
        </w:rPr>
        <w:noBreakHyphen/>
        <w:t>publication</w:t>
      </w:r>
      <w:proofErr w:type="spellEnd"/>
      <w:r w:rsidRPr="00AB0198">
        <w:rPr>
          <w:rFonts w:eastAsia="Calibri"/>
          <w:smallCaps/>
          <w:sz w:val="20"/>
          <w:lang w:val="fr-CA"/>
        </w:rPr>
        <w:t xml:space="preserve"> dans le dossier) </w:t>
      </w:r>
    </w:p>
    <w:p w:rsidR="0070151D" w:rsidRPr="00AB0198" w:rsidRDefault="0070151D" w:rsidP="0070151D">
      <w:pPr>
        <w:jc w:val="both"/>
        <w:rPr>
          <w:rFonts w:eastAsia="Calibri"/>
          <w:sz w:val="20"/>
          <w:lang w:val="fr-CA"/>
        </w:rPr>
      </w:pPr>
    </w:p>
    <w:p w:rsidR="0070151D" w:rsidRPr="00AB0198" w:rsidRDefault="0070151D" w:rsidP="0070151D">
      <w:pPr>
        <w:jc w:val="both"/>
        <w:rPr>
          <w:rFonts w:eastAsia="Calibri"/>
          <w:sz w:val="20"/>
          <w:lang w:val="fr-CA"/>
        </w:rPr>
      </w:pPr>
      <w:r w:rsidRPr="00AB0198">
        <w:rPr>
          <w:rFonts w:eastAsia="Calibri"/>
          <w:sz w:val="20"/>
          <w:lang w:val="fr-CA"/>
        </w:rPr>
        <w:t xml:space="preserve">Droit criminel — Jurys — Sélection — Omission de communiquer les résultats d’une enquête sur des jurés éventuels menée par la police et le ministère public avant la sélection des jurés — Conséquence de cette omission sur l’équité générale du déroulement du procès — Y </w:t>
      </w:r>
      <w:proofErr w:type="spellStart"/>
      <w:r w:rsidRPr="00AB0198">
        <w:rPr>
          <w:rFonts w:eastAsia="Calibri"/>
          <w:sz w:val="20"/>
          <w:lang w:val="fr-CA"/>
        </w:rPr>
        <w:t>a</w:t>
      </w:r>
      <w:r w:rsidRPr="00AB0198">
        <w:rPr>
          <w:rFonts w:eastAsia="Calibri"/>
          <w:sz w:val="20"/>
          <w:lang w:val="fr-CA"/>
        </w:rPr>
        <w:noBreakHyphen/>
        <w:t>t</w:t>
      </w:r>
      <w:r w:rsidRPr="00AB0198">
        <w:rPr>
          <w:rFonts w:eastAsia="Calibri"/>
          <w:sz w:val="20"/>
          <w:lang w:val="fr-CA"/>
        </w:rPr>
        <w:noBreakHyphen/>
        <w:t>il</w:t>
      </w:r>
      <w:proofErr w:type="spellEnd"/>
      <w:r w:rsidRPr="00AB0198">
        <w:rPr>
          <w:rFonts w:eastAsia="Calibri"/>
          <w:sz w:val="20"/>
          <w:lang w:val="fr-CA"/>
        </w:rPr>
        <w:t xml:space="preserve"> eu atteinte au droit du demandeur de présenter une défense pleine et entière? — Cette omission </w:t>
      </w:r>
      <w:proofErr w:type="spellStart"/>
      <w:r w:rsidRPr="00AB0198">
        <w:rPr>
          <w:rFonts w:eastAsia="Calibri"/>
          <w:sz w:val="20"/>
          <w:lang w:val="fr-CA"/>
        </w:rPr>
        <w:t>a</w:t>
      </w:r>
      <w:r w:rsidRPr="00AB0198">
        <w:rPr>
          <w:rFonts w:eastAsia="Calibri"/>
          <w:sz w:val="20"/>
          <w:lang w:val="fr-CA"/>
        </w:rPr>
        <w:noBreakHyphen/>
        <w:t>t</w:t>
      </w:r>
      <w:r w:rsidRPr="00AB0198">
        <w:rPr>
          <w:rFonts w:eastAsia="Calibri"/>
          <w:sz w:val="20"/>
          <w:lang w:val="fr-CA"/>
        </w:rPr>
        <w:noBreakHyphen/>
        <w:t>elle</w:t>
      </w:r>
      <w:proofErr w:type="spellEnd"/>
      <w:r w:rsidRPr="00AB0198">
        <w:rPr>
          <w:rFonts w:eastAsia="Calibri"/>
          <w:sz w:val="20"/>
          <w:lang w:val="fr-CA"/>
        </w:rPr>
        <w:t xml:space="preserve"> à ce point nui à l’apparence générale d’équité qu’un nouveau procès est nécessaire?</w:t>
      </w:r>
    </w:p>
    <w:p w:rsidR="0070151D" w:rsidRPr="00AB0198" w:rsidRDefault="0070151D" w:rsidP="0070151D">
      <w:pPr>
        <w:jc w:val="both"/>
        <w:rPr>
          <w:rFonts w:eastAsia="Calibri"/>
          <w:sz w:val="20"/>
          <w:lang w:val="fr-CA"/>
        </w:rPr>
      </w:pPr>
    </w:p>
    <w:p w:rsidR="0070151D" w:rsidRPr="00AB0198" w:rsidRDefault="0070151D" w:rsidP="0070151D">
      <w:pPr>
        <w:jc w:val="both"/>
        <w:rPr>
          <w:rFonts w:eastAsia="Calibri"/>
          <w:sz w:val="20"/>
          <w:lang w:val="fr-CA"/>
        </w:rPr>
      </w:pPr>
      <w:r w:rsidRPr="00AB0198">
        <w:rPr>
          <w:rFonts w:eastAsia="Calibri"/>
          <w:sz w:val="20"/>
          <w:lang w:val="fr-CA"/>
        </w:rPr>
        <w:t xml:space="preserve">Monsieur </w:t>
      </w:r>
      <w:proofErr w:type="spellStart"/>
      <w:r w:rsidRPr="00AB0198">
        <w:rPr>
          <w:rFonts w:eastAsia="Calibri"/>
          <w:sz w:val="20"/>
          <w:lang w:val="fr-CA"/>
        </w:rPr>
        <w:t>Yumnu</w:t>
      </w:r>
      <w:proofErr w:type="spellEnd"/>
      <w:r w:rsidRPr="00AB0198">
        <w:rPr>
          <w:rFonts w:eastAsia="Calibri"/>
          <w:sz w:val="20"/>
          <w:lang w:val="fr-CA"/>
        </w:rPr>
        <w:t xml:space="preserve"> et deux autres personnes ont été déclarés coupables de meurtre au premier degré.  En appel à la Cour d’appel de l’Ontario, il a été révélé que le ministère public s’était adonné à une pratique de triage des jurés dans la région de Barrie.  En appel, de nouveaux éléments de preuve ont été admis qui permettaient de conclure que le ministère public avait obtenu l’aide des forces policières pour obtenir des renseignements sur des jurés éventuels, des renseignements qui n’ont pas été communiqués à la défense.  La Cour d’appel a rejeté l’appel, concluant que même si le ministère public avait l’obligation de communiquer les renseignements à la défense, l’omission de le faire ne nuisait pas à l’équité du procès et ne portait pas atteinte au droit de présenter une défense pleine et entière.  </w:t>
      </w:r>
    </w:p>
    <w:p w:rsidR="0070151D" w:rsidRPr="00AB0198" w:rsidRDefault="0070151D" w:rsidP="0070151D">
      <w:pPr>
        <w:jc w:val="both"/>
        <w:rPr>
          <w:rFonts w:eastAsia="Calibri"/>
          <w:sz w:val="20"/>
          <w:lang w:val="fr-CA"/>
        </w:rPr>
      </w:pPr>
    </w:p>
    <w:tbl>
      <w:tblPr>
        <w:tblW w:w="4952" w:type="pct"/>
        <w:tblLayout w:type="fixed"/>
        <w:tblCellMar>
          <w:left w:w="0" w:type="dxa"/>
          <w:bottom w:w="99" w:type="dxa"/>
          <w:right w:w="0" w:type="dxa"/>
        </w:tblCellMar>
        <w:tblLook w:val="00A0"/>
      </w:tblPr>
      <w:tblGrid>
        <w:gridCol w:w="4624"/>
        <w:gridCol w:w="463"/>
        <w:gridCol w:w="4440"/>
      </w:tblGrid>
      <w:tr w:rsidR="0070151D" w:rsidRPr="002D1834" w:rsidTr="0070151D">
        <w:tc>
          <w:tcPr>
            <w:tcW w:w="2427" w:type="pct"/>
          </w:tcPr>
          <w:p w:rsidR="0070151D" w:rsidRPr="00AB0198" w:rsidRDefault="0070151D" w:rsidP="0070151D">
            <w:pPr>
              <w:jc w:val="both"/>
              <w:rPr>
                <w:rFonts w:eastAsia="Calibri"/>
                <w:sz w:val="20"/>
                <w:lang w:val="fr-CA"/>
              </w:rPr>
            </w:pPr>
            <w:r w:rsidRPr="00AB0198">
              <w:rPr>
                <w:rFonts w:eastAsia="Calibri"/>
                <w:sz w:val="20"/>
                <w:lang w:val="fr-CA"/>
              </w:rPr>
              <w:t>22 décembre 2005</w:t>
            </w:r>
          </w:p>
          <w:p w:rsidR="0070151D" w:rsidRPr="00AB0198" w:rsidRDefault="0070151D" w:rsidP="0070151D">
            <w:pPr>
              <w:jc w:val="both"/>
              <w:rPr>
                <w:rFonts w:eastAsia="Calibri"/>
                <w:sz w:val="20"/>
                <w:lang w:val="fr-CA"/>
              </w:rPr>
            </w:pPr>
            <w:r w:rsidRPr="00AB0198">
              <w:rPr>
                <w:rFonts w:eastAsia="Calibri"/>
                <w:sz w:val="20"/>
                <w:lang w:val="fr-CA"/>
              </w:rPr>
              <w:t xml:space="preserve">Cour supérieure de justice de l’Ontario </w:t>
            </w:r>
          </w:p>
          <w:p w:rsidR="0070151D" w:rsidRPr="00AB0198" w:rsidRDefault="0070151D" w:rsidP="0070151D">
            <w:pPr>
              <w:jc w:val="both"/>
              <w:rPr>
                <w:rFonts w:eastAsia="Calibri"/>
                <w:sz w:val="20"/>
                <w:lang w:val="fr-CA"/>
              </w:rPr>
            </w:pPr>
            <w:r w:rsidRPr="00AB0198">
              <w:rPr>
                <w:rFonts w:eastAsia="Calibri"/>
                <w:sz w:val="20"/>
                <w:lang w:val="fr-CA"/>
              </w:rPr>
              <w:t xml:space="preserve">(Juge </w:t>
            </w:r>
            <w:proofErr w:type="spellStart"/>
            <w:r w:rsidRPr="00AB0198">
              <w:rPr>
                <w:rFonts w:eastAsia="Calibri"/>
                <w:sz w:val="20"/>
                <w:lang w:val="fr-CA"/>
              </w:rPr>
              <w:t>Stong</w:t>
            </w:r>
            <w:proofErr w:type="spellEnd"/>
            <w:r w:rsidRPr="00AB0198">
              <w:rPr>
                <w:rFonts w:eastAsia="Calibri"/>
                <w:sz w:val="20"/>
                <w:lang w:val="fr-CA"/>
              </w:rPr>
              <w:t>)</w:t>
            </w:r>
          </w:p>
          <w:p w:rsidR="0070151D" w:rsidRPr="00AB0198" w:rsidRDefault="0070151D" w:rsidP="0070151D">
            <w:pPr>
              <w:jc w:val="both"/>
              <w:rPr>
                <w:rFonts w:eastAsia="Calibri"/>
                <w:sz w:val="20"/>
                <w:lang w:val="fr-CA"/>
              </w:rPr>
            </w:pPr>
          </w:p>
        </w:tc>
        <w:tc>
          <w:tcPr>
            <w:tcW w:w="243" w:type="pct"/>
          </w:tcPr>
          <w:p w:rsidR="0070151D" w:rsidRPr="00AB0198" w:rsidRDefault="0070151D" w:rsidP="0070151D">
            <w:pPr>
              <w:jc w:val="both"/>
              <w:rPr>
                <w:rFonts w:eastAsia="Calibri"/>
                <w:sz w:val="20"/>
                <w:lang w:val="fr-CA"/>
              </w:rPr>
            </w:pPr>
          </w:p>
        </w:tc>
        <w:tc>
          <w:tcPr>
            <w:tcW w:w="2330" w:type="pct"/>
          </w:tcPr>
          <w:p w:rsidR="0070151D" w:rsidRPr="00AB0198" w:rsidRDefault="0070151D" w:rsidP="0070151D">
            <w:pPr>
              <w:jc w:val="both"/>
              <w:rPr>
                <w:rFonts w:eastAsia="Calibri"/>
                <w:sz w:val="20"/>
                <w:lang w:val="fr-CA"/>
              </w:rPr>
            </w:pPr>
            <w:r w:rsidRPr="00AB0198">
              <w:rPr>
                <w:rFonts w:eastAsia="Calibri"/>
                <w:sz w:val="20"/>
                <w:lang w:val="fr-CA"/>
              </w:rPr>
              <w:t>Déclarations de culpabilité : meurtre au premier degré (deux chefs) et complot en vue de commettre le meurtre (deux chefs)</w:t>
            </w:r>
          </w:p>
          <w:p w:rsidR="0070151D" w:rsidRPr="00AB0198" w:rsidRDefault="0070151D" w:rsidP="0070151D">
            <w:pPr>
              <w:jc w:val="both"/>
              <w:rPr>
                <w:rFonts w:eastAsia="Calibri"/>
                <w:sz w:val="20"/>
                <w:lang w:val="fr-CA"/>
              </w:rPr>
            </w:pPr>
          </w:p>
        </w:tc>
      </w:tr>
      <w:tr w:rsidR="0070151D" w:rsidRPr="00AB0198" w:rsidTr="0070151D">
        <w:tc>
          <w:tcPr>
            <w:tcW w:w="2427" w:type="pct"/>
          </w:tcPr>
          <w:p w:rsidR="0070151D" w:rsidRPr="00AB0198" w:rsidRDefault="0070151D" w:rsidP="0070151D">
            <w:pPr>
              <w:jc w:val="both"/>
              <w:rPr>
                <w:rFonts w:eastAsia="Calibri"/>
                <w:sz w:val="20"/>
                <w:lang w:val="fr-CA"/>
              </w:rPr>
            </w:pPr>
            <w:r w:rsidRPr="00AB0198">
              <w:rPr>
                <w:rFonts w:eastAsia="Calibri"/>
                <w:sz w:val="20"/>
                <w:lang w:val="fr-CA"/>
              </w:rPr>
              <w:t>5 octobre 2010</w:t>
            </w:r>
          </w:p>
          <w:p w:rsidR="0070151D" w:rsidRPr="00AB0198" w:rsidRDefault="0070151D" w:rsidP="0070151D">
            <w:pPr>
              <w:jc w:val="both"/>
              <w:rPr>
                <w:rFonts w:eastAsia="Calibri"/>
                <w:sz w:val="20"/>
                <w:lang w:val="fr-CA"/>
              </w:rPr>
            </w:pPr>
            <w:r w:rsidRPr="00AB0198">
              <w:rPr>
                <w:rFonts w:eastAsia="Calibri"/>
                <w:sz w:val="20"/>
                <w:lang w:val="fr-CA"/>
              </w:rPr>
              <w:t>Cour d’appel de l’Ontario</w:t>
            </w:r>
          </w:p>
          <w:p w:rsidR="0070151D" w:rsidRPr="00AB0198" w:rsidRDefault="0070151D" w:rsidP="0070151D">
            <w:pPr>
              <w:jc w:val="both"/>
              <w:rPr>
                <w:rFonts w:eastAsia="Calibri"/>
                <w:sz w:val="20"/>
                <w:lang w:val="fr-CA"/>
              </w:rPr>
            </w:pPr>
            <w:r w:rsidRPr="00AB0198">
              <w:rPr>
                <w:rFonts w:eastAsia="Calibri"/>
                <w:sz w:val="20"/>
                <w:lang w:val="fr-CA"/>
              </w:rPr>
              <w:t xml:space="preserve">(Juges </w:t>
            </w:r>
            <w:proofErr w:type="spellStart"/>
            <w:r w:rsidRPr="00AB0198">
              <w:rPr>
                <w:rFonts w:eastAsia="Calibri"/>
                <w:sz w:val="20"/>
                <w:lang w:val="fr-CA"/>
              </w:rPr>
              <w:t>Weiler</w:t>
            </w:r>
            <w:proofErr w:type="spellEnd"/>
            <w:r w:rsidRPr="00AB0198">
              <w:rPr>
                <w:rFonts w:eastAsia="Calibri"/>
                <w:sz w:val="20"/>
                <w:lang w:val="fr-CA"/>
              </w:rPr>
              <w:t xml:space="preserve">, </w:t>
            </w:r>
            <w:proofErr w:type="spellStart"/>
            <w:r w:rsidRPr="00AB0198">
              <w:rPr>
                <w:rFonts w:eastAsia="Calibri"/>
                <w:sz w:val="20"/>
                <w:lang w:val="fr-CA"/>
              </w:rPr>
              <w:t>Gillese</w:t>
            </w:r>
            <w:proofErr w:type="spellEnd"/>
            <w:r w:rsidRPr="00AB0198">
              <w:rPr>
                <w:rFonts w:eastAsia="Calibri"/>
                <w:sz w:val="20"/>
                <w:lang w:val="fr-CA"/>
              </w:rPr>
              <w:t xml:space="preserve"> et Watt)</w:t>
            </w:r>
          </w:p>
          <w:p w:rsidR="0070151D" w:rsidRPr="00AB0198" w:rsidRDefault="0070151D" w:rsidP="0070151D">
            <w:pPr>
              <w:jc w:val="both"/>
              <w:rPr>
                <w:rFonts w:eastAsia="Calibri"/>
                <w:sz w:val="20"/>
                <w:lang w:val="fr-CA"/>
              </w:rPr>
            </w:pPr>
            <w:r w:rsidRPr="00AB0198">
              <w:rPr>
                <w:rFonts w:eastAsia="Calibri"/>
                <w:sz w:val="20"/>
                <w:lang w:val="fr-CA"/>
              </w:rPr>
              <w:t>Référence neutre : 2010 ONCA 637</w:t>
            </w:r>
          </w:p>
          <w:p w:rsidR="0070151D" w:rsidRPr="00AB0198" w:rsidRDefault="0070151D" w:rsidP="0070151D">
            <w:pPr>
              <w:jc w:val="both"/>
              <w:rPr>
                <w:rFonts w:eastAsia="Calibri"/>
                <w:sz w:val="20"/>
                <w:lang w:val="fr-CA"/>
              </w:rPr>
            </w:pPr>
          </w:p>
        </w:tc>
        <w:tc>
          <w:tcPr>
            <w:tcW w:w="243" w:type="pct"/>
          </w:tcPr>
          <w:p w:rsidR="0070151D" w:rsidRPr="00AB0198" w:rsidRDefault="0070151D" w:rsidP="0070151D">
            <w:pPr>
              <w:jc w:val="both"/>
              <w:rPr>
                <w:rFonts w:eastAsia="Calibri"/>
                <w:sz w:val="20"/>
                <w:lang w:val="fr-CA"/>
              </w:rPr>
            </w:pPr>
          </w:p>
        </w:tc>
        <w:tc>
          <w:tcPr>
            <w:tcW w:w="2330" w:type="pct"/>
          </w:tcPr>
          <w:p w:rsidR="0070151D" w:rsidRPr="00AB0198" w:rsidRDefault="0070151D" w:rsidP="0070151D">
            <w:pPr>
              <w:jc w:val="both"/>
              <w:rPr>
                <w:rFonts w:eastAsia="Calibri"/>
                <w:sz w:val="20"/>
                <w:lang w:val="fr-CA"/>
              </w:rPr>
            </w:pPr>
            <w:r w:rsidRPr="00AB0198">
              <w:rPr>
                <w:rFonts w:eastAsia="Calibri"/>
                <w:sz w:val="20"/>
                <w:lang w:val="fr-CA"/>
              </w:rPr>
              <w:t>Appel rejeté</w:t>
            </w:r>
          </w:p>
          <w:p w:rsidR="0070151D" w:rsidRPr="00AB0198" w:rsidRDefault="0070151D" w:rsidP="0070151D">
            <w:pPr>
              <w:jc w:val="both"/>
              <w:rPr>
                <w:rFonts w:eastAsia="Calibri"/>
                <w:sz w:val="20"/>
                <w:lang w:val="fr-CA"/>
              </w:rPr>
            </w:pPr>
          </w:p>
        </w:tc>
      </w:tr>
      <w:tr w:rsidR="0070151D" w:rsidRPr="002D1834" w:rsidTr="0070151D">
        <w:tc>
          <w:tcPr>
            <w:tcW w:w="2427" w:type="pct"/>
          </w:tcPr>
          <w:p w:rsidR="0070151D" w:rsidRPr="00AB0198" w:rsidRDefault="0070151D" w:rsidP="0070151D">
            <w:pPr>
              <w:jc w:val="both"/>
              <w:rPr>
                <w:rFonts w:eastAsia="Calibri"/>
                <w:sz w:val="20"/>
                <w:lang w:val="fr-CA"/>
              </w:rPr>
            </w:pPr>
            <w:r w:rsidRPr="00AB0198">
              <w:rPr>
                <w:rFonts w:eastAsia="Calibri"/>
                <w:sz w:val="20"/>
                <w:lang w:val="fr-CA"/>
              </w:rPr>
              <w:t>8 février 2011</w:t>
            </w:r>
          </w:p>
          <w:p w:rsidR="0070151D" w:rsidRPr="00AB0198" w:rsidRDefault="0070151D" w:rsidP="0070151D">
            <w:pPr>
              <w:jc w:val="both"/>
              <w:rPr>
                <w:rFonts w:eastAsia="Calibri"/>
                <w:sz w:val="20"/>
                <w:lang w:val="fr-CA"/>
              </w:rPr>
            </w:pPr>
            <w:r w:rsidRPr="00AB0198">
              <w:rPr>
                <w:rFonts w:eastAsia="Calibri"/>
                <w:sz w:val="20"/>
                <w:lang w:val="fr-CA"/>
              </w:rPr>
              <w:t>Cour suprême du Canada</w:t>
            </w:r>
          </w:p>
        </w:tc>
        <w:tc>
          <w:tcPr>
            <w:tcW w:w="243" w:type="pct"/>
          </w:tcPr>
          <w:p w:rsidR="0070151D" w:rsidRPr="00AB0198" w:rsidRDefault="0070151D" w:rsidP="0070151D">
            <w:pPr>
              <w:jc w:val="both"/>
              <w:rPr>
                <w:rFonts w:eastAsia="Calibri"/>
                <w:sz w:val="20"/>
                <w:lang w:val="fr-CA"/>
              </w:rPr>
            </w:pPr>
          </w:p>
        </w:tc>
        <w:tc>
          <w:tcPr>
            <w:tcW w:w="2330" w:type="pct"/>
          </w:tcPr>
          <w:p w:rsidR="0070151D" w:rsidRPr="00AB0198" w:rsidRDefault="0070151D" w:rsidP="0070151D">
            <w:pPr>
              <w:jc w:val="both"/>
              <w:rPr>
                <w:rFonts w:eastAsia="Calibri"/>
                <w:sz w:val="20"/>
                <w:lang w:val="fr-CA"/>
              </w:rPr>
            </w:pPr>
            <w:r w:rsidRPr="00AB0198">
              <w:rPr>
                <w:rFonts w:eastAsia="Calibri"/>
                <w:sz w:val="20"/>
                <w:lang w:val="fr-CA"/>
              </w:rPr>
              <w:t>Demande d’autorisation d’appel et requêtes en prorogation de délai, déposées</w:t>
            </w:r>
          </w:p>
        </w:tc>
      </w:tr>
    </w:tbl>
    <w:p w:rsidR="00900073" w:rsidRPr="005756A5" w:rsidRDefault="00900073" w:rsidP="00900073">
      <w:pPr>
        <w:rPr>
          <w:sz w:val="20"/>
          <w:szCs w:val="20"/>
          <w:lang w:val="fr-CA"/>
        </w:rPr>
      </w:pPr>
    </w:p>
    <w:p w:rsidR="00900073" w:rsidRPr="00C50A5C" w:rsidRDefault="00547297" w:rsidP="00900073">
      <w:pPr>
        <w:rPr>
          <w:sz w:val="20"/>
          <w:szCs w:val="20"/>
        </w:rPr>
      </w:pPr>
      <w:r w:rsidRPr="00547297">
        <w:rPr>
          <w:sz w:val="20"/>
          <w:szCs w:val="20"/>
          <w:lang w:val="fr-CA"/>
        </w:rPr>
        <w:pict>
          <v:rect id="_x0000_i1050" style="width:2in;height:1pt" o:hrpct="0" o:hralign="center" o:hrstd="t" o:hrnoshade="t" o:hr="t" fillcolor="black [3213]" stroked="f"/>
        </w:pict>
      </w:r>
    </w:p>
    <w:p w:rsidR="00587E6C" w:rsidRDefault="00587E6C">
      <w:pPr>
        <w:rPr>
          <w:sz w:val="20"/>
          <w:szCs w:val="20"/>
        </w:rPr>
      </w:pPr>
      <w:r>
        <w:rPr>
          <w:sz w:val="20"/>
          <w:szCs w:val="20"/>
        </w:rPr>
        <w:br w:type="page"/>
      </w:r>
    </w:p>
    <w:tbl>
      <w:tblPr>
        <w:tblStyle w:val="TableGrid5"/>
        <w:tblW w:w="951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00"/>
        <w:gridCol w:w="8118"/>
      </w:tblGrid>
      <w:tr w:rsidR="00A52AF7" w:rsidRPr="00A52AF7" w:rsidTr="00A52AF7">
        <w:trPr>
          <w:cantSplit/>
        </w:trPr>
        <w:tc>
          <w:tcPr>
            <w:tcW w:w="1400" w:type="dxa"/>
          </w:tcPr>
          <w:p w:rsidR="00A52AF7" w:rsidRPr="00A52AF7" w:rsidRDefault="00A52AF7" w:rsidP="00A52AF7">
            <w:pPr>
              <w:rPr>
                <w:sz w:val="20"/>
              </w:rPr>
            </w:pPr>
            <w:r w:rsidRPr="00A52AF7">
              <w:rPr>
                <w:b/>
                <w:sz w:val="20"/>
                <w:lang w:val="fr-CA"/>
              </w:rPr>
              <w:lastRenderedPageBreak/>
              <w:t>34091</w:t>
            </w:r>
          </w:p>
          <w:p w:rsidR="00A52AF7" w:rsidRPr="00A52AF7" w:rsidRDefault="00A52AF7" w:rsidP="00A52AF7">
            <w:pPr>
              <w:rPr>
                <w:b/>
                <w:sz w:val="20"/>
                <w:lang w:val="fr-CA"/>
              </w:rPr>
            </w:pPr>
          </w:p>
        </w:tc>
        <w:tc>
          <w:tcPr>
            <w:tcW w:w="8118" w:type="dxa"/>
          </w:tcPr>
          <w:p w:rsidR="00A52AF7" w:rsidRPr="00A52AF7" w:rsidRDefault="00A52AF7" w:rsidP="00A52AF7">
            <w:pPr>
              <w:rPr>
                <w:sz w:val="20"/>
              </w:rPr>
            </w:pPr>
            <w:proofErr w:type="spellStart"/>
            <w:r w:rsidRPr="00A52AF7">
              <w:rPr>
                <w:b/>
                <w:sz w:val="20"/>
                <w:u w:val="single"/>
                <w:lang w:val="en-US"/>
              </w:rPr>
              <w:t>Vinicio</w:t>
            </w:r>
            <w:proofErr w:type="spellEnd"/>
            <w:r w:rsidRPr="00A52AF7">
              <w:rPr>
                <w:b/>
                <w:sz w:val="20"/>
                <w:u w:val="single"/>
                <w:lang w:val="en-US"/>
              </w:rPr>
              <w:t xml:space="preserve"> Cardoso v. Her Majesty the Queen</w:t>
            </w:r>
            <w:r w:rsidRPr="00A52AF7">
              <w:rPr>
                <w:sz w:val="20"/>
              </w:rPr>
              <w:t xml:space="preserve"> (Ont.) (Criminal) (By Leave)</w:t>
            </w:r>
          </w:p>
          <w:p w:rsidR="00A52AF7" w:rsidRPr="00A52AF7" w:rsidRDefault="00A52AF7" w:rsidP="00A52AF7">
            <w:pPr>
              <w:rPr>
                <w:sz w:val="20"/>
              </w:rPr>
            </w:pPr>
          </w:p>
        </w:tc>
      </w:tr>
      <w:tr w:rsidR="00A52AF7" w:rsidRPr="00A52AF7" w:rsidTr="00A52AF7">
        <w:trPr>
          <w:cantSplit/>
        </w:trPr>
        <w:tc>
          <w:tcPr>
            <w:tcW w:w="1400" w:type="dxa"/>
          </w:tcPr>
          <w:p w:rsidR="00A52AF7" w:rsidRPr="00A52AF7" w:rsidRDefault="00A52AF7" w:rsidP="00A52AF7">
            <w:pPr>
              <w:rPr>
                <w:sz w:val="20"/>
              </w:rPr>
            </w:pPr>
            <w:r w:rsidRPr="00A52AF7">
              <w:rPr>
                <w:sz w:val="20"/>
              </w:rPr>
              <w:t>Coram :</w:t>
            </w:r>
          </w:p>
        </w:tc>
        <w:tc>
          <w:tcPr>
            <w:tcW w:w="8118" w:type="dxa"/>
          </w:tcPr>
          <w:p w:rsidR="00A52AF7" w:rsidRPr="00A52AF7" w:rsidRDefault="00A52AF7" w:rsidP="00A52AF7">
            <w:pPr>
              <w:rPr>
                <w:sz w:val="20"/>
              </w:rPr>
            </w:pPr>
            <w:proofErr w:type="spellStart"/>
            <w:r w:rsidRPr="00A52AF7">
              <w:rPr>
                <w:sz w:val="20"/>
                <w:u w:val="single"/>
                <w:lang w:val="en-US"/>
              </w:rPr>
              <w:t>Binnie</w:t>
            </w:r>
            <w:proofErr w:type="spellEnd"/>
            <w:r w:rsidRPr="00A52AF7">
              <w:rPr>
                <w:sz w:val="20"/>
                <w:u w:val="single"/>
                <w:lang w:val="en-US"/>
              </w:rPr>
              <w:t xml:space="preserve">, </w:t>
            </w:r>
            <w:proofErr w:type="spellStart"/>
            <w:r w:rsidRPr="00A52AF7">
              <w:rPr>
                <w:sz w:val="20"/>
                <w:u w:val="single"/>
                <w:lang w:val="en-US"/>
              </w:rPr>
              <w:t>Abella</w:t>
            </w:r>
            <w:proofErr w:type="spellEnd"/>
            <w:r w:rsidRPr="00A52AF7">
              <w:rPr>
                <w:sz w:val="20"/>
                <w:u w:val="single"/>
                <w:lang w:val="en-US"/>
              </w:rPr>
              <w:t xml:space="preserve"> and Rothstein JJ.</w:t>
            </w:r>
          </w:p>
          <w:p w:rsidR="00A52AF7" w:rsidRPr="00A52AF7" w:rsidRDefault="00A52AF7" w:rsidP="00A52AF7">
            <w:pPr>
              <w:rPr>
                <w:sz w:val="20"/>
                <w:u w:val="single"/>
              </w:rPr>
            </w:pPr>
          </w:p>
        </w:tc>
      </w:tr>
      <w:tr w:rsidR="00A52AF7" w:rsidRPr="002D1834" w:rsidTr="00A52AF7">
        <w:trPr>
          <w:cantSplit/>
        </w:trPr>
        <w:tc>
          <w:tcPr>
            <w:tcW w:w="9518" w:type="dxa"/>
            <w:gridSpan w:val="2"/>
          </w:tcPr>
          <w:p w:rsidR="00A52AF7" w:rsidRPr="00A52AF7" w:rsidRDefault="00A52AF7" w:rsidP="00A52AF7">
            <w:pPr>
              <w:ind w:firstLine="720"/>
              <w:jc w:val="both"/>
              <w:rPr>
                <w:sz w:val="20"/>
              </w:rPr>
            </w:pPr>
            <w:r w:rsidRPr="00A52AF7">
              <w:rPr>
                <w:sz w:val="20"/>
              </w:rPr>
              <w:t>The motion for an extension of time to serve and file the application for leave to appeal and the application for leave to appeal from the judgment of the Court of Appeal for Ontario, Number C45403, 2010 ONCA 637, dated October 5, 2010, are granted without costs.</w:t>
            </w:r>
          </w:p>
          <w:p w:rsidR="00A52AF7" w:rsidRPr="00A52AF7" w:rsidRDefault="00A52AF7" w:rsidP="00A52AF7">
            <w:pPr>
              <w:jc w:val="both"/>
              <w:rPr>
                <w:sz w:val="20"/>
              </w:rPr>
            </w:pPr>
          </w:p>
          <w:p w:rsidR="00A52AF7" w:rsidRPr="00A52AF7" w:rsidRDefault="00A52AF7" w:rsidP="00A52AF7">
            <w:pPr>
              <w:ind w:firstLine="720"/>
              <w:jc w:val="both"/>
              <w:rPr>
                <w:sz w:val="20"/>
                <w:lang w:val="fr-CA"/>
              </w:rPr>
            </w:pPr>
            <w:r w:rsidRPr="00A52AF7">
              <w:rPr>
                <w:sz w:val="20"/>
                <w:lang w:val="fr-CA"/>
              </w:rPr>
              <w:t>La requête en prorogation du délai de signification et de dépôt de la demande d’autorisation d’appel et la demande d’autorisation d’appel de l’arrêt de la Cour d’appel de l’Ontario, numéro C45403, 2010 ONCA 637, daté du 5 octobre 2010, sont accordées sans dépens.</w:t>
            </w:r>
          </w:p>
          <w:p w:rsidR="00A52AF7" w:rsidRPr="00A52AF7" w:rsidRDefault="00A52AF7" w:rsidP="00A52AF7">
            <w:pPr>
              <w:rPr>
                <w:sz w:val="20"/>
                <w:lang w:val="fr-CA"/>
              </w:rPr>
            </w:pPr>
          </w:p>
        </w:tc>
      </w:tr>
    </w:tbl>
    <w:p w:rsidR="0070151D" w:rsidRPr="00C50A5C" w:rsidRDefault="0070151D" w:rsidP="0070151D">
      <w:pPr>
        <w:keepNext/>
        <w:rPr>
          <w:sz w:val="20"/>
          <w:szCs w:val="20"/>
        </w:rPr>
      </w:pPr>
      <w:r w:rsidRPr="00C50A5C">
        <w:rPr>
          <w:sz w:val="20"/>
          <w:szCs w:val="20"/>
          <w:u w:val="single"/>
        </w:rPr>
        <w:t>CASE SUMMARY</w:t>
      </w:r>
    </w:p>
    <w:p w:rsidR="0070151D" w:rsidRDefault="0070151D" w:rsidP="0070151D"/>
    <w:p w:rsidR="0070151D" w:rsidRPr="00361C1F" w:rsidRDefault="0070151D" w:rsidP="0070151D">
      <w:pPr>
        <w:jc w:val="both"/>
        <w:rPr>
          <w:rFonts w:eastAsia="Calibri" w:cs="Times New Roman"/>
          <w:smallCaps/>
          <w:sz w:val="20"/>
          <w:szCs w:val="20"/>
        </w:rPr>
      </w:pPr>
      <w:r w:rsidRPr="00361C1F">
        <w:rPr>
          <w:rFonts w:eastAsia="Calibri" w:cs="Times New Roman"/>
          <w:smallCaps/>
          <w:sz w:val="20"/>
          <w:szCs w:val="20"/>
        </w:rPr>
        <w:t xml:space="preserve">(Publication ban in case) </w:t>
      </w:r>
    </w:p>
    <w:p w:rsidR="0070151D" w:rsidRPr="00361C1F" w:rsidRDefault="0070151D" w:rsidP="00361C1F">
      <w:pPr>
        <w:jc w:val="both"/>
        <w:rPr>
          <w:rFonts w:eastAsia="Calibri" w:cs="Times New Roman"/>
          <w:smallCaps/>
          <w:sz w:val="20"/>
          <w:szCs w:val="20"/>
        </w:rPr>
      </w:pPr>
    </w:p>
    <w:p w:rsidR="0070151D" w:rsidRPr="00361C1F" w:rsidRDefault="0070151D" w:rsidP="00361C1F">
      <w:pPr>
        <w:jc w:val="both"/>
        <w:rPr>
          <w:rFonts w:eastAsia="Calibri" w:cs="Times New Roman"/>
          <w:sz w:val="20"/>
          <w:szCs w:val="20"/>
        </w:rPr>
      </w:pPr>
      <w:r w:rsidRPr="00361C1F">
        <w:rPr>
          <w:rFonts w:eastAsia="Calibri" w:cs="Times New Roman"/>
          <w:sz w:val="20"/>
          <w:szCs w:val="20"/>
        </w:rPr>
        <w:t>Criminal law — Jurors — Selection — What are the Crown’s disclosure obligations generally — In what circumstances does the Crown’s failure to disclose information gleaned about the prospective jurors amount to a miscarriage of justice?</w:t>
      </w:r>
    </w:p>
    <w:p w:rsidR="0070151D" w:rsidRPr="00361C1F" w:rsidRDefault="0070151D" w:rsidP="00361C1F">
      <w:pPr>
        <w:jc w:val="both"/>
        <w:rPr>
          <w:rFonts w:eastAsia="Calibri" w:cs="Times New Roman"/>
          <w:sz w:val="20"/>
          <w:szCs w:val="20"/>
        </w:rPr>
      </w:pPr>
    </w:p>
    <w:p w:rsidR="0070151D" w:rsidRPr="00361C1F" w:rsidRDefault="0070151D" w:rsidP="00361C1F">
      <w:pPr>
        <w:jc w:val="both"/>
        <w:rPr>
          <w:rFonts w:eastAsia="Calibri" w:cs="Times New Roman"/>
          <w:sz w:val="20"/>
          <w:szCs w:val="20"/>
        </w:rPr>
      </w:pPr>
      <w:r w:rsidRPr="00361C1F">
        <w:rPr>
          <w:rFonts w:eastAsia="Calibri" w:cs="Times New Roman"/>
          <w:sz w:val="20"/>
          <w:szCs w:val="20"/>
        </w:rPr>
        <w:t xml:space="preserve">Cardoso and two others were convicted of first degree murder.  On the appeal to the Ontario Court of Appeal, it was disclosed that the Crown had engaged in a practice of jury vetting in the Barrie area.  Fresh evidence was admitted on appeal that established that the Crown had enlisted the aid of police forces to obtain information about prospective jurors, which was not disclosed to the defence.  The Court of Appeal dismissed the appeal.  Although the Crown had an obligation to disclose the information to the defence, the failure to do so did not taint the fairness of the trial or impede the right to make fair answer and defence.  </w:t>
      </w:r>
    </w:p>
    <w:p w:rsidR="0070151D" w:rsidRPr="00361C1F" w:rsidRDefault="0070151D" w:rsidP="00361C1F">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1C1F" w:rsidRPr="00361C1F" w:rsidTr="00361C1F">
        <w:tc>
          <w:tcPr>
            <w:tcW w:w="2427" w:type="pct"/>
          </w:tcPr>
          <w:p w:rsidR="00361C1F" w:rsidRPr="00361C1F" w:rsidRDefault="00361C1F" w:rsidP="00361C1F">
            <w:pPr>
              <w:jc w:val="both"/>
              <w:rPr>
                <w:rFonts w:eastAsia="Calibri" w:cs="Times New Roman"/>
                <w:sz w:val="20"/>
                <w:szCs w:val="20"/>
              </w:rPr>
            </w:pPr>
            <w:r w:rsidRPr="00361C1F">
              <w:rPr>
                <w:rFonts w:eastAsia="Calibri" w:cs="Times New Roman"/>
                <w:sz w:val="20"/>
                <w:szCs w:val="20"/>
              </w:rPr>
              <w:t>December 22, 2005</w:t>
            </w:r>
          </w:p>
          <w:p w:rsidR="00361C1F" w:rsidRPr="00361C1F" w:rsidRDefault="00361C1F" w:rsidP="00361C1F">
            <w:pPr>
              <w:jc w:val="both"/>
              <w:rPr>
                <w:rFonts w:eastAsia="Calibri" w:cs="Times New Roman"/>
                <w:sz w:val="20"/>
                <w:szCs w:val="20"/>
              </w:rPr>
            </w:pPr>
            <w:r w:rsidRPr="00361C1F">
              <w:rPr>
                <w:rFonts w:eastAsia="Calibri" w:cs="Times New Roman"/>
                <w:sz w:val="20"/>
                <w:szCs w:val="20"/>
              </w:rPr>
              <w:t>Ontario Superior Court of Justice</w:t>
            </w:r>
          </w:p>
          <w:p w:rsidR="00361C1F" w:rsidRPr="00361C1F" w:rsidRDefault="00361C1F" w:rsidP="00361C1F">
            <w:pPr>
              <w:jc w:val="both"/>
              <w:rPr>
                <w:rFonts w:eastAsia="Calibri" w:cs="Times New Roman"/>
                <w:sz w:val="20"/>
                <w:szCs w:val="20"/>
              </w:rPr>
            </w:pPr>
            <w:r w:rsidRPr="00361C1F">
              <w:rPr>
                <w:rFonts w:eastAsia="Calibri" w:cs="Times New Roman"/>
                <w:sz w:val="20"/>
                <w:szCs w:val="20"/>
              </w:rPr>
              <w:t>(</w:t>
            </w:r>
            <w:proofErr w:type="spellStart"/>
            <w:r w:rsidRPr="00361C1F">
              <w:rPr>
                <w:rFonts w:eastAsia="Calibri" w:cs="Times New Roman"/>
                <w:sz w:val="20"/>
                <w:szCs w:val="20"/>
              </w:rPr>
              <w:t>Stong</w:t>
            </w:r>
            <w:proofErr w:type="spellEnd"/>
            <w:r w:rsidRPr="00361C1F">
              <w:rPr>
                <w:rFonts w:eastAsia="Calibri" w:cs="Times New Roman"/>
                <w:sz w:val="20"/>
                <w:szCs w:val="20"/>
              </w:rPr>
              <w:t xml:space="preserve"> J.)</w:t>
            </w:r>
          </w:p>
          <w:p w:rsidR="00361C1F" w:rsidRPr="00361C1F" w:rsidRDefault="00361C1F" w:rsidP="00361C1F">
            <w:pPr>
              <w:jc w:val="both"/>
              <w:rPr>
                <w:rFonts w:eastAsia="Calibri" w:cs="Times New Roman"/>
                <w:sz w:val="20"/>
                <w:szCs w:val="20"/>
              </w:rPr>
            </w:pPr>
          </w:p>
        </w:tc>
        <w:tc>
          <w:tcPr>
            <w:tcW w:w="243" w:type="pct"/>
          </w:tcPr>
          <w:p w:rsidR="00361C1F" w:rsidRPr="00361C1F" w:rsidRDefault="00361C1F" w:rsidP="00361C1F">
            <w:pPr>
              <w:jc w:val="both"/>
              <w:rPr>
                <w:rFonts w:eastAsia="Calibri" w:cs="Times New Roman"/>
                <w:sz w:val="20"/>
                <w:szCs w:val="20"/>
              </w:rPr>
            </w:pPr>
          </w:p>
        </w:tc>
        <w:tc>
          <w:tcPr>
            <w:tcW w:w="2330" w:type="pct"/>
          </w:tcPr>
          <w:p w:rsidR="00361C1F" w:rsidRPr="00361C1F" w:rsidRDefault="00361C1F" w:rsidP="00361C1F">
            <w:pPr>
              <w:jc w:val="both"/>
              <w:rPr>
                <w:rFonts w:eastAsia="Calibri" w:cs="Times New Roman"/>
                <w:sz w:val="20"/>
                <w:szCs w:val="20"/>
              </w:rPr>
            </w:pPr>
            <w:r w:rsidRPr="00361C1F">
              <w:rPr>
                <w:rFonts w:eastAsia="Calibri" w:cs="Times New Roman"/>
                <w:sz w:val="20"/>
                <w:szCs w:val="20"/>
              </w:rPr>
              <w:t>Convictions:  first degree murder (two counts) and conspiracy to commit murder (two counts)</w:t>
            </w:r>
          </w:p>
          <w:p w:rsidR="00361C1F" w:rsidRPr="00361C1F" w:rsidRDefault="00361C1F" w:rsidP="00361C1F">
            <w:pPr>
              <w:jc w:val="both"/>
              <w:rPr>
                <w:rFonts w:eastAsia="Calibri" w:cs="Times New Roman"/>
                <w:sz w:val="20"/>
                <w:szCs w:val="20"/>
              </w:rPr>
            </w:pPr>
          </w:p>
        </w:tc>
      </w:tr>
      <w:tr w:rsidR="00361C1F" w:rsidRPr="00361C1F" w:rsidTr="00361C1F">
        <w:tc>
          <w:tcPr>
            <w:tcW w:w="2427" w:type="pct"/>
          </w:tcPr>
          <w:p w:rsidR="00361C1F" w:rsidRPr="00361C1F" w:rsidRDefault="00361C1F" w:rsidP="00361C1F">
            <w:pPr>
              <w:jc w:val="both"/>
              <w:rPr>
                <w:rFonts w:eastAsia="Calibri" w:cs="Times New Roman"/>
                <w:sz w:val="20"/>
                <w:szCs w:val="20"/>
              </w:rPr>
            </w:pPr>
            <w:r w:rsidRPr="00361C1F">
              <w:rPr>
                <w:rFonts w:eastAsia="Calibri" w:cs="Times New Roman"/>
                <w:sz w:val="20"/>
                <w:szCs w:val="20"/>
              </w:rPr>
              <w:t>October 5, 2010</w:t>
            </w:r>
          </w:p>
          <w:p w:rsidR="00361C1F" w:rsidRPr="00361C1F" w:rsidRDefault="00361C1F" w:rsidP="00361C1F">
            <w:pPr>
              <w:jc w:val="both"/>
              <w:rPr>
                <w:rFonts w:eastAsia="Calibri" w:cs="Times New Roman"/>
                <w:sz w:val="20"/>
                <w:szCs w:val="20"/>
              </w:rPr>
            </w:pPr>
            <w:r w:rsidRPr="00361C1F">
              <w:rPr>
                <w:rFonts w:eastAsia="Calibri" w:cs="Times New Roman"/>
                <w:sz w:val="20"/>
                <w:szCs w:val="20"/>
              </w:rPr>
              <w:t>Court of Appeal for Ontario</w:t>
            </w:r>
          </w:p>
          <w:p w:rsidR="00361C1F" w:rsidRPr="00361C1F" w:rsidRDefault="00361C1F" w:rsidP="00361C1F">
            <w:pPr>
              <w:jc w:val="both"/>
              <w:rPr>
                <w:rFonts w:eastAsia="Calibri" w:cs="Times New Roman"/>
                <w:sz w:val="20"/>
                <w:szCs w:val="20"/>
              </w:rPr>
            </w:pPr>
            <w:r w:rsidRPr="00361C1F">
              <w:rPr>
                <w:rFonts w:eastAsia="Calibri" w:cs="Times New Roman"/>
                <w:sz w:val="20"/>
                <w:szCs w:val="20"/>
              </w:rPr>
              <w:t>(</w:t>
            </w:r>
            <w:proofErr w:type="spellStart"/>
            <w:r w:rsidRPr="00361C1F">
              <w:rPr>
                <w:rFonts w:eastAsia="Calibri" w:cs="Times New Roman"/>
                <w:sz w:val="20"/>
                <w:szCs w:val="20"/>
              </w:rPr>
              <w:t>Weiler</w:t>
            </w:r>
            <w:proofErr w:type="spellEnd"/>
            <w:r w:rsidRPr="00361C1F">
              <w:rPr>
                <w:rFonts w:eastAsia="Calibri" w:cs="Times New Roman"/>
                <w:sz w:val="20"/>
                <w:szCs w:val="20"/>
              </w:rPr>
              <w:t xml:space="preserve">, </w:t>
            </w:r>
            <w:proofErr w:type="spellStart"/>
            <w:r w:rsidRPr="00361C1F">
              <w:rPr>
                <w:rFonts w:eastAsia="Calibri" w:cs="Times New Roman"/>
                <w:sz w:val="20"/>
                <w:szCs w:val="20"/>
              </w:rPr>
              <w:t>Gillese</w:t>
            </w:r>
            <w:proofErr w:type="spellEnd"/>
            <w:r w:rsidRPr="00361C1F">
              <w:rPr>
                <w:rFonts w:eastAsia="Calibri" w:cs="Times New Roman"/>
                <w:sz w:val="20"/>
                <w:szCs w:val="20"/>
              </w:rPr>
              <w:t>, and Watt JJ.A.)</w:t>
            </w:r>
          </w:p>
          <w:p w:rsidR="00361C1F" w:rsidRPr="00361C1F" w:rsidRDefault="00361C1F" w:rsidP="00361C1F">
            <w:pPr>
              <w:jc w:val="both"/>
              <w:rPr>
                <w:rFonts w:eastAsia="Calibri" w:cs="Times New Roman"/>
                <w:sz w:val="20"/>
                <w:szCs w:val="20"/>
              </w:rPr>
            </w:pPr>
          </w:p>
          <w:p w:rsidR="00361C1F" w:rsidRPr="00361C1F" w:rsidRDefault="00361C1F" w:rsidP="00361C1F">
            <w:pPr>
              <w:jc w:val="both"/>
              <w:rPr>
                <w:rFonts w:eastAsia="Calibri" w:cs="Times New Roman"/>
                <w:sz w:val="20"/>
                <w:szCs w:val="20"/>
              </w:rPr>
            </w:pPr>
            <w:r w:rsidRPr="00361C1F">
              <w:rPr>
                <w:rFonts w:eastAsia="Calibri" w:cs="Times New Roman"/>
                <w:sz w:val="20"/>
                <w:szCs w:val="20"/>
              </w:rPr>
              <w:t>Neutral citation: 2010 ONCA 637</w:t>
            </w:r>
          </w:p>
          <w:p w:rsidR="00361C1F" w:rsidRPr="00361C1F" w:rsidRDefault="00361C1F" w:rsidP="00361C1F">
            <w:pPr>
              <w:jc w:val="both"/>
              <w:rPr>
                <w:rFonts w:eastAsia="Calibri" w:cs="Times New Roman"/>
                <w:sz w:val="20"/>
                <w:szCs w:val="20"/>
              </w:rPr>
            </w:pPr>
          </w:p>
        </w:tc>
        <w:tc>
          <w:tcPr>
            <w:tcW w:w="243" w:type="pct"/>
          </w:tcPr>
          <w:p w:rsidR="00361C1F" w:rsidRPr="00361C1F" w:rsidRDefault="00361C1F" w:rsidP="00361C1F">
            <w:pPr>
              <w:jc w:val="both"/>
              <w:rPr>
                <w:rFonts w:eastAsia="Calibri" w:cs="Times New Roman"/>
                <w:sz w:val="20"/>
                <w:szCs w:val="20"/>
              </w:rPr>
            </w:pPr>
          </w:p>
        </w:tc>
        <w:tc>
          <w:tcPr>
            <w:tcW w:w="2330" w:type="pct"/>
          </w:tcPr>
          <w:p w:rsidR="00361C1F" w:rsidRPr="00361C1F" w:rsidRDefault="00361C1F" w:rsidP="00361C1F">
            <w:pPr>
              <w:jc w:val="both"/>
              <w:rPr>
                <w:rFonts w:eastAsia="Calibri" w:cs="Times New Roman"/>
                <w:sz w:val="20"/>
                <w:szCs w:val="20"/>
              </w:rPr>
            </w:pPr>
            <w:r w:rsidRPr="00361C1F">
              <w:rPr>
                <w:rFonts w:eastAsia="Calibri" w:cs="Times New Roman"/>
                <w:sz w:val="20"/>
                <w:szCs w:val="20"/>
              </w:rPr>
              <w:t>Appeal dismissed</w:t>
            </w:r>
          </w:p>
          <w:p w:rsidR="00361C1F" w:rsidRPr="00361C1F" w:rsidRDefault="00361C1F" w:rsidP="00361C1F">
            <w:pPr>
              <w:jc w:val="both"/>
              <w:rPr>
                <w:rFonts w:eastAsia="Calibri" w:cs="Times New Roman"/>
                <w:sz w:val="20"/>
                <w:szCs w:val="20"/>
              </w:rPr>
            </w:pPr>
          </w:p>
        </w:tc>
      </w:tr>
      <w:tr w:rsidR="00361C1F" w:rsidRPr="00361C1F" w:rsidTr="00361C1F">
        <w:tc>
          <w:tcPr>
            <w:tcW w:w="2427" w:type="pct"/>
          </w:tcPr>
          <w:p w:rsidR="00361C1F" w:rsidRPr="00361C1F" w:rsidRDefault="00361C1F" w:rsidP="00361C1F">
            <w:pPr>
              <w:jc w:val="both"/>
              <w:rPr>
                <w:rFonts w:eastAsia="Calibri" w:cs="Times New Roman"/>
                <w:sz w:val="20"/>
                <w:szCs w:val="20"/>
              </w:rPr>
            </w:pPr>
            <w:r w:rsidRPr="00361C1F">
              <w:rPr>
                <w:rFonts w:eastAsia="Calibri" w:cs="Times New Roman"/>
                <w:sz w:val="20"/>
                <w:szCs w:val="20"/>
              </w:rPr>
              <w:t>February 10, 2011</w:t>
            </w:r>
          </w:p>
          <w:p w:rsidR="00361C1F" w:rsidRPr="00361C1F" w:rsidRDefault="00361C1F" w:rsidP="00361C1F">
            <w:pPr>
              <w:jc w:val="both"/>
              <w:rPr>
                <w:rFonts w:eastAsia="Calibri" w:cs="Times New Roman"/>
                <w:sz w:val="20"/>
                <w:szCs w:val="20"/>
              </w:rPr>
            </w:pPr>
            <w:r w:rsidRPr="00361C1F">
              <w:rPr>
                <w:rFonts w:eastAsia="Calibri" w:cs="Times New Roman"/>
                <w:sz w:val="20"/>
                <w:szCs w:val="20"/>
              </w:rPr>
              <w:t>Supreme Court of Canada</w:t>
            </w:r>
          </w:p>
        </w:tc>
        <w:tc>
          <w:tcPr>
            <w:tcW w:w="243" w:type="pct"/>
          </w:tcPr>
          <w:p w:rsidR="00361C1F" w:rsidRPr="00361C1F" w:rsidRDefault="00361C1F" w:rsidP="00361C1F">
            <w:pPr>
              <w:jc w:val="both"/>
              <w:rPr>
                <w:rFonts w:eastAsia="Calibri" w:cs="Times New Roman"/>
                <w:sz w:val="20"/>
                <w:szCs w:val="20"/>
              </w:rPr>
            </w:pPr>
          </w:p>
        </w:tc>
        <w:tc>
          <w:tcPr>
            <w:tcW w:w="2330" w:type="pct"/>
          </w:tcPr>
          <w:p w:rsidR="00361C1F" w:rsidRPr="00361C1F" w:rsidRDefault="00361C1F" w:rsidP="00361C1F">
            <w:pPr>
              <w:jc w:val="both"/>
              <w:rPr>
                <w:rFonts w:eastAsia="Calibri" w:cs="Times New Roman"/>
                <w:sz w:val="20"/>
                <w:szCs w:val="20"/>
              </w:rPr>
            </w:pPr>
            <w:r w:rsidRPr="00361C1F">
              <w:rPr>
                <w:rFonts w:eastAsia="Calibri" w:cs="Times New Roman"/>
                <w:sz w:val="20"/>
                <w:szCs w:val="20"/>
              </w:rPr>
              <w:t>Application for leave to appeal and motion to extend time filed</w:t>
            </w:r>
          </w:p>
        </w:tc>
      </w:tr>
    </w:tbl>
    <w:p w:rsidR="00900073" w:rsidRPr="00C50A5C" w:rsidRDefault="00900073" w:rsidP="00900073">
      <w:pPr>
        <w:rPr>
          <w:sz w:val="20"/>
          <w:szCs w:val="20"/>
        </w:rPr>
      </w:pPr>
    </w:p>
    <w:p w:rsidR="00900073" w:rsidRPr="00C50A5C" w:rsidRDefault="00547297" w:rsidP="00900073">
      <w:pPr>
        <w:rPr>
          <w:sz w:val="20"/>
          <w:szCs w:val="20"/>
        </w:rPr>
      </w:pPr>
      <w:r w:rsidRPr="00547297">
        <w:rPr>
          <w:sz w:val="20"/>
          <w:szCs w:val="20"/>
          <w:lang w:val="fr-CA"/>
        </w:rPr>
        <w:pict>
          <v:rect id="_x0000_i1051" style="width:2in;height:1pt" o:hrpct="0" o:hralign="center" o:hrstd="t" o:hrnoshade="t" o:hr="t" fillcolor="black [3213]" stroked="f"/>
        </w:pict>
      </w:r>
    </w:p>
    <w:p w:rsidR="00900073" w:rsidRPr="00C50A5C" w:rsidRDefault="00900073" w:rsidP="00900073">
      <w:pPr>
        <w:rPr>
          <w:sz w:val="20"/>
          <w:szCs w:val="20"/>
        </w:rPr>
      </w:pPr>
    </w:p>
    <w:p w:rsidR="00900073" w:rsidRPr="00C50A5C" w:rsidRDefault="00900073" w:rsidP="00900073">
      <w:pPr>
        <w:keepNext/>
        <w:rPr>
          <w:sz w:val="20"/>
          <w:szCs w:val="20"/>
          <w:u w:val="single"/>
          <w:lang w:val="fr-CA"/>
        </w:rPr>
      </w:pPr>
      <w:r w:rsidRPr="00C50A5C">
        <w:rPr>
          <w:sz w:val="20"/>
          <w:szCs w:val="20"/>
          <w:u w:val="single"/>
          <w:lang w:val="fr-CA"/>
        </w:rPr>
        <w:t>RÉSUMÉ DE L’AFFAIRE</w:t>
      </w:r>
    </w:p>
    <w:p w:rsidR="00900073" w:rsidRPr="00C50A5C" w:rsidRDefault="00900073" w:rsidP="00900073">
      <w:pPr>
        <w:keepNext/>
        <w:rPr>
          <w:sz w:val="20"/>
          <w:szCs w:val="20"/>
          <w:lang w:val="fr-CA"/>
        </w:rPr>
      </w:pPr>
    </w:p>
    <w:p w:rsidR="0070151D" w:rsidRPr="00361C1F" w:rsidRDefault="0070151D" w:rsidP="00900073">
      <w:pPr>
        <w:jc w:val="both"/>
        <w:rPr>
          <w:rFonts w:eastAsia="Calibri" w:cs="Times New Roman"/>
          <w:smallCaps/>
          <w:sz w:val="20"/>
          <w:szCs w:val="20"/>
          <w:lang w:val="fr-CA"/>
        </w:rPr>
      </w:pPr>
      <w:r w:rsidRPr="00361C1F">
        <w:rPr>
          <w:rFonts w:eastAsia="Calibri" w:cs="Times New Roman"/>
          <w:smallCaps/>
          <w:sz w:val="20"/>
          <w:szCs w:val="20"/>
          <w:lang w:val="fr-CA"/>
        </w:rPr>
        <w:t xml:space="preserve">(Ordonnance de </w:t>
      </w:r>
      <w:proofErr w:type="spellStart"/>
      <w:r w:rsidRPr="00361C1F">
        <w:rPr>
          <w:rFonts w:eastAsia="Calibri" w:cs="Times New Roman"/>
          <w:smallCaps/>
          <w:sz w:val="20"/>
          <w:szCs w:val="20"/>
          <w:lang w:val="fr-CA"/>
        </w:rPr>
        <w:t>non</w:t>
      </w:r>
      <w:r w:rsidRPr="00361C1F">
        <w:rPr>
          <w:rFonts w:eastAsia="Calibri" w:cs="Times New Roman"/>
          <w:smallCaps/>
          <w:sz w:val="20"/>
          <w:szCs w:val="20"/>
          <w:lang w:val="fr-CA"/>
        </w:rPr>
        <w:noBreakHyphen/>
        <w:t>publication</w:t>
      </w:r>
      <w:proofErr w:type="spellEnd"/>
      <w:r w:rsidRPr="00361C1F">
        <w:rPr>
          <w:rFonts w:eastAsia="Calibri" w:cs="Times New Roman"/>
          <w:smallCaps/>
          <w:sz w:val="20"/>
          <w:szCs w:val="20"/>
          <w:lang w:val="fr-CA"/>
        </w:rPr>
        <w:t xml:space="preserve"> dans le dossier) </w:t>
      </w:r>
    </w:p>
    <w:p w:rsidR="0070151D" w:rsidRPr="00361C1F" w:rsidRDefault="0070151D" w:rsidP="00361C1F">
      <w:pPr>
        <w:jc w:val="both"/>
        <w:rPr>
          <w:rFonts w:eastAsia="Calibri" w:cs="Times New Roman"/>
          <w:sz w:val="20"/>
          <w:szCs w:val="20"/>
          <w:lang w:val="fr-CA"/>
        </w:rPr>
      </w:pPr>
    </w:p>
    <w:p w:rsidR="0070151D" w:rsidRPr="00361C1F" w:rsidRDefault="0070151D" w:rsidP="00361C1F">
      <w:pPr>
        <w:jc w:val="both"/>
        <w:rPr>
          <w:rFonts w:eastAsia="Calibri" w:cs="Times New Roman"/>
          <w:sz w:val="20"/>
          <w:szCs w:val="20"/>
          <w:lang w:val="fr-CA"/>
        </w:rPr>
      </w:pPr>
      <w:r w:rsidRPr="00361C1F">
        <w:rPr>
          <w:rFonts w:eastAsia="Calibri" w:cs="Times New Roman"/>
          <w:sz w:val="20"/>
          <w:szCs w:val="20"/>
          <w:lang w:val="fr-CA"/>
        </w:rPr>
        <w:t xml:space="preserve">Droit criminel — Jurys — Sélection — Quelles sont, en général, les obligations de communication du ministère public? — Dans quelles circonstances l’omission du ministère public de communiquer des renseignements obtenus sur des jurés éventuels </w:t>
      </w:r>
      <w:proofErr w:type="spellStart"/>
      <w:r w:rsidRPr="00361C1F">
        <w:rPr>
          <w:rFonts w:eastAsia="Calibri" w:cs="Times New Roman"/>
          <w:sz w:val="20"/>
          <w:szCs w:val="20"/>
          <w:lang w:val="fr-CA"/>
        </w:rPr>
        <w:t>équivaut</w:t>
      </w:r>
      <w:r w:rsidRPr="00361C1F">
        <w:rPr>
          <w:rFonts w:eastAsia="Calibri" w:cs="Times New Roman"/>
          <w:sz w:val="20"/>
          <w:szCs w:val="20"/>
          <w:lang w:val="fr-CA"/>
        </w:rPr>
        <w:noBreakHyphen/>
        <w:t>elle</w:t>
      </w:r>
      <w:proofErr w:type="spellEnd"/>
      <w:r w:rsidRPr="00361C1F">
        <w:rPr>
          <w:rFonts w:eastAsia="Calibri" w:cs="Times New Roman"/>
          <w:sz w:val="20"/>
          <w:szCs w:val="20"/>
          <w:lang w:val="fr-CA"/>
        </w:rPr>
        <w:t xml:space="preserve"> à un déni de justice?</w:t>
      </w:r>
    </w:p>
    <w:p w:rsidR="0070151D" w:rsidRPr="00361C1F" w:rsidRDefault="0070151D" w:rsidP="00361C1F">
      <w:pPr>
        <w:jc w:val="both"/>
        <w:rPr>
          <w:rFonts w:eastAsia="Calibri" w:cs="Times New Roman"/>
          <w:sz w:val="20"/>
          <w:szCs w:val="20"/>
          <w:lang w:val="fr-CA"/>
        </w:rPr>
      </w:pPr>
    </w:p>
    <w:p w:rsidR="0070151D" w:rsidRPr="00361C1F" w:rsidRDefault="0070151D" w:rsidP="00361C1F">
      <w:pPr>
        <w:jc w:val="both"/>
        <w:rPr>
          <w:rFonts w:eastAsia="Calibri" w:cs="Times New Roman"/>
          <w:sz w:val="20"/>
          <w:szCs w:val="20"/>
          <w:lang w:val="fr-CA"/>
        </w:rPr>
      </w:pPr>
      <w:r w:rsidRPr="00361C1F">
        <w:rPr>
          <w:rFonts w:eastAsia="Calibri" w:cs="Times New Roman"/>
          <w:sz w:val="20"/>
          <w:szCs w:val="20"/>
          <w:lang w:val="fr-CA"/>
        </w:rPr>
        <w:lastRenderedPageBreak/>
        <w:t>Monsieur Cardoso et deux autres personnes ont été déclarés coupables de meurtre au premier degré.  En appel à la Cour d’appel de l’Ontario, il a été révélé que le ministère public s’était adonné à une pratique de triage des jurés dans la région de Barrie.  En appel, de nouveaux éléments de preuve ont été admis qui permettaient de conclure que le ministère public avait obtenu l’aide des forces policières pour obtenir des renseignements sur des jurés éventuels, des renseignements qui n’ont pas été communiqués à la défense.  La Cour d’appel a rejeté l’appel, concluant que même si le ministère public avait l’obligation de communiquer les renseignements à la défense, l’omission de le faire ne nuisait pas à l’équité du procès et ne portait pas atteinte au droit de présenter une défense pleine et entière.</w:t>
      </w:r>
    </w:p>
    <w:p w:rsidR="0070151D" w:rsidRPr="00361C1F" w:rsidRDefault="0070151D" w:rsidP="00361C1F">
      <w:pPr>
        <w:jc w:val="both"/>
        <w:rPr>
          <w:rFonts w:eastAsia="Calibri"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361C1F" w:rsidRPr="002D1834" w:rsidTr="00361C1F">
        <w:tc>
          <w:tcPr>
            <w:tcW w:w="2427" w:type="pct"/>
          </w:tcPr>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22 décembre 2005</w:t>
            </w:r>
          </w:p>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 xml:space="preserve">Cour supérieure de justice de l’Ontario </w:t>
            </w:r>
          </w:p>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 xml:space="preserve">(Juge </w:t>
            </w:r>
            <w:proofErr w:type="spellStart"/>
            <w:r w:rsidRPr="00361C1F">
              <w:rPr>
                <w:rFonts w:eastAsia="Calibri" w:cs="Times New Roman"/>
                <w:sz w:val="20"/>
                <w:szCs w:val="20"/>
                <w:lang w:val="fr-CA"/>
              </w:rPr>
              <w:t>Stong</w:t>
            </w:r>
            <w:proofErr w:type="spellEnd"/>
            <w:r w:rsidRPr="00361C1F">
              <w:rPr>
                <w:rFonts w:eastAsia="Calibri" w:cs="Times New Roman"/>
                <w:sz w:val="20"/>
                <w:szCs w:val="20"/>
                <w:lang w:val="fr-CA"/>
              </w:rPr>
              <w:t>)</w:t>
            </w:r>
          </w:p>
          <w:p w:rsidR="00361C1F" w:rsidRPr="00361C1F" w:rsidRDefault="00361C1F" w:rsidP="00361C1F">
            <w:pPr>
              <w:jc w:val="both"/>
              <w:rPr>
                <w:rFonts w:eastAsia="Calibri" w:cs="Times New Roman"/>
                <w:sz w:val="20"/>
                <w:szCs w:val="20"/>
                <w:lang w:val="fr-CA"/>
              </w:rPr>
            </w:pPr>
          </w:p>
        </w:tc>
        <w:tc>
          <w:tcPr>
            <w:tcW w:w="243" w:type="pct"/>
          </w:tcPr>
          <w:p w:rsidR="00361C1F" w:rsidRPr="00361C1F" w:rsidRDefault="00361C1F" w:rsidP="00361C1F">
            <w:pPr>
              <w:jc w:val="both"/>
              <w:rPr>
                <w:rFonts w:eastAsia="Calibri" w:cs="Times New Roman"/>
                <w:sz w:val="20"/>
                <w:szCs w:val="20"/>
                <w:lang w:val="fr-CA"/>
              </w:rPr>
            </w:pPr>
          </w:p>
        </w:tc>
        <w:tc>
          <w:tcPr>
            <w:tcW w:w="2330" w:type="pct"/>
          </w:tcPr>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Déclarations de culpabilité : meurtre au premier degré (deux chefs) et complot en vue de commettre le meurtre (deux chefs)</w:t>
            </w:r>
          </w:p>
          <w:p w:rsidR="00361C1F" w:rsidRPr="00361C1F" w:rsidRDefault="00361C1F" w:rsidP="00361C1F">
            <w:pPr>
              <w:jc w:val="both"/>
              <w:rPr>
                <w:rFonts w:eastAsia="Calibri" w:cs="Times New Roman"/>
                <w:sz w:val="20"/>
                <w:szCs w:val="20"/>
                <w:lang w:val="fr-CA"/>
              </w:rPr>
            </w:pPr>
          </w:p>
        </w:tc>
      </w:tr>
      <w:tr w:rsidR="00361C1F" w:rsidRPr="00361C1F" w:rsidTr="00361C1F">
        <w:tc>
          <w:tcPr>
            <w:tcW w:w="2427" w:type="pct"/>
          </w:tcPr>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5 octobre 2010</w:t>
            </w:r>
          </w:p>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Cour d’appel de l’Ontario</w:t>
            </w:r>
          </w:p>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 xml:space="preserve">(Juges </w:t>
            </w:r>
            <w:proofErr w:type="spellStart"/>
            <w:r w:rsidRPr="00361C1F">
              <w:rPr>
                <w:rFonts w:eastAsia="Calibri" w:cs="Times New Roman"/>
                <w:sz w:val="20"/>
                <w:szCs w:val="20"/>
                <w:lang w:val="fr-CA"/>
              </w:rPr>
              <w:t>Weiler</w:t>
            </w:r>
            <w:proofErr w:type="spellEnd"/>
            <w:r w:rsidRPr="00361C1F">
              <w:rPr>
                <w:rFonts w:eastAsia="Calibri" w:cs="Times New Roman"/>
                <w:sz w:val="20"/>
                <w:szCs w:val="20"/>
                <w:lang w:val="fr-CA"/>
              </w:rPr>
              <w:t xml:space="preserve">, </w:t>
            </w:r>
            <w:proofErr w:type="spellStart"/>
            <w:r w:rsidRPr="00361C1F">
              <w:rPr>
                <w:rFonts w:eastAsia="Calibri" w:cs="Times New Roman"/>
                <w:sz w:val="20"/>
                <w:szCs w:val="20"/>
                <w:lang w:val="fr-CA"/>
              </w:rPr>
              <w:t>Gillese</w:t>
            </w:r>
            <w:proofErr w:type="spellEnd"/>
            <w:r w:rsidRPr="00361C1F">
              <w:rPr>
                <w:rFonts w:eastAsia="Calibri" w:cs="Times New Roman"/>
                <w:sz w:val="20"/>
                <w:szCs w:val="20"/>
                <w:lang w:val="fr-CA"/>
              </w:rPr>
              <w:t xml:space="preserve"> et Watt)</w:t>
            </w:r>
          </w:p>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Référence neutre : 2010 ONCA 637</w:t>
            </w:r>
          </w:p>
          <w:p w:rsidR="00361C1F" w:rsidRPr="00361C1F" w:rsidRDefault="00361C1F" w:rsidP="00361C1F">
            <w:pPr>
              <w:jc w:val="both"/>
              <w:rPr>
                <w:rFonts w:eastAsia="Calibri" w:cs="Times New Roman"/>
                <w:sz w:val="20"/>
                <w:szCs w:val="20"/>
                <w:lang w:val="fr-CA"/>
              </w:rPr>
            </w:pPr>
          </w:p>
        </w:tc>
        <w:tc>
          <w:tcPr>
            <w:tcW w:w="243" w:type="pct"/>
          </w:tcPr>
          <w:p w:rsidR="00361C1F" w:rsidRPr="00361C1F" w:rsidRDefault="00361C1F" w:rsidP="00361C1F">
            <w:pPr>
              <w:jc w:val="both"/>
              <w:rPr>
                <w:rFonts w:eastAsia="Calibri" w:cs="Times New Roman"/>
                <w:sz w:val="20"/>
                <w:szCs w:val="20"/>
                <w:lang w:val="fr-CA"/>
              </w:rPr>
            </w:pPr>
          </w:p>
        </w:tc>
        <w:tc>
          <w:tcPr>
            <w:tcW w:w="2330" w:type="pct"/>
          </w:tcPr>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Appel rejeté</w:t>
            </w:r>
          </w:p>
          <w:p w:rsidR="00361C1F" w:rsidRPr="00361C1F" w:rsidRDefault="00361C1F" w:rsidP="00361C1F">
            <w:pPr>
              <w:jc w:val="both"/>
              <w:rPr>
                <w:rFonts w:eastAsia="Calibri" w:cs="Times New Roman"/>
                <w:sz w:val="20"/>
                <w:szCs w:val="20"/>
                <w:lang w:val="fr-CA"/>
              </w:rPr>
            </w:pPr>
          </w:p>
        </w:tc>
      </w:tr>
      <w:tr w:rsidR="00361C1F" w:rsidRPr="002D1834" w:rsidTr="00361C1F">
        <w:tc>
          <w:tcPr>
            <w:tcW w:w="2427" w:type="pct"/>
          </w:tcPr>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10 février 2011</w:t>
            </w:r>
          </w:p>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Cour suprême du Canada</w:t>
            </w:r>
          </w:p>
        </w:tc>
        <w:tc>
          <w:tcPr>
            <w:tcW w:w="243" w:type="pct"/>
          </w:tcPr>
          <w:p w:rsidR="00361C1F" w:rsidRPr="00361C1F" w:rsidRDefault="00361C1F" w:rsidP="00361C1F">
            <w:pPr>
              <w:jc w:val="both"/>
              <w:rPr>
                <w:rFonts w:eastAsia="Calibri" w:cs="Times New Roman"/>
                <w:sz w:val="20"/>
                <w:szCs w:val="20"/>
                <w:lang w:val="fr-CA"/>
              </w:rPr>
            </w:pPr>
          </w:p>
        </w:tc>
        <w:tc>
          <w:tcPr>
            <w:tcW w:w="2330" w:type="pct"/>
          </w:tcPr>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Demande d’autorisation d’appel et requêtes en prorogation de délai, déposées</w:t>
            </w:r>
          </w:p>
        </w:tc>
      </w:tr>
    </w:tbl>
    <w:p w:rsidR="00900073" w:rsidRPr="005756A5" w:rsidRDefault="00900073" w:rsidP="00900073">
      <w:pPr>
        <w:rPr>
          <w:sz w:val="20"/>
          <w:szCs w:val="20"/>
          <w:lang w:val="fr-CA"/>
        </w:rPr>
      </w:pPr>
    </w:p>
    <w:p w:rsidR="00900073" w:rsidRPr="00C50A5C" w:rsidRDefault="00547297" w:rsidP="00900073">
      <w:pPr>
        <w:rPr>
          <w:sz w:val="20"/>
          <w:szCs w:val="20"/>
        </w:rPr>
      </w:pPr>
      <w:r w:rsidRPr="00547297">
        <w:rPr>
          <w:sz w:val="20"/>
          <w:szCs w:val="20"/>
          <w:lang w:val="fr-CA"/>
        </w:rPr>
        <w:pict>
          <v:rect id="_x0000_i1052" style="width:2in;height:1pt" o:hrpct="0" o:hralign="center" o:hrstd="t" o:hrnoshade="t" o:hr="t" fillcolor="black [3213]" stroked="f"/>
        </w:pict>
      </w:r>
    </w:p>
    <w:p w:rsidR="00900073" w:rsidRPr="00C50A5C" w:rsidRDefault="00900073" w:rsidP="00900073">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52AF7" w:rsidRPr="00A52AF7" w:rsidTr="007F2048">
        <w:trPr>
          <w:cantSplit/>
        </w:trPr>
        <w:tc>
          <w:tcPr>
            <w:tcW w:w="1458" w:type="dxa"/>
          </w:tcPr>
          <w:p w:rsidR="00A52AF7" w:rsidRPr="00A52AF7" w:rsidRDefault="00A52AF7" w:rsidP="00A52AF7">
            <w:pPr>
              <w:rPr>
                <w:sz w:val="20"/>
              </w:rPr>
            </w:pPr>
            <w:r w:rsidRPr="00A52AF7">
              <w:rPr>
                <w:b/>
                <w:sz w:val="20"/>
                <w:lang w:val="fr-CA"/>
              </w:rPr>
              <w:t>34179</w:t>
            </w:r>
          </w:p>
          <w:p w:rsidR="00A52AF7" w:rsidRPr="00A52AF7" w:rsidRDefault="00A52AF7" w:rsidP="00A52AF7">
            <w:pPr>
              <w:rPr>
                <w:b/>
                <w:sz w:val="20"/>
                <w:lang w:val="fr-CA"/>
              </w:rPr>
            </w:pPr>
          </w:p>
        </w:tc>
        <w:tc>
          <w:tcPr>
            <w:tcW w:w="8118" w:type="dxa"/>
          </w:tcPr>
          <w:p w:rsidR="00A52AF7" w:rsidRPr="00A52AF7" w:rsidRDefault="00A52AF7" w:rsidP="00A52AF7">
            <w:pPr>
              <w:rPr>
                <w:sz w:val="20"/>
              </w:rPr>
            </w:pPr>
            <w:r w:rsidRPr="00A52AF7">
              <w:rPr>
                <w:b/>
                <w:sz w:val="20"/>
                <w:u w:val="single"/>
                <w:lang w:val="en-US"/>
              </w:rPr>
              <w:t>Troy Gilbert Davey v. Her Majesty the Queen</w:t>
            </w:r>
            <w:r w:rsidRPr="00A52AF7">
              <w:rPr>
                <w:sz w:val="20"/>
              </w:rPr>
              <w:t xml:space="preserve"> (Ont.) (Criminal) (By Leave)</w:t>
            </w:r>
          </w:p>
          <w:p w:rsidR="00A52AF7" w:rsidRPr="00A52AF7" w:rsidRDefault="00A52AF7" w:rsidP="00A52AF7">
            <w:pPr>
              <w:rPr>
                <w:sz w:val="20"/>
              </w:rPr>
            </w:pPr>
          </w:p>
        </w:tc>
      </w:tr>
      <w:tr w:rsidR="00A52AF7" w:rsidRPr="00A52AF7" w:rsidTr="007F2048">
        <w:trPr>
          <w:cantSplit/>
        </w:trPr>
        <w:tc>
          <w:tcPr>
            <w:tcW w:w="1458" w:type="dxa"/>
          </w:tcPr>
          <w:p w:rsidR="00A52AF7" w:rsidRPr="00A52AF7" w:rsidRDefault="00A52AF7" w:rsidP="00A52AF7">
            <w:pPr>
              <w:rPr>
                <w:sz w:val="20"/>
              </w:rPr>
            </w:pPr>
            <w:r w:rsidRPr="00A52AF7">
              <w:rPr>
                <w:sz w:val="20"/>
              </w:rPr>
              <w:t>Coram :</w:t>
            </w:r>
          </w:p>
        </w:tc>
        <w:tc>
          <w:tcPr>
            <w:tcW w:w="8118" w:type="dxa"/>
          </w:tcPr>
          <w:p w:rsidR="00A52AF7" w:rsidRPr="00A52AF7" w:rsidRDefault="00A52AF7" w:rsidP="00A52AF7">
            <w:pPr>
              <w:rPr>
                <w:sz w:val="20"/>
              </w:rPr>
            </w:pPr>
            <w:proofErr w:type="spellStart"/>
            <w:r w:rsidRPr="00A52AF7">
              <w:rPr>
                <w:sz w:val="20"/>
                <w:u w:val="single"/>
                <w:lang w:val="en-US"/>
              </w:rPr>
              <w:t>Binnie</w:t>
            </w:r>
            <w:proofErr w:type="spellEnd"/>
            <w:r w:rsidRPr="00A52AF7">
              <w:rPr>
                <w:sz w:val="20"/>
                <w:u w:val="single"/>
                <w:lang w:val="en-US"/>
              </w:rPr>
              <w:t xml:space="preserve">, </w:t>
            </w:r>
            <w:proofErr w:type="spellStart"/>
            <w:r w:rsidRPr="00A52AF7">
              <w:rPr>
                <w:sz w:val="20"/>
                <w:u w:val="single"/>
                <w:lang w:val="en-US"/>
              </w:rPr>
              <w:t>Abella</w:t>
            </w:r>
            <w:proofErr w:type="spellEnd"/>
            <w:r w:rsidRPr="00A52AF7">
              <w:rPr>
                <w:sz w:val="20"/>
                <w:u w:val="single"/>
                <w:lang w:val="en-US"/>
              </w:rPr>
              <w:t xml:space="preserve"> and Rothstein JJ.</w:t>
            </w:r>
          </w:p>
          <w:p w:rsidR="00A52AF7" w:rsidRPr="00A52AF7" w:rsidRDefault="00A52AF7" w:rsidP="00A52AF7">
            <w:pPr>
              <w:rPr>
                <w:sz w:val="20"/>
                <w:u w:val="single"/>
              </w:rPr>
            </w:pPr>
          </w:p>
        </w:tc>
      </w:tr>
      <w:tr w:rsidR="00A52AF7" w:rsidRPr="002D1834" w:rsidTr="007F2048">
        <w:trPr>
          <w:cantSplit/>
        </w:trPr>
        <w:tc>
          <w:tcPr>
            <w:tcW w:w="9576" w:type="dxa"/>
            <w:gridSpan w:val="2"/>
          </w:tcPr>
          <w:p w:rsidR="00A52AF7" w:rsidRPr="00A52AF7" w:rsidRDefault="00A52AF7" w:rsidP="00A52AF7">
            <w:pPr>
              <w:ind w:firstLine="720"/>
              <w:jc w:val="both"/>
              <w:rPr>
                <w:sz w:val="20"/>
              </w:rPr>
            </w:pPr>
            <w:r w:rsidRPr="00A52AF7">
              <w:rPr>
                <w:sz w:val="20"/>
              </w:rPr>
              <w:t>The motion for an extension of time to serve and file the application for leave to appeal and the application for leave to appeal from the judgment of the Court of Appeal for Ontario, Number C48091, 2010 ONCA 818, dated December 3, 2010, are granted without costs.</w:t>
            </w:r>
          </w:p>
          <w:p w:rsidR="00A52AF7" w:rsidRPr="00A52AF7" w:rsidRDefault="00A52AF7" w:rsidP="00A52AF7">
            <w:pPr>
              <w:jc w:val="both"/>
              <w:rPr>
                <w:sz w:val="20"/>
              </w:rPr>
            </w:pPr>
          </w:p>
          <w:p w:rsidR="00A52AF7" w:rsidRPr="00A52AF7" w:rsidRDefault="00A52AF7" w:rsidP="00A52AF7">
            <w:pPr>
              <w:ind w:firstLine="720"/>
              <w:jc w:val="both"/>
              <w:rPr>
                <w:sz w:val="20"/>
                <w:lang w:val="fr-CA"/>
              </w:rPr>
            </w:pPr>
            <w:r w:rsidRPr="00A52AF7">
              <w:rPr>
                <w:sz w:val="20"/>
                <w:lang w:val="fr-CA"/>
              </w:rPr>
              <w:t>La requête en prorogation du délai de signification et de dépôt de la demande d’autorisation d’appel et la demande d’autorisation d’appel de l’arrêt de la Cour d’appel de l’Ontario, numéro C48091, 2010 ONCA 818, daté du 3 décembre 2010, sont accordées sans dépens.</w:t>
            </w:r>
          </w:p>
          <w:p w:rsidR="00A52AF7" w:rsidRPr="00A52AF7" w:rsidRDefault="00A52AF7" w:rsidP="00A52AF7">
            <w:pPr>
              <w:rPr>
                <w:sz w:val="20"/>
                <w:lang w:val="fr-CA"/>
              </w:rPr>
            </w:pPr>
          </w:p>
        </w:tc>
      </w:tr>
    </w:tbl>
    <w:p w:rsidR="0070151D" w:rsidRPr="00C50A5C" w:rsidRDefault="0070151D" w:rsidP="0070151D">
      <w:pPr>
        <w:keepNext/>
        <w:rPr>
          <w:sz w:val="20"/>
          <w:szCs w:val="20"/>
        </w:rPr>
      </w:pPr>
      <w:r w:rsidRPr="00C50A5C">
        <w:rPr>
          <w:sz w:val="20"/>
          <w:szCs w:val="20"/>
          <w:u w:val="single"/>
        </w:rPr>
        <w:t>CASE SUMMARY</w:t>
      </w:r>
    </w:p>
    <w:p w:rsidR="0070151D" w:rsidRDefault="0070151D" w:rsidP="0070151D"/>
    <w:p w:rsidR="0070151D" w:rsidRPr="00361C1F" w:rsidRDefault="0070151D" w:rsidP="006D6E15">
      <w:pPr>
        <w:jc w:val="both"/>
        <w:rPr>
          <w:rFonts w:eastAsia="Times New Roman" w:cs="Times New Roman"/>
          <w:sz w:val="20"/>
          <w:szCs w:val="20"/>
          <w:lang w:val="en-US"/>
        </w:rPr>
      </w:pPr>
      <w:r w:rsidRPr="00361C1F">
        <w:rPr>
          <w:rFonts w:eastAsia="Times New Roman" w:cs="Times New Roman"/>
          <w:sz w:val="20"/>
          <w:szCs w:val="20"/>
          <w:lang w:val="en-US"/>
        </w:rPr>
        <w:t xml:space="preserve">Criminal law — Juries — Selection — </w:t>
      </w:r>
      <w:proofErr w:type="gramStart"/>
      <w:r w:rsidRPr="00361C1F">
        <w:rPr>
          <w:rFonts w:eastAsia="Times New Roman" w:cs="Times New Roman"/>
          <w:sz w:val="20"/>
          <w:szCs w:val="20"/>
          <w:lang w:val="en-US"/>
        </w:rPr>
        <w:t>In</w:t>
      </w:r>
      <w:proofErr w:type="gramEnd"/>
      <w:r w:rsidRPr="00361C1F">
        <w:rPr>
          <w:rFonts w:eastAsia="Times New Roman" w:cs="Times New Roman"/>
          <w:sz w:val="20"/>
          <w:szCs w:val="20"/>
          <w:lang w:val="en-US"/>
        </w:rPr>
        <w:t xml:space="preserve"> what circumstances does the Crown’s failure to disclose information gleaned about the prospective jurors amount to a miscarriage of justice? — What are the Crown’s disclosure obligations generally?</w:t>
      </w:r>
    </w:p>
    <w:p w:rsidR="0070151D" w:rsidRPr="00361C1F" w:rsidRDefault="0070151D" w:rsidP="006D6E15">
      <w:pPr>
        <w:jc w:val="both"/>
        <w:rPr>
          <w:rFonts w:eastAsia="Times New Roman" w:cs="Times New Roman"/>
          <w:sz w:val="20"/>
          <w:szCs w:val="20"/>
          <w:lang w:val="en-US"/>
        </w:rPr>
      </w:pPr>
    </w:p>
    <w:p w:rsidR="0070151D" w:rsidRPr="00361C1F" w:rsidRDefault="0070151D" w:rsidP="006D6E15">
      <w:pPr>
        <w:jc w:val="both"/>
        <w:rPr>
          <w:rFonts w:eastAsia="Times New Roman" w:cs="Times New Roman"/>
          <w:sz w:val="20"/>
          <w:szCs w:val="20"/>
          <w:lang w:val="en-US"/>
        </w:rPr>
      </w:pPr>
      <w:r w:rsidRPr="00361C1F">
        <w:rPr>
          <w:rFonts w:eastAsia="Times New Roman" w:cs="Times New Roman"/>
          <w:sz w:val="20"/>
          <w:szCs w:val="20"/>
          <w:lang w:val="en-US"/>
        </w:rPr>
        <w:t>Davey was convicted by a jury of the first degree murder of a police officer.  Davey appealed his conviction to the Court of Appeal alleging errors in the charge to the jury.  While the appeal was pending, Davey sought to introduce fresh evidence of jury vetting.  The Court of Appeal allowed the fresh evidence, but dismissed the appeal.</w:t>
      </w:r>
    </w:p>
    <w:p w:rsidR="0070151D" w:rsidRPr="00361C1F" w:rsidRDefault="0070151D" w:rsidP="006D6E15">
      <w:pPr>
        <w:jc w:val="both"/>
        <w:rPr>
          <w:rFonts w:eastAsia="Times New Roman" w:cs="Times New Roman"/>
          <w:sz w:val="20"/>
          <w:szCs w:val="20"/>
          <w:lang w:val="en-US"/>
        </w:rPr>
      </w:pPr>
    </w:p>
    <w:p w:rsidR="0070151D" w:rsidRPr="00361C1F" w:rsidRDefault="0070151D" w:rsidP="006D6E15">
      <w:pPr>
        <w:jc w:val="both"/>
        <w:rPr>
          <w:rFonts w:eastAsia="Times New Roman" w:cs="Times New Roman"/>
          <w:sz w:val="20"/>
          <w:szCs w:val="20"/>
          <w:lang w:val="en-US"/>
        </w:rPr>
      </w:pPr>
      <w:r w:rsidRPr="00361C1F">
        <w:rPr>
          <w:rFonts w:eastAsia="Times New Roman" w:cs="Times New Roman"/>
          <w:sz w:val="20"/>
          <w:szCs w:val="20"/>
          <w:lang w:val="en-US"/>
        </w:rPr>
        <w:t xml:space="preserve">Local Crown practice was to solicit the opinion of local police as to suitability of potential jurors.  Following this practice, the jury list for Davey’s trial, which had been released early, was provided to police, and officers noted ““good”, “yes”, “ok” or “no”” on their lists.  The information was then compiled by a Crown employee onto a master list which was given to the Crown counsel, but not to the </w:t>
      </w:r>
      <w:proofErr w:type="spellStart"/>
      <w:r w:rsidRPr="00361C1F">
        <w:rPr>
          <w:rFonts w:eastAsia="Times New Roman" w:cs="Times New Roman"/>
          <w:sz w:val="20"/>
          <w:szCs w:val="20"/>
          <w:lang w:val="en-US"/>
        </w:rPr>
        <w:t>defence</w:t>
      </w:r>
      <w:proofErr w:type="spellEnd"/>
      <w:r w:rsidRPr="00361C1F">
        <w:rPr>
          <w:rFonts w:eastAsia="Times New Roman" w:cs="Times New Roman"/>
          <w:sz w:val="20"/>
          <w:szCs w:val="20"/>
          <w:lang w:val="en-US"/>
        </w:rPr>
        <w:t xml:space="preserve"> counsel.  The notations were based on police officers’ knowledge of the potential jurors, but not through accessing police databases.</w:t>
      </w:r>
    </w:p>
    <w:p w:rsidR="0070151D" w:rsidRPr="00361C1F" w:rsidRDefault="0070151D" w:rsidP="00361C1F">
      <w:pPr>
        <w:rPr>
          <w:rFonts w:eastAsia="Times New Roman" w:cs="Times New Roman"/>
          <w:sz w:val="20"/>
          <w:szCs w:val="20"/>
          <w:lang w:val="en-US"/>
        </w:rPr>
      </w:pPr>
    </w:p>
    <w:p w:rsidR="0070151D" w:rsidRPr="00361C1F" w:rsidRDefault="0070151D" w:rsidP="00361C1F">
      <w:pPr>
        <w:rPr>
          <w:rFonts w:eastAsia="Times New Roman" w:cs="Times New Roman"/>
          <w:sz w:val="20"/>
          <w:szCs w:val="20"/>
          <w:lang w:val="en-US"/>
        </w:rPr>
      </w:pPr>
      <w:r w:rsidRPr="00361C1F">
        <w:rPr>
          <w:rFonts w:eastAsia="Times New Roman" w:cs="Times New Roman"/>
          <w:sz w:val="20"/>
          <w:szCs w:val="20"/>
          <w:lang w:val="en-US"/>
        </w:rPr>
        <w:t>The appeal was dismissed.</w:t>
      </w:r>
    </w:p>
    <w:tbl>
      <w:tblPr>
        <w:tblW w:w="4952" w:type="pct"/>
        <w:tblLayout w:type="fixed"/>
        <w:tblCellMar>
          <w:left w:w="0" w:type="dxa"/>
          <w:bottom w:w="99" w:type="dxa"/>
          <w:right w:w="0" w:type="dxa"/>
        </w:tblCellMar>
        <w:tblLook w:val="04A0"/>
      </w:tblPr>
      <w:tblGrid>
        <w:gridCol w:w="4624"/>
        <w:gridCol w:w="463"/>
        <w:gridCol w:w="4440"/>
      </w:tblGrid>
      <w:tr w:rsidR="00361C1F" w:rsidRPr="00361C1F" w:rsidTr="00361C1F">
        <w:tc>
          <w:tcPr>
            <w:tcW w:w="2427" w:type="pct"/>
          </w:tcPr>
          <w:p w:rsidR="00361C1F" w:rsidRPr="00361C1F" w:rsidRDefault="00361C1F" w:rsidP="00361C1F">
            <w:pPr>
              <w:rPr>
                <w:rFonts w:eastAsia="Times New Roman" w:cs="Times New Roman"/>
                <w:sz w:val="20"/>
                <w:szCs w:val="20"/>
                <w:lang w:val="en-US"/>
              </w:rPr>
            </w:pPr>
            <w:r w:rsidRPr="00361C1F">
              <w:rPr>
                <w:rFonts w:eastAsia="Times New Roman" w:cs="Times New Roman"/>
                <w:sz w:val="20"/>
                <w:szCs w:val="20"/>
                <w:lang w:val="en-US"/>
              </w:rPr>
              <w:lastRenderedPageBreak/>
              <w:t>February 22, 2007</w:t>
            </w:r>
          </w:p>
          <w:p w:rsidR="00361C1F" w:rsidRPr="00361C1F" w:rsidRDefault="00361C1F" w:rsidP="00361C1F">
            <w:pPr>
              <w:rPr>
                <w:rFonts w:eastAsia="Times New Roman" w:cs="Times New Roman"/>
                <w:sz w:val="20"/>
                <w:szCs w:val="20"/>
                <w:lang w:val="en-US"/>
              </w:rPr>
            </w:pPr>
            <w:r w:rsidRPr="00361C1F">
              <w:rPr>
                <w:rFonts w:eastAsia="Times New Roman" w:cs="Times New Roman"/>
                <w:sz w:val="20"/>
                <w:szCs w:val="20"/>
                <w:lang w:val="en-US"/>
              </w:rPr>
              <w:t>Ontario Superior Court of Justice</w:t>
            </w:r>
          </w:p>
          <w:p w:rsidR="00361C1F" w:rsidRPr="00361C1F" w:rsidRDefault="00361C1F" w:rsidP="00361C1F">
            <w:pPr>
              <w:rPr>
                <w:rFonts w:eastAsia="Times New Roman" w:cs="Times New Roman"/>
                <w:sz w:val="20"/>
                <w:szCs w:val="20"/>
                <w:lang w:val="en-US"/>
              </w:rPr>
            </w:pPr>
            <w:r w:rsidRPr="00361C1F">
              <w:rPr>
                <w:rFonts w:eastAsia="Times New Roman" w:cs="Times New Roman"/>
                <w:sz w:val="20"/>
                <w:szCs w:val="20"/>
                <w:lang w:val="en-US"/>
              </w:rPr>
              <w:t>(Scott J.)</w:t>
            </w:r>
          </w:p>
          <w:p w:rsidR="00361C1F" w:rsidRPr="00361C1F" w:rsidRDefault="00361C1F" w:rsidP="00361C1F">
            <w:pPr>
              <w:rPr>
                <w:rFonts w:eastAsia="Times New Roman" w:cs="Times New Roman"/>
                <w:sz w:val="20"/>
                <w:szCs w:val="20"/>
                <w:lang w:val="en-US"/>
              </w:rPr>
            </w:pPr>
          </w:p>
        </w:tc>
        <w:tc>
          <w:tcPr>
            <w:tcW w:w="243" w:type="pct"/>
          </w:tcPr>
          <w:p w:rsidR="00361C1F" w:rsidRPr="00361C1F" w:rsidRDefault="00361C1F" w:rsidP="00361C1F">
            <w:pPr>
              <w:rPr>
                <w:rFonts w:eastAsia="Times New Roman" w:cs="Times New Roman"/>
                <w:sz w:val="20"/>
                <w:szCs w:val="20"/>
                <w:lang w:val="en-US"/>
              </w:rPr>
            </w:pPr>
          </w:p>
        </w:tc>
        <w:tc>
          <w:tcPr>
            <w:tcW w:w="2330" w:type="pct"/>
          </w:tcPr>
          <w:p w:rsidR="00361C1F" w:rsidRPr="00361C1F" w:rsidRDefault="00361C1F" w:rsidP="00361C1F">
            <w:pPr>
              <w:rPr>
                <w:rFonts w:eastAsia="Times New Roman" w:cs="Times New Roman"/>
                <w:sz w:val="20"/>
                <w:szCs w:val="20"/>
                <w:lang w:val="en-US"/>
              </w:rPr>
            </w:pPr>
            <w:r w:rsidRPr="00361C1F">
              <w:rPr>
                <w:rFonts w:eastAsia="Times New Roman" w:cs="Times New Roman"/>
                <w:sz w:val="20"/>
                <w:szCs w:val="20"/>
                <w:lang w:val="en-US"/>
              </w:rPr>
              <w:t>Conviction:  first degree murder</w:t>
            </w:r>
          </w:p>
          <w:p w:rsidR="00361C1F" w:rsidRPr="00361C1F" w:rsidRDefault="00361C1F" w:rsidP="00361C1F">
            <w:pPr>
              <w:rPr>
                <w:rFonts w:eastAsia="Times New Roman" w:cs="Times New Roman"/>
                <w:sz w:val="20"/>
                <w:szCs w:val="20"/>
                <w:lang w:val="en-US"/>
              </w:rPr>
            </w:pPr>
          </w:p>
        </w:tc>
      </w:tr>
      <w:tr w:rsidR="00361C1F" w:rsidRPr="00361C1F" w:rsidTr="00361C1F">
        <w:tc>
          <w:tcPr>
            <w:tcW w:w="2427" w:type="pct"/>
          </w:tcPr>
          <w:p w:rsidR="00361C1F" w:rsidRPr="00361C1F" w:rsidRDefault="00361C1F" w:rsidP="00361C1F">
            <w:pPr>
              <w:rPr>
                <w:rFonts w:eastAsia="Times New Roman" w:cs="Times New Roman"/>
                <w:sz w:val="20"/>
                <w:szCs w:val="20"/>
                <w:lang w:val="en-US"/>
              </w:rPr>
            </w:pPr>
            <w:r w:rsidRPr="00361C1F">
              <w:rPr>
                <w:rFonts w:eastAsia="Times New Roman" w:cs="Times New Roman"/>
                <w:sz w:val="20"/>
                <w:szCs w:val="20"/>
                <w:lang w:val="en-US"/>
              </w:rPr>
              <w:t>December 3, 2010</w:t>
            </w:r>
          </w:p>
          <w:p w:rsidR="00361C1F" w:rsidRPr="00361C1F" w:rsidRDefault="00361C1F" w:rsidP="00361C1F">
            <w:pPr>
              <w:rPr>
                <w:rFonts w:eastAsia="Times New Roman" w:cs="Times New Roman"/>
                <w:sz w:val="20"/>
                <w:szCs w:val="20"/>
                <w:lang w:val="en-US"/>
              </w:rPr>
            </w:pPr>
            <w:r w:rsidRPr="00361C1F">
              <w:rPr>
                <w:rFonts w:eastAsia="Times New Roman" w:cs="Times New Roman"/>
                <w:sz w:val="20"/>
                <w:szCs w:val="20"/>
                <w:lang w:val="en-US"/>
              </w:rPr>
              <w:t>Court of Appeal for Ontario</w:t>
            </w:r>
          </w:p>
          <w:p w:rsidR="00361C1F" w:rsidRPr="00361C1F" w:rsidRDefault="00361C1F" w:rsidP="00361C1F">
            <w:pPr>
              <w:rPr>
                <w:rFonts w:eastAsia="Times New Roman" w:cs="Times New Roman"/>
                <w:sz w:val="20"/>
                <w:szCs w:val="20"/>
                <w:lang w:val="en-US"/>
              </w:rPr>
            </w:pPr>
            <w:r w:rsidRPr="00361C1F">
              <w:rPr>
                <w:rFonts w:eastAsia="Times New Roman" w:cs="Times New Roman"/>
                <w:sz w:val="20"/>
                <w:szCs w:val="20"/>
                <w:lang w:val="en-US"/>
              </w:rPr>
              <w:t xml:space="preserve">(Rosenberg, Blair, and </w:t>
            </w:r>
            <w:proofErr w:type="spellStart"/>
            <w:r w:rsidRPr="00361C1F">
              <w:rPr>
                <w:rFonts w:eastAsia="Times New Roman" w:cs="Times New Roman"/>
                <w:sz w:val="20"/>
                <w:szCs w:val="20"/>
                <w:lang w:val="en-US"/>
              </w:rPr>
              <w:t>Juriansz</w:t>
            </w:r>
            <w:proofErr w:type="spellEnd"/>
            <w:r w:rsidRPr="00361C1F">
              <w:rPr>
                <w:rFonts w:eastAsia="Times New Roman" w:cs="Times New Roman"/>
                <w:sz w:val="20"/>
                <w:szCs w:val="20"/>
                <w:lang w:val="en-US"/>
              </w:rPr>
              <w:t xml:space="preserve"> JJ.A.)</w:t>
            </w:r>
          </w:p>
          <w:p w:rsidR="00361C1F" w:rsidRPr="00361C1F" w:rsidRDefault="00361C1F" w:rsidP="00361C1F">
            <w:pPr>
              <w:rPr>
                <w:rFonts w:eastAsia="Times New Roman" w:cs="Times New Roman"/>
                <w:sz w:val="20"/>
                <w:szCs w:val="20"/>
                <w:lang w:val="en-US"/>
              </w:rPr>
            </w:pPr>
            <w:r w:rsidRPr="00361C1F">
              <w:rPr>
                <w:rFonts w:eastAsia="Times New Roman" w:cs="Times New Roman"/>
                <w:sz w:val="20"/>
                <w:szCs w:val="20"/>
                <w:lang w:val="en-US"/>
              </w:rPr>
              <w:t xml:space="preserve">Neutral citation: </w:t>
            </w:r>
          </w:p>
          <w:p w:rsidR="00361C1F" w:rsidRPr="00361C1F" w:rsidRDefault="00361C1F" w:rsidP="00361C1F">
            <w:pPr>
              <w:rPr>
                <w:rFonts w:eastAsia="Times New Roman" w:cs="Times New Roman"/>
                <w:sz w:val="20"/>
                <w:szCs w:val="20"/>
                <w:lang w:val="en-US"/>
              </w:rPr>
            </w:pPr>
          </w:p>
        </w:tc>
        <w:tc>
          <w:tcPr>
            <w:tcW w:w="243" w:type="pct"/>
          </w:tcPr>
          <w:p w:rsidR="00361C1F" w:rsidRPr="00361C1F" w:rsidRDefault="00361C1F" w:rsidP="00361C1F">
            <w:pPr>
              <w:rPr>
                <w:rFonts w:eastAsia="Times New Roman" w:cs="Times New Roman"/>
                <w:sz w:val="20"/>
                <w:szCs w:val="20"/>
                <w:lang w:val="en-US"/>
              </w:rPr>
            </w:pPr>
          </w:p>
        </w:tc>
        <w:tc>
          <w:tcPr>
            <w:tcW w:w="2330" w:type="pct"/>
          </w:tcPr>
          <w:p w:rsidR="00361C1F" w:rsidRPr="00361C1F" w:rsidRDefault="00361C1F" w:rsidP="00361C1F">
            <w:pPr>
              <w:rPr>
                <w:rFonts w:eastAsia="Times New Roman" w:cs="Times New Roman"/>
                <w:sz w:val="20"/>
                <w:szCs w:val="20"/>
                <w:lang w:val="en-US"/>
              </w:rPr>
            </w:pPr>
            <w:r w:rsidRPr="00361C1F">
              <w:rPr>
                <w:rFonts w:eastAsia="Times New Roman" w:cs="Times New Roman"/>
                <w:sz w:val="20"/>
                <w:szCs w:val="20"/>
                <w:lang w:val="en-US"/>
              </w:rPr>
              <w:t>Appeal dismissed</w:t>
            </w:r>
          </w:p>
          <w:p w:rsidR="00361C1F" w:rsidRPr="00361C1F" w:rsidRDefault="00361C1F" w:rsidP="00361C1F">
            <w:pPr>
              <w:rPr>
                <w:rFonts w:eastAsia="Times New Roman" w:cs="Times New Roman"/>
                <w:sz w:val="20"/>
                <w:szCs w:val="20"/>
                <w:lang w:val="en-US"/>
              </w:rPr>
            </w:pPr>
          </w:p>
        </w:tc>
      </w:tr>
      <w:tr w:rsidR="00361C1F" w:rsidRPr="00361C1F" w:rsidTr="00361C1F">
        <w:tc>
          <w:tcPr>
            <w:tcW w:w="2427" w:type="pct"/>
          </w:tcPr>
          <w:p w:rsidR="00361C1F" w:rsidRPr="00361C1F" w:rsidRDefault="00361C1F" w:rsidP="00361C1F">
            <w:pPr>
              <w:rPr>
                <w:rFonts w:eastAsia="Times New Roman" w:cs="Times New Roman"/>
                <w:sz w:val="20"/>
                <w:szCs w:val="20"/>
                <w:lang w:val="en-US"/>
              </w:rPr>
            </w:pPr>
            <w:r w:rsidRPr="00361C1F">
              <w:rPr>
                <w:rFonts w:eastAsia="Times New Roman" w:cs="Times New Roman"/>
                <w:sz w:val="20"/>
                <w:szCs w:val="20"/>
                <w:lang w:val="en-US"/>
              </w:rPr>
              <w:t>April 4, 2011</w:t>
            </w:r>
          </w:p>
          <w:p w:rsidR="00361C1F" w:rsidRPr="00361C1F" w:rsidRDefault="00361C1F" w:rsidP="00361C1F">
            <w:pPr>
              <w:rPr>
                <w:rFonts w:eastAsia="Times New Roman" w:cs="Times New Roman"/>
                <w:sz w:val="20"/>
                <w:szCs w:val="20"/>
                <w:lang w:val="en-US"/>
              </w:rPr>
            </w:pPr>
            <w:r w:rsidRPr="00361C1F">
              <w:rPr>
                <w:rFonts w:eastAsia="Times New Roman" w:cs="Times New Roman"/>
                <w:sz w:val="20"/>
                <w:szCs w:val="20"/>
                <w:lang w:val="en-US"/>
              </w:rPr>
              <w:t>Supreme Court of Canada</w:t>
            </w:r>
          </w:p>
        </w:tc>
        <w:tc>
          <w:tcPr>
            <w:tcW w:w="243" w:type="pct"/>
          </w:tcPr>
          <w:p w:rsidR="00361C1F" w:rsidRPr="00361C1F" w:rsidRDefault="00361C1F" w:rsidP="00361C1F">
            <w:pPr>
              <w:rPr>
                <w:rFonts w:eastAsia="Times New Roman" w:cs="Times New Roman"/>
                <w:sz w:val="20"/>
                <w:szCs w:val="20"/>
                <w:lang w:val="en-US"/>
              </w:rPr>
            </w:pPr>
          </w:p>
        </w:tc>
        <w:tc>
          <w:tcPr>
            <w:tcW w:w="2330" w:type="pct"/>
          </w:tcPr>
          <w:p w:rsidR="00361C1F" w:rsidRPr="00361C1F" w:rsidRDefault="00361C1F" w:rsidP="00361C1F">
            <w:pPr>
              <w:rPr>
                <w:rFonts w:eastAsia="Times New Roman" w:cs="Times New Roman"/>
                <w:sz w:val="20"/>
                <w:szCs w:val="20"/>
                <w:lang w:val="en-US"/>
              </w:rPr>
            </w:pPr>
            <w:r w:rsidRPr="00361C1F">
              <w:rPr>
                <w:rFonts w:eastAsia="Times New Roman" w:cs="Times New Roman"/>
                <w:sz w:val="20"/>
                <w:szCs w:val="20"/>
                <w:lang w:val="en-US"/>
              </w:rPr>
              <w:t>Application for leave to appeal filed</w:t>
            </w:r>
          </w:p>
          <w:p w:rsidR="00361C1F" w:rsidRPr="00361C1F" w:rsidRDefault="00361C1F" w:rsidP="00361C1F">
            <w:pPr>
              <w:rPr>
                <w:rFonts w:eastAsia="Times New Roman" w:cs="Times New Roman"/>
                <w:sz w:val="20"/>
                <w:szCs w:val="20"/>
                <w:lang w:val="en-US"/>
              </w:rPr>
            </w:pPr>
          </w:p>
        </w:tc>
      </w:tr>
    </w:tbl>
    <w:p w:rsidR="00900073" w:rsidRPr="00C50A5C" w:rsidRDefault="00900073" w:rsidP="00900073">
      <w:pPr>
        <w:rPr>
          <w:sz w:val="20"/>
          <w:szCs w:val="20"/>
        </w:rPr>
      </w:pPr>
    </w:p>
    <w:p w:rsidR="00900073" w:rsidRPr="00C50A5C" w:rsidRDefault="00547297" w:rsidP="00900073">
      <w:pPr>
        <w:rPr>
          <w:sz w:val="20"/>
          <w:szCs w:val="20"/>
        </w:rPr>
      </w:pPr>
      <w:r w:rsidRPr="00547297">
        <w:rPr>
          <w:sz w:val="20"/>
          <w:szCs w:val="20"/>
          <w:lang w:val="fr-CA"/>
        </w:rPr>
        <w:pict>
          <v:rect id="_x0000_i1053" style="width:2in;height:1pt" o:hrpct="0" o:hralign="center" o:hrstd="t" o:hrnoshade="t" o:hr="t" fillcolor="black [3213]" stroked="f"/>
        </w:pict>
      </w:r>
    </w:p>
    <w:p w:rsidR="00900073" w:rsidRPr="00C50A5C" w:rsidRDefault="00900073" w:rsidP="00900073">
      <w:pPr>
        <w:rPr>
          <w:sz w:val="20"/>
          <w:szCs w:val="20"/>
        </w:rPr>
      </w:pPr>
    </w:p>
    <w:p w:rsidR="00900073" w:rsidRPr="00C50A5C" w:rsidRDefault="00900073" w:rsidP="00900073">
      <w:pPr>
        <w:keepNext/>
        <w:rPr>
          <w:sz w:val="20"/>
          <w:szCs w:val="20"/>
          <w:u w:val="single"/>
          <w:lang w:val="fr-CA"/>
        </w:rPr>
      </w:pPr>
      <w:r w:rsidRPr="00C50A5C">
        <w:rPr>
          <w:sz w:val="20"/>
          <w:szCs w:val="20"/>
          <w:u w:val="single"/>
          <w:lang w:val="fr-CA"/>
        </w:rPr>
        <w:t>RÉSUMÉ DE L’AFFAIRE</w:t>
      </w:r>
    </w:p>
    <w:p w:rsidR="00900073" w:rsidRPr="00C50A5C" w:rsidRDefault="00900073" w:rsidP="00900073">
      <w:pPr>
        <w:keepNext/>
        <w:rPr>
          <w:sz w:val="20"/>
          <w:szCs w:val="20"/>
          <w:lang w:val="fr-CA"/>
        </w:rPr>
      </w:pPr>
    </w:p>
    <w:p w:rsidR="0070151D" w:rsidRPr="00361C1F" w:rsidRDefault="0070151D" w:rsidP="00361C1F">
      <w:pPr>
        <w:jc w:val="both"/>
        <w:rPr>
          <w:rFonts w:eastAsia="Calibri" w:cs="Times New Roman"/>
          <w:sz w:val="20"/>
          <w:szCs w:val="20"/>
          <w:lang w:val="fr-CA"/>
        </w:rPr>
      </w:pPr>
      <w:r w:rsidRPr="00361C1F">
        <w:rPr>
          <w:rFonts w:eastAsia="Calibri" w:cs="Times New Roman"/>
          <w:sz w:val="20"/>
          <w:szCs w:val="20"/>
          <w:lang w:val="fr-CA"/>
        </w:rPr>
        <w:t xml:space="preserve">Droit criminel — Jurys — Sélection — Dans quelles circonstances l’omission du ministère public de communiquer des renseignements obtenus sur des jurés éventuels </w:t>
      </w:r>
      <w:proofErr w:type="spellStart"/>
      <w:r w:rsidRPr="00361C1F">
        <w:rPr>
          <w:rFonts w:eastAsia="Calibri" w:cs="Times New Roman"/>
          <w:sz w:val="20"/>
          <w:szCs w:val="20"/>
          <w:lang w:val="fr-CA"/>
        </w:rPr>
        <w:t>équivaut</w:t>
      </w:r>
      <w:r w:rsidRPr="00361C1F">
        <w:rPr>
          <w:rFonts w:eastAsia="Calibri" w:cs="Times New Roman"/>
          <w:sz w:val="20"/>
          <w:szCs w:val="20"/>
          <w:lang w:val="fr-CA"/>
        </w:rPr>
        <w:noBreakHyphen/>
        <w:t>elle</w:t>
      </w:r>
      <w:proofErr w:type="spellEnd"/>
      <w:r w:rsidRPr="00361C1F">
        <w:rPr>
          <w:rFonts w:eastAsia="Calibri" w:cs="Times New Roman"/>
          <w:sz w:val="20"/>
          <w:szCs w:val="20"/>
          <w:lang w:val="fr-CA"/>
        </w:rPr>
        <w:t xml:space="preserve"> à un déni de justice? — Quelles sont, en général, les obligations de communication du ministère public?</w:t>
      </w:r>
    </w:p>
    <w:p w:rsidR="0070151D" w:rsidRPr="00361C1F" w:rsidRDefault="0070151D" w:rsidP="00361C1F">
      <w:pPr>
        <w:jc w:val="both"/>
        <w:rPr>
          <w:rFonts w:eastAsia="Calibri" w:cs="Times New Roman"/>
          <w:sz w:val="20"/>
          <w:szCs w:val="20"/>
          <w:lang w:val="fr-CA"/>
        </w:rPr>
      </w:pPr>
    </w:p>
    <w:p w:rsidR="0070151D" w:rsidRPr="00361C1F" w:rsidRDefault="0070151D" w:rsidP="00361C1F">
      <w:pPr>
        <w:jc w:val="both"/>
        <w:rPr>
          <w:rFonts w:eastAsia="Calibri" w:cs="Times New Roman"/>
          <w:sz w:val="20"/>
          <w:szCs w:val="20"/>
          <w:lang w:val="fr-CA"/>
        </w:rPr>
      </w:pPr>
      <w:r w:rsidRPr="00361C1F">
        <w:rPr>
          <w:rFonts w:eastAsia="Calibri" w:cs="Times New Roman"/>
          <w:sz w:val="20"/>
          <w:szCs w:val="20"/>
          <w:lang w:val="fr-CA"/>
        </w:rPr>
        <w:t xml:space="preserve">Monsieur </w:t>
      </w:r>
      <w:proofErr w:type="spellStart"/>
      <w:r w:rsidRPr="00361C1F">
        <w:rPr>
          <w:rFonts w:eastAsia="Calibri" w:cs="Times New Roman"/>
          <w:sz w:val="20"/>
          <w:szCs w:val="20"/>
          <w:lang w:val="fr-CA"/>
        </w:rPr>
        <w:t>Davey</w:t>
      </w:r>
      <w:proofErr w:type="spellEnd"/>
      <w:r w:rsidRPr="00361C1F">
        <w:rPr>
          <w:rFonts w:eastAsia="Calibri" w:cs="Times New Roman"/>
          <w:sz w:val="20"/>
          <w:szCs w:val="20"/>
          <w:lang w:val="fr-CA"/>
        </w:rPr>
        <w:t xml:space="preserve"> a été déclaré coupable par un jury du meurtre au premier degré d’un policier.  Monsieur </w:t>
      </w:r>
      <w:proofErr w:type="spellStart"/>
      <w:r w:rsidRPr="00361C1F">
        <w:rPr>
          <w:rFonts w:eastAsia="Calibri" w:cs="Times New Roman"/>
          <w:sz w:val="20"/>
          <w:szCs w:val="20"/>
          <w:lang w:val="fr-CA"/>
        </w:rPr>
        <w:t>Davey</w:t>
      </w:r>
      <w:proofErr w:type="spellEnd"/>
      <w:r w:rsidRPr="00361C1F">
        <w:rPr>
          <w:rFonts w:eastAsia="Calibri" w:cs="Times New Roman"/>
          <w:sz w:val="20"/>
          <w:szCs w:val="20"/>
          <w:lang w:val="fr-CA"/>
        </w:rPr>
        <w:t xml:space="preserve"> a interjeté appel de ses condamnations à la Cour d’appel, alléguant qu’il y avait eu des erreurs dans l’exposé au jury.  Pendant que l’appel était en instance, M. </w:t>
      </w:r>
      <w:proofErr w:type="spellStart"/>
      <w:r w:rsidRPr="00361C1F">
        <w:rPr>
          <w:rFonts w:eastAsia="Calibri" w:cs="Times New Roman"/>
          <w:sz w:val="20"/>
          <w:szCs w:val="20"/>
          <w:lang w:val="fr-CA"/>
        </w:rPr>
        <w:t>Davey</w:t>
      </w:r>
      <w:proofErr w:type="spellEnd"/>
      <w:r w:rsidRPr="00361C1F">
        <w:rPr>
          <w:rFonts w:eastAsia="Calibri" w:cs="Times New Roman"/>
          <w:sz w:val="20"/>
          <w:szCs w:val="20"/>
          <w:lang w:val="fr-CA"/>
        </w:rPr>
        <w:t xml:space="preserve"> a cherché à introduire de nouveaux éléments de preuve de triage des jurés.  La Cour d’appel a autorisé les nouveaux éléments de preuve mais a rejeté l’appel.</w:t>
      </w:r>
    </w:p>
    <w:p w:rsidR="0070151D" w:rsidRPr="00361C1F" w:rsidRDefault="0070151D" w:rsidP="00361C1F">
      <w:pPr>
        <w:jc w:val="both"/>
        <w:rPr>
          <w:rFonts w:eastAsia="Calibri" w:cs="Times New Roman"/>
          <w:sz w:val="20"/>
          <w:szCs w:val="20"/>
          <w:lang w:val="fr-CA"/>
        </w:rPr>
      </w:pPr>
    </w:p>
    <w:p w:rsidR="0070151D" w:rsidRPr="00361C1F" w:rsidRDefault="0070151D" w:rsidP="00361C1F">
      <w:pPr>
        <w:jc w:val="both"/>
        <w:rPr>
          <w:rFonts w:eastAsia="Calibri" w:cs="Times New Roman"/>
          <w:sz w:val="20"/>
          <w:szCs w:val="20"/>
          <w:lang w:val="fr-CA"/>
        </w:rPr>
      </w:pPr>
      <w:r w:rsidRPr="00361C1F">
        <w:rPr>
          <w:rFonts w:eastAsia="Calibri" w:cs="Times New Roman"/>
          <w:sz w:val="20"/>
          <w:szCs w:val="20"/>
          <w:lang w:val="fr-CA"/>
        </w:rPr>
        <w:t>Le ministère public local avait pour pratique de demander à la police locale de donner son avis sur l’aptitude de jurés éventuels.  Suivant cette pratique, la liste des jurés pour le procès de M. </w:t>
      </w:r>
      <w:proofErr w:type="spellStart"/>
      <w:r w:rsidRPr="00361C1F">
        <w:rPr>
          <w:rFonts w:eastAsia="Calibri" w:cs="Times New Roman"/>
          <w:sz w:val="20"/>
          <w:szCs w:val="20"/>
          <w:lang w:val="fr-CA"/>
        </w:rPr>
        <w:t>Davey</w:t>
      </w:r>
      <w:proofErr w:type="spellEnd"/>
      <w:r w:rsidRPr="00361C1F">
        <w:rPr>
          <w:rFonts w:eastAsia="Calibri" w:cs="Times New Roman"/>
          <w:sz w:val="20"/>
          <w:szCs w:val="20"/>
          <w:lang w:val="fr-CA"/>
        </w:rPr>
        <w:t>, qui avait été publiée à l’avance, a été fournie à la police et les policiers ont noté les mentions [</w:t>
      </w:r>
      <w:r w:rsidRPr="00361C1F">
        <w:rPr>
          <w:rFonts w:eastAsia="Calibri" w:cs="Times New Roman"/>
          <w:smallCaps/>
          <w:sz w:val="20"/>
          <w:szCs w:val="20"/>
          <w:lang w:val="fr-CA"/>
        </w:rPr>
        <w:t>traduction</w:t>
      </w:r>
      <w:r w:rsidRPr="00361C1F">
        <w:rPr>
          <w:rFonts w:eastAsia="Calibri" w:cs="Times New Roman"/>
          <w:sz w:val="20"/>
          <w:szCs w:val="20"/>
          <w:lang w:val="fr-CA"/>
        </w:rPr>
        <w:t>] « bon », « oui », « d’accord » ou « non » sur leurs listes.  Les renseignements ont ensuite été compilés par un employé du ministère public sur une liste maîtresse qui a été remise à l’avocat du ministère public, mais non à l’avocat de la défense.  Les annotations étaient fondées sur la connaissance qu’avaient les policiers des jurés éventuels, mais non sur l’accès aux bases de données de la police.</w:t>
      </w:r>
    </w:p>
    <w:p w:rsidR="0070151D" w:rsidRPr="00361C1F" w:rsidRDefault="0070151D" w:rsidP="00361C1F">
      <w:pPr>
        <w:jc w:val="both"/>
        <w:rPr>
          <w:rFonts w:eastAsia="Calibri" w:cs="Times New Roman"/>
          <w:sz w:val="20"/>
          <w:szCs w:val="20"/>
          <w:lang w:val="fr-CA"/>
        </w:rPr>
      </w:pPr>
    </w:p>
    <w:p w:rsidR="0070151D" w:rsidRPr="00361C1F" w:rsidRDefault="0070151D" w:rsidP="00361C1F">
      <w:pPr>
        <w:jc w:val="both"/>
        <w:rPr>
          <w:rFonts w:eastAsia="Calibri" w:cs="Times New Roman"/>
          <w:sz w:val="20"/>
          <w:szCs w:val="20"/>
          <w:lang w:val="fr-CA"/>
        </w:rPr>
      </w:pPr>
      <w:r w:rsidRPr="00361C1F">
        <w:rPr>
          <w:rFonts w:eastAsia="Calibri" w:cs="Times New Roman"/>
          <w:sz w:val="20"/>
          <w:szCs w:val="20"/>
          <w:lang w:val="fr-CA"/>
        </w:rPr>
        <w:t>L’appel a été rejeté.</w:t>
      </w:r>
    </w:p>
    <w:p w:rsidR="0070151D" w:rsidRPr="00361C1F" w:rsidRDefault="0070151D" w:rsidP="00361C1F">
      <w:pPr>
        <w:jc w:val="both"/>
        <w:rPr>
          <w:rFonts w:eastAsia="Calibri"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361C1F" w:rsidRPr="002D1834" w:rsidTr="00361C1F">
        <w:tc>
          <w:tcPr>
            <w:tcW w:w="2427" w:type="pct"/>
          </w:tcPr>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22 février 2007</w:t>
            </w:r>
          </w:p>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 xml:space="preserve">Cour supérieure de justice de l’Ontario </w:t>
            </w:r>
          </w:p>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(Juge Scott)</w:t>
            </w:r>
          </w:p>
          <w:p w:rsidR="00361C1F" w:rsidRPr="00361C1F" w:rsidRDefault="00361C1F" w:rsidP="00361C1F">
            <w:pPr>
              <w:jc w:val="both"/>
              <w:rPr>
                <w:rFonts w:eastAsia="Calibri" w:cs="Times New Roman"/>
                <w:sz w:val="20"/>
                <w:szCs w:val="20"/>
                <w:lang w:val="fr-CA"/>
              </w:rPr>
            </w:pPr>
          </w:p>
        </w:tc>
        <w:tc>
          <w:tcPr>
            <w:tcW w:w="243" w:type="pct"/>
          </w:tcPr>
          <w:p w:rsidR="00361C1F" w:rsidRPr="00361C1F" w:rsidRDefault="00361C1F" w:rsidP="00361C1F">
            <w:pPr>
              <w:jc w:val="both"/>
              <w:rPr>
                <w:rFonts w:eastAsia="Calibri" w:cs="Times New Roman"/>
                <w:sz w:val="20"/>
                <w:szCs w:val="20"/>
                <w:lang w:val="fr-CA"/>
              </w:rPr>
            </w:pPr>
          </w:p>
        </w:tc>
        <w:tc>
          <w:tcPr>
            <w:tcW w:w="2330" w:type="pct"/>
          </w:tcPr>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Déclaration de culpabilité : meurtre au premier degré</w:t>
            </w:r>
          </w:p>
          <w:p w:rsidR="00361C1F" w:rsidRPr="00361C1F" w:rsidRDefault="00361C1F" w:rsidP="00361C1F">
            <w:pPr>
              <w:jc w:val="both"/>
              <w:rPr>
                <w:rFonts w:eastAsia="Calibri" w:cs="Times New Roman"/>
                <w:sz w:val="20"/>
                <w:szCs w:val="20"/>
                <w:lang w:val="fr-CA"/>
              </w:rPr>
            </w:pPr>
          </w:p>
        </w:tc>
      </w:tr>
      <w:tr w:rsidR="00361C1F" w:rsidRPr="00361C1F" w:rsidTr="00361C1F">
        <w:tc>
          <w:tcPr>
            <w:tcW w:w="2427" w:type="pct"/>
          </w:tcPr>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3 décembre 2010</w:t>
            </w:r>
          </w:p>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 xml:space="preserve">Cour d’appel de l’Ontario </w:t>
            </w:r>
          </w:p>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 xml:space="preserve">(Juges Rosenberg, Blair et </w:t>
            </w:r>
            <w:proofErr w:type="spellStart"/>
            <w:r w:rsidRPr="00361C1F">
              <w:rPr>
                <w:rFonts w:eastAsia="Calibri" w:cs="Times New Roman"/>
                <w:sz w:val="20"/>
                <w:szCs w:val="20"/>
                <w:lang w:val="fr-CA"/>
              </w:rPr>
              <w:t>Juriansz</w:t>
            </w:r>
            <w:proofErr w:type="spellEnd"/>
            <w:r w:rsidRPr="00361C1F">
              <w:rPr>
                <w:rFonts w:eastAsia="Calibri" w:cs="Times New Roman"/>
                <w:sz w:val="20"/>
                <w:szCs w:val="20"/>
                <w:lang w:val="fr-CA"/>
              </w:rPr>
              <w:t>)</w:t>
            </w:r>
          </w:p>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 xml:space="preserve">Référence neutre : </w:t>
            </w:r>
          </w:p>
          <w:p w:rsidR="00361C1F" w:rsidRPr="00361C1F" w:rsidRDefault="00361C1F" w:rsidP="00361C1F">
            <w:pPr>
              <w:jc w:val="both"/>
              <w:rPr>
                <w:rFonts w:eastAsia="Calibri" w:cs="Times New Roman"/>
                <w:sz w:val="20"/>
                <w:szCs w:val="20"/>
                <w:lang w:val="fr-CA"/>
              </w:rPr>
            </w:pPr>
          </w:p>
        </w:tc>
        <w:tc>
          <w:tcPr>
            <w:tcW w:w="243" w:type="pct"/>
          </w:tcPr>
          <w:p w:rsidR="00361C1F" w:rsidRPr="00361C1F" w:rsidRDefault="00361C1F" w:rsidP="00361C1F">
            <w:pPr>
              <w:jc w:val="both"/>
              <w:rPr>
                <w:rFonts w:eastAsia="Calibri" w:cs="Times New Roman"/>
                <w:sz w:val="20"/>
                <w:szCs w:val="20"/>
                <w:lang w:val="fr-CA"/>
              </w:rPr>
            </w:pPr>
          </w:p>
        </w:tc>
        <w:tc>
          <w:tcPr>
            <w:tcW w:w="2330" w:type="pct"/>
          </w:tcPr>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Appel rejeté</w:t>
            </w:r>
          </w:p>
          <w:p w:rsidR="00361C1F" w:rsidRPr="00361C1F" w:rsidRDefault="00361C1F" w:rsidP="00361C1F">
            <w:pPr>
              <w:jc w:val="both"/>
              <w:rPr>
                <w:rFonts w:eastAsia="Calibri" w:cs="Times New Roman"/>
                <w:sz w:val="20"/>
                <w:szCs w:val="20"/>
                <w:lang w:val="fr-CA"/>
              </w:rPr>
            </w:pPr>
          </w:p>
        </w:tc>
      </w:tr>
      <w:tr w:rsidR="00361C1F" w:rsidRPr="00361C1F" w:rsidTr="00361C1F">
        <w:tc>
          <w:tcPr>
            <w:tcW w:w="2427" w:type="pct"/>
          </w:tcPr>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4 avril 2011</w:t>
            </w:r>
          </w:p>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Cour suprême du Canada</w:t>
            </w:r>
          </w:p>
        </w:tc>
        <w:tc>
          <w:tcPr>
            <w:tcW w:w="243" w:type="pct"/>
          </w:tcPr>
          <w:p w:rsidR="00361C1F" w:rsidRPr="00361C1F" w:rsidRDefault="00361C1F" w:rsidP="00361C1F">
            <w:pPr>
              <w:jc w:val="both"/>
              <w:rPr>
                <w:rFonts w:eastAsia="Calibri" w:cs="Times New Roman"/>
                <w:sz w:val="20"/>
                <w:szCs w:val="20"/>
                <w:lang w:val="fr-CA"/>
              </w:rPr>
            </w:pPr>
          </w:p>
        </w:tc>
        <w:tc>
          <w:tcPr>
            <w:tcW w:w="2330" w:type="pct"/>
          </w:tcPr>
          <w:p w:rsidR="00361C1F" w:rsidRPr="00361C1F" w:rsidRDefault="00361C1F" w:rsidP="00361C1F">
            <w:pPr>
              <w:jc w:val="both"/>
              <w:rPr>
                <w:rFonts w:eastAsia="Calibri" w:cs="Times New Roman"/>
                <w:sz w:val="20"/>
                <w:szCs w:val="20"/>
                <w:lang w:val="fr-CA"/>
              </w:rPr>
            </w:pPr>
            <w:r w:rsidRPr="00361C1F">
              <w:rPr>
                <w:rFonts w:eastAsia="Calibri" w:cs="Times New Roman"/>
                <w:sz w:val="20"/>
                <w:szCs w:val="20"/>
                <w:lang w:val="fr-CA"/>
              </w:rPr>
              <w:t>Demande d’autorisation d’appel, déposée</w:t>
            </w:r>
          </w:p>
          <w:p w:rsidR="00361C1F" w:rsidRPr="00361C1F" w:rsidRDefault="00361C1F" w:rsidP="00361C1F">
            <w:pPr>
              <w:jc w:val="both"/>
              <w:rPr>
                <w:rFonts w:eastAsia="Calibri" w:cs="Times New Roman"/>
                <w:sz w:val="20"/>
                <w:szCs w:val="20"/>
                <w:lang w:val="fr-CA"/>
              </w:rPr>
            </w:pPr>
          </w:p>
        </w:tc>
      </w:tr>
    </w:tbl>
    <w:p w:rsidR="00361C1F" w:rsidRPr="00361C1F" w:rsidRDefault="00361C1F" w:rsidP="00361C1F">
      <w:pPr>
        <w:jc w:val="both"/>
        <w:rPr>
          <w:rFonts w:eastAsia="Calibri" w:cs="Times New Roman"/>
          <w:sz w:val="20"/>
          <w:szCs w:val="20"/>
          <w:lang w:val="fr-CA"/>
        </w:rPr>
      </w:pPr>
    </w:p>
    <w:p w:rsidR="008D292F" w:rsidRPr="00C50A5C" w:rsidRDefault="00547297" w:rsidP="008D292F">
      <w:pPr>
        <w:rPr>
          <w:sz w:val="20"/>
          <w:szCs w:val="20"/>
          <w:lang w:val="fr-CA"/>
        </w:rPr>
      </w:pPr>
      <w:r w:rsidRPr="00547297">
        <w:rPr>
          <w:sz w:val="20"/>
          <w:szCs w:val="20"/>
          <w:lang w:val="fr-CA"/>
        </w:rPr>
        <w:pict>
          <v:rect id="_x0000_i1054" style="width:2in;height:1pt" o:hrpct="0" o:hralign="center" o:hrstd="t" o:hrnoshade="t" o:hr="t" fillcolor="black [3213]"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90FEB" w:rsidRPr="001D0D5F" w:rsidTr="00BA6468">
        <w:tc>
          <w:tcPr>
            <w:tcW w:w="4200" w:type="dxa"/>
            <w:shd w:val="clear" w:color="auto" w:fill="auto"/>
            <w:tcMar>
              <w:left w:w="0" w:type="dxa"/>
              <w:right w:w="0" w:type="dxa"/>
            </w:tcMar>
          </w:tcPr>
          <w:p w:rsidR="00890FEB" w:rsidRPr="001D0D5F" w:rsidRDefault="00890FEB" w:rsidP="00EB2B90">
            <w:pPr>
              <w:rPr>
                <w:b/>
                <w:szCs w:val="24"/>
              </w:rPr>
            </w:pPr>
            <w:r w:rsidRPr="001D0D5F">
              <w:rPr>
                <w:b/>
                <w:szCs w:val="24"/>
              </w:rPr>
              <w:lastRenderedPageBreak/>
              <w:t>JUDGMENT ON MOTION</w:t>
            </w:r>
          </w:p>
        </w:tc>
        <w:tc>
          <w:tcPr>
            <w:tcW w:w="1200" w:type="dxa"/>
            <w:shd w:val="clear" w:color="auto" w:fill="auto"/>
            <w:tcMar>
              <w:left w:w="0" w:type="dxa"/>
              <w:right w:w="0" w:type="dxa"/>
            </w:tcMar>
          </w:tcPr>
          <w:p w:rsidR="00890FEB" w:rsidRPr="001D0D5F" w:rsidRDefault="00890FEB" w:rsidP="00890FEB">
            <w:pPr>
              <w:jc w:val="center"/>
              <w:rPr>
                <w:b/>
                <w:szCs w:val="24"/>
              </w:rPr>
            </w:pPr>
          </w:p>
          <w:p w:rsidR="00890FEB" w:rsidRPr="001D0D5F" w:rsidRDefault="00890FEB" w:rsidP="00890FEB">
            <w:pPr>
              <w:jc w:val="center"/>
              <w:rPr>
                <w:b/>
                <w:szCs w:val="24"/>
              </w:rPr>
            </w:pPr>
          </w:p>
        </w:tc>
        <w:tc>
          <w:tcPr>
            <w:tcW w:w="4080" w:type="dxa"/>
            <w:shd w:val="clear" w:color="auto" w:fill="auto"/>
            <w:tcMar>
              <w:left w:w="0" w:type="dxa"/>
              <w:right w:w="0" w:type="dxa"/>
            </w:tcMar>
          </w:tcPr>
          <w:p w:rsidR="00890FEB" w:rsidRPr="001D0D5F" w:rsidRDefault="00890FEB" w:rsidP="00EB2B90">
            <w:pPr>
              <w:rPr>
                <w:b/>
                <w:szCs w:val="24"/>
                <w:lang w:val="fr-CA"/>
              </w:rPr>
            </w:pPr>
            <w:r w:rsidRPr="001D0D5F">
              <w:rPr>
                <w:b/>
                <w:szCs w:val="24"/>
                <w:lang w:val="fr-CA"/>
              </w:rPr>
              <w:t>JUGEMENT SUR REQUÊTE</w:t>
            </w:r>
          </w:p>
        </w:tc>
      </w:tr>
    </w:tbl>
    <w:p w:rsidR="00D64901" w:rsidRPr="008E763A" w:rsidRDefault="00D64901" w:rsidP="00D64901">
      <w:pPr>
        <w:rPr>
          <w:sz w:val="20"/>
          <w:szCs w:val="20"/>
        </w:rPr>
      </w:pPr>
    </w:p>
    <w:p w:rsidR="00D64901" w:rsidRPr="00D64901" w:rsidRDefault="00AC7239" w:rsidP="00D64901">
      <w:pPr>
        <w:rPr>
          <w:sz w:val="20"/>
          <w:szCs w:val="20"/>
        </w:rPr>
      </w:pPr>
      <w:proofErr w:type="gramStart"/>
      <w:r>
        <w:rPr>
          <w:sz w:val="20"/>
          <w:szCs w:val="20"/>
        </w:rPr>
        <w:t>23</w:t>
      </w:r>
      <w:r w:rsidR="00D64901" w:rsidRPr="00D64901">
        <w:rPr>
          <w:sz w:val="20"/>
          <w:szCs w:val="20"/>
        </w:rPr>
        <w:t>.</w:t>
      </w:r>
      <w:r>
        <w:rPr>
          <w:sz w:val="20"/>
          <w:szCs w:val="20"/>
        </w:rPr>
        <w:t>06</w:t>
      </w:r>
      <w:r w:rsidR="00D64901" w:rsidRPr="00D64901">
        <w:rPr>
          <w:sz w:val="20"/>
          <w:szCs w:val="20"/>
        </w:rPr>
        <w:t>.201</w:t>
      </w:r>
      <w:r>
        <w:rPr>
          <w:sz w:val="20"/>
          <w:szCs w:val="20"/>
        </w:rPr>
        <w:t>1</w:t>
      </w:r>
      <w:r w:rsidR="00D64901" w:rsidRPr="00D64901">
        <w:rPr>
          <w:sz w:val="20"/>
          <w:szCs w:val="20"/>
        </w:rPr>
        <w:t xml:space="preserve">  -</w:t>
      </w:r>
      <w:proofErr w:type="gramEnd"/>
      <w:r w:rsidR="00D64901" w:rsidRPr="00D64901">
        <w:rPr>
          <w:sz w:val="20"/>
          <w:szCs w:val="20"/>
        </w:rPr>
        <w:t xml:space="preserve"> 201</w:t>
      </w:r>
      <w:r>
        <w:rPr>
          <w:sz w:val="20"/>
          <w:szCs w:val="20"/>
        </w:rPr>
        <w:t>1</w:t>
      </w:r>
      <w:r w:rsidR="00D64901" w:rsidRPr="00D64901">
        <w:rPr>
          <w:sz w:val="20"/>
          <w:szCs w:val="20"/>
        </w:rPr>
        <w:t xml:space="preserve"> SCC </w:t>
      </w:r>
      <w:r>
        <w:rPr>
          <w:sz w:val="20"/>
          <w:szCs w:val="20"/>
        </w:rPr>
        <w:t>33</w:t>
      </w:r>
      <w:r w:rsidR="00D64901" w:rsidRPr="00D64901">
        <w:rPr>
          <w:sz w:val="20"/>
          <w:szCs w:val="20"/>
        </w:rPr>
        <w:t xml:space="preserve"> / 201</w:t>
      </w:r>
      <w:r>
        <w:rPr>
          <w:sz w:val="20"/>
          <w:szCs w:val="20"/>
        </w:rPr>
        <w:t>1</w:t>
      </w:r>
      <w:r w:rsidR="00D64901" w:rsidRPr="00D64901">
        <w:rPr>
          <w:sz w:val="20"/>
          <w:szCs w:val="20"/>
        </w:rPr>
        <w:t xml:space="preserve"> CSC </w:t>
      </w:r>
      <w:r>
        <w:rPr>
          <w:sz w:val="20"/>
          <w:szCs w:val="20"/>
        </w:rPr>
        <w:t>33</w:t>
      </w:r>
    </w:p>
    <w:p w:rsidR="00D64901" w:rsidRPr="005756A5" w:rsidRDefault="00D64901" w:rsidP="00D64901">
      <w:pPr>
        <w:rPr>
          <w:sz w:val="20"/>
          <w:szCs w:val="20"/>
        </w:rPr>
      </w:pPr>
    </w:p>
    <w:p w:rsidR="00D64901" w:rsidRPr="005756A5" w:rsidRDefault="00D64901" w:rsidP="00D64901">
      <w:pPr>
        <w:rPr>
          <w:sz w:val="20"/>
          <w:szCs w:val="20"/>
          <w:lang w:bidi="en-US"/>
        </w:rPr>
      </w:pPr>
      <w:r w:rsidRPr="005756A5">
        <w:rPr>
          <w:sz w:val="20"/>
          <w:szCs w:val="20"/>
          <w:lang w:bidi="en-US"/>
        </w:rPr>
        <w:t xml:space="preserve">CORAM:  </w:t>
      </w:r>
      <w:proofErr w:type="spellStart"/>
      <w:r w:rsidRPr="005756A5">
        <w:rPr>
          <w:sz w:val="20"/>
          <w:szCs w:val="20"/>
          <w:u w:val="single"/>
          <w:lang w:bidi="en-US"/>
        </w:rPr>
        <w:t>Binnie</w:t>
      </w:r>
      <w:proofErr w:type="spellEnd"/>
      <w:r w:rsidRPr="005756A5">
        <w:rPr>
          <w:sz w:val="20"/>
          <w:szCs w:val="20"/>
          <w:u w:val="single"/>
          <w:lang w:bidi="en-US"/>
        </w:rPr>
        <w:t xml:space="preserve">, </w:t>
      </w:r>
      <w:proofErr w:type="spellStart"/>
      <w:r w:rsidRPr="005756A5">
        <w:rPr>
          <w:sz w:val="20"/>
          <w:szCs w:val="20"/>
          <w:u w:val="single"/>
          <w:lang w:bidi="en-US"/>
        </w:rPr>
        <w:t>Abella</w:t>
      </w:r>
      <w:proofErr w:type="spellEnd"/>
      <w:r w:rsidRPr="005756A5">
        <w:rPr>
          <w:sz w:val="20"/>
          <w:szCs w:val="20"/>
          <w:u w:val="single"/>
          <w:lang w:bidi="en-US"/>
        </w:rPr>
        <w:t xml:space="preserve"> and </w:t>
      </w:r>
      <w:r w:rsidR="005756A5" w:rsidRPr="005756A5">
        <w:rPr>
          <w:sz w:val="20"/>
          <w:szCs w:val="20"/>
          <w:u w:val="single"/>
          <w:lang w:bidi="en-US"/>
        </w:rPr>
        <w:t>Rothstein</w:t>
      </w:r>
      <w:r w:rsidRPr="005756A5">
        <w:rPr>
          <w:sz w:val="20"/>
          <w:szCs w:val="20"/>
          <w:u w:val="single"/>
          <w:lang w:bidi="en-US"/>
        </w:rPr>
        <w:t xml:space="preserve"> JJ.</w:t>
      </w:r>
    </w:p>
    <w:p w:rsidR="00D64901" w:rsidRPr="005756A5" w:rsidRDefault="00D64901" w:rsidP="00D64901">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1"/>
        <w:gridCol w:w="467"/>
        <w:gridCol w:w="4687"/>
      </w:tblGrid>
      <w:tr w:rsidR="00D64901" w:rsidRPr="002D1834" w:rsidTr="00C3118F">
        <w:trPr>
          <w:cantSplit/>
        </w:trPr>
        <w:tc>
          <w:tcPr>
            <w:tcW w:w="4681" w:type="dxa"/>
          </w:tcPr>
          <w:p w:rsidR="00D64901" w:rsidRPr="005756A5" w:rsidRDefault="00D64901" w:rsidP="00AC7239">
            <w:pPr>
              <w:rPr>
                <w:b/>
                <w:sz w:val="20"/>
                <w:szCs w:val="20"/>
                <w:lang w:val="en-US"/>
              </w:rPr>
            </w:pPr>
            <w:r w:rsidRPr="005756A5">
              <w:rPr>
                <w:b/>
                <w:sz w:val="20"/>
                <w:szCs w:val="20"/>
                <w:lang w:val="en-US"/>
              </w:rPr>
              <w:t xml:space="preserve">Motion to </w:t>
            </w:r>
            <w:r w:rsidR="00AC7239" w:rsidRPr="005756A5">
              <w:rPr>
                <w:b/>
                <w:sz w:val="20"/>
                <w:szCs w:val="20"/>
                <w:lang w:val="en-US"/>
              </w:rPr>
              <w:t>adduce new evidence</w:t>
            </w:r>
          </w:p>
        </w:tc>
        <w:tc>
          <w:tcPr>
            <w:tcW w:w="467" w:type="dxa"/>
          </w:tcPr>
          <w:p w:rsidR="00D64901" w:rsidRPr="005756A5" w:rsidRDefault="00D64901" w:rsidP="00C3118F">
            <w:pPr>
              <w:rPr>
                <w:sz w:val="20"/>
                <w:szCs w:val="20"/>
                <w:lang w:val="en-US"/>
              </w:rPr>
            </w:pPr>
          </w:p>
          <w:p w:rsidR="00D64901" w:rsidRPr="005756A5" w:rsidRDefault="00D64901" w:rsidP="00C3118F">
            <w:pPr>
              <w:rPr>
                <w:sz w:val="20"/>
                <w:szCs w:val="20"/>
                <w:lang w:val="en-US"/>
              </w:rPr>
            </w:pPr>
          </w:p>
        </w:tc>
        <w:tc>
          <w:tcPr>
            <w:tcW w:w="4687" w:type="dxa"/>
          </w:tcPr>
          <w:p w:rsidR="00D64901" w:rsidRPr="006D6E15" w:rsidRDefault="005756A5" w:rsidP="006D6E15">
            <w:pPr>
              <w:jc w:val="both"/>
              <w:rPr>
                <w:b/>
                <w:sz w:val="20"/>
                <w:szCs w:val="20"/>
                <w:lang w:val="fr-CA"/>
              </w:rPr>
            </w:pPr>
            <w:r w:rsidRPr="006D6E15">
              <w:rPr>
                <w:b/>
                <w:sz w:val="20"/>
                <w:szCs w:val="20"/>
                <w:lang w:val="fr-CA"/>
              </w:rPr>
              <w:t>Requête pour autorisation de présenter de nouveaux éléments de preuve</w:t>
            </w:r>
            <w:r w:rsidRPr="006D6E15">
              <w:rPr>
                <w:rFonts w:cs="Times New Roman"/>
                <w:b/>
                <w:bCs/>
                <w:sz w:val="20"/>
                <w:szCs w:val="20"/>
                <w:lang w:val="fr-CA"/>
              </w:rPr>
              <w:t xml:space="preserve"> </w:t>
            </w:r>
          </w:p>
        </w:tc>
      </w:tr>
      <w:tr w:rsidR="00D64901" w:rsidRPr="005756A5" w:rsidTr="00C3118F">
        <w:trPr>
          <w:cantSplit/>
        </w:trPr>
        <w:tc>
          <w:tcPr>
            <w:tcW w:w="4681" w:type="dxa"/>
          </w:tcPr>
          <w:p w:rsidR="00AC7239" w:rsidRPr="005756A5" w:rsidRDefault="00AC7239" w:rsidP="005A1232">
            <w:pPr>
              <w:rPr>
                <w:rFonts w:eastAsia="Times New Roman" w:cs="Times New Roman"/>
                <w:szCs w:val="24"/>
                <w:lang w:val="en-US"/>
              </w:rPr>
            </w:pPr>
            <w:proofErr w:type="spellStart"/>
            <w:r w:rsidRPr="005756A5">
              <w:rPr>
                <w:rFonts w:eastAsia="Times New Roman" w:cs="Times New Roman"/>
                <w:bCs/>
                <w:sz w:val="20"/>
                <w:szCs w:val="20"/>
                <w:lang w:val="en-US"/>
              </w:rPr>
              <w:t>Aecon</w:t>
            </w:r>
            <w:proofErr w:type="spellEnd"/>
            <w:r w:rsidRPr="005756A5">
              <w:rPr>
                <w:rFonts w:eastAsia="Times New Roman" w:cs="Times New Roman"/>
                <w:bCs/>
                <w:sz w:val="20"/>
                <w:szCs w:val="20"/>
                <w:lang w:val="en-US"/>
              </w:rPr>
              <w:t xml:space="preserve"> Buildings, A Division of </w:t>
            </w:r>
            <w:proofErr w:type="spellStart"/>
            <w:r w:rsidRPr="005756A5">
              <w:rPr>
                <w:rFonts w:eastAsia="Times New Roman" w:cs="Times New Roman"/>
                <w:bCs/>
                <w:sz w:val="20"/>
                <w:szCs w:val="20"/>
                <w:lang w:val="en-US"/>
              </w:rPr>
              <w:t>Aecon</w:t>
            </w:r>
            <w:proofErr w:type="spellEnd"/>
            <w:r w:rsidRPr="005756A5">
              <w:rPr>
                <w:rFonts w:eastAsia="Times New Roman" w:cs="Times New Roman"/>
                <w:bCs/>
                <w:sz w:val="20"/>
                <w:szCs w:val="20"/>
                <w:lang w:val="en-US"/>
              </w:rPr>
              <w:t xml:space="preserve"> Construction Group Inc.</w:t>
            </w:r>
          </w:p>
          <w:p w:rsidR="00D64901" w:rsidRPr="005756A5" w:rsidRDefault="00D64901" w:rsidP="005A1232">
            <w:pPr>
              <w:rPr>
                <w:sz w:val="20"/>
                <w:szCs w:val="20"/>
              </w:rPr>
            </w:pPr>
          </w:p>
          <w:p w:rsidR="00D64901" w:rsidRPr="005756A5" w:rsidRDefault="00D64901" w:rsidP="005A1232">
            <w:pPr>
              <w:rPr>
                <w:sz w:val="20"/>
                <w:szCs w:val="20"/>
              </w:rPr>
            </w:pPr>
            <w:r w:rsidRPr="005756A5">
              <w:rPr>
                <w:sz w:val="20"/>
                <w:szCs w:val="20"/>
              </w:rPr>
              <w:tab/>
              <w:t>v. (3</w:t>
            </w:r>
            <w:r w:rsidR="00AC7239" w:rsidRPr="005756A5">
              <w:rPr>
                <w:sz w:val="20"/>
                <w:szCs w:val="20"/>
              </w:rPr>
              <w:t>4112</w:t>
            </w:r>
            <w:r w:rsidRPr="005756A5">
              <w:rPr>
                <w:sz w:val="20"/>
                <w:szCs w:val="20"/>
              </w:rPr>
              <w:t>)</w:t>
            </w:r>
          </w:p>
          <w:p w:rsidR="00D64901" w:rsidRPr="005756A5" w:rsidRDefault="00D64901" w:rsidP="005A1232">
            <w:pPr>
              <w:rPr>
                <w:sz w:val="20"/>
                <w:szCs w:val="20"/>
              </w:rPr>
            </w:pPr>
          </w:p>
          <w:p w:rsidR="00D64901" w:rsidRDefault="00AC7239" w:rsidP="005756A5">
            <w:pPr>
              <w:rPr>
                <w:rFonts w:eastAsia="Times New Roman" w:cs="Times New Roman"/>
                <w:bCs/>
                <w:sz w:val="20"/>
                <w:szCs w:val="20"/>
                <w:lang w:val="en-US"/>
              </w:rPr>
            </w:pPr>
            <w:r w:rsidRPr="005756A5">
              <w:rPr>
                <w:rFonts w:eastAsia="Times New Roman" w:cs="Times New Roman"/>
                <w:bCs/>
                <w:sz w:val="20"/>
                <w:szCs w:val="20"/>
                <w:lang w:val="en-US"/>
              </w:rPr>
              <w:t>Stephenson Engineering Limited (Ont.)</w:t>
            </w:r>
          </w:p>
          <w:p w:rsidR="005756A5" w:rsidRPr="005756A5" w:rsidRDefault="005756A5" w:rsidP="005756A5">
            <w:pPr>
              <w:rPr>
                <w:sz w:val="20"/>
                <w:szCs w:val="20"/>
                <w:lang w:val="en-US"/>
              </w:rPr>
            </w:pPr>
          </w:p>
        </w:tc>
        <w:tc>
          <w:tcPr>
            <w:tcW w:w="467" w:type="dxa"/>
          </w:tcPr>
          <w:p w:rsidR="00D64901" w:rsidRPr="005756A5" w:rsidRDefault="00D64901" w:rsidP="00C3118F">
            <w:pPr>
              <w:rPr>
                <w:sz w:val="20"/>
                <w:szCs w:val="20"/>
                <w:lang w:val="en-US"/>
              </w:rPr>
            </w:pPr>
          </w:p>
          <w:p w:rsidR="00D64901" w:rsidRPr="005756A5" w:rsidRDefault="00D64901" w:rsidP="00C3118F">
            <w:pPr>
              <w:rPr>
                <w:sz w:val="20"/>
                <w:szCs w:val="20"/>
                <w:lang w:val="en-US"/>
              </w:rPr>
            </w:pPr>
          </w:p>
          <w:p w:rsidR="00D64901" w:rsidRPr="005756A5" w:rsidRDefault="00D64901" w:rsidP="00C3118F">
            <w:pPr>
              <w:rPr>
                <w:sz w:val="20"/>
                <w:szCs w:val="20"/>
                <w:lang w:val="en-US"/>
              </w:rPr>
            </w:pPr>
          </w:p>
          <w:p w:rsidR="00D64901" w:rsidRPr="005756A5" w:rsidRDefault="00D64901" w:rsidP="00C3118F">
            <w:pPr>
              <w:rPr>
                <w:sz w:val="20"/>
                <w:szCs w:val="20"/>
                <w:lang w:val="en-US"/>
              </w:rPr>
            </w:pPr>
          </w:p>
          <w:p w:rsidR="00D64901" w:rsidRPr="005756A5" w:rsidRDefault="00D64901" w:rsidP="00C3118F">
            <w:pPr>
              <w:rPr>
                <w:sz w:val="20"/>
                <w:szCs w:val="20"/>
                <w:lang w:val="en-US"/>
              </w:rPr>
            </w:pPr>
          </w:p>
        </w:tc>
        <w:tc>
          <w:tcPr>
            <w:tcW w:w="4687" w:type="dxa"/>
          </w:tcPr>
          <w:p w:rsidR="00D64901" w:rsidRPr="005756A5" w:rsidRDefault="00D64901" w:rsidP="005A1232">
            <w:pPr>
              <w:rPr>
                <w:sz w:val="20"/>
                <w:szCs w:val="20"/>
                <w:lang w:val="en-US"/>
              </w:rPr>
            </w:pPr>
          </w:p>
        </w:tc>
      </w:tr>
    </w:tbl>
    <w:p w:rsidR="00D64901" w:rsidRPr="00C73EE6" w:rsidRDefault="00D64901" w:rsidP="00D64901">
      <w:pPr>
        <w:rPr>
          <w:sz w:val="20"/>
          <w:szCs w:val="20"/>
        </w:rPr>
      </w:pPr>
    </w:p>
    <w:p w:rsidR="005756A5" w:rsidRPr="005756A5" w:rsidRDefault="005756A5" w:rsidP="005756A5">
      <w:pPr>
        <w:jc w:val="both"/>
        <w:rPr>
          <w:b/>
          <w:sz w:val="20"/>
          <w:szCs w:val="20"/>
        </w:rPr>
      </w:pPr>
      <w:r w:rsidRPr="005756A5">
        <w:rPr>
          <w:b/>
          <w:bCs/>
          <w:sz w:val="20"/>
          <w:szCs w:val="20"/>
          <w:u w:val="single"/>
        </w:rPr>
        <w:t>BINNIE J.</w:t>
      </w:r>
      <w:r w:rsidRPr="005756A5">
        <w:rPr>
          <w:b/>
          <w:bCs/>
          <w:sz w:val="20"/>
          <w:szCs w:val="20"/>
        </w:rPr>
        <w:t>:</w:t>
      </w:r>
    </w:p>
    <w:p w:rsidR="005756A5" w:rsidRPr="005756A5" w:rsidRDefault="005756A5" w:rsidP="005756A5">
      <w:pPr>
        <w:jc w:val="both"/>
        <w:rPr>
          <w:sz w:val="20"/>
          <w:szCs w:val="20"/>
        </w:rPr>
      </w:pPr>
    </w:p>
    <w:p w:rsidR="005756A5" w:rsidRPr="005756A5" w:rsidRDefault="005756A5" w:rsidP="005756A5">
      <w:pPr>
        <w:jc w:val="both"/>
        <w:rPr>
          <w:sz w:val="20"/>
          <w:szCs w:val="20"/>
        </w:rPr>
      </w:pPr>
      <w:r w:rsidRPr="005756A5">
        <w:rPr>
          <w:sz w:val="20"/>
          <w:szCs w:val="20"/>
        </w:rPr>
        <w:t>[1]</w:t>
      </w:r>
      <w:r w:rsidRPr="005756A5">
        <w:rPr>
          <w:sz w:val="20"/>
          <w:szCs w:val="20"/>
        </w:rPr>
        <w:tab/>
        <w:t xml:space="preserve">An application is made on behalf of the applicant </w:t>
      </w:r>
      <w:proofErr w:type="spellStart"/>
      <w:r w:rsidRPr="005756A5">
        <w:rPr>
          <w:sz w:val="20"/>
          <w:szCs w:val="20"/>
        </w:rPr>
        <w:t>Aecon</w:t>
      </w:r>
      <w:proofErr w:type="spellEnd"/>
      <w:r w:rsidRPr="005756A5">
        <w:rPr>
          <w:sz w:val="20"/>
          <w:szCs w:val="20"/>
        </w:rPr>
        <w:t xml:space="preserve"> Buildings for an order pursuant to Rules 25, 47(1</w:t>
      </w:r>
      <w:proofErr w:type="gramStart"/>
      <w:r w:rsidRPr="005756A5">
        <w:rPr>
          <w:sz w:val="20"/>
          <w:szCs w:val="20"/>
        </w:rPr>
        <w:t>)(</w:t>
      </w:r>
      <w:proofErr w:type="gramEnd"/>
      <w:r w:rsidRPr="005756A5">
        <w:rPr>
          <w:i/>
          <w:sz w:val="20"/>
          <w:szCs w:val="20"/>
        </w:rPr>
        <w:t>b</w:t>
      </w:r>
      <w:r w:rsidRPr="005756A5">
        <w:rPr>
          <w:sz w:val="20"/>
          <w:szCs w:val="20"/>
        </w:rPr>
        <w:t xml:space="preserve">) and 92.1 permitting eleven publications annexed to an affidavit to be added to its application for leave to appeal.  </w:t>
      </w:r>
      <w:proofErr w:type="spellStart"/>
      <w:r w:rsidRPr="005756A5">
        <w:rPr>
          <w:sz w:val="20"/>
          <w:szCs w:val="20"/>
        </w:rPr>
        <w:t>Aecon</w:t>
      </w:r>
      <w:proofErr w:type="spellEnd"/>
      <w:r w:rsidRPr="005756A5">
        <w:rPr>
          <w:sz w:val="20"/>
          <w:szCs w:val="20"/>
        </w:rPr>
        <w:t xml:space="preserve"> argues that the articles demonstrate that the application is of public importance and were not available when the leave application was served and filed.</w:t>
      </w:r>
    </w:p>
    <w:p w:rsidR="005756A5" w:rsidRPr="005756A5" w:rsidRDefault="005756A5" w:rsidP="005756A5">
      <w:pPr>
        <w:ind w:firstLine="720"/>
        <w:jc w:val="both"/>
        <w:rPr>
          <w:sz w:val="20"/>
          <w:szCs w:val="20"/>
        </w:rPr>
      </w:pPr>
    </w:p>
    <w:p w:rsidR="005756A5" w:rsidRPr="005756A5" w:rsidRDefault="005756A5" w:rsidP="005756A5">
      <w:pPr>
        <w:jc w:val="both"/>
        <w:rPr>
          <w:sz w:val="20"/>
          <w:szCs w:val="20"/>
        </w:rPr>
      </w:pPr>
      <w:r w:rsidRPr="005756A5">
        <w:rPr>
          <w:sz w:val="20"/>
          <w:szCs w:val="20"/>
        </w:rPr>
        <w:t>[2]</w:t>
      </w:r>
      <w:r w:rsidRPr="005756A5">
        <w:rPr>
          <w:sz w:val="20"/>
          <w:szCs w:val="20"/>
        </w:rPr>
        <w:tab/>
        <w:t>The leave application concerns a</w:t>
      </w:r>
      <w:r w:rsidRPr="005756A5">
        <w:rPr>
          <w:i/>
          <w:sz w:val="20"/>
          <w:szCs w:val="20"/>
        </w:rPr>
        <w:t xml:space="preserve"> </w:t>
      </w:r>
      <w:r w:rsidRPr="005756A5">
        <w:rPr>
          <w:sz w:val="20"/>
          <w:szCs w:val="20"/>
        </w:rPr>
        <w:t>“</w:t>
      </w:r>
      <w:r w:rsidRPr="005756A5">
        <w:rPr>
          <w:i/>
          <w:sz w:val="20"/>
          <w:szCs w:val="20"/>
        </w:rPr>
        <w:t>Mary Carter</w:t>
      </w:r>
      <w:r w:rsidRPr="005756A5">
        <w:rPr>
          <w:sz w:val="20"/>
          <w:szCs w:val="20"/>
        </w:rPr>
        <w:t xml:space="preserve">-type agreement”, i.e. a settlement agreement in multiparty litigation between a plaintiff and defendant wherein the defendant in question ostensibly remains an active party to the litigation while the plaintiff’s claim in fact targets the other parties.  The appearance is conveyed that the defendant is defending the cause but the appearance is misleading because of the existence of the partial settlement. </w:t>
      </w:r>
    </w:p>
    <w:p w:rsidR="005756A5" w:rsidRPr="005756A5" w:rsidRDefault="005756A5" w:rsidP="005756A5">
      <w:pPr>
        <w:ind w:firstLine="720"/>
        <w:jc w:val="both"/>
        <w:rPr>
          <w:sz w:val="20"/>
          <w:szCs w:val="20"/>
        </w:rPr>
      </w:pPr>
    </w:p>
    <w:p w:rsidR="005756A5" w:rsidRPr="005756A5" w:rsidRDefault="005756A5" w:rsidP="005756A5">
      <w:pPr>
        <w:jc w:val="both"/>
        <w:rPr>
          <w:sz w:val="20"/>
          <w:szCs w:val="20"/>
        </w:rPr>
      </w:pPr>
      <w:r w:rsidRPr="005756A5">
        <w:rPr>
          <w:sz w:val="20"/>
          <w:szCs w:val="20"/>
        </w:rPr>
        <w:t>[3]</w:t>
      </w:r>
      <w:r w:rsidRPr="005756A5">
        <w:rPr>
          <w:sz w:val="20"/>
          <w:szCs w:val="20"/>
        </w:rPr>
        <w:tab/>
        <w:t xml:space="preserve">In the present case, the Ontario Court of Appeal held that the applicant’s conduct warranted a stay of proceedings for abuse of process because of the fact that it had failed </w:t>
      </w:r>
      <w:r w:rsidRPr="005756A5">
        <w:rPr>
          <w:i/>
          <w:sz w:val="20"/>
          <w:szCs w:val="20"/>
        </w:rPr>
        <w:t>ever</w:t>
      </w:r>
      <w:r w:rsidRPr="005756A5">
        <w:rPr>
          <w:sz w:val="20"/>
          <w:szCs w:val="20"/>
        </w:rPr>
        <w:t xml:space="preserve"> to volunteer the existence of the agreement to the other parties or to the court, but instead waited for one of the other parties to discover it through other sources and then demand its production (2010 ONCA 898, 328 D.L.R. (4th) 488).</w:t>
      </w:r>
    </w:p>
    <w:p w:rsidR="005756A5" w:rsidRPr="005756A5" w:rsidRDefault="005756A5" w:rsidP="005756A5">
      <w:pPr>
        <w:jc w:val="both"/>
        <w:rPr>
          <w:sz w:val="20"/>
          <w:szCs w:val="20"/>
        </w:rPr>
      </w:pPr>
    </w:p>
    <w:p w:rsidR="005756A5" w:rsidRPr="005756A5" w:rsidRDefault="005756A5" w:rsidP="005756A5">
      <w:pPr>
        <w:jc w:val="both"/>
        <w:rPr>
          <w:sz w:val="20"/>
          <w:szCs w:val="20"/>
        </w:rPr>
      </w:pPr>
      <w:r w:rsidRPr="005756A5">
        <w:rPr>
          <w:sz w:val="20"/>
          <w:szCs w:val="20"/>
        </w:rPr>
        <w:t>[4]</w:t>
      </w:r>
      <w:r w:rsidRPr="005756A5">
        <w:rPr>
          <w:sz w:val="20"/>
          <w:szCs w:val="20"/>
        </w:rPr>
        <w:tab/>
        <w:t xml:space="preserve">Generally speaking, our Court takes the view that the question whether a legal issue is of public importance within the meaning of s. 43 of the </w:t>
      </w:r>
      <w:r w:rsidRPr="005756A5">
        <w:rPr>
          <w:i/>
          <w:sz w:val="20"/>
          <w:szCs w:val="20"/>
        </w:rPr>
        <w:t>Supreme Court Act</w:t>
      </w:r>
      <w:r w:rsidRPr="005756A5">
        <w:rPr>
          <w:sz w:val="20"/>
          <w:szCs w:val="20"/>
        </w:rPr>
        <w:t xml:space="preserve">, R.S.C. 1985, c. S-26, is not a matter on which affidavit evidence is helpful.  The practice is not invariable however.  In some cases it may not be apparent from the rest of the leave materials why, for example, the decision sought to be appealed is alleged to establish a precedent that is unworkable in practice, or otherwise is likely to have a problematic impact or jurisprudential importance not apparent on its face.  Here, however, the issues are straightforward.  Must the </w:t>
      </w:r>
      <w:r w:rsidRPr="005756A5">
        <w:rPr>
          <w:i/>
          <w:sz w:val="20"/>
          <w:szCs w:val="20"/>
        </w:rPr>
        <w:t>Mary Carter</w:t>
      </w:r>
      <w:r w:rsidRPr="005756A5">
        <w:rPr>
          <w:sz w:val="20"/>
          <w:szCs w:val="20"/>
        </w:rPr>
        <w:t>-type agreement be disclosed immediately and if it isn’t what are the consequences?</w:t>
      </w:r>
    </w:p>
    <w:p w:rsidR="005756A5" w:rsidRPr="005756A5" w:rsidRDefault="005756A5" w:rsidP="005756A5">
      <w:pPr>
        <w:ind w:firstLine="720"/>
        <w:jc w:val="both"/>
        <w:rPr>
          <w:sz w:val="20"/>
          <w:szCs w:val="20"/>
        </w:rPr>
      </w:pPr>
    </w:p>
    <w:p w:rsidR="005756A5" w:rsidRPr="005756A5" w:rsidRDefault="005756A5" w:rsidP="005756A5">
      <w:pPr>
        <w:jc w:val="both"/>
        <w:rPr>
          <w:sz w:val="20"/>
          <w:szCs w:val="20"/>
        </w:rPr>
      </w:pPr>
      <w:r w:rsidRPr="005756A5">
        <w:rPr>
          <w:sz w:val="20"/>
          <w:szCs w:val="20"/>
        </w:rPr>
        <w:t>[5]</w:t>
      </w:r>
      <w:r w:rsidRPr="005756A5">
        <w:rPr>
          <w:sz w:val="20"/>
          <w:szCs w:val="20"/>
        </w:rPr>
        <w:tab/>
        <w:t xml:space="preserve">The material sought to be filed by the applicant simply illustrates the straightforward nature of the legal issues.  The first item, a posting on the website of the Canadian Bar Association (Ontario) (“CBAO”), (J. </w:t>
      </w:r>
      <w:proofErr w:type="spellStart"/>
      <w:r w:rsidRPr="005756A5">
        <w:rPr>
          <w:sz w:val="20"/>
          <w:szCs w:val="20"/>
        </w:rPr>
        <w:t>Aikins</w:t>
      </w:r>
      <w:proofErr w:type="spellEnd"/>
      <w:r w:rsidRPr="005756A5">
        <w:rPr>
          <w:sz w:val="20"/>
          <w:szCs w:val="20"/>
        </w:rPr>
        <w:t xml:space="preserve">, “Disclosure of Litigation Agreements Must be ‘Immediate’”, Insurance Law Section Newsletter, vol. 21, No. 2, March 2011 (online)) notes that the decision sought to be appealed restates the consistent rule in Ontario that </w:t>
      </w:r>
      <w:r w:rsidRPr="005756A5">
        <w:rPr>
          <w:i/>
          <w:sz w:val="20"/>
          <w:szCs w:val="20"/>
        </w:rPr>
        <w:t>Mary Carter</w:t>
      </w:r>
      <w:r w:rsidRPr="005756A5">
        <w:rPr>
          <w:sz w:val="20"/>
          <w:szCs w:val="20"/>
        </w:rPr>
        <w:t xml:space="preserve">-type agreements must be “disclosed to the parties and to the court as soon as the agreement is made”:  </w:t>
      </w:r>
      <w:proofErr w:type="spellStart"/>
      <w:r w:rsidRPr="005756A5">
        <w:rPr>
          <w:i/>
          <w:sz w:val="20"/>
          <w:szCs w:val="20"/>
        </w:rPr>
        <w:t>Pettey</w:t>
      </w:r>
      <w:proofErr w:type="spellEnd"/>
      <w:r w:rsidRPr="005756A5">
        <w:rPr>
          <w:i/>
          <w:sz w:val="20"/>
          <w:szCs w:val="20"/>
        </w:rPr>
        <w:t xml:space="preserve"> v. Avis Car Inc.</w:t>
      </w:r>
      <w:r w:rsidRPr="005756A5">
        <w:rPr>
          <w:sz w:val="20"/>
          <w:szCs w:val="20"/>
        </w:rPr>
        <w:t xml:space="preserve"> (1993), 13 O.R. 3d 725 (Gen. Div.), at p. 737.  The rule was repeated by the Ontario Court of Appeal as recently as </w:t>
      </w:r>
      <w:proofErr w:type="spellStart"/>
      <w:r w:rsidRPr="005756A5">
        <w:rPr>
          <w:i/>
          <w:sz w:val="20"/>
          <w:szCs w:val="20"/>
        </w:rPr>
        <w:t>Laudon</w:t>
      </w:r>
      <w:proofErr w:type="spellEnd"/>
      <w:r w:rsidRPr="005756A5">
        <w:rPr>
          <w:sz w:val="20"/>
          <w:szCs w:val="20"/>
        </w:rPr>
        <w:t xml:space="preserve"> </w:t>
      </w:r>
      <w:r w:rsidRPr="005756A5">
        <w:rPr>
          <w:i/>
          <w:sz w:val="20"/>
          <w:szCs w:val="20"/>
        </w:rPr>
        <w:t>v. Roberts</w:t>
      </w:r>
      <w:r w:rsidRPr="005756A5">
        <w:rPr>
          <w:sz w:val="20"/>
          <w:szCs w:val="20"/>
        </w:rPr>
        <w:t>, 2009 ONCA 383, 66 C.C.L.T. (3d) 207, where the court said “the existence of such an agreement is to be disclosed, as soon as it is concluded, to the court and to the other parties to the litigation” (</w:t>
      </w:r>
      <w:proofErr w:type="spellStart"/>
      <w:r w:rsidRPr="005756A5">
        <w:rPr>
          <w:sz w:val="20"/>
          <w:szCs w:val="20"/>
        </w:rPr>
        <w:t>para</w:t>
      </w:r>
      <w:proofErr w:type="spellEnd"/>
      <w:r w:rsidRPr="005756A5">
        <w:rPr>
          <w:sz w:val="20"/>
          <w:szCs w:val="20"/>
        </w:rPr>
        <w:t xml:space="preserve">. 39).  The CBAO posting does not indicate any conflict in the authorities or suggest that there are good reasons, policy or jurisprudential, not readily apparent from the material already filed, for finding that the application raises a legal issue of public importance.  The author merely poses the question of what is meant by “immediate disclosure” and how </w:t>
      </w:r>
      <w:r w:rsidRPr="005756A5">
        <w:rPr>
          <w:i/>
          <w:sz w:val="20"/>
          <w:szCs w:val="20"/>
        </w:rPr>
        <w:t>Mary Carter</w:t>
      </w:r>
      <w:r w:rsidRPr="005756A5">
        <w:rPr>
          <w:sz w:val="20"/>
          <w:szCs w:val="20"/>
        </w:rPr>
        <w:t xml:space="preserve">-type agreements were to be “disclose[d] to the court”.  I think “immediate disclosure” is self-explanatory.  Its application in a particular case will be fact dependent.  Here, as stated, the applicant never did </w:t>
      </w:r>
      <w:r w:rsidRPr="005756A5">
        <w:rPr>
          <w:i/>
          <w:sz w:val="20"/>
          <w:szCs w:val="20"/>
        </w:rPr>
        <w:t>volunteer</w:t>
      </w:r>
      <w:r w:rsidRPr="005756A5">
        <w:rPr>
          <w:sz w:val="20"/>
          <w:szCs w:val="20"/>
        </w:rPr>
        <w:t xml:space="preserve"> disclosure of the existence of the agreement to the parties or to the court.  The Court of Appeal decided that in the circumstances a stay of proceedings was warranted. The procedural point about how a party goes about disclosing the existence of such </w:t>
      </w:r>
      <w:r w:rsidRPr="005756A5">
        <w:rPr>
          <w:sz w:val="20"/>
          <w:szCs w:val="20"/>
        </w:rPr>
        <w:lastRenderedPageBreak/>
        <w:t>an agreement to the court (were they to decide to do so) is not something that raises a legal issue of public importance for this Court.</w:t>
      </w:r>
    </w:p>
    <w:p w:rsidR="005756A5" w:rsidRPr="005756A5" w:rsidRDefault="005756A5" w:rsidP="005756A5">
      <w:pPr>
        <w:jc w:val="both"/>
        <w:rPr>
          <w:sz w:val="20"/>
          <w:szCs w:val="20"/>
        </w:rPr>
      </w:pPr>
    </w:p>
    <w:p w:rsidR="005756A5" w:rsidRPr="005756A5" w:rsidRDefault="005756A5" w:rsidP="005756A5">
      <w:pPr>
        <w:jc w:val="both"/>
        <w:rPr>
          <w:sz w:val="20"/>
          <w:szCs w:val="20"/>
        </w:rPr>
      </w:pPr>
      <w:r w:rsidRPr="005756A5">
        <w:rPr>
          <w:sz w:val="20"/>
          <w:szCs w:val="20"/>
        </w:rPr>
        <w:t>[6]</w:t>
      </w:r>
      <w:r w:rsidRPr="005756A5">
        <w:rPr>
          <w:sz w:val="20"/>
          <w:szCs w:val="20"/>
        </w:rPr>
        <w:tab/>
        <w:t xml:space="preserve">Another posting on the CBAO website by a different author states “[t]he </w:t>
      </w:r>
      <w:proofErr w:type="spellStart"/>
      <w:r w:rsidRPr="005756A5">
        <w:rPr>
          <w:i/>
          <w:sz w:val="20"/>
          <w:szCs w:val="20"/>
        </w:rPr>
        <w:t>Aecon</w:t>
      </w:r>
      <w:proofErr w:type="spellEnd"/>
      <w:r w:rsidRPr="005756A5">
        <w:rPr>
          <w:sz w:val="20"/>
          <w:szCs w:val="20"/>
        </w:rPr>
        <w:t xml:space="preserve"> decision simply serves as a reminder that immediate disclosure is necessary as a matter of procedural fairness, such to allow the Court to properly control the judicial process” (J. </w:t>
      </w:r>
      <w:proofErr w:type="spellStart"/>
      <w:r w:rsidRPr="005756A5">
        <w:rPr>
          <w:sz w:val="20"/>
          <w:szCs w:val="20"/>
        </w:rPr>
        <w:t>Caplan</w:t>
      </w:r>
      <w:proofErr w:type="spellEnd"/>
      <w:r w:rsidRPr="005756A5">
        <w:rPr>
          <w:sz w:val="20"/>
          <w:szCs w:val="20"/>
        </w:rPr>
        <w:t>, “Failure to Disclose Mary Carter-type Agreements Can Have Devastating Consequences — The Ontario Court of Appeal takes a Firm Position”, Construction Law Section Newsletter, vol. 25, No. 3, April 2011 (online)).  This too is of no help in resolving the s. 43 question before us.</w:t>
      </w:r>
    </w:p>
    <w:p w:rsidR="005756A5" w:rsidRPr="005756A5" w:rsidRDefault="005756A5" w:rsidP="005756A5">
      <w:pPr>
        <w:jc w:val="both"/>
        <w:rPr>
          <w:sz w:val="20"/>
          <w:szCs w:val="20"/>
        </w:rPr>
      </w:pPr>
    </w:p>
    <w:p w:rsidR="005756A5" w:rsidRPr="005756A5" w:rsidRDefault="005756A5" w:rsidP="005756A5">
      <w:pPr>
        <w:jc w:val="both"/>
        <w:rPr>
          <w:sz w:val="20"/>
          <w:szCs w:val="20"/>
        </w:rPr>
      </w:pPr>
      <w:r w:rsidRPr="005756A5">
        <w:rPr>
          <w:sz w:val="20"/>
          <w:szCs w:val="20"/>
        </w:rPr>
        <w:t>[7]</w:t>
      </w:r>
      <w:r w:rsidRPr="005756A5">
        <w:rPr>
          <w:sz w:val="20"/>
          <w:szCs w:val="20"/>
        </w:rPr>
        <w:tab/>
        <w:t>The remaining articles are similarly routine reports of the decision of the Court of Appeal.  They generally fall into the “Notice to the Profession” category.  Sometimes the author adds a tag line such as “[a]</w:t>
      </w:r>
      <w:proofErr w:type="spellStart"/>
      <w:r w:rsidRPr="005756A5">
        <w:rPr>
          <w:sz w:val="20"/>
          <w:szCs w:val="20"/>
        </w:rPr>
        <w:t>nyone</w:t>
      </w:r>
      <w:proofErr w:type="spellEnd"/>
      <w:r w:rsidRPr="005756A5">
        <w:rPr>
          <w:sz w:val="20"/>
          <w:szCs w:val="20"/>
        </w:rPr>
        <w:t xml:space="preserve"> contemplating entering into a partial settlement agreement of any kind should closely review this decision and ensure that immediate disclosure is contemplated and assured upon the completion of the agreement” (R. Squires, “Partial Settlement Agreements Must Be Immediately Disclosed”, Borden </w:t>
      </w:r>
      <w:proofErr w:type="spellStart"/>
      <w:r w:rsidRPr="005756A5">
        <w:rPr>
          <w:sz w:val="20"/>
          <w:szCs w:val="20"/>
        </w:rPr>
        <w:t>Ladner</w:t>
      </w:r>
      <w:proofErr w:type="spellEnd"/>
      <w:r w:rsidRPr="005756A5">
        <w:rPr>
          <w:sz w:val="20"/>
          <w:szCs w:val="20"/>
        </w:rPr>
        <w:t xml:space="preserve"> </w:t>
      </w:r>
      <w:proofErr w:type="spellStart"/>
      <w:r w:rsidRPr="005756A5">
        <w:rPr>
          <w:sz w:val="20"/>
          <w:szCs w:val="20"/>
        </w:rPr>
        <w:t>Gervais</w:t>
      </w:r>
      <w:proofErr w:type="spellEnd"/>
      <w:r w:rsidRPr="005756A5">
        <w:rPr>
          <w:sz w:val="20"/>
          <w:szCs w:val="20"/>
        </w:rPr>
        <w:t xml:space="preserve"> Canadian Insurance Law Newsletter, Spring 2011 (online)).  Nobody expresses any doubt that the rule stated by the Court of Appeal is consistent with its past authority, or suggests that the remedy for abuse of process was not, as a matter of law, available.</w:t>
      </w:r>
    </w:p>
    <w:p w:rsidR="005756A5" w:rsidRPr="005756A5" w:rsidRDefault="005756A5" w:rsidP="005756A5">
      <w:pPr>
        <w:jc w:val="both"/>
        <w:rPr>
          <w:sz w:val="20"/>
          <w:szCs w:val="20"/>
        </w:rPr>
      </w:pPr>
    </w:p>
    <w:p w:rsidR="005756A5" w:rsidRPr="005756A5" w:rsidRDefault="005756A5" w:rsidP="005756A5">
      <w:pPr>
        <w:jc w:val="both"/>
        <w:rPr>
          <w:sz w:val="20"/>
          <w:szCs w:val="20"/>
        </w:rPr>
      </w:pPr>
      <w:r w:rsidRPr="005756A5">
        <w:rPr>
          <w:sz w:val="20"/>
          <w:szCs w:val="20"/>
        </w:rPr>
        <w:t>[8]</w:t>
      </w:r>
      <w:r w:rsidRPr="005756A5">
        <w:rPr>
          <w:sz w:val="20"/>
          <w:szCs w:val="20"/>
        </w:rPr>
        <w:tab/>
        <w:t>Whether the rule itself raises a legal question of public importance is for the leave panel to decide.  The material sought to be filed is of no additional assistance in this respect.</w:t>
      </w:r>
    </w:p>
    <w:p w:rsidR="005756A5" w:rsidRPr="005756A5" w:rsidRDefault="005756A5" w:rsidP="005756A5">
      <w:pPr>
        <w:jc w:val="both"/>
        <w:rPr>
          <w:sz w:val="20"/>
          <w:szCs w:val="20"/>
        </w:rPr>
      </w:pPr>
    </w:p>
    <w:p w:rsidR="005756A5" w:rsidRPr="005756A5" w:rsidRDefault="005756A5" w:rsidP="005756A5">
      <w:pPr>
        <w:jc w:val="both"/>
        <w:rPr>
          <w:sz w:val="20"/>
          <w:szCs w:val="20"/>
        </w:rPr>
      </w:pPr>
      <w:r w:rsidRPr="005756A5">
        <w:rPr>
          <w:sz w:val="20"/>
          <w:szCs w:val="20"/>
        </w:rPr>
        <w:t>[9]</w:t>
      </w:r>
      <w:r w:rsidRPr="005756A5">
        <w:rPr>
          <w:sz w:val="20"/>
          <w:szCs w:val="20"/>
        </w:rPr>
        <w:tab/>
        <w:t>Counsel for the respondent advises the Court that he takes no position on the motion to adduce fresh evidence, presumably because the fresh evidence is neither helpful nor prejudicial.</w:t>
      </w:r>
    </w:p>
    <w:p w:rsidR="005756A5" w:rsidRPr="005756A5" w:rsidRDefault="005756A5" w:rsidP="005756A5">
      <w:pPr>
        <w:jc w:val="both"/>
        <w:rPr>
          <w:sz w:val="20"/>
          <w:szCs w:val="20"/>
        </w:rPr>
      </w:pPr>
    </w:p>
    <w:p w:rsidR="005756A5" w:rsidRPr="005756A5" w:rsidRDefault="005756A5" w:rsidP="005756A5">
      <w:pPr>
        <w:jc w:val="both"/>
        <w:rPr>
          <w:sz w:val="20"/>
          <w:szCs w:val="20"/>
        </w:rPr>
      </w:pPr>
      <w:r w:rsidRPr="005756A5">
        <w:rPr>
          <w:sz w:val="20"/>
          <w:szCs w:val="20"/>
        </w:rPr>
        <w:t>[10]</w:t>
      </w:r>
      <w:r w:rsidRPr="005756A5">
        <w:rPr>
          <w:sz w:val="20"/>
          <w:szCs w:val="20"/>
        </w:rPr>
        <w:tab/>
        <w:t>I would deny the application to adduce fresh evidence on the leave application without costs.</w:t>
      </w:r>
    </w:p>
    <w:p w:rsidR="005756A5" w:rsidRPr="005756A5" w:rsidRDefault="005756A5" w:rsidP="005756A5">
      <w:pPr>
        <w:jc w:val="both"/>
        <w:rPr>
          <w:sz w:val="20"/>
          <w:szCs w:val="20"/>
        </w:rPr>
      </w:pPr>
    </w:p>
    <w:p w:rsidR="005756A5" w:rsidRPr="005756A5" w:rsidRDefault="005756A5" w:rsidP="005756A5">
      <w:pPr>
        <w:jc w:val="both"/>
        <w:rPr>
          <w:sz w:val="20"/>
          <w:szCs w:val="20"/>
        </w:rPr>
      </w:pPr>
    </w:p>
    <w:p w:rsidR="005756A5" w:rsidRPr="005756A5" w:rsidRDefault="005756A5" w:rsidP="005756A5">
      <w:pPr>
        <w:jc w:val="both"/>
        <w:rPr>
          <w:sz w:val="20"/>
          <w:szCs w:val="20"/>
        </w:rPr>
      </w:pPr>
    </w:p>
    <w:p w:rsidR="005756A5" w:rsidRPr="005756A5" w:rsidRDefault="005756A5" w:rsidP="005756A5">
      <w:pPr>
        <w:jc w:val="both"/>
        <w:rPr>
          <w:b/>
          <w:sz w:val="20"/>
          <w:szCs w:val="20"/>
          <w:lang w:val="fr-CA"/>
        </w:rPr>
      </w:pPr>
      <w:r w:rsidRPr="005756A5">
        <w:rPr>
          <w:b/>
          <w:bCs/>
          <w:sz w:val="20"/>
          <w:szCs w:val="20"/>
          <w:u w:val="single"/>
          <w:lang w:val="fr-CA"/>
        </w:rPr>
        <w:t>LE JUGE BINNIE :</w:t>
      </w:r>
    </w:p>
    <w:p w:rsidR="005756A5" w:rsidRPr="005756A5" w:rsidRDefault="005756A5" w:rsidP="005756A5">
      <w:pPr>
        <w:jc w:val="both"/>
        <w:rPr>
          <w:sz w:val="20"/>
          <w:szCs w:val="20"/>
          <w:lang w:val="fr-CA"/>
        </w:rPr>
      </w:pPr>
    </w:p>
    <w:p w:rsidR="005756A5" w:rsidRPr="005756A5" w:rsidRDefault="005756A5" w:rsidP="005756A5">
      <w:pPr>
        <w:jc w:val="both"/>
        <w:rPr>
          <w:sz w:val="20"/>
          <w:szCs w:val="20"/>
          <w:lang w:val="fr-CA"/>
        </w:rPr>
      </w:pPr>
      <w:r w:rsidRPr="005756A5">
        <w:rPr>
          <w:sz w:val="20"/>
          <w:szCs w:val="20"/>
          <w:lang w:val="fr-CA"/>
        </w:rPr>
        <w:t>[1]</w:t>
      </w:r>
      <w:r w:rsidRPr="005756A5">
        <w:rPr>
          <w:sz w:val="20"/>
          <w:szCs w:val="20"/>
          <w:lang w:val="fr-CA"/>
        </w:rPr>
        <w:tab/>
        <w:t xml:space="preserve">Une demande a été présentée au nom de la demanderesse </w:t>
      </w:r>
      <w:proofErr w:type="spellStart"/>
      <w:r w:rsidRPr="005756A5">
        <w:rPr>
          <w:sz w:val="20"/>
          <w:szCs w:val="20"/>
          <w:lang w:val="fr-CA"/>
        </w:rPr>
        <w:t>Aecon</w:t>
      </w:r>
      <w:proofErr w:type="spellEnd"/>
      <w:r w:rsidRPr="005756A5">
        <w:rPr>
          <w:sz w:val="20"/>
          <w:szCs w:val="20"/>
          <w:lang w:val="fr-CA"/>
        </w:rPr>
        <w:t xml:space="preserve"> Buildings, en vertu des règles 25, 47(1)</w:t>
      </w:r>
      <w:r w:rsidRPr="005756A5">
        <w:rPr>
          <w:i/>
          <w:sz w:val="20"/>
          <w:szCs w:val="20"/>
          <w:lang w:val="fr-CA"/>
        </w:rPr>
        <w:t>b</w:t>
      </w:r>
      <w:r w:rsidRPr="005756A5">
        <w:rPr>
          <w:sz w:val="20"/>
          <w:szCs w:val="20"/>
          <w:lang w:val="fr-CA"/>
        </w:rPr>
        <w:t xml:space="preserve">) et 92.1, en vue d’ajouter à sa demande d’autorisation d’appel onze publications jointes à un affidavit.   </w:t>
      </w:r>
      <w:proofErr w:type="spellStart"/>
      <w:r w:rsidRPr="005756A5">
        <w:rPr>
          <w:sz w:val="20"/>
          <w:szCs w:val="20"/>
          <w:lang w:val="fr-CA"/>
        </w:rPr>
        <w:t>Aecon</w:t>
      </w:r>
      <w:proofErr w:type="spellEnd"/>
      <w:r w:rsidRPr="005756A5">
        <w:rPr>
          <w:sz w:val="20"/>
          <w:szCs w:val="20"/>
          <w:lang w:val="fr-CA"/>
        </w:rPr>
        <w:t xml:space="preserve"> fait valoir que ces articles démontrent l’importance de la demande pour le public et qu’elle n’y avait pas accès au moment où elle a signifié et déposé sa demande d’autorisation.</w:t>
      </w:r>
    </w:p>
    <w:p w:rsidR="005756A5" w:rsidRPr="005756A5" w:rsidRDefault="005756A5" w:rsidP="005756A5">
      <w:pPr>
        <w:ind w:firstLine="720"/>
        <w:jc w:val="both"/>
        <w:rPr>
          <w:sz w:val="20"/>
          <w:szCs w:val="20"/>
          <w:lang w:val="fr-CA"/>
        </w:rPr>
      </w:pPr>
    </w:p>
    <w:p w:rsidR="005756A5" w:rsidRPr="005756A5" w:rsidRDefault="005756A5" w:rsidP="005756A5">
      <w:pPr>
        <w:jc w:val="both"/>
        <w:rPr>
          <w:sz w:val="20"/>
          <w:szCs w:val="20"/>
          <w:lang w:val="fr-CA"/>
        </w:rPr>
      </w:pPr>
      <w:r w:rsidRPr="005756A5">
        <w:rPr>
          <w:sz w:val="20"/>
          <w:szCs w:val="20"/>
          <w:lang w:val="fr-CA"/>
        </w:rPr>
        <w:t>[2]</w:t>
      </w:r>
      <w:r w:rsidRPr="005756A5">
        <w:rPr>
          <w:sz w:val="20"/>
          <w:szCs w:val="20"/>
          <w:lang w:val="fr-CA"/>
        </w:rPr>
        <w:tab/>
        <w:t xml:space="preserve">La demande d’autorisation concerne une « entente de type </w:t>
      </w:r>
      <w:r w:rsidRPr="005756A5">
        <w:rPr>
          <w:i/>
          <w:sz w:val="20"/>
          <w:szCs w:val="20"/>
          <w:lang w:val="fr-CA"/>
        </w:rPr>
        <w:t>Mary Carter</w:t>
      </w:r>
      <w:r w:rsidRPr="005756A5">
        <w:rPr>
          <w:sz w:val="20"/>
          <w:szCs w:val="20"/>
          <w:lang w:val="fr-CA"/>
        </w:rPr>
        <w:t xml:space="preserve"> », soit une entente de règlement dans une instance opposant plusieurs parties, conclue entre un demandeur et un défendeur, et à la suite de laquelle ce défendeur continue à participer ouvertement à l’instance, tandis que la poursuite du demandeur est en réalité dirigée contre les autres parties.  En apparence, le défendeur s’oppose à la poursuite, mais cette apparence est trompeuse puisqu’un règlement partiel a été conclu. </w:t>
      </w:r>
    </w:p>
    <w:p w:rsidR="005756A5" w:rsidRPr="005756A5" w:rsidRDefault="005756A5" w:rsidP="005756A5">
      <w:pPr>
        <w:ind w:firstLine="720"/>
        <w:jc w:val="both"/>
        <w:rPr>
          <w:sz w:val="20"/>
          <w:szCs w:val="20"/>
          <w:lang w:val="fr-CA"/>
        </w:rPr>
      </w:pPr>
    </w:p>
    <w:p w:rsidR="005756A5" w:rsidRPr="005756A5" w:rsidRDefault="005756A5" w:rsidP="005756A5">
      <w:pPr>
        <w:jc w:val="both"/>
        <w:rPr>
          <w:sz w:val="20"/>
          <w:szCs w:val="20"/>
          <w:lang w:val="fr-CA"/>
        </w:rPr>
      </w:pPr>
      <w:r w:rsidRPr="005756A5">
        <w:rPr>
          <w:sz w:val="20"/>
          <w:szCs w:val="20"/>
          <w:lang w:val="fr-CA"/>
        </w:rPr>
        <w:t>[3]</w:t>
      </w:r>
      <w:r w:rsidRPr="005756A5">
        <w:rPr>
          <w:sz w:val="20"/>
          <w:szCs w:val="20"/>
          <w:lang w:val="fr-CA"/>
        </w:rPr>
        <w:tab/>
        <w:t xml:space="preserve">En l’espèce, la Cour d’appel de l’Ontario a statué que la conduite de la demanderesse justifiait un sursis d’instance pour abus de procédure, parce que la demanderesse n’a pas révélé de son propre chef l’existence de l’entente aux autres parties ou au tribunal, </w:t>
      </w:r>
      <w:r w:rsidRPr="005756A5">
        <w:rPr>
          <w:i/>
          <w:sz w:val="20"/>
          <w:szCs w:val="20"/>
          <w:lang w:val="fr-CA"/>
        </w:rPr>
        <w:t>à quelque moment que ce soit</w:t>
      </w:r>
      <w:r w:rsidRPr="005756A5">
        <w:rPr>
          <w:sz w:val="20"/>
          <w:szCs w:val="20"/>
          <w:lang w:val="fr-CA"/>
        </w:rPr>
        <w:t>, mais a plutôt attendu qu’une autre partie la découvre grâce à d’autres sources et en exige la production (2010 ONCA 898, 328 D.L.R. (4th) 488).</w:t>
      </w:r>
    </w:p>
    <w:p w:rsidR="005756A5" w:rsidRPr="005756A5" w:rsidRDefault="005756A5" w:rsidP="005756A5">
      <w:pPr>
        <w:jc w:val="both"/>
        <w:rPr>
          <w:sz w:val="20"/>
          <w:szCs w:val="20"/>
          <w:lang w:val="fr-CA"/>
        </w:rPr>
      </w:pPr>
    </w:p>
    <w:p w:rsidR="005756A5" w:rsidRPr="005756A5" w:rsidRDefault="005756A5" w:rsidP="005756A5">
      <w:pPr>
        <w:jc w:val="both"/>
        <w:rPr>
          <w:sz w:val="20"/>
          <w:szCs w:val="20"/>
          <w:lang w:val="fr-CA"/>
        </w:rPr>
      </w:pPr>
      <w:r w:rsidRPr="005756A5">
        <w:rPr>
          <w:sz w:val="20"/>
          <w:szCs w:val="20"/>
          <w:lang w:val="fr-CA"/>
        </w:rPr>
        <w:t>[4]</w:t>
      </w:r>
      <w:r w:rsidRPr="005756A5">
        <w:rPr>
          <w:sz w:val="20"/>
          <w:szCs w:val="20"/>
          <w:lang w:val="fr-CA"/>
        </w:rPr>
        <w:tab/>
        <w:t xml:space="preserve">Règle générale, notre Cour considère que l’importance d’une question de droit pour le public au sens de l’art. 43 de la </w:t>
      </w:r>
      <w:r w:rsidRPr="005756A5">
        <w:rPr>
          <w:i/>
          <w:sz w:val="20"/>
          <w:szCs w:val="20"/>
          <w:lang w:val="fr-CA"/>
        </w:rPr>
        <w:t>Loi sur la Cour suprême</w:t>
      </w:r>
      <w:r w:rsidRPr="005756A5">
        <w:rPr>
          <w:sz w:val="20"/>
          <w:szCs w:val="20"/>
          <w:lang w:val="fr-CA"/>
        </w:rPr>
        <w:t>, L.R.C. 1985, ch. S</w:t>
      </w:r>
      <w:r w:rsidRPr="005756A5">
        <w:rPr>
          <w:sz w:val="20"/>
          <w:szCs w:val="20"/>
          <w:lang w:val="fr-CA"/>
        </w:rPr>
        <w:noBreakHyphen/>
        <w:t xml:space="preserve">26, n’est pas une question à l’égard de laquelle une preuve par affidavit peut être utile.  Cette règle n’est toutefois pas immuable.  Dans certains cas, il se peut que les autres éléments de la demande d’autorisation ne révèlent pas pourquoi, par exemple, la décision visée par la demande d’autorisation d’appel créerait un précédent inapplicable en pratique, ou risquerait d’avoir des répercussions négatives ou des conséquences jurisprudentielles insoupçonnées.  Toutefois, dans le présent dossier, les questions en litige sont claires.  L’entente de type </w:t>
      </w:r>
      <w:r w:rsidRPr="005756A5">
        <w:rPr>
          <w:i/>
          <w:sz w:val="20"/>
          <w:szCs w:val="20"/>
          <w:lang w:val="fr-CA"/>
        </w:rPr>
        <w:t>Mary Carter</w:t>
      </w:r>
      <w:r w:rsidRPr="005756A5">
        <w:rPr>
          <w:sz w:val="20"/>
          <w:szCs w:val="20"/>
          <w:lang w:val="fr-CA"/>
        </w:rPr>
        <w:t xml:space="preserve"> doit-elle être communiquée immédiatement et, le cas échéant, quelles seraient les conséquences du défaut de la communiquer?</w:t>
      </w:r>
    </w:p>
    <w:p w:rsidR="005756A5" w:rsidRPr="005756A5" w:rsidRDefault="005756A5" w:rsidP="005756A5">
      <w:pPr>
        <w:ind w:firstLine="720"/>
        <w:jc w:val="both"/>
        <w:rPr>
          <w:sz w:val="20"/>
          <w:szCs w:val="20"/>
          <w:lang w:val="fr-CA"/>
        </w:rPr>
      </w:pPr>
    </w:p>
    <w:p w:rsidR="005756A5" w:rsidRPr="005756A5" w:rsidRDefault="005756A5" w:rsidP="005756A5">
      <w:pPr>
        <w:jc w:val="both"/>
        <w:rPr>
          <w:sz w:val="20"/>
          <w:szCs w:val="20"/>
          <w:lang w:val="fr-CA"/>
        </w:rPr>
      </w:pPr>
      <w:r w:rsidRPr="005756A5">
        <w:rPr>
          <w:sz w:val="20"/>
          <w:szCs w:val="20"/>
          <w:lang w:val="fr-CA"/>
        </w:rPr>
        <w:lastRenderedPageBreak/>
        <w:t>[5]</w:t>
      </w:r>
      <w:r w:rsidRPr="005756A5">
        <w:rPr>
          <w:sz w:val="20"/>
          <w:szCs w:val="20"/>
          <w:lang w:val="fr-CA"/>
        </w:rPr>
        <w:tab/>
        <w:t xml:space="preserve">Les documents que la demanderesse désire déposer confirment simplement que les questions de droit en litige sont claires.  Le premier, affiché sur le site Web de l’Association du Barreau canadien (Ontario) (« ABCO ») ((J. </w:t>
      </w:r>
      <w:proofErr w:type="spellStart"/>
      <w:r w:rsidRPr="005756A5">
        <w:rPr>
          <w:sz w:val="20"/>
          <w:szCs w:val="20"/>
          <w:lang w:val="fr-CA"/>
        </w:rPr>
        <w:t>Aikins</w:t>
      </w:r>
      <w:proofErr w:type="spellEnd"/>
      <w:r w:rsidRPr="005756A5">
        <w:rPr>
          <w:sz w:val="20"/>
          <w:szCs w:val="20"/>
          <w:lang w:val="fr-CA"/>
        </w:rPr>
        <w:t>, « </w:t>
      </w:r>
      <w:proofErr w:type="spellStart"/>
      <w:r w:rsidRPr="005756A5">
        <w:rPr>
          <w:sz w:val="20"/>
          <w:szCs w:val="20"/>
          <w:lang w:val="fr-CA"/>
        </w:rPr>
        <w:t>Disclosure</w:t>
      </w:r>
      <w:proofErr w:type="spellEnd"/>
      <w:r w:rsidRPr="005756A5">
        <w:rPr>
          <w:sz w:val="20"/>
          <w:szCs w:val="20"/>
          <w:lang w:val="fr-CA"/>
        </w:rPr>
        <w:t xml:space="preserve"> of </w:t>
      </w:r>
      <w:proofErr w:type="spellStart"/>
      <w:r w:rsidRPr="005756A5">
        <w:rPr>
          <w:sz w:val="20"/>
          <w:szCs w:val="20"/>
          <w:lang w:val="fr-CA"/>
        </w:rPr>
        <w:t>Litigation</w:t>
      </w:r>
      <w:proofErr w:type="spellEnd"/>
      <w:r w:rsidRPr="005756A5">
        <w:rPr>
          <w:sz w:val="20"/>
          <w:szCs w:val="20"/>
          <w:lang w:val="fr-CA"/>
        </w:rPr>
        <w:t xml:space="preserve"> </w:t>
      </w:r>
      <w:proofErr w:type="spellStart"/>
      <w:r w:rsidRPr="005756A5">
        <w:rPr>
          <w:sz w:val="20"/>
          <w:szCs w:val="20"/>
          <w:lang w:val="fr-CA"/>
        </w:rPr>
        <w:t>Agreements</w:t>
      </w:r>
      <w:proofErr w:type="spellEnd"/>
      <w:r w:rsidRPr="005756A5">
        <w:rPr>
          <w:sz w:val="20"/>
          <w:szCs w:val="20"/>
          <w:lang w:val="fr-CA"/>
        </w:rPr>
        <w:t xml:space="preserve"> Must </w:t>
      </w:r>
      <w:proofErr w:type="spellStart"/>
      <w:r w:rsidRPr="005756A5">
        <w:rPr>
          <w:sz w:val="20"/>
          <w:szCs w:val="20"/>
          <w:lang w:val="fr-CA"/>
        </w:rPr>
        <w:t>be</w:t>
      </w:r>
      <w:proofErr w:type="spellEnd"/>
      <w:r w:rsidRPr="005756A5">
        <w:rPr>
          <w:sz w:val="20"/>
          <w:szCs w:val="20"/>
          <w:lang w:val="fr-CA"/>
        </w:rPr>
        <w:t xml:space="preserve"> ‘</w:t>
      </w:r>
      <w:proofErr w:type="spellStart"/>
      <w:r w:rsidRPr="005756A5">
        <w:rPr>
          <w:sz w:val="20"/>
          <w:szCs w:val="20"/>
          <w:lang w:val="fr-CA"/>
        </w:rPr>
        <w:t>Immediate</w:t>
      </w:r>
      <w:proofErr w:type="spellEnd"/>
      <w:r w:rsidRPr="005756A5">
        <w:rPr>
          <w:sz w:val="20"/>
          <w:szCs w:val="20"/>
          <w:lang w:val="fr-CA"/>
        </w:rPr>
        <w:t xml:space="preserve">’ », </w:t>
      </w:r>
      <w:proofErr w:type="spellStart"/>
      <w:r w:rsidRPr="005756A5">
        <w:rPr>
          <w:i/>
          <w:sz w:val="20"/>
          <w:szCs w:val="20"/>
          <w:lang w:val="fr-CA"/>
        </w:rPr>
        <w:t>Insurance</w:t>
      </w:r>
      <w:proofErr w:type="spellEnd"/>
      <w:r w:rsidRPr="005756A5">
        <w:rPr>
          <w:i/>
          <w:sz w:val="20"/>
          <w:szCs w:val="20"/>
          <w:lang w:val="fr-CA"/>
        </w:rPr>
        <w:t xml:space="preserve"> Law Section Newsletter</w:t>
      </w:r>
      <w:r w:rsidRPr="005756A5">
        <w:rPr>
          <w:sz w:val="20"/>
          <w:szCs w:val="20"/>
          <w:lang w:val="fr-CA"/>
        </w:rPr>
        <w:t>, vol. 21, n</w:t>
      </w:r>
      <w:r w:rsidRPr="005756A5">
        <w:rPr>
          <w:sz w:val="20"/>
          <w:szCs w:val="20"/>
          <w:vertAlign w:val="superscript"/>
          <w:lang w:val="fr-CA"/>
        </w:rPr>
        <w:t>o</w:t>
      </w:r>
      <w:r w:rsidRPr="005756A5">
        <w:rPr>
          <w:sz w:val="20"/>
          <w:szCs w:val="20"/>
          <w:lang w:val="fr-CA"/>
        </w:rPr>
        <w:t xml:space="preserve"> 2, Mars 2011 (en ligne)), mentionne que la décision que la demanderesse veut porter en appel énonce à nouveau la règle, bien établie en Ontario, selon laquelle les ententes de type </w:t>
      </w:r>
      <w:r w:rsidRPr="005756A5">
        <w:rPr>
          <w:i/>
          <w:sz w:val="20"/>
          <w:szCs w:val="20"/>
          <w:lang w:val="fr-CA"/>
        </w:rPr>
        <w:t>Mary Carter</w:t>
      </w:r>
      <w:r w:rsidRPr="005756A5">
        <w:rPr>
          <w:sz w:val="20"/>
          <w:szCs w:val="20"/>
          <w:lang w:val="fr-CA"/>
        </w:rPr>
        <w:t xml:space="preserve"> doivent être [TRADUCTION] « communiquées aux parties et au tribunal dès que l’entente est conclue » :  </w:t>
      </w:r>
      <w:proofErr w:type="spellStart"/>
      <w:r w:rsidRPr="005756A5">
        <w:rPr>
          <w:i/>
          <w:sz w:val="20"/>
          <w:szCs w:val="20"/>
          <w:lang w:val="fr-CA"/>
        </w:rPr>
        <w:t>Pettey</w:t>
      </w:r>
      <w:proofErr w:type="spellEnd"/>
      <w:r w:rsidRPr="005756A5">
        <w:rPr>
          <w:i/>
          <w:sz w:val="20"/>
          <w:szCs w:val="20"/>
          <w:lang w:val="fr-CA"/>
        </w:rPr>
        <w:t xml:space="preserve"> c. Avis Car Inc.</w:t>
      </w:r>
      <w:r w:rsidRPr="005756A5">
        <w:rPr>
          <w:sz w:val="20"/>
          <w:szCs w:val="20"/>
          <w:lang w:val="fr-CA"/>
        </w:rPr>
        <w:t xml:space="preserve"> (1993), 13 O.R. 3d 725 (Div. </w:t>
      </w:r>
      <w:proofErr w:type="spellStart"/>
      <w:r w:rsidRPr="005756A5">
        <w:rPr>
          <w:sz w:val="20"/>
          <w:szCs w:val="20"/>
          <w:lang w:val="fr-CA"/>
        </w:rPr>
        <w:t>gén</w:t>
      </w:r>
      <w:proofErr w:type="spellEnd"/>
      <w:r w:rsidRPr="005756A5">
        <w:rPr>
          <w:sz w:val="20"/>
          <w:szCs w:val="20"/>
          <w:lang w:val="fr-CA"/>
        </w:rPr>
        <w:t xml:space="preserve">.), p. 737.  Cette règle a été réitérée récemment par la Cour d’appel de l’Ontario dans l’arrêt </w:t>
      </w:r>
      <w:proofErr w:type="spellStart"/>
      <w:r w:rsidRPr="005756A5">
        <w:rPr>
          <w:i/>
          <w:sz w:val="20"/>
          <w:szCs w:val="20"/>
          <w:lang w:val="fr-CA"/>
        </w:rPr>
        <w:t>Laudon</w:t>
      </w:r>
      <w:proofErr w:type="spellEnd"/>
      <w:r w:rsidRPr="005756A5">
        <w:rPr>
          <w:i/>
          <w:sz w:val="20"/>
          <w:szCs w:val="20"/>
          <w:lang w:val="fr-CA"/>
        </w:rPr>
        <w:t xml:space="preserve"> c. Roberts</w:t>
      </w:r>
      <w:r w:rsidRPr="005756A5">
        <w:rPr>
          <w:sz w:val="20"/>
          <w:szCs w:val="20"/>
          <w:lang w:val="fr-CA"/>
        </w:rPr>
        <w:t xml:space="preserve">, 2009 ONCA 383, 66 C.C.L.T. (3d) 207, où elle a affirmé que [TRADUCTION] « l’existence d’une telle entente doit être révélée au tribunal et aux autres parties à l’instance dès sa conclusion » (par. 39).  Le document affiché sur le site Web de l’ABCO ne révèle aucune discordance dans la jurisprudence, ni aucun motif de politique générale ou jurisprudentiel valable, qui ne ressorte pas manifestement des documents déjà déposés, démontrant que la demande soulève une question de droit d’importance pour le public.  L’auteur s’interroge simplement sur le sens des mots « communication immédiate » et sur la façon dont les ententes de type </w:t>
      </w:r>
      <w:r w:rsidRPr="005756A5">
        <w:rPr>
          <w:i/>
          <w:sz w:val="20"/>
          <w:szCs w:val="20"/>
          <w:lang w:val="fr-CA"/>
        </w:rPr>
        <w:t>Mary Carter</w:t>
      </w:r>
      <w:r w:rsidRPr="005756A5">
        <w:rPr>
          <w:sz w:val="20"/>
          <w:szCs w:val="20"/>
          <w:lang w:val="fr-CA"/>
        </w:rPr>
        <w:t xml:space="preserve"> doivent être « communiquées au tribunal ».  J’estime que la notion de « communication immédiate » ne demande pas d’explication.  Son application dans un cas donné dépendra des faits qui lui sont propres.  Comme cela a été mentionné, dans le présent dossier, la demanderesse n’a jamais révélé l’existence de l’entente aux parties ou au tribunal </w:t>
      </w:r>
      <w:r w:rsidRPr="005756A5">
        <w:rPr>
          <w:i/>
          <w:sz w:val="20"/>
          <w:szCs w:val="20"/>
          <w:lang w:val="fr-CA"/>
        </w:rPr>
        <w:t>de son propre chef</w:t>
      </w:r>
      <w:r w:rsidRPr="005756A5">
        <w:rPr>
          <w:sz w:val="20"/>
          <w:szCs w:val="20"/>
          <w:lang w:val="fr-CA"/>
        </w:rPr>
        <w:t>.  La Cour d’appel a décidé qu’un sursis d’instance était justifié dans les circonstances.  La question procédurale de savoir comment une partie doit procéder pour communiquer une telle entente au tribunal (si elle décidait de la communiquer) ne soulève pas de question de droit d’importance pour le public qui devrait être tranchée par la Cour.</w:t>
      </w:r>
    </w:p>
    <w:p w:rsidR="005756A5" w:rsidRPr="005756A5" w:rsidRDefault="005756A5" w:rsidP="005756A5">
      <w:pPr>
        <w:jc w:val="both"/>
        <w:rPr>
          <w:sz w:val="20"/>
          <w:szCs w:val="20"/>
          <w:lang w:val="fr-CA"/>
        </w:rPr>
      </w:pPr>
    </w:p>
    <w:p w:rsidR="005756A5" w:rsidRPr="005756A5" w:rsidRDefault="005756A5" w:rsidP="005756A5">
      <w:pPr>
        <w:jc w:val="both"/>
        <w:rPr>
          <w:sz w:val="20"/>
          <w:szCs w:val="20"/>
          <w:lang w:val="fr-CA"/>
        </w:rPr>
      </w:pPr>
      <w:r w:rsidRPr="005756A5">
        <w:rPr>
          <w:sz w:val="20"/>
          <w:szCs w:val="20"/>
          <w:lang w:val="fr-CA"/>
        </w:rPr>
        <w:t>[6]</w:t>
      </w:r>
      <w:r w:rsidRPr="005756A5">
        <w:rPr>
          <w:sz w:val="20"/>
          <w:szCs w:val="20"/>
          <w:lang w:val="fr-CA"/>
        </w:rPr>
        <w:tab/>
        <w:t xml:space="preserve">Dans un autre document affiché sur le site Web de l’ABCO, un auteur différent affirme : « La décision dans l’affaire </w:t>
      </w:r>
      <w:proofErr w:type="spellStart"/>
      <w:r w:rsidRPr="005756A5">
        <w:rPr>
          <w:i/>
          <w:sz w:val="20"/>
          <w:szCs w:val="20"/>
          <w:lang w:val="fr-CA"/>
        </w:rPr>
        <w:t>Aecon</w:t>
      </w:r>
      <w:proofErr w:type="spellEnd"/>
      <w:r w:rsidRPr="005756A5">
        <w:rPr>
          <w:sz w:val="20"/>
          <w:szCs w:val="20"/>
          <w:lang w:val="fr-CA"/>
        </w:rPr>
        <w:t xml:space="preserve"> sert simplement à rappeler que la communication immédiate est nécessaire sur le plan de l’équité procédurale, afin que le tribunal puisse gérer correctement le processus judiciaire » (J. Caplan, « </w:t>
      </w:r>
      <w:proofErr w:type="spellStart"/>
      <w:r w:rsidRPr="005756A5">
        <w:rPr>
          <w:sz w:val="20"/>
          <w:szCs w:val="20"/>
          <w:lang w:val="fr-CA"/>
        </w:rPr>
        <w:t>Failure</w:t>
      </w:r>
      <w:proofErr w:type="spellEnd"/>
      <w:r w:rsidRPr="005756A5">
        <w:rPr>
          <w:sz w:val="20"/>
          <w:szCs w:val="20"/>
          <w:lang w:val="fr-CA"/>
        </w:rPr>
        <w:t xml:space="preserve"> to </w:t>
      </w:r>
      <w:proofErr w:type="spellStart"/>
      <w:r w:rsidRPr="005756A5">
        <w:rPr>
          <w:sz w:val="20"/>
          <w:szCs w:val="20"/>
          <w:lang w:val="fr-CA"/>
        </w:rPr>
        <w:t>Disclose</w:t>
      </w:r>
      <w:proofErr w:type="spellEnd"/>
      <w:r w:rsidRPr="005756A5">
        <w:rPr>
          <w:sz w:val="20"/>
          <w:szCs w:val="20"/>
          <w:lang w:val="fr-CA"/>
        </w:rPr>
        <w:t xml:space="preserve"> Mary Carter-type </w:t>
      </w:r>
      <w:proofErr w:type="spellStart"/>
      <w:r w:rsidRPr="005756A5">
        <w:rPr>
          <w:sz w:val="20"/>
          <w:szCs w:val="20"/>
          <w:lang w:val="fr-CA"/>
        </w:rPr>
        <w:t>Agreements</w:t>
      </w:r>
      <w:proofErr w:type="spellEnd"/>
      <w:r w:rsidRPr="005756A5">
        <w:rPr>
          <w:sz w:val="20"/>
          <w:szCs w:val="20"/>
          <w:lang w:val="fr-CA"/>
        </w:rPr>
        <w:t xml:space="preserve"> Can Have </w:t>
      </w:r>
      <w:proofErr w:type="spellStart"/>
      <w:r w:rsidRPr="005756A5">
        <w:rPr>
          <w:sz w:val="20"/>
          <w:szCs w:val="20"/>
          <w:lang w:val="fr-CA"/>
        </w:rPr>
        <w:t>Devastating</w:t>
      </w:r>
      <w:proofErr w:type="spellEnd"/>
      <w:r w:rsidRPr="005756A5">
        <w:rPr>
          <w:sz w:val="20"/>
          <w:szCs w:val="20"/>
          <w:lang w:val="fr-CA"/>
        </w:rPr>
        <w:t xml:space="preserve"> </w:t>
      </w:r>
      <w:proofErr w:type="spellStart"/>
      <w:r w:rsidRPr="005756A5">
        <w:rPr>
          <w:sz w:val="20"/>
          <w:szCs w:val="20"/>
          <w:lang w:val="fr-CA"/>
        </w:rPr>
        <w:t>Consequences</w:t>
      </w:r>
      <w:proofErr w:type="spellEnd"/>
      <w:r w:rsidRPr="005756A5">
        <w:rPr>
          <w:sz w:val="20"/>
          <w:szCs w:val="20"/>
          <w:lang w:val="fr-CA"/>
        </w:rPr>
        <w:t xml:space="preserve"> — The Ontario Court of </w:t>
      </w:r>
      <w:proofErr w:type="spellStart"/>
      <w:r w:rsidRPr="005756A5">
        <w:rPr>
          <w:sz w:val="20"/>
          <w:szCs w:val="20"/>
          <w:lang w:val="fr-CA"/>
        </w:rPr>
        <w:t>Appeal</w:t>
      </w:r>
      <w:proofErr w:type="spellEnd"/>
      <w:r w:rsidRPr="005756A5">
        <w:rPr>
          <w:sz w:val="20"/>
          <w:szCs w:val="20"/>
          <w:lang w:val="fr-CA"/>
        </w:rPr>
        <w:t xml:space="preserve"> </w:t>
      </w:r>
      <w:proofErr w:type="spellStart"/>
      <w:r w:rsidRPr="005756A5">
        <w:rPr>
          <w:sz w:val="20"/>
          <w:szCs w:val="20"/>
          <w:lang w:val="fr-CA"/>
        </w:rPr>
        <w:t>takes</w:t>
      </w:r>
      <w:proofErr w:type="spellEnd"/>
      <w:r w:rsidRPr="005756A5">
        <w:rPr>
          <w:sz w:val="20"/>
          <w:szCs w:val="20"/>
          <w:lang w:val="fr-CA"/>
        </w:rPr>
        <w:t xml:space="preserve"> a </w:t>
      </w:r>
      <w:proofErr w:type="spellStart"/>
      <w:r w:rsidRPr="005756A5">
        <w:rPr>
          <w:sz w:val="20"/>
          <w:szCs w:val="20"/>
          <w:lang w:val="fr-CA"/>
        </w:rPr>
        <w:t>Firm</w:t>
      </w:r>
      <w:proofErr w:type="spellEnd"/>
      <w:r w:rsidRPr="005756A5">
        <w:rPr>
          <w:sz w:val="20"/>
          <w:szCs w:val="20"/>
          <w:lang w:val="fr-CA"/>
        </w:rPr>
        <w:t xml:space="preserve"> Position », </w:t>
      </w:r>
      <w:r w:rsidRPr="005756A5">
        <w:rPr>
          <w:i/>
          <w:sz w:val="20"/>
          <w:szCs w:val="20"/>
          <w:lang w:val="fr-CA"/>
        </w:rPr>
        <w:t>Construction Law Section Newsletter</w:t>
      </w:r>
      <w:r w:rsidRPr="005756A5">
        <w:rPr>
          <w:sz w:val="20"/>
          <w:szCs w:val="20"/>
          <w:lang w:val="fr-CA"/>
        </w:rPr>
        <w:t>, vol. 25, n</w:t>
      </w:r>
      <w:r w:rsidRPr="005756A5">
        <w:rPr>
          <w:sz w:val="20"/>
          <w:szCs w:val="20"/>
          <w:vertAlign w:val="superscript"/>
          <w:lang w:val="fr-CA"/>
        </w:rPr>
        <w:t>o</w:t>
      </w:r>
      <w:r w:rsidRPr="005756A5">
        <w:rPr>
          <w:sz w:val="20"/>
          <w:szCs w:val="20"/>
          <w:lang w:val="fr-CA"/>
        </w:rPr>
        <w:t xml:space="preserve"> 3, Avril 2011 (en ligne)).  Ce document n’est, lui non plus, d’aucune utilité quant à la décision que nous devons rendre en vertu de l’art. 43.</w:t>
      </w:r>
    </w:p>
    <w:p w:rsidR="005756A5" w:rsidRPr="005756A5" w:rsidRDefault="005756A5" w:rsidP="005756A5">
      <w:pPr>
        <w:jc w:val="both"/>
        <w:rPr>
          <w:sz w:val="20"/>
          <w:szCs w:val="20"/>
          <w:lang w:val="fr-CA"/>
        </w:rPr>
      </w:pPr>
    </w:p>
    <w:p w:rsidR="005756A5" w:rsidRPr="005756A5" w:rsidRDefault="005756A5" w:rsidP="005756A5">
      <w:pPr>
        <w:jc w:val="both"/>
        <w:rPr>
          <w:sz w:val="20"/>
          <w:szCs w:val="20"/>
          <w:lang w:val="fr-CA"/>
        </w:rPr>
      </w:pPr>
      <w:r w:rsidRPr="005756A5">
        <w:rPr>
          <w:sz w:val="20"/>
          <w:szCs w:val="20"/>
          <w:lang w:val="fr-CA"/>
        </w:rPr>
        <w:t>[7]</w:t>
      </w:r>
      <w:r w:rsidRPr="005756A5">
        <w:rPr>
          <w:sz w:val="20"/>
          <w:szCs w:val="20"/>
          <w:lang w:val="fr-CA"/>
        </w:rPr>
        <w:tab/>
        <w:t>Les autres articles sont des comptes rendus ordinaires similaires de la décision de la Cour d’appel.  Ils tombent en général dans la catégorie des « Avis à la communauté juridique ».  L’auteur ajoute parfois un commentaire en guise de conclusion, par exemple : [</w:t>
      </w:r>
      <w:r w:rsidRPr="005756A5">
        <w:rPr>
          <w:smallCaps/>
          <w:sz w:val="20"/>
          <w:szCs w:val="20"/>
          <w:lang w:val="fr-CA"/>
        </w:rPr>
        <w:t xml:space="preserve">traduction] </w:t>
      </w:r>
      <w:r w:rsidRPr="005756A5">
        <w:rPr>
          <w:sz w:val="20"/>
          <w:szCs w:val="20"/>
          <w:lang w:val="fr-CA"/>
        </w:rPr>
        <w:t xml:space="preserve">« Quiconque envisage une entente de règlement partiel de quelque type que ce soit devrait examiner attentivement cette décision et prendre soin de prévoir et d’effectuer la communication immédiate de l’entente dès sa conclusion. »  </w:t>
      </w:r>
      <w:proofErr w:type="gramStart"/>
      <w:r w:rsidRPr="005756A5">
        <w:rPr>
          <w:sz w:val="20"/>
          <w:szCs w:val="20"/>
        </w:rPr>
        <w:t xml:space="preserve">(R. Squires, « Partial Settlement Agreements Must Be Immediately Disclosed », </w:t>
      </w:r>
      <w:r w:rsidRPr="005756A5">
        <w:rPr>
          <w:i/>
          <w:sz w:val="20"/>
          <w:szCs w:val="20"/>
        </w:rPr>
        <w:t xml:space="preserve">Borden </w:t>
      </w:r>
      <w:proofErr w:type="spellStart"/>
      <w:r w:rsidRPr="005756A5">
        <w:rPr>
          <w:i/>
          <w:sz w:val="20"/>
          <w:szCs w:val="20"/>
        </w:rPr>
        <w:t>Ladner</w:t>
      </w:r>
      <w:proofErr w:type="spellEnd"/>
      <w:r w:rsidRPr="005756A5">
        <w:rPr>
          <w:i/>
          <w:sz w:val="20"/>
          <w:szCs w:val="20"/>
        </w:rPr>
        <w:t xml:space="preserve"> </w:t>
      </w:r>
      <w:proofErr w:type="spellStart"/>
      <w:r w:rsidRPr="005756A5">
        <w:rPr>
          <w:i/>
          <w:sz w:val="20"/>
          <w:szCs w:val="20"/>
        </w:rPr>
        <w:t>Gervais</w:t>
      </w:r>
      <w:proofErr w:type="spellEnd"/>
      <w:r w:rsidRPr="005756A5">
        <w:rPr>
          <w:i/>
          <w:sz w:val="20"/>
          <w:szCs w:val="20"/>
        </w:rPr>
        <w:t xml:space="preserve"> Canadian Insurance Law Newsletter</w:t>
      </w:r>
      <w:r w:rsidRPr="005756A5">
        <w:rPr>
          <w:sz w:val="20"/>
          <w:szCs w:val="20"/>
        </w:rPr>
        <w:t xml:space="preserve">, </w:t>
      </w:r>
      <w:proofErr w:type="spellStart"/>
      <w:r w:rsidRPr="005756A5">
        <w:rPr>
          <w:sz w:val="20"/>
          <w:szCs w:val="20"/>
        </w:rPr>
        <w:t>printemps</w:t>
      </w:r>
      <w:proofErr w:type="spellEnd"/>
      <w:r w:rsidRPr="005756A5">
        <w:rPr>
          <w:sz w:val="20"/>
          <w:szCs w:val="20"/>
        </w:rPr>
        <w:t xml:space="preserve"> 2011 (en </w:t>
      </w:r>
      <w:proofErr w:type="spellStart"/>
      <w:r w:rsidRPr="005756A5">
        <w:rPr>
          <w:sz w:val="20"/>
          <w:szCs w:val="20"/>
        </w:rPr>
        <w:t>ligne</w:t>
      </w:r>
      <w:proofErr w:type="spellEnd"/>
      <w:r w:rsidRPr="005756A5">
        <w:rPr>
          <w:sz w:val="20"/>
          <w:szCs w:val="20"/>
        </w:rPr>
        <w:t>)).</w:t>
      </w:r>
      <w:proofErr w:type="gramEnd"/>
      <w:r w:rsidRPr="005756A5">
        <w:rPr>
          <w:sz w:val="20"/>
          <w:szCs w:val="20"/>
        </w:rPr>
        <w:t xml:space="preserve">  </w:t>
      </w:r>
      <w:r w:rsidRPr="005756A5">
        <w:rPr>
          <w:sz w:val="20"/>
          <w:szCs w:val="20"/>
          <w:lang w:val="fr-CA"/>
        </w:rPr>
        <w:t>Personne ne met en doute la concordance de la règle énoncée par la Cour d’appel avec sa jurisprudence antérieure, ni ne prétend qu’il n’était pas possible, en droit, d’accorder une réparation pour abus de procédure.</w:t>
      </w:r>
    </w:p>
    <w:p w:rsidR="005756A5" w:rsidRPr="005756A5" w:rsidRDefault="005756A5" w:rsidP="005756A5">
      <w:pPr>
        <w:jc w:val="both"/>
        <w:rPr>
          <w:sz w:val="20"/>
          <w:szCs w:val="20"/>
          <w:lang w:val="fr-CA"/>
        </w:rPr>
      </w:pPr>
    </w:p>
    <w:p w:rsidR="005756A5" w:rsidRPr="005756A5" w:rsidRDefault="005756A5" w:rsidP="005756A5">
      <w:pPr>
        <w:jc w:val="both"/>
        <w:rPr>
          <w:sz w:val="20"/>
          <w:szCs w:val="20"/>
          <w:lang w:val="fr-CA"/>
        </w:rPr>
      </w:pPr>
      <w:r w:rsidRPr="005756A5">
        <w:rPr>
          <w:sz w:val="20"/>
          <w:szCs w:val="20"/>
          <w:lang w:val="fr-CA"/>
        </w:rPr>
        <w:t>[8]</w:t>
      </w:r>
      <w:r w:rsidRPr="005756A5">
        <w:rPr>
          <w:sz w:val="20"/>
          <w:szCs w:val="20"/>
          <w:lang w:val="fr-CA"/>
        </w:rPr>
        <w:tab/>
        <w:t>C’est à la formation de la Cour qui examinera la demande d’autorisation qu’il reviendra de trancher la question de savoir si la règle elle-même soulève une question de droit d’importance pour le public.  Les documents que la demanderesse désire déposer ne sont d’aucun secours à cet égard.</w:t>
      </w:r>
    </w:p>
    <w:p w:rsidR="005756A5" w:rsidRPr="005756A5" w:rsidRDefault="005756A5" w:rsidP="005756A5">
      <w:pPr>
        <w:jc w:val="both"/>
        <w:rPr>
          <w:sz w:val="20"/>
          <w:szCs w:val="20"/>
          <w:lang w:val="fr-CA"/>
        </w:rPr>
      </w:pPr>
    </w:p>
    <w:p w:rsidR="005756A5" w:rsidRPr="005756A5" w:rsidRDefault="005756A5" w:rsidP="005756A5">
      <w:pPr>
        <w:jc w:val="both"/>
        <w:rPr>
          <w:sz w:val="20"/>
          <w:szCs w:val="20"/>
          <w:lang w:val="fr-CA"/>
        </w:rPr>
      </w:pPr>
      <w:r w:rsidRPr="005756A5">
        <w:rPr>
          <w:sz w:val="20"/>
          <w:szCs w:val="20"/>
          <w:lang w:val="fr-CA"/>
        </w:rPr>
        <w:t>[9]</w:t>
      </w:r>
      <w:r w:rsidRPr="005756A5">
        <w:rPr>
          <w:sz w:val="20"/>
          <w:szCs w:val="20"/>
          <w:lang w:val="fr-CA"/>
        </w:rPr>
        <w:tab/>
        <w:t>L’avocat de la défenderesse a avisé la Cour qu’il ne prend pas position concernant la requête en présentation de nouveaux éléments de preuve, sans doute parce que cette preuve n’est ni utile ni préjudiciable.</w:t>
      </w:r>
    </w:p>
    <w:p w:rsidR="005756A5" w:rsidRPr="005756A5" w:rsidRDefault="005756A5" w:rsidP="005756A5">
      <w:pPr>
        <w:jc w:val="both"/>
        <w:rPr>
          <w:sz w:val="20"/>
          <w:szCs w:val="20"/>
          <w:lang w:val="fr-CA"/>
        </w:rPr>
      </w:pPr>
    </w:p>
    <w:p w:rsidR="005756A5" w:rsidRPr="005756A5" w:rsidRDefault="005756A5" w:rsidP="005756A5">
      <w:pPr>
        <w:jc w:val="both"/>
        <w:rPr>
          <w:sz w:val="20"/>
          <w:szCs w:val="20"/>
          <w:lang w:val="fr-CA"/>
        </w:rPr>
      </w:pPr>
      <w:r w:rsidRPr="005756A5">
        <w:rPr>
          <w:sz w:val="20"/>
          <w:szCs w:val="20"/>
          <w:lang w:val="fr-CA"/>
        </w:rPr>
        <w:t>[10]</w:t>
      </w:r>
      <w:r w:rsidRPr="005756A5">
        <w:rPr>
          <w:sz w:val="20"/>
          <w:szCs w:val="20"/>
          <w:lang w:val="fr-CA"/>
        </w:rPr>
        <w:tab/>
        <w:t>Je suis d’avis de rejeter la requête en vue de présenter de nouveaux éléments de preuve relativement à la demande d’autorisation d’appel, sans dépens.</w:t>
      </w:r>
    </w:p>
    <w:p w:rsidR="00D64901" w:rsidRPr="005756A5" w:rsidRDefault="00D64901" w:rsidP="00D64901">
      <w:pPr>
        <w:jc w:val="both"/>
        <w:rPr>
          <w:sz w:val="20"/>
          <w:szCs w:val="20"/>
          <w:lang w:val="fr-CA"/>
        </w:rPr>
      </w:pPr>
    </w:p>
    <w:p w:rsidR="00D64901" w:rsidRPr="00C50A5C" w:rsidRDefault="00547297" w:rsidP="00D64901">
      <w:pPr>
        <w:jc w:val="both"/>
        <w:rPr>
          <w:sz w:val="20"/>
          <w:szCs w:val="20"/>
        </w:rPr>
      </w:pPr>
      <w:r w:rsidRPr="00547297">
        <w:rPr>
          <w:sz w:val="20"/>
          <w:szCs w:val="20"/>
        </w:rPr>
        <w:pict>
          <v:rect id="_x0000_i1057" style="width:2in;height:1pt" o:hrpct="0" o:hralign="center" o:hrstd="t" o:hrnoshade="t" o:hr="t" fillcolor="black" stroked="f"/>
        </w:pict>
      </w:r>
    </w:p>
    <w:p w:rsidR="00D64901" w:rsidRDefault="00D64901" w:rsidP="00890FEB">
      <w:pPr>
        <w:rPr>
          <w:b/>
          <w:sz w:val="20"/>
          <w:szCs w:val="20"/>
          <w:lang w:val="fr-CA"/>
        </w:rPr>
      </w:pPr>
    </w:p>
    <w:p w:rsidR="00890FEB" w:rsidRPr="00C50A5C" w:rsidRDefault="00890FEB" w:rsidP="00C50A5C">
      <w:pPr>
        <w:jc w:val="both"/>
        <w:rPr>
          <w:sz w:val="20"/>
          <w:szCs w:val="20"/>
        </w:rPr>
      </w:pPr>
    </w:p>
    <w:p w:rsidR="00890FEB" w:rsidRPr="00C50A5C" w:rsidRDefault="00890FEB" w:rsidP="00890FEB">
      <w:pPr>
        <w:spacing w:line="0" w:lineRule="atLeast"/>
        <w:rPr>
          <w:sz w:val="20"/>
          <w:szCs w:val="20"/>
          <w:lang w:val="fr-CA"/>
        </w:rPr>
      </w:pPr>
    </w:p>
    <w:p w:rsidR="00890FEB" w:rsidRPr="00C50A5C" w:rsidRDefault="00890FEB" w:rsidP="00890FEB">
      <w:pPr>
        <w:spacing w:line="0" w:lineRule="atLeast"/>
        <w:rPr>
          <w:sz w:val="20"/>
          <w:szCs w:val="20"/>
          <w:lang w:val="fr-CA"/>
        </w:rPr>
        <w:sectPr w:rsidR="00890FEB" w:rsidRPr="00C50A5C" w:rsidSect="00890FEB">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E75BC6" w:rsidRPr="00E75BC6" w:rsidRDefault="00E75BC6" w:rsidP="00E75BC6">
      <w:pPr>
        <w:jc w:val="both"/>
        <w:rPr>
          <w:rFonts w:eastAsia="Times New Roman" w:cs="Times New Roman"/>
          <w:sz w:val="20"/>
          <w:szCs w:val="20"/>
          <w:lang w:val="fr-CA" w:eastAsia="en-CA"/>
        </w:rPr>
      </w:pPr>
      <w:r w:rsidRPr="00E75BC6">
        <w:rPr>
          <w:rFonts w:eastAsia="Times New Roman" w:cs="Times New Roman"/>
          <w:sz w:val="20"/>
          <w:szCs w:val="20"/>
          <w:lang w:val="fr-CA" w:eastAsia="en-CA"/>
        </w:rPr>
        <w:t>31.05.2011</w:t>
      </w:r>
    </w:p>
    <w:p w:rsidR="00E75BC6" w:rsidRPr="00E75BC6" w:rsidRDefault="00E75BC6" w:rsidP="00E75BC6">
      <w:pPr>
        <w:tabs>
          <w:tab w:val="left" w:pos="-1440"/>
          <w:tab w:val="left" w:pos="-720"/>
        </w:tabs>
        <w:jc w:val="both"/>
        <w:rPr>
          <w:rFonts w:eastAsia="Times New Roman" w:cs="Times New Roman"/>
          <w:sz w:val="20"/>
          <w:szCs w:val="20"/>
          <w:lang w:val="fr-CA" w:eastAsia="en-CA"/>
        </w:rPr>
      </w:pPr>
    </w:p>
    <w:p w:rsidR="00E75BC6" w:rsidRPr="00E75BC6" w:rsidRDefault="00E75BC6" w:rsidP="00E75BC6">
      <w:pPr>
        <w:tabs>
          <w:tab w:val="left" w:pos="-1440"/>
          <w:tab w:val="left" w:pos="-720"/>
        </w:tabs>
        <w:jc w:val="both"/>
        <w:rPr>
          <w:rFonts w:eastAsia="Times New Roman" w:cs="Times New Roman"/>
          <w:sz w:val="20"/>
          <w:szCs w:val="20"/>
          <w:lang w:eastAsia="en-CA"/>
        </w:rPr>
      </w:pPr>
      <w:r w:rsidRPr="00E75BC6">
        <w:rPr>
          <w:rFonts w:eastAsia="Times New Roman" w:cs="Times New Roman"/>
          <w:sz w:val="20"/>
          <w:szCs w:val="20"/>
          <w:lang w:eastAsia="en-CA"/>
        </w:rPr>
        <w:t xml:space="preserve">Before / </w:t>
      </w:r>
      <w:proofErr w:type="spellStart"/>
      <w:proofErr w:type="gramStart"/>
      <w:r w:rsidRPr="00E75BC6">
        <w:rPr>
          <w:rFonts w:eastAsia="Times New Roman" w:cs="Times New Roman"/>
          <w:sz w:val="20"/>
          <w:szCs w:val="20"/>
          <w:lang w:eastAsia="en-CA"/>
        </w:rPr>
        <w:t>Devant</w:t>
      </w:r>
      <w:proofErr w:type="spellEnd"/>
      <w:r w:rsidRPr="00E75BC6">
        <w:rPr>
          <w:rFonts w:eastAsia="Times New Roman" w:cs="Times New Roman"/>
          <w:sz w:val="20"/>
          <w:szCs w:val="20"/>
          <w:lang w:eastAsia="en-CA"/>
        </w:rPr>
        <w:t xml:space="preserve"> :</w:t>
      </w:r>
      <w:proofErr w:type="gramEnd"/>
      <w:r w:rsidRPr="00E75BC6">
        <w:rPr>
          <w:rFonts w:eastAsia="Times New Roman" w:cs="Times New Roman"/>
          <w:sz w:val="20"/>
          <w:szCs w:val="20"/>
          <w:lang w:eastAsia="en-CA"/>
        </w:rPr>
        <w:t xml:space="preserve">   THE REGISTRAR / LE REGISTRAIRE</w:t>
      </w:r>
    </w:p>
    <w:p w:rsidR="00E75BC6" w:rsidRPr="00E75BC6" w:rsidRDefault="00E75BC6" w:rsidP="00E75BC6">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75BC6" w:rsidRPr="002D1834" w:rsidTr="007F2048">
        <w:tc>
          <w:tcPr>
            <w:tcW w:w="4338" w:type="dxa"/>
          </w:tcPr>
          <w:p w:rsidR="00E75BC6" w:rsidRPr="00E75BC6" w:rsidRDefault="00E75BC6" w:rsidP="00E75BC6">
            <w:pPr>
              <w:tabs>
                <w:tab w:val="left" w:pos="-1440"/>
                <w:tab w:val="left" w:pos="-720"/>
              </w:tabs>
              <w:jc w:val="both"/>
              <w:rPr>
                <w:b/>
                <w:bCs/>
                <w:lang w:val="en-US"/>
              </w:rPr>
            </w:pPr>
            <w:r w:rsidRPr="00E75BC6">
              <w:rPr>
                <w:b/>
                <w:bCs/>
                <w:lang w:val="en-US"/>
              </w:rPr>
              <w:t>Request to file a lengthy factum and to present a lengthy oral argument at the hearing of the appeal</w:t>
            </w:r>
          </w:p>
          <w:p w:rsidR="00E75BC6" w:rsidRPr="00E75BC6" w:rsidRDefault="00E75BC6" w:rsidP="00E75BC6">
            <w:pPr>
              <w:tabs>
                <w:tab w:val="left" w:pos="-1440"/>
                <w:tab w:val="left" w:pos="-720"/>
              </w:tabs>
              <w:jc w:val="both"/>
              <w:rPr>
                <w:b/>
                <w:lang w:val="en-US"/>
              </w:rPr>
            </w:pPr>
          </w:p>
        </w:tc>
        <w:tc>
          <w:tcPr>
            <w:tcW w:w="1170" w:type="dxa"/>
          </w:tcPr>
          <w:p w:rsidR="00E75BC6" w:rsidRPr="00E75BC6" w:rsidRDefault="00E75BC6" w:rsidP="00E75BC6">
            <w:pPr>
              <w:tabs>
                <w:tab w:val="left" w:pos="-1440"/>
                <w:tab w:val="left" w:pos="-720"/>
              </w:tabs>
              <w:jc w:val="both"/>
              <w:rPr>
                <w:lang w:val="en-US"/>
              </w:rPr>
            </w:pPr>
          </w:p>
          <w:p w:rsidR="00E75BC6" w:rsidRPr="00E75BC6" w:rsidRDefault="00E75BC6" w:rsidP="00E75BC6">
            <w:pPr>
              <w:tabs>
                <w:tab w:val="left" w:pos="-1440"/>
                <w:tab w:val="left" w:pos="-720"/>
              </w:tabs>
              <w:jc w:val="both"/>
              <w:rPr>
                <w:lang w:val="en-US"/>
              </w:rPr>
            </w:pPr>
          </w:p>
        </w:tc>
        <w:tc>
          <w:tcPr>
            <w:tcW w:w="4327" w:type="dxa"/>
          </w:tcPr>
          <w:p w:rsidR="00E75BC6" w:rsidRPr="00E75BC6" w:rsidRDefault="00E75BC6" w:rsidP="00E75BC6">
            <w:pPr>
              <w:tabs>
                <w:tab w:val="left" w:pos="-1440"/>
                <w:tab w:val="left" w:pos="-720"/>
              </w:tabs>
              <w:jc w:val="both"/>
              <w:rPr>
                <w:b/>
                <w:bCs/>
                <w:lang w:val="fr-CA"/>
              </w:rPr>
            </w:pPr>
            <w:r w:rsidRPr="00E75BC6">
              <w:rPr>
                <w:b/>
                <w:bCs/>
                <w:lang w:val="fr-CA"/>
              </w:rPr>
              <w:t xml:space="preserve">Demande en vue de déposer un mémoire volumineux et de présenter une plaidoirie orale prolongée lors de l’audition de l’appel </w:t>
            </w:r>
          </w:p>
          <w:p w:rsidR="00E75BC6" w:rsidRPr="00E75BC6" w:rsidRDefault="00547297" w:rsidP="00E75BC6">
            <w:pPr>
              <w:tabs>
                <w:tab w:val="left" w:pos="-1440"/>
                <w:tab w:val="left" w:pos="-720"/>
              </w:tabs>
              <w:jc w:val="both"/>
              <w:rPr>
                <w:b/>
                <w:lang w:val="fr-CA"/>
              </w:rPr>
            </w:pPr>
            <w:r w:rsidRPr="00E75BC6">
              <w:rPr>
                <w:b/>
                <w:lang w:val="en-US"/>
              </w:rPr>
              <w:fldChar w:fldCharType="begin"/>
            </w:r>
            <w:r w:rsidR="00E75BC6" w:rsidRPr="00E75BC6">
              <w:rPr>
                <w:b/>
                <w:lang w:val="fr-CA"/>
              </w:rPr>
              <w:instrText xml:space="preserve"> SEQ CHAPTER \h \r 1</w:instrText>
            </w:r>
            <w:r w:rsidRPr="00E75BC6">
              <w:rPr>
                <w:b/>
                <w:lang w:val="en-US"/>
              </w:rPr>
              <w:fldChar w:fldCharType="end"/>
            </w:r>
          </w:p>
        </w:tc>
      </w:tr>
      <w:tr w:rsidR="00E75BC6" w:rsidRPr="00E75BC6" w:rsidTr="007F2048">
        <w:tc>
          <w:tcPr>
            <w:tcW w:w="4338" w:type="dxa"/>
          </w:tcPr>
          <w:p w:rsidR="00E75BC6" w:rsidRPr="00E75BC6" w:rsidRDefault="00E75BC6" w:rsidP="00E75BC6">
            <w:pPr>
              <w:tabs>
                <w:tab w:val="left" w:pos="-1440"/>
                <w:tab w:val="left" w:pos="-720"/>
              </w:tabs>
              <w:jc w:val="both"/>
              <w:rPr>
                <w:lang w:val="fr-CA"/>
              </w:rPr>
            </w:pPr>
            <w:r w:rsidRPr="00E75BC6">
              <w:rPr>
                <w:lang w:val="fr-CA"/>
              </w:rPr>
              <w:t>Sa Majesté la Reine et autre</w:t>
            </w:r>
          </w:p>
          <w:p w:rsidR="00E75BC6" w:rsidRPr="00E75BC6" w:rsidRDefault="00E75BC6" w:rsidP="00E75BC6">
            <w:pPr>
              <w:tabs>
                <w:tab w:val="left" w:pos="-1440"/>
                <w:tab w:val="left" w:pos="-720"/>
              </w:tabs>
              <w:jc w:val="both"/>
              <w:rPr>
                <w:lang w:val="fr-CA"/>
              </w:rPr>
            </w:pPr>
          </w:p>
          <w:p w:rsidR="00E75BC6" w:rsidRPr="00E75BC6" w:rsidRDefault="00E75BC6" w:rsidP="00E75BC6">
            <w:pPr>
              <w:tabs>
                <w:tab w:val="left" w:pos="-1440"/>
                <w:tab w:val="left" w:pos="-720"/>
              </w:tabs>
              <w:jc w:val="both"/>
              <w:rPr>
                <w:lang w:val="fr-CA"/>
              </w:rPr>
            </w:pPr>
            <w:r w:rsidRPr="00E75BC6">
              <w:rPr>
                <w:lang w:val="fr-CA"/>
              </w:rPr>
              <w:tab/>
              <w:t>c. (33970)</w:t>
            </w:r>
          </w:p>
          <w:p w:rsidR="00E75BC6" w:rsidRPr="00E75BC6" w:rsidRDefault="00E75BC6" w:rsidP="00E75BC6">
            <w:pPr>
              <w:tabs>
                <w:tab w:val="left" w:pos="-1440"/>
                <w:tab w:val="left" w:pos="-720"/>
              </w:tabs>
              <w:jc w:val="both"/>
              <w:rPr>
                <w:lang w:val="fr-CA"/>
              </w:rPr>
            </w:pPr>
          </w:p>
          <w:p w:rsidR="00E75BC6" w:rsidRPr="00E75BC6" w:rsidRDefault="00E75BC6" w:rsidP="00E75BC6">
            <w:pPr>
              <w:tabs>
                <w:tab w:val="left" w:pos="-1440"/>
                <w:tab w:val="left" w:pos="-720"/>
              </w:tabs>
              <w:jc w:val="both"/>
              <w:rPr>
                <w:lang w:val="fr-CA"/>
              </w:rPr>
            </w:pPr>
            <w:proofErr w:type="spellStart"/>
            <w:r w:rsidRPr="00E75BC6">
              <w:rPr>
                <w:lang w:val="fr-CA"/>
              </w:rPr>
              <w:t>Anic</w:t>
            </w:r>
            <w:proofErr w:type="spellEnd"/>
            <w:r w:rsidRPr="00E75BC6">
              <w:rPr>
                <w:lang w:val="fr-CA"/>
              </w:rPr>
              <w:t xml:space="preserve"> St-</w:t>
            </w:r>
            <w:proofErr w:type="spellStart"/>
            <w:r w:rsidRPr="00E75BC6">
              <w:rPr>
                <w:lang w:val="fr-CA"/>
              </w:rPr>
              <w:t>Onge</w:t>
            </w:r>
            <w:proofErr w:type="spellEnd"/>
            <w:r w:rsidRPr="00E75BC6">
              <w:rPr>
                <w:lang w:val="fr-CA"/>
              </w:rPr>
              <w:t xml:space="preserve"> Lamoureux (</w:t>
            </w:r>
            <w:proofErr w:type="spellStart"/>
            <w:r w:rsidRPr="00E75BC6">
              <w:rPr>
                <w:lang w:val="fr-CA"/>
              </w:rPr>
              <w:t>Crim</w:t>
            </w:r>
            <w:proofErr w:type="spellEnd"/>
            <w:r w:rsidRPr="00E75BC6">
              <w:rPr>
                <w:lang w:val="fr-CA"/>
              </w:rPr>
              <w:t>.) (</w:t>
            </w:r>
            <w:proofErr w:type="spellStart"/>
            <w:r w:rsidRPr="00E75BC6">
              <w:rPr>
                <w:lang w:val="fr-CA"/>
              </w:rPr>
              <w:t>Qc</w:t>
            </w:r>
            <w:proofErr w:type="spellEnd"/>
            <w:r w:rsidRPr="00E75BC6">
              <w:rPr>
                <w:lang w:val="fr-CA"/>
              </w:rPr>
              <w:t>)</w:t>
            </w:r>
          </w:p>
        </w:tc>
        <w:tc>
          <w:tcPr>
            <w:tcW w:w="1170" w:type="dxa"/>
          </w:tcPr>
          <w:p w:rsidR="00E75BC6" w:rsidRPr="00E75BC6" w:rsidRDefault="00E75BC6" w:rsidP="00E75BC6">
            <w:pPr>
              <w:tabs>
                <w:tab w:val="left" w:pos="-1440"/>
                <w:tab w:val="left" w:pos="-720"/>
              </w:tabs>
              <w:jc w:val="both"/>
              <w:rPr>
                <w:lang w:val="fr-CA"/>
              </w:rPr>
            </w:pPr>
          </w:p>
        </w:tc>
        <w:tc>
          <w:tcPr>
            <w:tcW w:w="4327" w:type="dxa"/>
          </w:tcPr>
          <w:p w:rsidR="00E75BC6" w:rsidRPr="00E75BC6" w:rsidRDefault="00E75BC6" w:rsidP="00E75BC6">
            <w:pPr>
              <w:tabs>
                <w:tab w:val="left" w:pos="-1440"/>
                <w:tab w:val="left" w:pos="-720"/>
              </w:tabs>
              <w:jc w:val="both"/>
              <w:rPr>
                <w:lang w:val="fr-CA"/>
              </w:rPr>
            </w:pPr>
          </w:p>
        </w:tc>
      </w:tr>
    </w:tbl>
    <w:p w:rsidR="00E75BC6" w:rsidRPr="00E75BC6" w:rsidRDefault="00E75BC6" w:rsidP="00E75BC6">
      <w:pPr>
        <w:tabs>
          <w:tab w:val="left" w:pos="-1440"/>
          <w:tab w:val="left" w:pos="-720"/>
        </w:tabs>
        <w:jc w:val="both"/>
        <w:rPr>
          <w:rFonts w:eastAsia="Times New Roman" w:cs="Times New Roman"/>
          <w:sz w:val="20"/>
          <w:szCs w:val="20"/>
          <w:lang w:val="fr-CA" w:eastAsia="en-CA"/>
        </w:rPr>
      </w:pPr>
    </w:p>
    <w:p w:rsidR="00E75BC6" w:rsidRPr="00E75BC6" w:rsidRDefault="00E75BC6" w:rsidP="00E75BC6">
      <w:pPr>
        <w:tabs>
          <w:tab w:val="left" w:pos="-1440"/>
          <w:tab w:val="left" w:pos="-720"/>
        </w:tabs>
        <w:jc w:val="both"/>
        <w:rPr>
          <w:rFonts w:eastAsia="Times New Roman" w:cs="Times New Roman"/>
          <w:b/>
          <w:sz w:val="20"/>
          <w:szCs w:val="20"/>
          <w:lang w:val="fr-CA" w:eastAsia="en-CA"/>
        </w:rPr>
      </w:pPr>
      <w:r w:rsidRPr="00E75BC6">
        <w:rPr>
          <w:rFonts w:eastAsia="Times New Roman" w:cs="Times New Roman"/>
          <w:b/>
          <w:sz w:val="20"/>
          <w:szCs w:val="20"/>
          <w:lang w:val="fr-CA" w:eastAsia="en-CA"/>
        </w:rPr>
        <w:t>GRANTED / ACCORDÉE</w:t>
      </w:r>
    </w:p>
    <w:p w:rsidR="00E75BC6" w:rsidRPr="00E75BC6" w:rsidRDefault="00E75BC6" w:rsidP="00E75BC6">
      <w:pPr>
        <w:tabs>
          <w:tab w:val="left" w:pos="-1440"/>
          <w:tab w:val="left" w:pos="-720"/>
        </w:tabs>
        <w:jc w:val="both"/>
        <w:rPr>
          <w:rFonts w:eastAsia="Times New Roman" w:cs="Times New Roman"/>
          <w:sz w:val="20"/>
          <w:szCs w:val="20"/>
          <w:lang w:val="fr-CA" w:eastAsia="en-CA"/>
        </w:rPr>
      </w:pPr>
    </w:p>
    <w:p w:rsidR="00E75BC6" w:rsidRPr="00E75BC6" w:rsidRDefault="00E75BC6" w:rsidP="00E75BC6">
      <w:pPr>
        <w:jc w:val="both"/>
        <w:rPr>
          <w:rFonts w:eastAsia="Times New Roman" w:cs="Times New Roman"/>
          <w:bCs/>
          <w:sz w:val="20"/>
          <w:szCs w:val="20"/>
          <w:lang w:val="fr-CA" w:eastAsia="en-CA"/>
        </w:rPr>
      </w:pPr>
      <w:r w:rsidRPr="00E75BC6">
        <w:rPr>
          <w:rFonts w:eastAsia="Times New Roman" w:cs="Times New Roman"/>
          <w:b/>
          <w:bCs/>
          <w:sz w:val="20"/>
          <w:szCs w:val="20"/>
          <w:lang w:val="fr-CA" w:eastAsia="en-CA"/>
        </w:rPr>
        <w:t>À LA SUITE D</w:t>
      </w:r>
      <w:r w:rsidRPr="00E75BC6">
        <w:rPr>
          <w:rFonts w:eastAsia="Times New Roman" w:cs="Times New Roman"/>
          <w:b/>
          <w:bCs/>
          <w:sz w:val="20"/>
          <w:szCs w:val="20"/>
          <w:lang w:val="fr-CA" w:eastAsia="en-CA"/>
        </w:rPr>
        <w:sym w:font="WP TypographicSymbols" w:char="003D"/>
      </w:r>
      <w:r w:rsidRPr="00E75BC6">
        <w:rPr>
          <w:rFonts w:eastAsia="Times New Roman" w:cs="Times New Roman"/>
          <w:b/>
          <w:bCs/>
          <w:sz w:val="20"/>
          <w:szCs w:val="20"/>
          <w:lang w:val="fr-CA" w:eastAsia="en-CA"/>
        </w:rPr>
        <w:t xml:space="preserve">UNE DEMANDE </w:t>
      </w:r>
      <w:r w:rsidRPr="00E75BC6">
        <w:rPr>
          <w:rFonts w:eastAsia="Times New Roman" w:cs="Times New Roman"/>
          <w:sz w:val="20"/>
          <w:szCs w:val="20"/>
          <w:lang w:val="fr-CA" w:eastAsia="en-CA"/>
        </w:rPr>
        <w:t>de l</w:t>
      </w:r>
      <w:r w:rsidRPr="00E75BC6">
        <w:rPr>
          <w:rFonts w:eastAsia="Times New Roman" w:cs="Times New Roman"/>
          <w:sz w:val="20"/>
          <w:szCs w:val="20"/>
          <w:lang w:val="fr-CA" w:eastAsia="en-CA"/>
        </w:rPr>
        <w:sym w:font="WP TypographicSymbols" w:char="003D"/>
      </w:r>
      <w:r w:rsidRPr="00E75BC6">
        <w:rPr>
          <w:rFonts w:eastAsia="Times New Roman" w:cs="Times New Roman"/>
          <w:sz w:val="20"/>
          <w:szCs w:val="20"/>
          <w:lang w:val="fr-CA" w:eastAsia="en-CA"/>
        </w:rPr>
        <w:t xml:space="preserve">intervenante </w:t>
      </w:r>
      <w:r w:rsidRPr="00E75BC6">
        <w:rPr>
          <w:rFonts w:eastAsia="Times New Roman" w:cs="Times New Roman"/>
          <w:bCs/>
          <w:sz w:val="20"/>
          <w:szCs w:val="20"/>
          <w:lang w:val="fr-CA" w:eastAsia="en-CA"/>
        </w:rPr>
        <w:t>Association québécoise des avocats et avocates de la défense;</w:t>
      </w:r>
    </w:p>
    <w:p w:rsidR="00E75BC6" w:rsidRPr="00E75BC6" w:rsidRDefault="00E75BC6" w:rsidP="00E75BC6">
      <w:pPr>
        <w:jc w:val="both"/>
        <w:rPr>
          <w:rFonts w:eastAsia="Times New Roman" w:cs="Times New Roman"/>
          <w:bCs/>
          <w:sz w:val="20"/>
          <w:szCs w:val="20"/>
          <w:lang w:val="fr-CA" w:eastAsia="en-CA"/>
        </w:rPr>
      </w:pPr>
    </w:p>
    <w:p w:rsidR="00E75BC6" w:rsidRPr="00E75BC6" w:rsidRDefault="00E75BC6" w:rsidP="00E75BC6">
      <w:pPr>
        <w:jc w:val="both"/>
        <w:rPr>
          <w:rFonts w:eastAsia="Times New Roman" w:cs="Times New Roman"/>
          <w:sz w:val="20"/>
          <w:szCs w:val="20"/>
          <w:lang w:val="fr-CA" w:eastAsia="en-CA"/>
        </w:rPr>
      </w:pPr>
      <w:r w:rsidRPr="00E75BC6">
        <w:rPr>
          <w:rFonts w:eastAsia="Times New Roman" w:cs="Times New Roman"/>
          <w:b/>
          <w:sz w:val="20"/>
          <w:szCs w:val="20"/>
          <w:lang w:val="fr-CA" w:eastAsia="en-CA"/>
        </w:rPr>
        <w:t>COMPTE TENU</w:t>
      </w:r>
      <w:r w:rsidRPr="00E75BC6">
        <w:rPr>
          <w:rFonts w:eastAsia="Times New Roman" w:cs="Times New Roman"/>
          <w:sz w:val="20"/>
          <w:szCs w:val="20"/>
          <w:lang w:val="fr-CA" w:eastAsia="en-CA"/>
        </w:rPr>
        <w:t xml:space="preserve"> des circonstances exceptionnelles de ce dossier et du fait que la partie intimée ne présente aucune plaidoirie dans cette affaire;</w:t>
      </w:r>
    </w:p>
    <w:p w:rsidR="00E75BC6" w:rsidRPr="00E75BC6" w:rsidRDefault="00E75BC6" w:rsidP="00E75BC6">
      <w:pPr>
        <w:jc w:val="both"/>
        <w:rPr>
          <w:rFonts w:eastAsia="Times New Roman" w:cs="Times New Roman"/>
          <w:sz w:val="20"/>
          <w:szCs w:val="20"/>
          <w:lang w:val="fr-CA" w:eastAsia="en-CA"/>
        </w:rPr>
      </w:pPr>
    </w:p>
    <w:p w:rsidR="00E75BC6" w:rsidRPr="00E75BC6" w:rsidRDefault="00E75BC6" w:rsidP="00E75BC6">
      <w:pPr>
        <w:jc w:val="both"/>
        <w:rPr>
          <w:rFonts w:eastAsia="Times New Roman" w:cs="Times New Roman"/>
          <w:sz w:val="20"/>
          <w:szCs w:val="20"/>
          <w:lang w:val="fr-CA" w:eastAsia="en-CA"/>
        </w:rPr>
      </w:pPr>
      <w:r w:rsidRPr="00E75BC6">
        <w:rPr>
          <w:rFonts w:eastAsia="Times New Roman" w:cs="Times New Roman"/>
          <w:b/>
          <w:sz w:val="20"/>
          <w:szCs w:val="20"/>
          <w:lang w:val="fr-CA" w:eastAsia="en-CA"/>
        </w:rPr>
        <w:t>ET COMPTE TENU</w:t>
      </w:r>
      <w:r w:rsidRPr="00E75BC6">
        <w:rPr>
          <w:rFonts w:eastAsia="Times New Roman" w:cs="Times New Roman"/>
          <w:sz w:val="20"/>
          <w:szCs w:val="20"/>
          <w:lang w:val="fr-CA" w:eastAsia="en-CA"/>
        </w:rPr>
        <w:t xml:space="preserve"> du consentement des parties;</w:t>
      </w:r>
    </w:p>
    <w:p w:rsidR="00E75BC6" w:rsidRPr="00E75BC6" w:rsidRDefault="00E75BC6" w:rsidP="00E75BC6">
      <w:pPr>
        <w:jc w:val="both"/>
        <w:rPr>
          <w:rFonts w:eastAsia="Times New Roman" w:cs="Times New Roman"/>
          <w:sz w:val="20"/>
          <w:szCs w:val="20"/>
          <w:lang w:val="fr-CA" w:eastAsia="en-CA"/>
        </w:rPr>
      </w:pPr>
    </w:p>
    <w:p w:rsidR="00E75BC6" w:rsidRPr="00E75BC6" w:rsidRDefault="00547297" w:rsidP="00E75BC6">
      <w:pPr>
        <w:jc w:val="both"/>
        <w:rPr>
          <w:rFonts w:eastAsia="Times New Roman" w:cs="Times New Roman"/>
          <w:sz w:val="20"/>
          <w:szCs w:val="20"/>
          <w:lang w:val="fr-CA" w:eastAsia="en-CA"/>
        </w:rPr>
      </w:pPr>
      <w:r w:rsidRPr="00E75BC6">
        <w:rPr>
          <w:rFonts w:eastAsia="Times New Roman" w:cs="Times New Roman"/>
          <w:sz w:val="20"/>
          <w:szCs w:val="20"/>
          <w:lang w:eastAsia="en-CA"/>
        </w:rPr>
        <w:fldChar w:fldCharType="begin"/>
      </w:r>
      <w:r w:rsidR="00E75BC6" w:rsidRPr="00E75BC6">
        <w:rPr>
          <w:rFonts w:eastAsia="Times New Roman" w:cs="Times New Roman"/>
          <w:sz w:val="20"/>
          <w:szCs w:val="20"/>
          <w:lang w:val="fr-CA" w:eastAsia="en-CA"/>
        </w:rPr>
        <w:instrText xml:space="preserve"> SEQ CHAPTER \h \r 1</w:instrText>
      </w:r>
      <w:r w:rsidRPr="00E75BC6">
        <w:rPr>
          <w:rFonts w:eastAsia="Times New Roman" w:cs="Times New Roman"/>
          <w:sz w:val="20"/>
          <w:szCs w:val="20"/>
          <w:lang w:eastAsia="en-CA"/>
        </w:rPr>
        <w:fldChar w:fldCharType="end"/>
      </w:r>
      <w:r w:rsidR="00E75BC6" w:rsidRPr="00E75BC6">
        <w:rPr>
          <w:rFonts w:eastAsia="Times New Roman" w:cs="Times New Roman"/>
          <w:b/>
          <w:bCs/>
          <w:sz w:val="20"/>
          <w:szCs w:val="20"/>
          <w:lang w:val="fr-CA" w:eastAsia="en-CA"/>
        </w:rPr>
        <w:t xml:space="preserve">IL EST ORDONNÉ </w:t>
      </w:r>
      <w:r w:rsidR="00E75BC6" w:rsidRPr="00E75BC6">
        <w:rPr>
          <w:rFonts w:eastAsia="Times New Roman" w:cs="Times New Roman"/>
          <w:bCs/>
          <w:sz w:val="20"/>
          <w:szCs w:val="20"/>
          <w:lang w:val="fr-CA" w:eastAsia="en-CA"/>
        </w:rPr>
        <w:t xml:space="preserve">que l’intervenante Association québécoise des avocats et avocates de la défense est autorisée à déposer un mémoire d’au plus 40 pages et à présenter une plaidoirie orale </w:t>
      </w:r>
      <w:r w:rsidRPr="00E75BC6">
        <w:rPr>
          <w:rFonts w:eastAsia="Times New Roman" w:cs="Times New Roman"/>
          <w:sz w:val="20"/>
          <w:szCs w:val="20"/>
          <w:lang w:eastAsia="en-CA"/>
        </w:rPr>
        <w:fldChar w:fldCharType="begin"/>
      </w:r>
      <w:r w:rsidR="00E75BC6" w:rsidRPr="00E75BC6">
        <w:rPr>
          <w:rFonts w:eastAsia="Times New Roman" w:cs="Times New Roman"/>
          <w:sz w:val="20"/>
          <w:szCs w:val="20"/>
          <w:lang w:val="fr-CA" w:eastAsia="en-CA"/>
        </w:rPr>
        <w:instrText xml:space="preserve"> SEQ CHAPTER \h \r 1</w:instrText>
      </w:r>
      <w:r w:rsidRPr="00E75BC6">
        <w:rPr>
          <w:rFonts w:eastAsia="Times New Roman" w:cs="Times New Roman"/>
          <w:sz w:val="20"/>
          <w:szCs w:val="20"/>
          <w:lang w:eastAsia="en-CA"/>
        </w:rPr>
        <w:fldChar w:fldCharType="end"/>
      </w:r>
      <w:r w:rsidR="00E75BC6" w:rsidRPr="00E75BC6">
        <w:rPr>
          <w:rFonts w:eastAsia="Times New Roman" w:cs="Times New Roman"/>
          <w:sz w:val="20"/>
          <w:szCs w:val="20"/>
          <w:lang w:val="fr-CA" w:eastAsia="en-CA"/>
        </w:rPr>
        <w:t>d'au plus une heure lors de l'audition de l'appel.</w:t>
      </w:r>
    </w:p>
    <w:p w:rsidR="00E75BC6" w:rsidRPr="00E75BC6" w:rsidRDefault="00E75BC6" w:rsidP="00E75BC6">
      <w:pPr>
        <w:tabs>
          <w:tab w:val="left" w:pos="-1440"/>
          <w:tab w:val="left" w:pos="-720"/>
        </w:tabs>
        <w:jc w:val="both"/>
        <w:rPr>
          <w:rFonts w:eastAsia="Times New Roman" w:cs="Times New Roman"/>
          <w:sz w:val="20"/>
          <w:szCs w:val="20"/>
          <w:lang w:val="fr-CA" w:eastAsia="en-CA"/>
        </w:rPr>
      </w:pPr>
    </w:p>
    <w:p w:rsidR="00E75BC6" w:rsidRPr="00E75BC6" w:rsidRDefault="00E75BC6" w:rsidP="00E75BC6">
      <w:pPr>
        <w:jc w:val="both"/>
        <w:rPr>
          <w:rFonts w:eastAsia="Times New Roman" w:cs="Times New Roman"/>
          <w:sz w:val="20"/>
          <w:szCs w:val="20"/>
          <w:lang w:val="fr-CA" w:eastAsia="en-CA"/>
        </w:rPr>
      </w:pPr>
    </w:p>
    <w:p w:rsidR="00E75BC6" w:rsidRPr="00E75BC6" w:rsidRDefault="00E75BC6" w:rsidP="00E75BC6">
      <w:pPr>
        <w:jc w:val="both"/>
        <w:rPr>
          <w:rFonts w:eastAsia="Times New Roman" w:cs="Times New Roman"/>
          <w:sz w:val="20"/>
          <w:szCs w:val="20"/>
          <w:lang w:val="fr-CA" w:eastAsia="en-CA"/>
        </w:rPr>
      </w:pPr>
    </w:p>
    <w:p w:rsidR="00E75BC6" w:rsidRPr="00E75BC6" w:rsidRDefault="00E75BC6" w:rsidP="00E75BC6">
      <w:pPr>
        <w:jc w:val="both"/>
        <w:rPr>
          <w:rFonts w:eastAsia="Times New Roman" w:cs="Times New Roman"/>
          <w:bCs/>
          <w:sz w:val="20"/>
          <w:szCs w:val="20"/>
          <w:lang w:val="fr-CA" w:eastAsia="en-CA"/>
        </w:rPr>
      </w:pPr>
      <w:r w:rsidRPr="00E75BC6">
        <w:rPr>
          <w:rFonts w:eastAsia="Times New Roman" w:cs="Times New Roman"/>
          <w:b/>
          <w:bCs/>
          <w:sz w:val="20"/>
          <w:szCs w:val="20"/>
          <w:lang w:val="fr-CA" w:eastAsia="en-CA"/>
        </w:rPr>
        <w:t xml:space="preserve">UPON APPLICATION </w:t>
      </w:r>
      <w:r w:rsidRPr="00E75BC6">
        <w:rPr>
          <w:rFonts w:eastAsia="Times New Roman" w:cs="Times New Roman"/>
          <w:sz w:val="20"/>
          <w:szCs w:val="20"/>
          <w:lang w:val="fr-CA" w:eastAsia="en-CA"/>
        </w:rPr>
        <w:t xml:space="preserve">by the </w:t>
      </w:r>
      <w:proofErr w:type="spellStart"/>
      <w:r w:rsidRPr="00E75BC6">
        <w:rPr>
          <w:rFonts w:eastAsia="Times New Roman" w:cs="Times New Roman"/>
          <w:sz w:val="20"/>
          <w:szCs w:val="20"/>
          <w:lang w:val="fr-CA" w:eastAsia="en-CA"/>
        </w:rPr>
        <w:t>intervener</w:t>
      </w:r>
      <w:proofErr w:type="spellEnd"/>
      <w:r w:rsidRPr="00E75BC6">
        <w:rPr>
          <w:rFonts w:eastAsia="Times New Roman" w:cs="Times New Roman"/>
          <w:sz w:val="20"/>
          <w:szCs w:val="20"/>
          <w:lang w:val="fr-CA" w:eastAsia="en-CA"/>
        </w:rPr>
        <w:t xml:space="preserve"> </w:t>
      </w:r>
      <w:r w:rsidRPr="00E75BC6">
        <w:rPr>
          <w:rFonts w:eastAsia="Times New Roman" w:cs="Times New Roman"/>
          <w:bCs/>
          <w:sz w:val="20"/>
          <w:szCs w:val="20"/>
          <w:lang w:val="fr-CA" w:eastAsia="en-CA"/>
        </w:rPr>
        <w:t>Association québécoise des avocats et avocates de la défense;</w:t>
      </w:r>
    </w:p>
    <w:p w:rsidR="00E75BC6" w:rsidRPr="00E75BC6" w:rsidRDefault="00E75BC6" w:rsidP="00E75BC6">
      <w:pPr>
        <w:jc w:val="both"/>
        <w:rPr>
          <w:rFonts w:eastAsia="Times New Roman" w:cs="Times New Roman"/>
          <w:bCs/>
          <w:sz w:val="20"/>
          <w:szCs w:val="20"/>
          <w:lang w:val="fr-CA" w:eastAsia="en-CA"/>
        </w:rPr>
      </w:pPr>
    </w:p>
    <w:p w:rsidR="00E75BC6" w:rsidRPr="00E75BC6" w:rsidRDefault="00E75BC6" w:rsidP="00E75BC6">
      <w:pPr>
        <w:jc w:val="both"/>
        <w:rPr>
          <w:rFonts w:eastAsia="Times New Roman" w:cs="Times New Roman"/>
          <w:sz w:val="20"/>
          <w:szCs w:val="20"/>
          <w:lang w:eastAsia="en-CA"/>
        </w:rPr>
      </w:pPr>
      <w:r w:rsidRPr="00E75BC6">
        <w:rPr>
          <w:rFonts w:eastAsia="Times New Roman" w:cs="Times New Roman"/>
          <w:b/>
          <w:sz w:val="20"/>
          <w:szCs w:val="20"/>
          <w:lang w:eastAsia="en-CA"/>
        </w:rPr>
        <w:t>CONSIDERING</w:t>
      </w:r>
      <w:r w:rsidRPr="00E75BC6">
        <w:rPr>
          <w:rFonts w:eastAsia="Times New Roman" w:cs="Times New Roman"/>
          <w:sz w:val="20"/>
          <w:szCs w:val="20"/>
          <w:lang w:eastAsia="en-CA"/>
        </w:rPr>
        <w:t xml:space="preserve"> the exceptional circumstances of this case and the fact that the respondent will not be presenting oral argument in this appeal;</w:t>
      </w:r>
    </w:p>
    <w:p w:rsidR="00E75BC6" w:rsidRPr="00E75BC6" w:rsidRDefault="00E75BC6" w:rsidP="00E75BC6">
      <w:pPr>
        <w:jc w:val="both"/>
        <w:rPr>
          <w:rFonts w:eastAsia="Times New Roman" w:cs="Times New Roman"/>
          <w:sz w:val="20"/>
          <w:szCs w:val="20"/>
          <w:lang w:eastAsia="en-CA"/>
        </w:rPr>
      </w:pPr>
    </w:p>
    <w:p w:rsidR="00E75BC6" w:rsidRPr="00E75BC6" w:rsidRDefault="00E75BC6" w:rsidP="00E75BC6">
      <w:pPr>
        <w:jc w:val="both"/>
        <w:rPr>
          <w:rFonts w:eastAsia="Times New Roman" w:cs="Times New Roman"/>
          <w:sz w:val="20"/>
          <w:szCs w:val="20"/>
          <w:lang w:eastAsia="en-CA"/>
        </w:rPr>
      </w:pPr>
      <w:r w:rsidRPr="00E75BC6">
        <w:rPr>
          <w:rFonts w:eastAsia="Times New Roman" w:cs="Times New Roman"/>
          <w:b/>
          <w:sz w:val="20"/>
          <w:szCs w:val="20"/>
          <w:lang w:eastAsia="en-CA"/>
        </w:rPr>
        <w:t xml:space="preserve">AND WHEREAS </w:t>
      </w:r>
      <w:r w:rsidRPr="00E75BC6">
        <w:rPr>
          <w:rFonts w:eastAsia="Times New Roman" w:cs="Times New Roman"/>
          <w:sz w:val="20"/>
          <w:szCs w:val="20"/>
          <w:lang w:eastAsia="en-CA"/>
        </w:rPr>
        <w:t>the parties have given their consent;</w:t>
      </w:r>
    </w:p>
    <w:p w:rsidR="00E75BC6" w:rsidRPr="00E75BC6" w:rsidRDefault="00E75BC6" w:rsidP="00E75BC6">
      <w:pPr>
        <w:jc w:val="both"/>
        <w:rPr>
          <w:rFonts w:eastAsia="Times New Roman" w:cs="Times New Roman"/>
          <w:sz w:val="20"/>
          <w:szCs w:val="20"/>
          <w:lang w:eastAsia="en-CA"/>
        </w:rPr>
      </w:pPr>
    </w:p>
    <w:p w:rsidR="00E75BC6" w:rsidRPr="00E75BC6" w:rsidRDefault="00547297" w:rsidP="00E75BC6">
      <w:pPr>
        <w:jc w:val="both"/>
        <w:rPr>
          <w:rFonts w:eastAsia="Times New Roman" w:cs="Times New Roman"/>
          <w:sz w:val="20"/>
          <w:szCs w:val="20"/>
          <w:lang w:val="en-US" w:eastAsia="en-CA"/>
        </w:rPr>
      </w:pPr>
      <w:r w:rsidRPr="00E75BC6">
        <w:rPr>
          <w:rFonts w:eastAsia="Times New Roman" w:cs="Times New Roman"/>
          <w:sz w:val="20"/>
          <w:szCs w:val="20"/>
          <w:lang w:eastAsia="en-CA"/>
        </w:rPr>
        <w:fldChar w:fldCharType="begin"/>
      </w:r>
      <w:r w:rsidR="00E75BC6" w:rsidRPr="00E75BC6">
        <w:rPr>
          <w:rFonts w:eastAsia="Times New Roman" w:cs="Times New Roman"/>
          <w:sz w:val="20"/>
          <w:szCs w:val="20"/>
          <w:lang w:eastAsia="en-CA"/>
        </w:rPr>
        <w:instrText xml:space="preserve"> SEQ CHAPTER \h \r 1</w:instrText>
      </w:r>
      <w:r w:rsidRPr="00E75BC6">
        <w:rPr>
          <w:rFonts w:eastAsia="Times New Roman" w:cs="Times New Roman"/>
          <w:sz w:val="20"/>
          <w:szCs w:val="20"/>
          <w:lang w:eastAsia="en-CA"/>
        </w:rPr>
        <w:fldChar w:fldCharType="end"/>
      </w:r>
      <w:r w:rsidR="00E75BC6" w:rsidRPr="00E75BC6">
        <w:rPr>
          <w:rFonts w:eastAsia="Times New Roman" w:cs="Times New Roman"/>
          <w:b/>
          <w:bCs/>
          <w:sz w:val="20"/>
          <w:szCs w:val="20"/>
          <w:lang w:eastAsia="en-CA"/>
        </w:rPr>
        <w:t xml:space="preserve">IT IS HEREBY ORDERED </w:t>
      </w:r>
      <w:r w:rsidR="00E75BC6" w:rsidRPr="00E75BC6">
        <w:rPr>
          <w:rFonts w:eastAsia="Times New Roman" w:cs="Times New Roman"/>
          <w:bCs/>
          <w:sz w:val="20"/>
          <w:szCs w:val="20"/>
          <w:lang w:eastAsia="en-CA"/>
        </w:rPr>
        <w:t xml:space="preserve">that the intervener Association </w:t>
      </w:r>
      <w:proofErr w:type="spellStart"/>
      <w:r w:rsidR="00E75BC6" w:rsidRPr="00E75BC6">
        <w:rPr>
          <w:rFonts w:eastAsia="Times New Roman" w:cs="Times New Roman"/>
          <w:bCs/>
          <w:sz w:val="20"/>
          <w:szCs w:val="20"/>
          <w:lang w:eastAsia="en-CA"/>
        </w:rPr>
        <w:t>québécoise</w:t>
      </w:r>
      <w:proofErr w:type="spellEnd"/>
      <w:r w:rsidR="00E75BC6" w:rsidRPr="00E75BC6">
        <w:rPr>
          <w:rFonts w:eastAsia="Times New Roman" w:cs="Times New Roman"/>
          <w:bCs/>
          <w:sz w:val="20"/>
          <w:szCs w:val="20"/>
          <w:lang w:eastAsia="en-CA"/>
        </w:rPr>
        <w:t xml:space="preserve"> des </w:t>
      </w:r>
      <w:proofErr w:type="spellStart"/>
      <w:r w:rsidR="00E75BC6" w:rsidRPr="00E75BC6">
        <w:rPr>
          <w:rFonts w:eastAsia="Times New Roman" w:cs="Times New Roman"/>
          <w:bCs/>
          <w:sz w:val="20"/>
          <w:szCs w:val="20"/>
          <w:lang w:eastAsia="en-CA"/>
        </w:rPr>
        <w:t>avocats</w:t>
      </w:r>
      <w:proofErr w:type="spellEnd"/>
      <w:r w:rsidR="00E75BC6" w:rsidRPr="00E75BC6">
        <w:rPr>
          <w:rFonts w:eastAsia="Times New Roman" w:cs="Times New Roman"/>
          <w:bCs/>
          <w:sz w:val="20"/>
          <w:szCs w:val="20"/>
          <w:lang w:eastAsia="en-CA"/>
        </w:rPr>
        <w:t xml:space="preserve"> </w:t>
      </w:r>
      <w:proofErr w:type="gramStart"/>
      <w:r w:rsidR="00E75BC6" w:rsidRPr="00E75BC6">
        <w:rPr>
          <w:rFonts w:eastAsia="Times New Roman" w:cs="Times New Roman"/>
          <w:bCs/>
          <w:sz w:val="20"/>
          <w:szCs w:val="20"/>
          <w:lang w:eastAsia="en-CA"/>
        </w:rPr>
        <w:t>et</w:t>
      </w:r>
      <w:proofErr w:type="gramEnd"/>
      <w:r w:rsidR="00E75BC6" w:rsidRPr="00E75BC6">
        <w:rPr>
          <w:rFonts w:eastAsia="Times New Roman" w:cs="Times New Roman"/>
          <w:bCs/>
          <w:sz w:val="20"/>
          <w:szCs w:val="20"/>
          <w:lang w:eastAsia="en-CA"/>
        </w:rPr>
        <w:t xml:space="preserve"> </w:t>
      </w:r>
      <w:proofErr w:type="spellStart"/>
      <w:r w:rsidR="00E75BC6" w:rsidRPr="00E75BC6">
        <w:rPr>
          <w:rFonts w:eastAsia="Times New Roman" w:cs="Times New Roman"/>
          <w:bCs/>
          <w:sz w:val="20"/>
          <w:szCs w:val="20"/>
          <w:lang w:eastAsia="en-CA"/>
        </w:rPr>
        <w:t>avocates</w:t>
      </w:r>
      <w:proofErr w:type="spellEnd"/>
      <w:r w:rsidR="00E75BC6" w:rsidRPr="00E75BC6">
        <w:rPr>
          <w:rFonts w:eastAsia="Times New Roman" w:cs="Times New Roman"/>
          <w:bCs/>
          <w:sz w:val="20"/>
          <w:szCs w:val="20"/>
          <w:lang w:eastAsia="en-CA"/>
        </w:rPr>
        <w:t xml:space="preserve"> de la </w:t>
      </w:r>
      <w:proofErr w:type="spellStart"/>
      <w:r w:rsidR="00E75BC6" w:rsidRPr="00E75BC6">
        <w:rPr>
          <w:rFonts w:eastAsia="Times New Roman" w:cs="Times New Roman"/>
          <w:bCs/>
          <w:sz w:val="20"/>
          <w:szCs w:val="20"/>
          <w:lang w:eastAsia="en-CA"/>
        </w:rPr>
        <w:t>défense</w:t>
      </w:r>
      <w:proofErr w:type="spellEnd"/>
      <w:r w:rsidR="00E75BC6" w:rsidRPr="00E75BC6">
        <w:rPr>
          <w:rFonts w:eastAsia="Times New Roman" w:cs="Times New Roman"/>
          <w:bCs/>
          <w:sz w:val="20"/>
          <w:szCs w:val="20"/>
          <w:lang w:eastAsia="en-CA"/>
        </w:rPr>
        <w:t xml:space="preserve"> may file a factum not exceeding 40 pages and may present oral argument not exceeding one hour at the hearing of the appeal</w:t>
      </w:r>
      <w:r w:rsidR="00E75BC6" w:rsidRPr="00E75BC6">
        <w:rPr>
          <w:rFonts w:eastAsia="Times New Roman" w:cs="Times New Roman"/>
          <w:sz w:val="20"/>
          <w:szCs w:val="20"/>
          <w:lang w:eastAsia="en-CA"/>
        </w:rPr>
        <w:t>.</w:t>
      </w:r>
    </w:p>
    <w:p w:rsidR="00E75BC6" w:rsidRPr="00E75BC6" w:rsidRDefault="00E75BC6" w:rsidP="00E75BC6">
      <w:pPr>
        <w:jc w:val="both"/>
        <w:rPr>
          <w:rFonts w:eastAsia="Times New Roman" w:cs="Times New Roman"/>
          <w:sz w:val="20"/>
          <w:szCs w:val="20"/>
          <w:lang w:val="en-US" w:eastAsia="en-CA"/>
        </w:rPr>
      </w:pPr>
    </w:p>
    <w:p w:rsidR="00E75BC6" w:rsidRPr="00E75BC6" w:rsidRDefault="00547297" w:rsidP="00E75BC6">
      <w:pPr>
        <w:jc w:val="both"/>
        <w:rPr>
          <w:rFonts w:eastAsia="Times New Roman" w:cs="Times New Roman"/>
          <w:sz w:val="20"/>
          <w:szCs w:val="20"/>
          <w:lang w:val="fr-CA" w:eastAsia="en-CA"/>
        </w:rPr>
      </w:pPr>
      <w:r w:rsidRPr="00547297">
        <w:rPr>
          <w:rFonts w:eastAsia="Times New Roman" w:cs="Times New Roman"/>
          <w:sz w:val="20"/>
          <w:szCs w:val="20"/>
          <w:lang w:val="fr-CA" w:eastAsia="en-CA"/>
        </w:rPr>
        <w:pict>
          <v:rect id="_x0000_i1060" style="width:2in;height:1pt" o:hrpct="0" o:hralign="center" o:hrstd="t" o:hrnoshade="t" o:hr="t" fillcolor="black [3213]" stroked="f"/>
        </w:pict>
      </w:r>
    </w:p>
    <w:p w:rsidR="00E75BC6" w:rsidRPr="00E75BC6" w:rsidRDefault="00E75BC6" w:rsidP="00E75BC6">
      <w:pPr>
        <w:jc w:val="both"/>
        <w:rPr>
          <w:rFonts w:eastAsia="Times New Roman" w:cs="Times New Roman"/>
          <w:sz w:val="20"/>
          <w:szCs w:val="20"/>
          <w:lang w:val="fr-CA" w:eastAsia="en-CA"/>
        </w:rPr>
      </w:pPr>
    </w:p>
    <w:p w:rsidR="00E75BC6" w:rsidRPr="00E75BC6" w:rsidRDefault="00E75BC6" w:rsidP="00E75BC6">
      <w:pPr>
        <w:jc w:val="both"/>
        <w:rPr>
          <w:rFonts w:eastAsia="Times New Roman" w:cs="Times New Roman"/>
          <w:sz w:val="20"/>
          <w:szCs w:val="20"/>
          <w:lang w:val="fr-CA" w:eastAsia="en-CA"/>
        </w:rPr>
      </w:pPr>
      <w:r w:rsidRPr="00E75BC6">
        <w:rPr>
          <w:rFonts w:eastAsia="Times New Roman" w:cs="Times New Roman"/>
          <w:sz w:val="20"/>
          <w:szCs w:val="20"/>
          <w:lang w:val="fr-CA" w:eastAsia="en-CA"/>
        </w:rPr>
        <w:t>10.06.2011</w:t>
      </w:r>
    </w:p>
    <w:p w:rsidR="00E75BC6" w:rsidRPr="00E75BC6" w:rsidRDefault="00E75BC6" w:rsidP="00E75BC6">
      <w:pPr>
        <w:jc w:val="both"/>
        <w:rPr>
          <w:rFonts w:eastAsia="Times New Roman" w:cs="Times New Roman"/>
          <w:sz w:val="20"/>
          <w:szCs w:val="20"/>
          <w:lang w:val="fr-CA" w:eastAsia="en-CA"/>
        </w:rPr>
      </w:pPr>
    </w:p>
    <w:p w:rsidR="00E75BC6" w:rsidRPr="00E75BC6" w:rsidRDefault="00E75BC6" w:rsidP="00E75BC6">
      <w:pPr>
        <w:tabs>
          <w:tab w:val="left" w:pos="-1440"/>
          <w:tab w:val="left" w:pos="-720"/>
        </w:tabs>
        <w:jc w:val="both"/>
        <w:rPr>
          <w:rFonts w:eastAsia="Times New Roman" w:cs="Times New Roman"/>
          <w:sz w:val="20"/>
          <w:szCs w:val="20"/>
          <w:lang w:val="fr-CA" w:eastAsia="en-CA"/>
        </w:rPr>
      </w:pPr>
      <w:proofErr w:type="spellStart"/>
      <w:r w:rsidRPr="00E75BC6">
        <w:rPr>
          <w:rFonts w:eastAsia="Times New Roman" w:cs="Times New Roman"/>
          <w:sz w:val="20"/>
          <w:szCs w:val="20"/>
          <w:lang w:val="fr-CA" w:eastAsia="en-CA"/>
        </w:rPr>
        <w:t>Before</w:t>
      </w:r>
      <w:proofErr w:type="spellEnd"/>
      <w:r w:rsidRPr="00E75BC6">
        <w:rPr>
          <w:rFonts w:eastAsia="Times New Roman" w:cs="Times New Roman"/>
          <w:sz w:val="20"/>
          <w:szCs w:val="20"/>
          <w:lang w:val="fr-CA" w:eastAsia="en-CA"/>
        </w:rPr>
        <w:t xml:space="preserve"> / Devant :   ABELLA J. / LA JUGE ABELLA</w:t>
      </w:r>
    </w:p>
    <w:p w:rsidR="00E75BC6" w:rsidRPr="00E75BC6" w:rsidRDefault="00E75BC6" w:rsidP="00E75BC6">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E75BC6" w:rsidRPr="00E75BC6" w:rsidTr="007F2048">
        <w:tc>
          <w:tcPr>
            <w:tcW w:w="4338" w:type="dxa"/>
            <w:gridSpan w:val="2"/>
          </w:tcPr>
          <w:p w:rsidR="00E75BC6" w:rsidRPr="00E75BC6" w:rsidRDefault="00E75BC6" w:rsidP="00E75BC6">
            <w:pPr>
              <w:rPr>
                <w:b/>
                <w:bCs/>
                <w:lang w:val="en-US"/>
              </w:rPr>
            </w:pPr>
            <w:r w:rsidRPr="00E75BC6">
              <w:rPr>
                <w:b/>
                <w:bCs/>
                <w:lang w:val="en-US"/>
              </w:rPr>
              <w:t>Motions for leave to intervene</w:t>
            </w:r>
          </w:p>
          <w:p w:rsidR="00E75BC6" w:rsidRPr="00E75BC6" w:rsidRDefault="00547297" w:rsidP="00E75BC6">
            <w:pPr>
              <w:rPr>
                <w:b/>
              </w:rPr>
            </w:pPr>
            <w:r w:rsidRPr="00E75BC6">
              <w:rPr>
                <w:lang w:val="en-US"/>
              </w:rPr>
              <w:fldChar w:fldCharType="begin"/>
            </w:r>
            <w:r w:rsidR="00E75BC6" w:rsidRPr="00E75BC6">
              <w:instrText xml:space="preserve"> SEQ CHAPTER \h \r 1</w:instrText>
            </w:r>
            <w:r w:rsidRPr="00E75BC6">
              <w:rPr>
                <w:lang w:val="en-US"/>
              </w:rPr>
              <w:fldChar w:fldCharType="end"/>
            </w:r>
          </w:p>
        </w:tc>
        <w:tc>
          <w:tcPr>
            <w:tcW w:w="1170" w:type="dxa"/>
          </w:tcPr>
          <w:p w:rsidR="00E75BC6" w:rsidRPr="00E75BC6" w:rsidRDefault="00E75BC6" w:rsidP="00E75BC6"/>
          <w:p w:rsidR="00E75BC6" w:rsidRPr="00E75BC6" w:rsidRDefault="00E75BC6" w:rsidP="00E75BC6"/>
        </w:tc>
        <w:tc>
          <w:tcPr>
            <w:tcW w:w="4327" w:type="dxa"/>
          </w:tcPr>
          <w:p w:rsidR="00E75BC6" w:rsidRPr="00E75BC6" w:rsidRDefault="00E75BC6" w:rsidP="00E75BC6">
            <w:pPr>
              <w:rPr>
                <w:b/>
                <w:lang w:val="fr-CA"/>
              </w:rPr>
            </w:pPr>
            <w:r w:rsidRPr="00E75BC6">
              <w:rPr>
                <w:b/>
                <w:bCs/>
                <w:lang w:val="fr-CA"/>
              </w:rPr>
              <w:t>Requêtes en autorisation d’intervenir</w:t>
            </w:r>
            <w:r w:rsidRPr="00E75BC6">
              <w:rPr>
                <w:lang w:val="fr-CA"/>
              </w:rPr>
              <w:t xml:space="preserve"> </w:t>
            </w:r>
            <w:r w:rsidR="00547297" w:rsidRPr="00E75BC6">
              <w:rPr>
                <w:lang w:val="en-US"/>
              </w:rPr>
              <w:fldChar w:fldCharType="begin"/>
            </w:r>
            <w:r w:rsidRPr="00E75BC6">
              <w:rPr>
                <w:lang w:val="fr-CA"/>
              </w:rPr>
              <w:instrText xml:space="preserve"> SEQ CHAPTER \h \r 1</w:instrText>
            </w:r>
            <w:r w:rsidR="00547297" w:rsidRPr="00E75BC6">
              <w:rPr>
                <w:lang w:val="en-US"/>
              </w:rPr>
              <w:fldChar w:fldCharType="end"/>
            </w:r>
          </w:p>
        </w:tc>
      </w:tr>
      <w:tr w:rsidR="00E75BC6" w:rsidRPr="00E75BC6" w:rsidTr="007F2048">
        <w:tc>
          <w:tcPr>
            <w:tcW w:w="1368" w:type="dxa"/>
          </w:tcPr>
          <w:p w:rsidR="00E75BC6" w:rsidRPr="00E75BC6" w:rsidRDefault="00E75BC6" w:rsidP="00E75BC6">
            <w:r w:rsidRPr="00E75BC6">
              <w:t>BY / PAR</w:t>
            </w:r>
          </w:p>
        </w:tc>
        <w:tc>
          <w:tcPr>
            <w:tcW w:w="2970" w:type="dxa"/>
          </w:tcPr>
          <w:p w:rsidR="00E75BC6" w:rsidRPr="00E75BC6" w:rsidRDefault="00E75BC6" w:rsidP="00E75BC6">
            <w:r w:rsidRPr="00E75BC6">
              <w:rPr>
                <w:lang w:val="en-US"/>
              </w:rPr>
              <w:t>Alberta Human Rights Commission</w:t>
            </w:r>
            <w:r w:rsidRPr="00E75BC6">
              <w:t>;</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proofErr w:type="spellStart"/>
            <w:r w:rsidRPr="00E75BC6">
              <w:rPr>
                <w:lang w:val="en-US"/>
              </w:rPr>
              <w:t>Egale</w:t>
            </w:r>
            <w:proofErr w:type="spellEnd"/>
            <w:r w:rsidRPr="00E75BC6">
              <w:rPr>
                <w:lang w:val="en-US"/>
              </w:rPr>
              <w:t xml:space="preserve"> Canada Inc.;</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r w:rsidRPr="00E75BC6">
              <w:rPr>
                <w:lang w:val="en-US"/>
              </w:rPr>
              <w:t>Ontario Human Rights Commission;</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r w:rsidRPr="00E75BC6">
              <w:rPr>
                <w:lang w:val="en-US"/>
              </w:rPr>
              <w:t>Canadian Human Rights Commission;</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r w:rsidRPr="00E75BC6">
              <w:rPr>
                <w:lang w:val="en-US"/>
              </w:rPr>
              <w:t>United Church of Canada;</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r w:rsidRPr="00E75BC6">
              <w:rPr>
                <w:lang w:val="en-US"/>
              </w:rPr>
              <w:t>Unitarian Congregation of Saskatoon and Canadian Unitarian Council;</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r w:rsidRPr="00E75BC6">
              <w:rPr>
                <w:lang w:val="en-US"/>
              </w:rPr>
              <w:t>Women's Legal Education and Action Fund;</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pPr>
              <w:rPr>
                <w:lang w:val="en-US"/>
              </w:rPr>
            </w:pPr>
            <w:r w:rsidRPr="00E75BC6">
              <w:rPr>
                <w:lang w:val="en-US"/>
              </w:rPr>
              <w:t>Canadian Journalists for Free Expression;</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pPr>
              <w:rPr>
                <w:lang w:val="en-US"/>
              </w:rPr>
            </w:pPr>
            <w:r w:rsidRPr="00E75BC6">
              <w:rPr>
                <w:lang w:val="en-US"/>
              </w:rPr>
              <w:t>Canadian Bar Association;</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pPr>
              <w:rPr>
                <w:lang w:val="en-US"/>
              </w:rPr>
            </w:pPr>
            <w:r w:rsidRPr="00E75BC6">
              <w:rPr>
                <w:lang w:val="en-US"/>
              </w:rPr>
              <w:t>Northwest Territories Human Rights Commission and Yukon Human Rights Commission;</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pPr>
              <w:rPr>
                <w:lang w:val="en-US"/>
              </w:rPr>
            </w:pPr>
            <w:r w:rsidRPr="00E75BC6">
              <w:rPr>
                <w:lang w:val="en-US"/>
              </w:rPr>
              <w:t>Christian Legal Fellowship;</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pPr>
              <w:rPr>
                <w:lang w:val="en-US"/>
              </w:rPr>
            </w:pPr>
            <w:r w:rsidRPr="00E75BC6">
              <w:rPr>
                <w:lang w:val="en-US"/>
              </w:rPr>
              <w:t xml:space="preserve">League for Human Rights of B'nai </w:t>
            </w:r>
            <w:proofErr w:type="spellStart"/>
            <w:r w:rsidRPr="00E75BC6">
              <w:rPr>
                <w:lang w:val="en-US"/>
              </w:rPr>
              <w:t>Brith</w:t>
            </w:r>
            <w:proofErr w:type="spellEnd"/>
            <w:r w:rsidRPr="00E75BC6">
              <w:rPr>
                <w:lang w:val="en-US"/>
              </w:rPr>
              <w:t xml:space="preserve"> Canada;</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pPr>
              <w:rPr>
                <w:lang w:val="en-US"/>
              </w:rPr>
            </w:pPr>
            <w:r w:rsidRPr="00E75BC6">
              <w:rPr>
                <w:lang w:val="en-US"/>
              </w:rPr>
              <w:t>Evangelical Fellowship of Canada;</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pPr>
              <w:rPr>
                <w:lang w:val="en-US"/>
              </w:rPr>
            </w:pPr>
            <w:r w:rsidRPr="00E75BC6">
              <w:rPr>
                <w:lang w:val="en-US"/>
              </w:rPr>
              <w:t>Canadian Civil Liberties Association;</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pPr>
              <w:rPr>
                <w:lang w:val="en-US"/>
              </w:rPr>
            </w:pPr>
            <w:r w:rsidRPr="00E75BC6">
              <w:rPr>
                <w:lang w:val="en-US"/>
              </w:rPr>
              <w:t>Canadian Constitution Foundation;</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pPr>
              <w:rPr>
                <w:lang w:val="en-US"/>
              </w:rPr>
            </w:pPr>
            <w:r w:rsidRPr="00E75BC6">
              <w:rPr>
                <w:lang w:val="en-US"/>
              </w:rPr>
              <w:t>Assembly of First Nations, Federation of Saskatchewan Indian Nations and the Métis Nation-Saskatchewan;</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pPr>
              <w:rPr>
                <w:lang w:val="en-US"/>
              </w:rPr>
            </w:pPr>
            <w:r w:rsidRPr="00E75BC6">
              <w:rPr>
                <w:lang w:val="en-US"/>
              </w:rPr>
              <w:t>Catholic Civil Rights League and Faith and Freedom Alliance;</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pPr>
              <w:rPr>
                <w:lang w:val="en-US"/>
              </w:rPr>
            </w:pPr>
            <w:r w:rsidRPr="00E75BC6">
              <w:rPr>
                <w:lang w:val="en-US"/>
              </w:rPr>
              <w:t>African Canadian Legal Clinic;</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pPr>
              <w:rPr>
                <w:lang w:val="en-US"/>
              </w:rPr>
            </w:pPr>
            <w:r w:rsidRPr="00E75BC6">
              <w:t>Canadian Jewish Congress</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r w:rsidRPr="00E75BC6">
              <w:t>IN / DANS :</w:t>
            </w:r>
          </w:p>
        </w:tc>
        <w:tc>
          <w:tcPr>
            <w:tcW w:w="2970" w:type="dxa"/>
          </w:tcPr>
          <w:p w:rsidR="00E75BC6" w:rsidRPr="00E75BC6" w:rsidRDefault="00E75BC6" w:rsidP="00E75BC6">
            <w:r w:rsidRPr="00E75BC6">
              <w:t>Saskatchewan Human Rights Commission</w:t>
            </w:r>
          </w:p>
          <w:p w:rsidR="00E75BC6" w:rsidRPr="00E75BC6" w:rsidRDefault="00E75BC6" w:rsidP="00E75BC6"/>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r w:rsidRPr="00E75BC6">
              <w:tab/>
              <w:t>v. (33676)</w:t>
            </w:r>
          </w:p>
          <w:p w:rsidR="00E75BC6" w:rsidRPr="00E75BC6" w:rsidRDefault="00E75BC6" w:rsidP="00E75BC6"/>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pPr>
              <w:jc w:val="both"/>
            </w:pPr>
            <w:r w:rsidRPr="00E75BC6">
              <w:t xml:space="preserve">William </w:t>
            </w:r>
            <w:proofErr w:type="spellStart"/>
            <w:r w:rsidRPr="00E75BC6">
              <w:t>Whatcott</w:t>
            </w:r>
            <w:proofErr w:type="spellEnd"/>
            <w:r w:rsidRPr="00E75BC6">
              <w:t xml:space="preserve"> (Sask.)</w:t>
            </w:r>
          </w:p>
        </w:tc>
        <w:tc>
          <w:tcPr>
            <w:tcW w:w="1170" w:type="dxa"/>
          </w:tcPr>
          <w:p w:rsidR="00E75BC6" w:rsidRPr="00E75BC6" w:rsidRDefault="00E75BC6" w:rsidP="00E75BC6"/>
        </w:tc>
        <w:tc>
          <w:tcPr>
            <w:tcW w:w="4327" w:type="dxa"/>
          </w:tcPr>
          <w:p w:rsidR="00E75BC6" w:rsidRPr="00E75BC6" w:rsidRDefault="00E75BC6" w:rsidP="00E75BC6"/>
        </w:tc>
      </w:tr>
    </w:tbl>
    <w:p w:rsidR="00E75BC6" w:rsidRPr="00E75BC6" w:rsidRDefault="00E75BC6" w:rsidP="00E75BC6">
      <w:pPr>
        <w:tabs>
          <w:tab w:val="left" w:pos="-1440"/>
          <w:tab w:val="left" w:pos="-720"/>
        </w:tabs>
        <w:jc w:val="both"/>
        <w:rPr>
          <w:rFonts w:eastAsia="Times New Roman" w:cs="Times New Roman"/>
          <w:sz w:val="20"/>
          <w:szCs w:val="20"/>
          <w:lang w:eastAsia="en-CA"/>
        </w:rPr>
      </w:pPr>
    </w:p>
    <w:p w:rsidR="00E75BC6" w:rsidRPr="00E75BC6" w:rsidRDefault="00E75BC6" w:rsidP="00E75BC6">
      <w:pPr>
        <w:tabs>
          <w:tab w:val="left" w:pos="-1440"/>
          <w:tab w:val="left" w:pos="-720"/>
        </w:tabs>
        <w:jc w:val="both"/>
        <w:rPr>
          <w:rFonts w:eastAsia="Times New Roman" w:cs="Times New Roman"/>
          <w:sz w:val="20"/>
          <w:szCs w:val="20"/>
          <w:lang w:eastAsia="en-CA"/>
        </w:rPr>
      </w:pPr>
      <w:r w:rsidRPr="00E75BC6">
        <w:rPr>
          <w:rFonts w:eastAsia="Times New Roman" w:cs="Times New Roman"/>
          <w:b/>
          <w:sz w:val="20"/>
          <w:szCs w:val="20"/>
          <w:lang w:eastAsia="en-CA"/>
        </w:rPr>
        <w:t>GRANTED / ACCORDÉES</w:t>
      </w:r>
    </w:p>
    <w:p w:rsidR="00E75BC6" w:rsidRPr="00E75BC6" w:rsidRDefault="00E75BC6" w:rsidP="00E75BC6">
      <w:pPr>
        <w:tabs>
          <w:tab w:val="left" w:pos="-1440"/>
          <w:tab w:val="left" w:pos="-720"/>
        </w:tabs>
        <w:jc w:val="both"/>
        <w:rPr>
          <w:rFonts w:eastAsia="Times New Roman" w:cs="Times New Roman"/>
          <w:sz w:val="20"/>
          <w:szCs w:val="20"/>
          <w:lang w:eastAsia="en-CA"/>
        </w:rPr>
      </w:pPr>
    </w:p>
    <w:p w:rsidR="00E75BC6" w:rsidRPr="00E75BC6" w:rsidRDefault="00E75BC6" w:rsidP="00E75BC6">
      <w:pPr>
        <w:spacing w:line="233" w:lineRule="auto"/>
        <w:jc w:val="both"/>
        <w:rPr>
          <w:rFonts w:eastAsia="Times New Roman" w:cs="Times New Roman"/>
          <w:sz w:val="20"/>
          <w:szCs w:val="20"/>
          <w:lang w:val="en-US" w:eastAsia="en-CA"/>
        </w:rPr>
      </w:pPr>
      <w:r w:rsidRPr="00E75BC6">
        <w:rPr>
          <w:rFonts w:eastAsia="Times New Roman" w:cs="Times New Roman"/>
          <w:b/>
          <w:bCs/>
          <w:sz w:val="20"/>
          <w:szCs w:val="20"/>
          <w:lang w:val="en-US" w:eastAsia="en-CA"/>
        </w:rPr>
        <w:t xml:space="preserve">UPON APPLICATIONS </w:t>
      </w:r>
      <w:r w:rsidRPr="00E75BC6">
        <w:rPr>
          <w:rFonts w:eastAsia="Times New Roman" w:cs="Times New Roman"/>
          <w:sz w:val="20"/>
          <w:szCs w:val="20"/>
          <w:lang w:val="en-US" w:eastAsia="en-CA"/>
        </w:rPr>
        <w:t xml:space="preserve">by </w:t>
      </w:r>
      <w:r w:rsidR="00547297" w:rsidRPr="00E75BC6">
        <w:rPr>
          <w:rFonts w:eastAsia="Times New Roman" w:cs="Times New Roman"/>
          <w:sz w:val="20"/>
          <w:szCs w:val="20"/>
          <w:lang w:eastAsia="en-CA"/>
        </w:rPr>
        <w:fldChar w:fldCharType="begin"/>
      </w:r>
      <w:r w:rsidRPr="00E75BC6">
        <w:rPr>
          <w:rFonts w:eastAsia="Times New Roman" w:cs="Times New Roman"/>
          <w:sz w:val="20"/>
          <w:szCs w:val="20"/>
          <w:lang w:eastAsia="en-CA"/>
        </w:rPr>
        <w:instrText xml:space="preserve"> SEQ CHAPTER \h \r 1</w:instrText>
      </w:r>
      <w:r w:rsidR="00547297" w:rsidRPr="00E75BC6">
        <w:rPr>
          <w:rFonts w:eastAsia="Times New Roman" w:cs="Times New Roman"/>
          <w:sz w:val="20"/>
          <w:szCs w:val="20"/>
          <w:lang w:eastAsia="en-CA"/>
        </w:rPr>
        <w:fldChar w:fldCharType="end"/>
      </w:r>
      <w:r w:rsidRPr="00E75BC6">
        <w:rPr>
          <w:rFonts w:eastAsia="Times New Roman" w:cs="Times New Roman"/>
          <w:sz w:val="20"/>
          <w:szCs w:val="20"/>
          <w:lang w:val="en-US" w:eastAsia="en-CA"/>
        </w:rPr>
        <w:t xml:space="preserve">the Alberta Human Rights Commission, </w:t>
      </w:r>
      <w:proofErr w:type="spellStart"/>
      <w:r w:rsidRPr="00E75BC6">
        <w:rPr>
          <w:rFonts w:eastAsia="Times New Roman" w:cs="Times New Roman"/>
          <w:sz w:val="20"/>
          <w:szCs w:val="20"/>
          <w:lang w:val="en-US" w:eastAsia="en-CA"/>
        </w:rPr>
        <w:t>Egale</w:t>
      </w:r>
      <w:proofErr w:type="spellEnd"/>
      <w:r w:rsidRPr="00E75BC6">
        <w:rPr>
          <w:rFonts w:eastAsia="Times New Roman" w:cs="Times New Roman"/>
          <w:sz w:val="20"/>
          <w:szCs w:val="20"/>
          <w:lang w:val="en-US" w:eastAsia="en-CA"/>
        </w:rPr>
        <w:t xml:space="preserve"> Canada Inc., the Ontario Human Rights Commission, the Canadian Human Rights Commission, the United Church of Canada, the Unitarian Congregation of Saskatoon and Canadian Unitarian Council, the Women's Legal Education and Action Fund, the Canadian Journalists for Free Expression, the Canadian Bar Association, the Northwest Territories Human Rights Commission and Yukon Human Rights Commission, the Christian Legal Fellowship, the League for Human Rights of B'nai </w:t>
      </w:r>
      <w:proofErr w:type="spellStart"/>
      <w:r w:rsidRPr="00E75BC6">
        <w:rPr>
          <w:rFonts w:eastAsia="Times New Roman" w:cs="Times New Roman"/>
          <w:sz w:val="20"/>
          <w:szCs w:val="20"/>
          <w:lang w:val="en-US" w:eastAsia="en-CA"/>
        </w:rPr>
        <w:t>Brith</w:t>
      </w:r>
      <w:proofErr w:type="spellEnd"/>
      <w:r w:rsidRPr="00E75BC6">
        <w:rPr>
          <w:rFonts w:eastAsia="Times New Roman" w:cs="Times New Roman"/>
          <w:sz w:val="20"/>
          <w:szCs w:val="20"/>
          <w:lang w:val="en-US" w:eastAsia="en-CA"/>
        </w:rPr>
        <w:t xml:space="preserve"> Canada, the Evangelical Fellowship of Canada, the Canadian Civil Liberties Association, the Canadian Constitution Foundation, the Assembly of First Nations, the Federation of Saskatchewan Indian Nations and the Métis Nation-Saskatchewan, the Catholic Civil Rights League and Faith and Freedom Alliance, the African Canadian Legal Clinic and the Canadian Jewish Congress for leave to intervene in the above appeal;</w:t>
      </w:r>
    </w:p>
    <w:p w:rsidR="00E75BC6" w:rsidRPr="00E75BC6" w:rsidRDefault="00E75BC6" w:rsidP="00E75BC6">
      <w:pPr>
        <w:spacing w:line="233" w:lineRule="auto"/>
        <w:jc w:val="both"/>
        <w:rPr>
          <w:rFonts w:eastAsia="Times New Roman" w:cs="Times New Roman"/>
          <w:sz w:val="20"/>
          <w:szCs w:val="20"/>
          <w:lang w:val="en-US" w:eastAsia="en-CA"/>
        </w:rPr>
      </w:pPr>
    </w:p>
    <w:p w:rsidR="00E75BC6" w:rsidRPr="00E75BC6" w:rsidRDefault="00E75BC6" w:rsidP="00E75BC6">
      <w:pPr>
        <w:spacing w:line="233" w:lineRule="auto"/>
        <w:jc w:val="both"/>
        <w:rPr>
          <w:rFonts w:eastAsia="Times New Roman" w:cs="Times New Roman"/>
          <w:sz w:val="20"/>
          <w:szCs w:val="20"/>
          <w:lang w:val="en-US" w:eastAsia="en-CA"/>
        </w:rPr>
      </w:pPr>
      <w:r w:rsidRPr="00E75BC6">
        <w:rPr>
          <w:rFonts w:eastAsia="Times New Roman" w:cs="Times New Roman"/>
          <w:b/>
          <w:bCs/>
          <w:sz w:val="20"/>
          <w:szCs w:val="20"/>
          <w:lang w:val="en-US" w:eastAsia="en-CA"/>
        </w:rPr>
        <w:t>AND THE MATERIAL FILED</w:t>
      </w:r>
      <w:r w:rsidRPr="00E75BC6">
        <w:rPr>
          <w:rFonts w:eastAsia="Times New Roman" w:cs="Times New Roman"/>
          <w:sz w:val="20"/>
          <w:szCs w:val="20"/>
          <w:lang w:val="en-US" w:eastAsia="en-CA"/>
        </w:rPr>
        <w:t xml:space="preserve"> having been read;</w:t>
      </w:r>
    </w:p>
    <w:p w:rsidR="00E75BC6" w:rsidRPr="00E75BC6" w:rsidRDefault="00E75BC6" w:rsidP="00E75BC6">
      <w:pPr>
        <w:spacing w:line="233" w:lineRule="auto"/>
        <w:jc w:val="both"/>
        <w:rPr>
          <w:rFonts w:eastAsia="Times New Roman" w:cs="Times New Roman"/>
          <w:sz w:val="20"/>
          <w:szCs w:val="20"/>
          <w:lang w:val="en-US" w:eastAsia="en-CA"/>
        </w:rPr>
      </w:pPr>
    </w:p>
    <w:p w:rsidR="00E75BC6" w:rsidRPr="00E75BC6" w:rsidRDefault="00E75BC6" w:rsidP="00E75BC6">
      <w:pPr>
        <w:spacing w:line="233" w:lineRule="auto"/>
        <w:jc w:val="both"/>
        <w:rPr>
          <w:rFonts w:eastAsia="Times New Roman" w:cs="Times New Roman"/>
          <w:sz w:val="20"/>
          <w:szCs w:val="20"/>
          <w:lang w:val="en-US" w:eastAsia="en-CA"/>
        </w:rPr>
      </w:pPr>
      <w:r w:rsidRPr="00E75BC6">
        <w:rPr>
          <w:rFonts w:eastAsia="Times New Roman" w:cs="Times New Roman"/>
          <w:b/>
          <w:bCs/>
          <w:sz w:val="20"/>
          <w:szCs w:val="20"/>
          <w:lang w:val="en-US" w:eastAsia="en-CA"/>
        </w:rPr>
        <w:t>IT IS HEREBY ORDERED THAT:</w:t>
      </w:r>
    </w:p>
    <w:p w:rsidR="00E75BC6" w:rsidRPr="00E75BC6" w:rsidRDefault="00E75BC6" w:rsidP="00E75BC6">
      <w:pPr>
        <w:spacing w:line="233" w:lineRule="auto"/>
        <w:jc w:val="both"/>
        <w:rPr>
          <w:rFonts w:eastAsia="Times New Roman" w:cs="Times New Roman"/>
          <w:sz w:val="20"/>
          <w:szCs w:val="20"/>
          <w:lang w:val="en-US" w:eastAsia="en-CA"/>
        </w:rPr>
      </w:pPr>
    </w:p>
    <w:p w:rsidR="00E75BC6" w:rsidRPr="00E75BC6" w:rsidRDefault="00E75BC6" w:rsidP="00E75BC6">
      <w:pPr>
        <w:spacing w:line="233" w:lineRule="auto"/>
        <w:jc w:val="both"/>
        <w:rPr>
          <w:rFonts w:eastAsia="Times New Roman" w:cs="Times New Roman"/>
          <w:sz w:val="20"/>
          <w:szCs w:val="20"/>
          <w:lang w:val="en-US" w:eastAsia="en-CA"/>
        </w:rPr>
      </w:pPr>
      <w:r w:rsidRPr="00E75BC6">
        <w:rPr>
          <w:rFonts w:eastAsia="Times New Roman" w:cs="Times New Roman"/>
          <w:sz w:val="20"/>
          <w:szCs w:val="20"/>
          <w:lang w:val="en-US" w:eastAsia="en-CA"/>
        </w:rPr>
        <w:t>The motion for an extension of time to apply for leave to intervene of the Canadian Jewish Congress is granted.</w:t>
      </w:r>
    </w:p>
    <w:p w:rsidR="00E75BC6" w:rsidRPr="00E75BC6" w:rsidRDefault="00E75BC6" w:rsidP="00E75BC6">
      <w:pPr>
        <w:spacing w:line="233" w:lineRule="auto"/>
        <w:jc w:val="both"/>
        <w:rPr>
          <w:rFonts w:eastAsia="Times New Roman" w:cs="Times New Roman"/>
          <w:sz w:val="20"/>
          <w:szCs w:val="20"/>
          <w:lang w:val="en-US" w:eastAsia="en-CA"/>
        </w:rPr>
      </w:pPr>
    </w:p>
    <w:p w:rsidR="00E75BC6" w:rsidRPr="00E75BC6" w:rsidRDefault="00E75BC6" w:rsidP="00E75BC6">
      <w:pPr>
        <w:spacing w:line="233" w:lineRule="auto"/>
        <w:jc w:val="both"/>
        <w:rPr>
          <w:rFonts w:eastAsia="Times New Roman" w:cs="Times New Roman"/>
          <w:sz w:val="20"/>
          <w:szCs w:val="20"/>
          <w:lang w:val="en-US" w:eastAsia="en-CA"/>
        </w:rPr>
      </w:pPr>
      <w:r w:rsidRPr="00E75BC6">
        <w:rPr>
          <w:rFonts w:eastAsia="Times New Roman" w:cs="Times New Roman"/>
          <w:sz w:val="20"/>
          <w:szCs w:val="20"/>
          <w:lang w:val="en-US" w:eastAsia="en-CA"/>
        </w:rPr>
        <w:lastRenderedPageBreak/>
        <w:t xml:space="preserve">The motions for leave to intervene of the Alberta Human Rights Commission, </w:t>
      </w:r>
      <w:proofErr w:type="spellStart"/>
      <w:r w:rsidRPr="00E75BC6">
        <w:rPr>
          <w:rFonts w:eastAsia="Times New Roman" w:cs="Times New Roman"/>
          <w:sz w:val="20"/>
          <w:szCs w:val="20"/>
          <w:lang w:val="en-US" w:eastAsia="en-CA"/>
        </w:rPr>
        <w:t>Egale</w:t>
      </w:r>
      <w:proofErr w:type="spellEnd"/>
      <w:r w:rsidRPr="00E75BC6">
        <w:rPr>
          <w:rFonts w:eastAsia="Times New Roman" w:cs="Times New Roman"/>
          <w:sz w:val="20"/>
          <w:szCs w:val="20"/>
          <w:lang w:val="en-US" w:eastAsia="en-CA"/>
        </w:rPr>
        <w:t xml:space="preserve"> Canada Inc., the Ontario Human Rights Commission, the Canadian Human Rights Commission, the United Church of Canada, the Unitarian Congregation of Saskatoon and Canadian Unitarian Council, the Women's Legal Education and Action Fund, the Canadian Journalists for Free Expression, the Canadian Bar Association, the Northwest Territories Human Rights Commission and Yukon Human Rights Commission, the Christian Legal Fellowship, the League for Human Rights of B'nai </w:t>
      </w:r>
      <w:proofErr w:type="spellStart"/>
      <w:r w:rsidRPr="00E75BC6">
        <w:rPr>
          <w:rFonts w:eastAsia="Times New Roman" w:cs="Times New Roman"/>
          <w:sz w:val="20"/>
          <w:szCs w:val="20"/>
          <w:lang w:val="en-US" w:eastAsia="en-CA"/>
        </w:rPr>
        <w:t>Brith</w:t>
      </w:r>
      <w:proofErr w:type="spellEnd"/>
      <w:r w:rsidRPr="00E75BC6">
        <w:rPr>
          <w:rFonts w:eastAsia="Times New Roman" w:cs="Times New Roman"/>
          <w:sz w:val="20"/>
          <w:szCs w:val="20"/>
          <w:lang w:val="en-US" w:eastAsia="en-CA"/>
        </w:rPr>
        <w:t xml:space="preserve"> Canada, the Evangelical Fellowship of Canada, the Canadian Civil Liberties Association, the Canadian Constitution Foundation, the Assembly of First Nations, the Federation of Saskatchewan Indian Nations and the Métis Nation-Saskatchewan, the Catholic Civil Rights League and Faith and Freedom Alliance, the African Canadian Legal Clinic and the Canadian Jewish Congress are granted and the said nineteen groups of interveners shall be entitled to each serve and file a factum not to exceed 10 pages in length.</w:t>
      </w:r>
    </w:p>
    <w:p w:rsidR="00E75BC6" w:rsidRPr="00E75BC6" w:rsidRDefault="00E75BC6" w:rsidP="00E75BC6">
      <w:pPr>
        <w:spacing w:line="233" w:lineRule="auto"/>
        <w:jc w:val="both"/>
        <w:rPr>
          <w:rFonts w:eastAsia="Times New Roman" w:cs="Times New Roman"/>
          <w:sz w:val="20"/>
          <w:szCs w:val="20"/>
          <w:lang w:val="en-US" w:eastAsia="en-CA"/>
        </w:rPr>
      </w:pPr>
    </w:p>
    <w:p w:rsidR="00E75BC6" w:rsidRPr="00E75BC6" w:rsidRDefault="00E75BC6" w:rsidP="00E75BC6">
      <w:pPr>
        <w:spacing w:line="233" w:lineRule="auto"/>
        <w:jc w:val="both"/>
        <w:rPr>
          <w:rFonts w:eastAsia="Times New Roman" w:cs="Times New Roman"/>
          <w:sz w:val="20"/>
          <w:szCs w:val="20"/>
          <w:lang w:val="en-US" w:eastAsia="en-CA"/>
        </w:rPr>
      </w:pPr>
      <w:r w:rsidRPr="00E75BC6">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E75BC6" w:rsidRPr="00E75BC6" w:rsidRDefault="00E75BC6" w:rsidP="00E75BC6">
      <w:pPr>
        <w:spacing w:line="233" w:lineRule="auto"/>
        <w:jc w:val="both"/>
        <w:rPr>
          <w:rFonts w:eastAsia="Times New Roman" w:cs="Times New Roman"/>
          <w:sz w:val="20"/>
          <w:szCs w:val="20"/>
          <w:lang w:val="en-US" w:eastAsia="en-CA"/>
        </w:rPr>
      </w:pPr>
    </w:p>
    <w:p w:rsidR="00E75BC6" w:rsidRPr="00E75BC6" w:rsidRDefault="00E75BC6" w:rsidP="00E75BC6">
      <w:pPr>
        <w:spacing w:line="233" w:lineRule="auto"/>
        <w:jc w:val="both"/>
        <w:rPr>
          <w:rFonts w:eastAsia="Times New Roman" w:cs="Times New Roman"/>
          <w:sz w:val="20"/>
          <w:szCs w:val="20"/>
          <w:lang w:val="en-US" w:eastAsia="en-CA"/>
        </w:rPr>
      </w:pPr>
      <w:r w:rsidRPr="00E75BC6">
        <w:rPr>
          <w:rFonts w:eastAsia="Times New Roman" w:cs="Times New Roman"/>
          <w:sz w:val="20"/>
          <w:szCs w:val="20"/>
          <w:lang w:val="en-US" w:eastAsia="en-CA"/>
        </w:rPr>
        <w:t>The interveners shall not be entitled to raise new issues or to adduce further evidence or otherwise to supplement the record of the parties.</w:t>
      </w:r>
    </w:p>
    <w:p w:rsidR="00E75BC6" w:rsidRPr="00E75BC6" w:rsidRDefault="00E75BC6" w:rsidP="00E75BC6">
      <w:pPr>
        <w:spacing w:line="233" w:lineRule="auto"/>
        <w:jc w:val="both"/>
        <w:rPr>
          <w:rFonts w:eastAsia="Times New Roman" w:cs="Times New Roman"/>
          <w:sz w:val="20"/>
          <w:szCs w:val="20"/>
          <w:lang w:val="en-US" w:eastAsia="en-CA"/>
        </w:rPr>
      </w:pPr>
    </w:p>
    <w:p w:rsidR="00E75BC6" w:rsidRPr="00E75BC6" w:rsidRDefault="00E75BC6" w:rsidP="00E75BC6">
      <w:pPr>
        <w:spacing w:line="233" w:lineRule="auto"/>
        <w:jc w:val="both"/>
        <w:rPr>
          <w:rFonts w:eastAsia="Times New Roman" w:cs="Times New Roman"/>
          <w:sz w:val="20"/>
          <w:szCs w:val="20"/>
          <w:lang w:val="en-US" w:eastAsia="en-CA"/>
        </w:rPr>
      </w:pPr>
      <w:r w:rsidRPr="00E75BC6">
        <w:rPr>
          <w:rFonts w:eastAsia="Times New Roman" w:cs="Times New Roman"/>
          <w:sz w:val="20"/>
          <w:szCs w:val="20"/>
          <w:lang w:val="en-US" w:eastAsia="en-CA"/>
        </w:rPr>
        <w:t>Pursuant to Rule 59(1</w:t>
      </w:r>
      <w:proofErr w:type="gramStart"/>
      <w:r w:rsidRPr="00E75BC6">
        <w:rPr>
          <w:rFonts w:eastAsia="Times New Roman" w:cs="Times New Roman"/>
          <w:sz w:val="20"/>
          <w:szCs w:val="20"/>
          <w:lang w:val="en-US" w:eastAsia="en-CA"/>
        </w:rPr>
        <w:t>)(</w:t>
      </w:r>
      <w:proofErr w:type="gramEnd"/>
      <w:r w:rsidRPr="00E75BC6">
        <w:rPr>
          <w:rFonts w:eastAsia="Times New Roman" w:cs="Times New Roman"/>
          <w:i/>
          <w:iCs/>
          <w:sz w:val="20"/>
          <w:szCs w:val="20"/>
          <w:lang w:val="en-US" w:eastAsia="en-CA"/>
        </w:rPr>
        <w:t>a</w:t>
      </w:r>
      <w:r w:rsidRPr="00E75BC6">
        <w:rPr>
          <w:rFonts w:eastAsia="Times New Roman" w:cs="Times New Roman"/>
          <w:sz w:val="20"/>
          <w:szCs w:val="20"/>
          <w:lang w:val="en-US" w:eastAsia="en-CA"/>
        </w:rPr>
        <w:t xml:space="preserve">) of the </w:t>
      </w:r>
      <w:r w:rsidRPr="00E75BC6">
        <w:rPr>
          <w:rFonts w:eastAsia="Times New Roman" w:cs="Times New Roman"/>
          <w:i/>
          <w:iCs/>
          <w:sz w:val="20"/>
          <w:szCs w:val="20"/>
          <w:lang w:val="en-US" w:eastAsia="en-CA"/>
        </w:rPr>
        <w:t>Rules of the Supreme Court of Canada</w:t>
      </w:r>
      <w:r w:rsidRPr="00E75BC6">
        <w:rPr>
          <w:rFonts w:eastAsia="Times New Roman" w:cs="Times New Roman"/>
          <w:sz w:val="20"/>
          <w:szCs w:val="20"/>
          <w:lang w:val="en-US" w:eastAsia="en-CA"/>
        </w:rPr>
        <w:t>, the interveners shall pay to the appellant and respondent any additional disbursements occasioned to the appellant and respondent by their intervention.</w:t>
      </w:r>
    </w:p>
    <w:p w:rsidR="00E75BC6" w:rsidRPr="00E75BC6" w:rsidRDefault="00E75BC6" w:rsidP="00E75BC6">
      <w:pPr>
        <w:tabs>
          <w:tab w:val="left" w:pos="-1440"/>
          <w:tab w:val="left" w:pos="-720"/>
        </w:tabs>
        <w:jc w:val="both"/>
        <w:rPr>
          <w:rFonts w:eastAsia="Times New Roman" w:cs="Times New Roman"/>
          <w:sz w:val="20"/>
          <w:szCs w:val="20"/>
          <w:lang w:val="en-US" w:eastAsia="en-CA"/>
        </w:rPr>
      </w:pPr>
    </w:p>
    <w:p w:rsidR="00E75BC6" w:rsidRPr="00E75BC6" w:rsidRDefault="00E75BC6" w:rsidP="00E75BC6">
      <w:pPr>
        <w:tabs>
          <w:tab w:val="left" w:pos="-1440"/>
          <w:tab w:val="left" w:pos="-720"/>
        </w:tabs>
        <w:jc w:val="both"/>
        <w:rPr>
          <w:rFonts w:eastAsia="Times New Roman" w:cs="Times New Roman"/>
          <w:sz w:val="20"/>
          <w:szCs w:val="20"/>
          <w:lang w:eastAsia="en-CA"/>
        </w:rPr>
      </w:pPr>
    </w:p>
    <w:p w:rsidR="00E75BC6" w:rsidRPr="00E75BC6" w:rsidRDefault="00E75BC6" w:rsidP="00E75BC6">
      <w:pPr>
        <w:tabs>
          <w:tab w:val="left" w:pos="-1440"/>
          <w:tab w:val="left" w:pos="-720"/>
        </w:tabs>
        <w:jc w:val="both"/>
        <w:rPr>
          <w:rFonts w:eastAsia="Times New Roman" w:cs="Times New Roman"/>
          <w:sz w:val="20"/>
          <w:szCs w:val="20"/>
          <w:lang w:eastAsia="en-CA"/>
        </w:rPr>
      </w:pPr>
    </w:p>
    <w:p w:rsidR="00E75BC6" w:rsidRPr="00E75BC6" w:rsidRDefault="00E75BC6" w:rsidP="00E75BC6">
      <w:pPr>
        <w:spacing w:line="233" w:lineRule="auto"/>
        <w:jc w:val="both"/>
        <w:rPr>
          <w:rFonts w:eastAsia="Times New Roman" w:cs="Times New Roman"/>
          <w:sz w:val="20"/>
          <w:szCs w:val="20"/>
          <w:lang w:val="fr-CA" w:eastAsia="en-CA"/>
        </w:rPr>
      </w:pPr>
      <w:r w:rsidRPr="00E75BC6">
        <w:rPr>
          <w:rFonts w:eastAsia="Times New Roman" w:cs="Times New Roman"/>
          <w:b/>
          <w:bCs/>
          <w:sz w:val="20"/>
          <w:szCs w:val="20"/>
          <w:lang w:val="fr-CA" w:eastAsia="en-CA"/>
        </w:rPr>
        <w:t xml:space="preserve">À LA SUITE DES DEMANDES </w:t>
      </w:r>
      <w:r w:rsidRPr="00E75BC6">
        <w:rPr>
          <w:rFonts w:eastAsia="Times New Roman" w:cs="Times New Roman"/>
          <w:bCs/>
          <w:sz w:val="20"/>
          <w:szCs w:val="20"/>
          <w:lang w:val="fr-CA" w:eastAsia="en-CA"/>
        </w:rPr>
        <w:t xml:space="preserve">présentées par </w:t>
      </w:r>
      <w:r w:rsidRPr="00E75BC6">
        <w:rPr>
          <w:rFonts w:eastAsia="Times New Roman" w:cs="Times New Roman"/>
          <w:sz w:val="20"/>
          <w:szCs w:val="20"/>
          <w:lang w:val="fr-CA" w:eastAsia="en-CA"/>
        </w:rPr>
        <w:t xml:space="preserve">l’Alberta </w:t>
      </w:r>
      <w:proofErr w:type="spellStart"/>
      <w:r w:rsidRPr="00E75BC6">
        <w:rPr>
          <w:rFonts w:eastAsia="Times New Roman" w:cs="Times New Roman"/>
          <w:sz w:val="20"/>
          <w:szCs w:val="20"/>
          <w:lang w:val="fr-CA" w:eastAsia="en-CA"/>
        </w:rPr>
        <w:t>Human</w:t>
      </w:r>
      <w:proofErr w:type="spellEnd"/>
      <w:r w:rsidRPr="00E75BC6">
        <w:rPr>
          <w:rFonts w:eastAsia="Times New Roman" w:cs="Times New Roman"/>
          <w:sz w:val="20"/>
          <w:szCs w:val="20"/>
          <w:lang w:val="fr-CA" w:eastAsia="en-CA"/>
        </w:rPr>
        <w:t xml:space="preserve"> </w:t>
      </w:r>
      <w:proofErr w:type="spellStart"/>
      <w:r w:rsidRPr="00E75BC6">
        <w:rPr>
          <w:rFonts w:eastAsia="Times New Roman" w:cs="Times New Roman"/>
          <w:sz w:val="20"/>
          <w:szCs w:val="20"/>
          <w:lang w:val="fr-CA" w:eastAsia="en-CA"/>
        </w:rPr>
        <w:t>Rights</w:t>
      </w:r>
      <w:proofErr w:type="spellEnd"/>
      <w:r w:rsidRPr="00E75BC6">
        <w:rPr>
          <w:rFonts w:eastAsia="Times New Roman" w:cs="Times New Roman"/>
          <w:sz w:val="20"/>
          <w:szCs w:val="20"/>
          <w:lang w:val="fr-CA" w:eastAsia="en-CA"/>
        </w:rPr>
        <w:t xml:space="preserve"> Commission, par Égale Canada Inc., par la Commission ontarienne des droits de la personne, par la Commission canadienne des droits de la personne, par l’Église unie du Canada, par la </w:t>
      </w:r>
      <w:proofErr w:type="spellStart"/>
      <w:r w:rsidRPr="00E75BC6">
        <w:rPr>
          <w:rFonts w:eastAsia="Times New Roman" w:cs="Times New Roman"/>
          <w:sz w:val="20"/>
          <w:szCs w:val="20"/>
          <w:lang w:val="fr-CA" w:eastAsia="en-CA"/>
        </w:rPr>
        <w:t>Unitarian</w:t>
      </w:r>
      <w:proofErr w:type="spellEnd"/>
      <w:r w:rsidRPr="00E75BC6">
        <w:rPr>
          <w:rFonts w:eastAsia="Times New Roman" w:cs="Times New Roman"/>
          <w:sz w:val="20"/>
          <w:szCs w:val="20"/>
          <w:lang w:val="fr-CA" w:eastAsia="en-CA"/>
        </w:rPr>
        <w:t xml:space="preserve"> </w:t>
      </w:r>
      <w:proofErr w:type="spellStart"/>
      <w:r w:rsidRPr="00E75BC6">
        <w:rPr>
          <w:rFonts w:eastAsia="Times New Roman" w:cs="Times New Roman"/>
          <w:sz w:val="20"/>
          <w:szCs w:val="20"/>
          <w:lang w:val="fr-CA" w:eastAsia="en-CA"/>
        </w:rPr>
        <w:t>Congregation</w:t>
      </w:r>
      <w:proofErr w:type="spellEnd"/>
      <w:r w:rsidRPr="00E75BC6">
        <w:rPr>
          <w:rFonts w:eastAsia="Times New Roman" w:cs="Times New Roman"/>
          <w:sz w:val="20"/>
          <w:szCs w:val="20"/>
          <w:lang w:val="fr-CA" w:eastAsia="en-CA"/>
        </w:rPr>
        <w:t xml:space="preserve"> of Saskatoon et le Canadian </w:t>
      </w:r>
      <w:proofErr w:type="spellStart"/>
      <w:r w:rsidRPr="00E75BC6">
        <w:rPr>
          <w:rFonts w:eastAsia="Times New Roman" w:cs="Times New Roman"/>
          <w:sz w:val="20"/>
          <w:szCs w:val="20"/>
          <w:lang w:val="fr-CA" w:eastAsia="en-CA"/>
        </w:rPr>
        <w:t>Unitarian</w:t>
      </w:r>
      <w:proofErr w:type="spellEnd"/>
      <w:r w:rsidRPr="00E75BC6">
        <w:rPr>
          <w:rFonts w:eastAsia="Times New Roman" w:cs="Times New Roman"/>
          <w:sz w:val="20"/>
          <w:szCs w:val="20"/>
          <w:lang w:val="fr-CA" w:eastAsia="en-CA"/>
        </w:rPr>
        <w:t xml:space="preserve"> Council, par le Fonds d’action et d’éducation juridiques pour les femmes, par les Journalistes canadiens pour la liberté d’expression, par l’Association du Barreau canadien, par la Commission des droits de la personne des Territoires du Nord-Ouest et la Commission des droits de la personne du Yukon, par l’Alliance des chrétiens en droit, par la Ligue des droits de la personne de </w:t>
      </w:r>
      <w:proofErr w:type="spellStart"/>
      <w:r w:rsidRPr="00E75BC6">
        <w:rPr>
          <w:rFonts w:eastAsia="Times New Roman" w:cs="Times New Roman"/>
          <w:sz w:val="20"/>
          <w:szCs w:val="20"/>
          <w:lang w:val="fr-CA" w:eastAsia="en-CA"/>
        </w:rPr>
        <w:t>B'nai</w:t>
      </w:r>
      <w:proofErr w:type="spellEnd"/>
      <w:r w:rsidRPr="00E75BC6">
        <w:rPr>
          <w:rFonts w:eastAsia="Times New Roman" w:cs="Times New Roman"/>
          <w:sz w:val="20"/>
          <w:szCs w:val="20"/>
          <w:lang w:val="fr-CA" w:eastAsia="en-CA"/>
        </w:rPr>
        <w:t xml:space="preserve"> </w:t>
      </w:r>
      <w:proofErr w:type="spellStart"/>
      <w:r w:rsidRPr="00E75BC6">
        <w:rPr>
          <w:rFonts w:eastAsia="Times New Roman" w:cs="Times New Roman"/>
          <w:sz w:val="20"/>
          <w:szCs w:val="20"/>
          <w:lang w:val="fr-CA" w:eastAsia="en-CA"/>
        </w:rPr>
        <w:t>Brith</w:t>
      </w:r>
      <w:proofErr w:type="spellEnd"/>
      <w:r w:rsidRPr="00E75BC6">
        <w:rPr>
          <w:rFonts w:eastAsia="Times New Roman" w:cs="Times New Roman"/>
          <w:sz w:val="20"/>
          <w:szCs w:val="20"/>
          <w:lang w:val="fr-CA" w:eastAsia="en-CA"/>
        </w:rPr>
        <w:t xml:space="preserve"> Canada, par l’Alliance évangélique du Canada, par l’Association canadienne des libertés civiles, par la Canadian Constitution </w:t>
      </w:r>
      <w:proofErr w:type="spellStart"/>
      <w:r w:rsidRPr="00E75BC6">
        <w:rPr>
          <w:rFonts w:eastAsia="Times New Roman" w:cs="Times New Roman"/>
          <w:sz w:val="20"/>
          <w:szCs w:val="20"/>
          <w:lang w:val="fr-CA" w:eastAsia="en-CA"/>
        </w:rPr>
        <w:t>Foundation</w:t>
      </w:r>
      <w:proofErr w:type="spellEnd"/>
      <w:r w:rsidRPr="00E75BC6">
        <w:rPr>
          <w:rFonts w:eastAsia="Times New Roman" w:cs="Times New Roman"/>
          <w:sz w:val="20"/>
          <w:szCs w:val="20"/>
          <w:lang w:val="fr-CA" w:eastAsia="en-CA"/>
        </w:rPr>
        <w:t xml:space="preserve">, par l’Assemblée des Premières Nations, la </w:t>
      </w:r>
      <w:proofErr w:type="spellStart"/>
      <w:r w:rsidRPr="00E75BC6">
        <w:rPr>
          <w:rFonts w:eastAsia="Times New Roman" w:cs="Times New Roman"/>
          <w:sz w:val="20"/>
          <w:szCs w:val="20"/>
          <w:lang w:val="fr-CA" w:eastAsia="en-CA"/>
        </w:rPr>
        <w:t>Federation</w:t>
      </w:r>
      <w:proofErr w:type="spellEnd"/>
      <w:r w:rsidRPr="00E75BC6">
        <w:rPr>
          <w:rFonts w:eastAsia="Times New Roman" w:cs="Times New Roman"/>
          <w:sz w:val="20"/>
          <w:szCs w:val="20"/>
          <w:lang w:val="fr-CA" w:eastAsia="en-CA"/>
        </w:rPr>
        <w:t xml:space="preserve"> of Saskatchewan </w:t>
      </w:r>
      <w:proofErr w:type="spellStart"/>
      <w:r w:rsidRPr="00E75BC6">
        <w:rPr>
          <w:rFonts w:eastAsia="Times New Roman" w:cs="Times New Roman"/>
          <w:sz w:val="20"/>
          <w:szCs w:val="20"/>
          <w:lang w:val="fr-CA" w:eastAsia="en-CA"/>
        </w:rPr>
        <w:t>Indian</w:t>
      </w:r>
      <w:proofErr w:type="spellEnd"/>
      <w:r w:rsidRPr="00E75BC6">
        <w:rPr>
          <w:rFonts w:eastAsia="Times New Roman" w:cs="Times New Roman"/>
          <w:sz w:val="20"/>
          <w:szCs w:val="20"/>
          <w:lang w:val="fr-CA" w:eastAsia="en-CA"/>
        </w:rPr>
        <w:t xml:space="preserve"> Nations et la Métis Nation-Saskatchewan, par la Ligue catholique des droits de l’homme et la </w:t>
      </w:r>
      <w:proofErr w:type="spellStart"/>
      <w:r w:rsidRPr="00E75BC6">
        <w:rPr>
          <w:rFonts w:eastAsia="Times New Roman" w:cs="Times New Roman"/>
          <w:sz w:val="20"/>
          <w:szCs w:val="20"/>
          <w:lang w:val="fr-CA" w:eastAsia="en-CA"/>
        </w:rPr>
        <w:t>Faith</w:t>
      </w:r>
      <w:proofErr w:type="spellEnd"/>
      <w:r w:rsidRPr="00E75BC6">
        <w:rPr>
          <w:rFonts w:eastAsia="Times New Roman" w:cs="Times New Roman"/>
          <w:sz w:val="20"/>
          <w:szCs w:val="20"/>
          <w:lang w:val="fr-CA" w:eastAsia="en-CA"/>
        </w:rPr>
        <w:t xml:space="preserve"> and </w:t>
      </w:r>
      <w:proofErr w:type="spellStart"/>
      <w:r w:rsidRPr="00E75BC6">
        <w:rPr>
          <w:rFonts w:eastAsia="Times New Roman" w:cs="Times New Roman"/>
          <w:sz w:val="20"/>
          <w:szCs w:val="20"/>
          <w:lang w:val="fr-CA" w:eastAsia="en-CA"/>
        </w:rPr>
        <w:t>Freedom</w:t>
      </w:r>
      <w:proofErr w:type="spellEnd"/>
      <w:r w:rsidRPr="00E75BC6">
        <w:rPr>
          <w:rFonts w:eastAsia="Times New Roman" w:cs="Times New Roman"/>
          <w:sz w:val="20"/>
          <w:szCs w:val="20"/>
          <w:lang w:val="fr-CA" w:eastAsia="en-CA"/>
        </w:rPr>
        <w:t xml:space="preserve"> Alliance, par l’</w:t>
      </w:r>
      <w:proofErr w:type="spellStart"/>
      <w:r w:rsidRPr="00E75BC6">
        <w:rPr>
          <w:rFonts w:eastAsia="Times New Roman" w:cs="Times New Roman"/>
          <w:sz w:val="20"/>
          <w:szCs w:val="20"/>
          <w:lang w:val="fr-CA" w:eastAsia="en-CA"/>
        </w:rPr>
        <w:t>African</w:t>
      </w:r>
      <w:proofErr w:type="spellEnd"/>
      <w:r w:rsidRPr="00E75BC6">
        <w:rPr>
          <w:rFonts w:eastAsia="Times New Roman" w:cs="Times New Roman"/>
          <w:sz w:val="20"/>
          <w:szCs w:val="20"/>
          <w:lang w:val="fr-CA" w:eastAsia="en-CA"/>
        </w:rPr>
        <w:t xml:space="preserve"> Canadian </w:t>
      </w:r>
      <w:proofErr w:type="spellStart"/>
      <w:r w:rsidRPr="00E75BC6">
        <w:rPr>
          <w:rFonts w:eastAsia="Times New Roman" w:cs="Times New Roman"/>
          <w:sz w:val="20"/>
          <w:szCs w:val="20"/>
          <w:lang w:val="fr-CA" w:eastAsia="en-CA"/>
        </w:rPr>
        <w:t>Legal</w:t>
      </w:r>
      <w:proofErr w:type="spellEnd"/>
      <w:r w:rsidRPr="00E75BC6">
        <w:rPr>
          <w:rFonts w:eastAsia="Times New Roman" w:cs="Times New Roman"/>
          <w:sz w:val="20"/>
          <w:szCs w:val="20"/>
          <w:lang w:val="fr-CA" w:eastAsia="en-CA"/>
        </w:rPr>
        <w:t xml:space="preserve"> </w:t>
      </w:r>
      <w:proofErr w:type="spellStart"/>
      <w:r w:rsidRPr="00E75BC6">
        <w:rPr>
          <w:rFonts w:eastAsia="Times New Roman" w:cs="Times New Roman"/>
          <w:sz w:val="20"/>
          <w:szCs w:val="20"/>
          <w:lang w:val="fr-CA" w:eastAsia="en-CA"/>
        </w:rPr>
        <w:t>Clinic</w:t>
      </w:r>
      <w:proofErr w:type="spellEnd"/>
      <w:r w:rsidRPr="00E75BC6">
        <w:rPr>
          <w:rFonts w:eastAsia="Times New Roman" w:cs="Times New Roman"/>
          <w:sz w:val="20"/>
          <w:szCs w:val="20"/>
          <w:lang w:val="fr-CA" w:eastAsia="en-CA"/>
        </w:rPr>
        <w:t xml:space="preserve"> et par le Congrès juif Canadien en vue d’intervenir dans l’appel; </w:t>
      </w:r>
    </w:p>
    <w:p w:rsidR="00E75BC6" w:rsidRPr="00E75BC6" w:rsidRDefault="00E75BC6" w:rsidP="00E75BC6">
      <w:pPr>
        <w:spacing w:line="233" w:lineRule="auto"/>
        <w:jc w:val="both"/>
        <w:rPr>
          <w:rFonts w:eastAsia="Times New Roman" w:cs="Times New Roman"/>
          <w:sz w:val="20"/>
          <w:szCs w:val="20"/>
          <w:lang w:val="fr-CA" w:eastAsia="en-CA"/>
        </w:rPr>
      </w:pPr>
    </w:p>
    <w:p w:rsidR="00E75BC6" w:rsidRPr="00E75BC6" w:rsidRDefault="00E75BC6" w:rsidP="00E75BC6">
      <w:pPr>
        <w:spacing w:line="233" w:lineRule="auto"/>
        <w:jc w:val="both"/>
        <w:rPr>
          <w:rFonts w:eastAsia="Times New Roman" w:cs="Times New Roman"/>
          <w:sz w:val="20"/>
          <w:szCs w:val="20"/>
          <w:lang w:val="fr-CA" w:eastAsia="en-CA"/>
        </w:rPr>
      </w:pPr>
      <w:r w:rsidRPr="00E75BC6">
        <w:rPr>
          <w:rFonts w:eastAsia="Times New Roman" w:cs="Times New Roman"/>
          <w:b/>
          <w:bCs/>
          <w:sz w:val="20"/>
          <w:szCs w:val="20"/>
          <w:lang w:val="fr-CA" w:eastAsia="en-CA"/>
        </w:rPr>
        <w:t xml:space="preserve">ET APRÈS EXAMEN </w:t>
      </w:r>
      <w:r w:rsidRPr="00E75BC6">
        <w:rPr>
          <w:rFonts w:eastAsia="Times New Roman" w:cs="Times New Roman"/>
          <w:bCs/>
          <w:sz w:val="20"/>
          <w:szCs w:val="20"/>
          <w:lang w:val="fr-CA" w:eastAsia="en-CA"/>
        </w:rPr>
        <w:t>des documents déposés</w:t>
      </w:r>
      <w:r w:rsidRPr="00E75BC6">
        <w:rPr>
          <w:rFonts w:eastAsia="Times New Roman" w:cs="Times New Roman"/>
          <w:b/>
          <w:bCs/>
          <w:sz w:val="20"/>
          <w:szCs w:val="20"/>
          <w:lang w:val="fr-CA" w:eastAsia="en-CA"/>
        </w:rPr>
        <w:t>,</w:t>
      </w:r>
    </w:p>
    <w:p w:rsidR="00E75BC6" w:rsidRPr="00E75BC6" w:rsidRDefault="00E75BC6" w:rsidP="00E75BC6">
      <w:pPr>
        <w:spacing w:line="233" w:lineRule="auto"/>
        <w:jc w:val="both"/>
        <w:rPr>
          <w:rFonts w:eastAsia="Times New Roman" w:cs="Times New Roman"/>
          <w:sz w:val="20"/>
          <w:szCs w:val="20"/>
          <w:lang w:val="fr-CA" w:eastAsia="en-CA"/>
        </w:rPr>
      </w:pPr>
    </w:p>
    <w:p w:rsidR="00E75BC6" w:rsidRPr="00E75BC6" w:rsidRDefault="00E75BC6" w:rsidP="00E75BC6">
      <w:pPr>
        <w:spacing w:line="233" w:lineRule="auto"/>
        <w:jc w:val="both"/>
        <w:rPr>
          <w:rFonts w:eastAsia="Times New Roman" w:cs="Times New Roman"/>
          <w:sz w:val="20"/>
          <w:szCs w:val="20"/>
          <w:lang w:val="fr-CA" w:eastAsia="en-CA"/>
        </w:rPr>
      </w:pPr>
      <w:r w:rsidRPr="00E75BC6">
        <w:rPr>
          <w:rFonts w:eastAsia="Times New Roman" w:cs="Times New Roman"/>
          <w:b/>
          <w:bCs/>
          <w:sz w:val="20"/>
          <w:szCs w:val="20"/>
          <w:lang w:val="fr-CA" w:eastAsia="en-CA"/>
        </w:rPr>
        <w:t xml:space="preserve">IL EST ORDONNÉ CE QUI SUIT : </w:t>
      </w:r>
    </w:p>
    <w:p w:rsidR="00E75BC6" w:rsidRPr="00E75BC6" w:rsidRDefault="00E75BC6" w:rsidP="00E75BC6">
      <w:pPr>
        <w:spacing w:line="233" w:lineRule="auto"/>
        <w:jc w:val="both"/>
        <w:rPr>
          <w:rFonts w:eastAsia="Times New Roman" w:cs="Times New Roman"/>
          <w:sz w:val="20"/>
          <w:szCs w:val="20"/>
          <w:lang w:val="fr-CA" w:eastAsia="en-CA"/>
        </w:rPr>
      </w:pPr>
    </w:p>
    <w:p w:rsidR="00E75BC6" w:rsidRPr="00E75BC6" w:rsidRDefault="00E75BC6" w:rsidP="00E75BC6">
      <w:pPr>
        <w:spacing w:line="233" w:lineRule="auto"/>
        <w:jc w:val="both"/>
        <w:rPr>
          <w:rFonts w:eastAsia="Times New Roman" w:cs="Times New Roman"/>
          <w:sz w:val="20"/>
          <w:szCs w:val="20"/>
          <w:lang w:val="fr-CA" w:eastAsia="en-CA"/>
        </w:rPr>
      </w:pPr>
      <w:r w:rsidRPr="00E75BC6">
        <w:rPr>
          <w:rFonts w:eastAsia="Times New Roman" w:cs="Times New Roman"/>
          <w:sz w:val="20"/>
          <w:szCs w:val="20"/>
          <w:lang w:val="fr-CA" w:eastAsia="en-CA"/>
        </w:rPr>
        <w:t>La requête en prorogation du délai de présentation de la demande d’autorisation d’intervenir présentée par le Congrès juif canadien est accordée.</w:t>
      </w:r>
    </w:p>
    <w:p w:rsidR="00E75BC6" w:rsidRPr="00E75BC6" w:rsidRDefault="00E75BC6" w:rsidP="00E75BC6">
      <w:pPr>
        <w:spacing w:line="233" w:lineRule="auto"/>
        <w:jc w:val="both"/>
        <w:rPr>
          <w:rFonts w:eastAsia="Times New Roman" w:cs="Times New Roman"/>
          <w:sz w:val="20"/>
          <w:szCs w:val="20"/>
          <w:lang w:val="fr-CA" w:eastAsia="en-CA"/>
        </w:rPr>
      </w:pPr>
    </w:p>
    <w:p w:rsidR="00E75BC6" w:rsidRPr="00E75BC6" w:rsidRDefault="00E75BC6" w:rsidP="00E75BC6">
      <w:pPr>
        <w:spacing w:line="233" w:lineRule="auto"/>
        <w:jc w:val="both"/>
        <w:rPr>
          <w:rFonts w:eastAsia="Times New Roman" w:cs="Times New Roman"/>
          <w:sz w:val="20"/>
          <w:szCs w:val="20"/>
          <w:lang w:val="fr-CA" w:eastAsia="en-CA"/>
        </w:rPr>
      </w:pPr>
      <w:r w:rsidRPr="00E75BC6">
        <w:rPr>
          <w:rFonts w:eastAsia="Times New Roman" w:cs="Times New Roman"/>
          <w:sz w:val="20"/>
          <w:szCs w:val="20"/>
          <w:lang w:val="fr-CA" w:eastAsia="en-CA"/>
        </w:rPr>
        <w:t xml:space="preserve">Les requêtes en autorisation d’intervenir présentées </w:t>
      </w:r>
      <w:r w:rsidRPr="00E75BC6">
        <w:rPr>
          <w:rFonts w:eastAsia="Times New Roman" w:cs="Times New Roman"/>
          <w:bCs/>
          <w:sz w:val="20"/>
          <w:szCs w:val="20"/>
          <w:lang w:val="fr-CA" w:eastAsia="en-CA"/>
        </w:rPr>
        <w:t xml:space="preserve">par </w:t>
      </w:r>
      <w:r w:rsidRPr="00E75BC6">
        <w:rPr>
          <w:rFonts w:eastAsia="Times New Roman" w:cs="Times New Roman"/>
          <w:sz w:val="20"/>
          <w:szCs w:val="20"/>
          <w:lang w:val="fr-CA" w:eastAsia="en-CA"/>
        </w:rPr>
        <w:t xml:space="preserve">l’Alberta </w:t>
      </w:r>
      <w:proofErr w:type="spellStart"/>
      <w:r w:rsidRPr="00E75BC6">
        <w:rPr>
          <w:rFonts w:eastAsia="Times New Roman" w:cs="Times New Roman"/>
          <w:sz w:val="20"/>
          <w:szCs w:val="20"/>
          <w:lang w:val="fr-CA" w:eastAsia="en-CA"/>
        </w:rPr>
        <w:t>Human</w:t>
      </w:r>
      <w:proofErr w:type="spellEnd"/>
      <w:r w:rsidRPr="00E75BC6">
        <w:rPr>
          <w:rFonts w:eastAsia="Times New Roman" w:cs="Times New Roman"/>
          <w:sz w:val="20"/>
          <w:szCs w:val="20"/>
          <w:lang w:val="fr-CA" w:eastAsia="en-CA"/>
        </w:rPr>
        <w:t xml:space="preserve"> </w:t>
      </w:r>
      <w:proofErr w:type="spellStart"/>
      <w:r w:rsidRPr="00E75BC6">
        <w:rPr>
          <w:rFonts w:eastAsia="Times New Roman" w:cs="Times New Roman"/>
          <w:sz w:val="20"/>
          <w:szCs w:val="20"/>
          <w:lang w:val="fr-CA" w:eastAsia="en-CA"/>
        </w:rPr>
        <w:t>Rights</w:t>
      </w:r>
      <w:proofErr w:type="spellEnd"/>
      <w:r w:rsidRPr="00E75BC6">
        <w:rPr>
          <w:rFonts w:eastAsia="Times New Roman" w:cs="Times New Roman"/>
          <w:sz w:val="20"/>
          <w:szCs w:val="20"/>
          <w:lang w:val="fr-CA" w:eastAsia="en-CA"/>
        </w:rPr>
        <w:t xml:space="preserve"> Commission, par Égale Canada Inc., par la Commission ontarienne des droits de la personne, par la Commission canadienne des droits de la personne, par l’Église unie du Canada, par la </w:t>
      </w:r>
      <w:proofErr w:type="spellStart"/>
      <w:r w:rsidRPr="00E75BC6">
        <w:rPr>
          <w:rFonts w:eastAsia="Times New Roman" w:cs="Times New Roman"/>
          <w:sz w:val="20"/>
          <w:szCs w:val="20"/>
          <w:lang w:val="fr-CA" w:eastAsia="en-CA"/>
        </w:rPr>
        <w:t>Unitarian</w:t>
      </w:r>
      <w:proofErr w:type="spellEnd"/>
      <w:r w:rsidRPr="00E75BC6">
        <w:rPr>
          <w:rFonts w:eastAsia="Times New Roman" w:cs="Times New Roman"/>
          <w:sz w:val="20"/>
          <w:szCs w:val="20"/>
          <w:lang w:val="fr-CA" w:eastAsia="en-CA"/>
        </w:rPr>
        <w:t xml:space="preserve"> </w:t>
      </w:r>
      <w:proofErr w:type="spellStart"/>
      <w:r w:rsidRPr="00E75BC6">
        <w:rPr>
          <w:rFonts w:eastAsia="Times New Roman" w:cs="Times New Roman"/>
          <w:sz w:val="20"/>
          <w:szCs w:val="20"/>
          <w:lang w:val="fr-CA" w:eastAsia="en-CA"/>
        </w:rPr>
        <w:t>Congregation</w:t>
      </w:r>
      <w:proofErr w:type="spellEnd"/>
      <w:r w:rsidRPr="00E75BC6">
        <w:rPr>
          <w:rFonts w:eastAsia="Times New Roman" w:cs="Times New Roman"/>
          <w:sz w:val="20"/>
          <w:szCs w:val="20"/>
          <w:lang w:val="fr-CA" w:eastAsia="en-CA"/>
        </w:rPr>
        <w:t xml:space="preserve"> of Saskatoon et le Canadian </w:t>
      </w:r>
      <w:proofErr w:type="spellStart"/>
      <w:r w:rsidRPr="00E75BC6">
        <w:rPr>
          <w:rFonts w:eastAsia="Times New Roman" w:cs="Times New Roman"/>
          <w:sz w:val="20"/>
          <w:szCs w:val="20"/>
          <w:lang w:val="fr-CA" w:eastAsia="en-CA"/>
        </w:rPr>
        <w:t>Unitarian</w:t>
      </w:r>
      <w:proofErr w:type="spellEnd"/>
      <w:r w:rsidRPr="00E75BC6">
        <w:rPr>
          <w:rFonts w:eastAsia="Times New Roman" w:cs="Times New Roman"/>
          <w:sz w:val="20"/>
          <w:szCs w:val="20"/>
          <w:lang w:val="fr-CA" w:eastAsia="en-CA"/>
        </w:rPr>
        <w:t xml:space="preserve"> Council, par le Fonds d’action et d’éducation juridiques pour les femmes, par les Journalistes canadiens pour la liberté d’expression, par l’Association du Barreau canadien, par la Commission des droits de la personne des Territoires du Nord-Ouest et la Commission des droits de la personne du Yukon, par l’Alliance des chrétiens en droit, par la Ligue des droits de la personne de </w:t>
      </w:r>
      <w:proofErr w:type="spellStart"/>
      <w:r w:rsidRPr="00E75BC6">
        <w:rPr>
          <w:rFonts w:eastAsia="Times New Roman" w:cs="Times New Roman"/>
          <w:sz w:val="20"/>
          <w:szCs w:val="20"/>
          <w:lang w:val="fr-CA" w:eastAsia="en-CA"/>
        </w:rPr>
        <w:t>B'nai</w:t>
      </w:r>
      <w:proofErr w:type="spellEnd"/>
      <w:r w:rsidRPr="00E75BC6">
        <w:rPr>
          <w:rFonts w:eastAsia="Times New Roman" w:cs="Times New Roman"/>
          <w:sz w:val="20"/>
          <w:szCs w:val="20"/>
          <w:lang w:val="fr-CA" w:eastAsia="en-CA"/>
        </w:rPr>
        <w:t xml:space="preserve"> </w:t>
      </w:r>
      <w:proofErr w:type="spellStart"/>
      <w:r w:rsidRPr="00E75BC6">
        <w:rPr>
          <w:rFonts w:eastAsia="Times New Roman" w:cs="Times New Roman"/>
          <w:sz w:val="20"/>
          <w:szCs w:val="20"/>
          <w:lang w:val="fr-CA" w:eastAsia="en-CA"/>
        </w:rPr>
        <w:t>Brith</w:t>
      </w:r>
      <w:proofErr w:type="spellEnd"/>
      <w:r w:rsidRPr="00E75BC6">
        <w:rPr>
          <w:rFonts w:eastAsia="Times New Roman" w:cs="Times New Roman"/>
          <w:sz w:val="20"/>
          <w:szCs w:val="20"/>
          <w:lang w:val="fr-CA" w:eastAsia="en-CA"/>
        </w:rPr>
        <w:t xml:space="preserve"> Canada, par l’Alliance évangélique du Canada, par l’Association canadienne des libertés civiles, par la Canadian Constitution </w:t>
      </w:r>
      <w:proofErr w:type="spellStart"/>
      <w:r w:rsidRPr="00E75BC6">
        <w:rPr>
          <w:rFonts w:eastAsia="Times New Roman" w:cs="Times New Roman"/>
          <w:sz w:val="20"/>
          <w:szCs w:val="20"/>
          <w:lang w:val="fr-CA" w:eastAsia="en-CA"/>
        </w:rPr>
        <w:t>Foundation</w:t>
      </w:r>
      <w:proofErr w:type="spellEnd"/>
      <w:r w:rsidRPr="00E75BC6">
        <w:rPr>
          <w:rFonts w:eastAsia="Times New Roman" w:cs="Times New Roman"/>
          <w:sz w:val="20"/>
          <w:szCs w:val="20"/>
          <w:lang w:val="fr-CA" w:eastAsia="en-CA"/>
        </w:rPr>
        <w:t xml:space="preserve">, par l’Assemblée des Premières Nations, la </w:t>
      </w:r>
      <w:proofErr w:type="spellStart"/>
      <w:r w:rsidRPr="00E75BC6">
        <w:rPr>
          <w:rFonts w:eastAsia="Times New Roman" w:cs="Times New Roman"/>
          <w:sz w:val="20"/>
          <w:szCs w:val="20"/>
          <w:lang w:val="fr-CA" w:eastAsia="en-CA"/>
        </w:rPr>
        <w:t>Federation</w:t>
      </w:r>
      <w:proofErr w:type="spellEnd"/>
      <w:r w:rsidRPr="00E75BC6">
        <w:rPr>
          <w:rFonts w:eastAsia="Times New Roman" w:cs="Times New Roman"/>
          <w:sz w:val="20"/>
          <w:szCs w:val="20"/>
          <w:lang w:val="fr-CA" w:eastAsia="en-CA"/>
        </w:rPr>
        <w:t xml:space="preserve"> of Saskatchewan </w:t>
      </w:r>
      <w:proofErr w:type="spellStart"/>
      <w:r w:rsidRPr="00E75BC6">
        <w:rPr>
          <w:rFonts w:eastAsia="Times New Roman" w:cs="Times New Roman"/>
          <w:sz w:val="20"/>
          <w:szCs w:val="20"/>
          <w:lang w:val="fr-CA" w:eastAsia="en-CA"/>
        </w:rPr>
        <w:t>Indian</w:t>
      </w:r>
      <w:proofErr w:type="spellEnd"/>
      <w:r w:rsidRPr="00E75BC6">
        <w:rPr>
          <w:rFonts w:eastAsia="Times New Roman" w:cs="Times New Roman"/>
          <w:sz w:val="20"/>
          <w:szCs w:val="20"/>
          <w:lang w:val="fr-CA" w:eastAsia="en-CA"/>
        </w:rPr>
        <w:t xml:space="preserve"> Nations et la Métis Nation-Saskatchewan, par la Ligue catholique des droits de l’homme et la </w:t>
      </w:r>
      <w:proofErr w:type="spellStart"/>
      <w:r w:rsidRPr="00E75BC6">
        <w:rPr>
          <w:rFonts w:eastAsia="Times New Roman" w:cs="Times New Roman"/>
          <w:sz w:val="20"/>
          <w:szCs w:val="20"/>
          <w:lang w:val="fr-CA" w:eastAsia="en-CA"/>
        </w:rPr>
        <w:t>Faith</w:t>
      </w:r>
      <w:proofErr w:type="spellEnd"/>
      <w:r w:rsidRPr="00E75BC6">
        <w:rPr>
          <w:rFonts w:eastAsia="Times New Roman" w:cs="Times New Roman"/>
          <w:sz w:val="20"/>
          <w:szCs w:val="20"/>
          <w:lang w:val="fr-CA" w:eastAsia="en-CA"/>
        </w:rPr>
        <w:t xml:space="preserve"> and </w:t>
      </w:r>
      <w:proofErr w:type="spellStart"/>
      <w:r w:rsidRPr="00E75BC6">
        <w:rPr>
          <w:rFonts w:eastAsia="Times New Roman" w:cs="Times New Roman"/>
          <w:sz w:val="20"/>
          <w:szCs w:val="20"/>
          <w:lang w:val="fr-CA" w:eastAsia="en-CA"/>
        </w:rPr>
        <w:t>Freedom</w:t>
      </w:r>
      <w:proofErr w:type="spellEnd"/>
      <w:r w:rsidRPr="00E75BC6">
        <w:rPr>
          <w:rFonts w:eastAsia="Times New Roman" w:cs="Times New Roman"/>
          <w:sz w:val="20"/>
          <w:szCs w:val="20"/>
          <w:lang w:val="fr-CA" w:eastAsia="en-CA"/>
        </w:rPr>
        <w:t xml:space="preserve"> Alliance, par l’</w:t>
      </w:r>
      <w:proofErr w:type="spellStart"/>
      <w:r w:rsidRPr="00E75BC6">
        <w:rPr>
          <w:rFonts w:eastAsia="Times New Roman" w:cs="Times New Roman"/>
          <w:sz w:val="20"/>
          <w:szCs w:val="20"/>
          <w:lang w:val="fr-CA" w:eastAsia="en-CA"/>
        </w:rPr>
        <w:t>African</w:t>
      </w:r>
      <w:proofErr w:type="spellEnd"/>
      <w:r w:rsidRPr="00E75BC6">
        <w:rPr>
          <w:rFonts w:eastAsia="Times New Roman" w:cs="Times New Roman"/>
          <w:sz w:val="20"/>
          <w:szCs w:val="20"/>
          <w:lang w:val="fr-CA" w:eastAsia="en-CA"/>
        </w:rPr>
        <w:t xml:space="preserve"> Canadian </w:t>
      </w:r>
      <w:proofErr w:type="spellStart"/>
      <w:r w:rsidRPr="00E75BC6">
        <w:rPr>
          <w:rFonts w:eastAsia="Times New Roman" w:cs="Times New Roman"/>
          <w:sz w:val="20"/>
          <w:szCs w:val="20"/>
          <w:lang w:val="fr-CA" w:eastAsia="en-CA"/>
        </w:rPr>
        <w:t>Legal</w:t>
      </w:r>
      <w:proofErr w:type="spellEnd"/>
      <w:r w:rsidRPr="00E75BC6">
        <w:rPr>
          <w:rFonts w:eastAsia="Times New Roman" w:cs="Times New Roman"/>
          <w:sz w:val="20"/>
          <w:szCs w:val="20"/>
          <w:lang w:val="fr-CA" w:eastAsia="en-CA"/>
        </w:rPr>
        <w:t xml:space="preserve"> </w:t>
      </w:r>
      <w:proofErr w:type="spellStart"/>
      <w:r w:rsidRPr="00E75BC6">
        <w:rPr>
          <w:rFonts w:eastAsia="Times New Roman" w:cs="Times New Roman"/>
          <w:sz w:val="20"/>
          <w:szCs w:val="20"/>
          <w:lang w:val="fr-CA" w:eastAsia="en-CA"/>
        </w:rPr>
        <w:t>Clinic</w:t>
      </w:r>
      <w:proofErr w:type="spellEnd"/>
      <w:r w:rsidRPr="00E75BC6">
        <w:rPr>
          <w:rFonts w:eastAsia="Times New Roman" w:cs="Times New Roman"/>
          <w:sz w:val="20"/>
          <w:szCs w:val="20"/>
          <w:lang w:val="fr-CA" w:eastAsia="en-CA"/>
        </w:rPr>
        <w:t xml:space="preserve"> et par le Congrès juif Canadien sont accordées et les dix-neuf intervenants ou groupe d’intervenants pourront signifier et déposer chacun un mémoire d’au plus 10 pages.</w:t>
      </w:r>
    </w:p>
    <w:p w:rsidR="00E75BC6" w:rsidRPr="00E75BC6" w:rsidRDefault="00E75BC6" w:rsidP="00E75BC6">
      <w:pPr>
        <w:spacing w:line="233" w:lineRule="auto"/>
        <w:jc w:val="both"/>
        <w:rPr>
          <w:rFonts w:eastAsia="Times New Roman" w:cs="Times New Roman"/>
          <w:sz w:val="20"/>
          <w:szCs w:val="20"/>
          <w:lang w:val="fr-CA" w:eastAsia="en-CA"/>
        </w:rPr>
      </w:pPr>
    </w:p>
    <w:p w:rsidR="00E75BC6" w:rsidRPr="00E75BC6" w:rsidRDefault="00E75BC6" w:rsidP="00E75BC6">
      <w:pPr>
        <w:spacing w:line="233" w:lineRule="auto"/>
        <w:jc w:val="both"/>
        <w:rPr>
          <w:rFonts w:eastAsia="Times New Roman" w:cs="Times New Roman"/>
          <w:sz w:val="20"/>
          <w:szCs w:val="20"/>
          <w:lang w:val="fr-CA" w:eastAsia="en-CA"/>
        </w:rPr>
      </w:pPr>
      <w:r w:rsidRPr="00E75BC6">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E75BC6" w:rsidRPr="00E75BC6" w:rsidRDefault="00E75BC6" w:rsidP="00E75BC6">
      <w:pPr>
        <w:spacing w:line="233" w:lineRule="auto"/>
        <w:jc w:val="both"/>
        <w:rPr>
          <w:rFonts w:eastAsia="Times New Roman" w:cs="Times New Roman"/>
          <w:sz w:val="20"/>
          <w:szCs w:val="20"/>
          <w:lang w:val="fr-CA" w:eastAsia="en-CA"/>
        </w:rPr>
      </w:pPr>
    </w:p>
    <w:p w:rsidR="00E75BC6" w:rsidRPr="00E75BC6" w:rsidRDefault="00E75BC6" w:rsidP="00E75BC6">
      <w:pPr>
        <w:spacing w:line="233" w:lineRule="auto"/>
        <w:jc w:val="both"/>
        <w:rPr>
          <w:rFonts w:eastAsia="Times New Roman" w:cs="Times New Roman"/>
          <w:sz w:val="20"/>
          <w:szCs w:val="20"/>
          <w:lang w:val="fr-CA" w:eastAsia="en-CA"/>
        </w:rPr>
      </w:pPr>
      <w:r w:rsidRPr="00E75BC6">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E75BC6" w:rsidRPr="00E75BC6" w:rsidRDefault="00E75BC6" w:rsidP="00E75BC6">
      <w:pPr>
        <w:spacing w:line="233" w:lineRule="auto"/>
        <w:jc w:val="both"/>
        <w:rPr>
          <w:rFonts w:eastAsia="Times New Roman" w:cs="Times New Roman"/>
          <w:sz w:val="20"/>
          <w:szCs w:val="20"/>
          <w:lang w:val="fr-CA" w:eastAsia="en-CA"/>
        </w:rPr>
      </w:pPr>
      <w:r w:rsidRPr="00E75BC6">
        <w:rPr>
          <w:rFonts w:eastAsia="Times New Roman" w:cs="Times New Roman"/>
          <w:sz w:val="20"/>
          <w:szCs w:val="20"/>
          <w:lang w:val="fr-CA" w:eastAsia="en-CA"/>
        </w:rPr>
        <w:lastRenderedPageBreak/>
        <w:t>Conformément à l’alinéa 59(1)</w:t>
      </w:r>
      <w:r w:rsidRPr="00E75BC6">
        <w:rPr>
          <w:rFonts w:eastAsia="Times New Roman" w:cs="Times New Roman"/>
          <w:i/>
          <w:sz w:val="20"/>
          <w:szCs w:val="20"/>
          <w:lang w:val="fr-CA" w:eastAsia="en-CA"/>
        </w:rPr>
        <w:t>a</w:t>
      </w:r>
      <w:r w:rsidRPr="00E75BC6">
        <w:rPr>
          <w:rFonts w:eastAsia="Times New Roman" w:cs="Times New Roman"/>
          <w:sz w:val="20"/>
          <w:szCs w:val="20"/>
          <w:lang w:val="fr-CA" w:eastAsia="en-CA"/>
        </w:rPr>
        <w:t xml:space="preserve">) des </w:t>
      </w:r>
      <w:r w:rsidRPr="00E75BC6">
        <w:rPr>
          <w:rFonts w:eastAsia="Times New Roman" w:cs="Times New Roman"/>
          <w:i/>
          <w:sz w:val="20"/>
          <w:szCs w:val="20"/>
          <w:lang w:val="fr-CA" w:eastAsia="en-CA"/>
        </w:rPr>
        <w:t>Règles de la Cour suprême du Canada</w:t>
      </w:r>
      <w:r w:rsidRPr="00E75BC6">
        <w:rPr>
          <w:rFonts w:eastAsia="Times New Roman" w:cs="Times New Roman"/>
          <w:sz w:val="20"/>
          <w:szCs w:val="20"/>
          <w:lang w:val="fr-CA" w:eastAsia="en-CA"/>
        </w:rPr>
        <w:t>, les intervenants paieront à l’appelant et à l’intimée tous débours supplémentaires résultant de leur intervention.</w:t>
      </w:r>
    </w:p>
    <w:p w:rsidR="00E75BC6" w:rsidRPr="00E75BC6" w:rsidRDefault="00E75BC6" w:rsidP="00E75BC6">
      <w:pPr>
        <w:spacing w:line="233" w:lineRule="auto"/>
        <w:jc w:val="both"/>
        <w:rPr>
          <w:rFonts w:eastAsia="Times New Roman" w:cs="Times New Roman"/>
          <w:sz w:val="20"/>
          <w:szCs w:val="20"/>
          <w:lang w:val="fr-CA" w:eastAsia="en-CA"/>
        </w:rPr>
      </w:pPr>
    </w:p>
    <w:p w:rsidR="00E75BC6" w:rsidRPr="00E75BC6" w:rsidRDefault="00547297" w:rsidP="00E75BC6">
      <w:pPr>
        <w:tabs>
          <w:tab w:val="left" w:pos="-1440"/>
          <w:tab w:val="left" w:pos="-720"/>
        </w:tabs>
        <w:jc w:val="both"/>
        <w:rPr>
          <w:rFonts w:eastAsia="Times New Roman" w:cs="Times New Roman"/>
          <w:sz w:val="20"/>
          <w:szCs w:val="20"/>
          <w:lang w:val="fr-CA" w:eastAsia="en-CA"/>
        </w:rPr>
      </w:pPr>
      <w:r w:rsidRPr="00547297">
        <w:rPr>
          <w:rFonts w:eastAsia="Times New Roman" w:cs="Times New Roman"/>
          <w:sz w:val="20"/>
          <w:szCs w:val="20"/>
          <w:lang w:val="fr-CA" w:eastAsia="en-CA"/>
        </w:rPr>
        <w:pict>
          <v:rect id="_x0000_i1061" style="width:2in;height:1pt" o:hrpct="0" o:hralign="center" o:hrstd="t" o:hrnoshade="t" o:hr="t" fillcolor="black [3213]" stroked="f"/>
        </w:pict>
      </w:r>
    </w:p>
    <w:p w:rsidR="00E75BC6" w:rsidRPr="00E75BC6" w:rsidRDefault="00E75BC6" w:rsidP="00E75BC6">
      <w:pPr>
        <w:tabs>
          <w:tab w:val="left" w:pos="-1440"/>
          <w:tab w:val="left" w:pos="-720"/>
        </w:tabs>
        <w:jc w:val="both"/>
        <w:rPr>
          <w:rFonts w:eastAsia="Times New Roman" w:cs="Times New Roman"/>
          <w:sz w:val="20"/>
          <w:szCs w:val="20"/>
          <w:lang w:val="fr-CA" w:eastAsia="en-CA"/>
        </w:rPr>
      </w:pPr>
    </w:p>
    <w:p w:rsidR="00E75BC6" w:rsidRPr="00E75BC6" w:rsidRDefault="00E75BC6" w:rsidP="00E75BC6">
      <w:pPr>
        <w:jc w:val="both"/>
        <w:rPr>
          <w:rFonts w:eastAsia="Times New Roman" w:cs="Times New Roman"/>
          <w:sz w:val="20"/>
          <w:szCs w:val="20"/>
          <w:lang w:val="fr-CA" w:eastAsia="en-CA"/>
        </w:rPr>
      </w:pPr>
      <w:r w:rsidRPr="00E75BC6">
        <w:rPr>
          <w:rFonts w:eastAsia="Times New Roman" w:cs="Times New Roman"/>
          <w:sz w:val="20"/>
          <w:szCs w:val="20"/>
          <w:lang w:val="fr-CA" w:eastAsia="en-CA"/>
        </w:rPr>
        <w:t>10.06.2011</w:t>
      </w:r>
    </w:p>
    <w:p w:rsidR="00E75BC6" w:rsidRPr="00E75BC6" w:rsidRDefault="00E75BC6" w:rsidP="00E75BC6">
      <w:pPr>
        <w:jc w:val="both"/>
        <w:rPr>
          <w:rFonts w:eastAsia="Times New Roman" w:cs="Times New Roman"/>
          <w:sz w:val="20"/>
          <w:szCs w:val="20"/>
          <w:lang w:val="fr-CA" w:eastAsia="en-CA"/>
        </w:rPr>
      </w:pPr>
    </w:p>
    <w:p w:rsidR="00E75BC6" w:rsidRPr="00E75BC6" w:rsidRDefault="00E75BC6" w:rsidP="00E75BC6">
      <w:pPr>
        <w:tabs>
          <w:tab w:val="left" w:pos="-1440"/>
          <w:tab w:val="left" w:pos="-720"/>
        </w:tabs>
        <w:jc w:val="both"/>
        <w:rPr>
          <w:rFonts w:eastAsia="Times New Roman" w:cs="Times New Roman"/>
          <w:sz w:val="20"/>
          <w:szCs w:val="20"/>
          <w:lang w:val="fr-CA" w:eastAsia="en-CA"/>
        </w:rPr>
      </w:pPr>
      <w:proofErr w:type="spellStart"/>
      <w:r w:rsidRPr="00E75BC6">
        <w:rPr>
          <w:rFonts w:eastAsia="Times New Roman" w:cs="Times New Roman"/>
          <w:sz w:val="20"/>
          <w:szCs w:val="20"/>
          <w:lang w:val="fr-CA" w:eastAsia="en-CA"/>
        </w:rPr>
        <w:t>Before</w:t>
      </w:r>
      <w:proofErr w:type="spellEnd"/>
      <w:r w:rsidRPr="00E75BC6">
        <w:rPr>
          <w:rFonts w:eastAsia="Times New Roman" w:cs="Times New Roman"/>
          <w:sz w:val="20"/>
          <w:szCs w:val="20"/>
          <w:lang w:val="fr-CA" w:eastAsia="en-CA"/>
        </w:rPr>
        <w:t xml:space="preserve"> / Devant :   ABELLA J. / LA JUGE ABELLA</w:t>
      </w:r>
    </w:p>
    <w:p w:rsidR="00E75BC6" w:rsidRPr="00E75BC6" w:rsidRDefault="00E75BC6" w:rsidP="00E75BC6">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E75BC6" w:rsidRPr="00E75BC6" w:rsidTr="007F2048">
        <w:tc>
          <w:tcPr>
            <w:tcW w:w="4338" w:type="dxa"/>
            <w:gridSpan w:val="2"/>
          </w:tcPr>
          <w:p w:rsidR="00E75BC6" w:rsidRPr="00E75BC6" w:rsidRDefault="00E75BC6" w:rsidP="00E75BC6">
            <w:pPr>
              <w:rPr>
                <w:b/>
              </w:rPr>
            </w:pPr>
            <w:r w:rsidRPr="00E75BC6">
              <w:rPr>
                <w:b/>
              </w:rPr>
              <w:t>Motion for leave to intervene</w:t>
            </w:r>
            <w:r w:rsidRPr="00E75BC6">
              <w:rPr>
                <w:lang w:val="en-US"/>
              </w:rPr>
              <w:t xml:space="preserve"> </w:t>
            </w:r>
            <w:r w:rsidR="00547297" w:rsidRPr="00E75BC6">
              <w:rPr>
                <w:lang w:val="en-US"/>
              </w:rPr>
              <w:fldChar w:fldCharType="begin"/>
            </w:r>
            <w:r w:rsidRPr="00E75BC6">
              <w:instrText xml:space="preserve"> SEQ CHAPTER \h \r 1</w:instrText>
            </w:r>
            <w:r w:rsidR="00547297" w:rsidRPr="00E75BC6">
              <w:rPr>
                <w:lang w:val="en-US"/>
              </w:rPr>
              <w:fldChar w:fldCharType="end"/>
            </w:r>
          </w:p>
        </w:tc>
        <w:tc>
          <w:tcPr>
            <w:tcW w:w="1170" w:type="dxa"/>
          </w:tcPr>
          <w:p w:rsidR="00E75BC6" w:rsidRPr="00E75BC6" w:rsidRDefault="00E75BC6" w:rsidP="00E75BC6"/>
          <w:p w:rsidR="00E75BC6" w:rsidRPr="00E75BC6" w:rsidRDefault="00E75BC6" w:rsidP="00E75BC6"/>
        </w:tc>
        <w:tc>
          <w:tcPr>
            <w:tcW w:w="4327" w:type="dxa"/>
          </w:tcPr>
          <w:p w:rsidR="00E75BC6" w:rsidRPr="00E75BC6" w:rsidRDefault="00E75BC6" w:rsidP="00E75BC6">
            <w:pPr>
              <w:rPr>
                <w:b/>
              </w:rPr>
            </w:pPr>
            <w:r w:rsidRPr="00E75BC6">
              <w:rPr>
                <w:b/>
                <w:bCs/>
                <w:lang w:val="fr-CA"/>
              </w:rPr>
              <w:t>Requête en autorisation d’intervenir</w:t>
            </w:r>
            <w:r w:rsidRPr="00E75BC6">
              <w:rPr>
                <w:lang w:val="en-US"/>
              </w:rPr>
              <w:t xml:space="preserve"> </w:t>
            </w:r>
            <w:r w:rsidR="00547297" w:rsidRPr="00E75BC6">
              <w:rPr>
                <w:lang w:val="en-US"/>
              </w:rPr>
              <w:fldChar w:fldCharType="begin"/>
            </w:r>
            <w:r w:rsidRPr="00E75BC6">
              <w:instrText xml:space="preserve"> SEQ CHAPTER \h \r 1</w:instrText>
            </w:r>
            <w:r w:rsidR="00547297" w:rsidRPr="00E75BC6">
              <w:rPr>
                <w:lang w:val="en-US"/>
              </w:rPr>
              <w:fldChar w:fldCharType="end"/>
            </w:r>
          </w:p>
        </w:tc>
      </w:tr>
      <w:tr w:rsidR="00E75BC6" w:rsidRPr="00E75BC6" w:rsidTr="007F2048">
        <w:tc>
          <w:tcPr>
            <w:tcW w:w="1368" w:type="dxa"/>
          </w:tcPr>
          <w:p w:rsidR="00E75BC6" w:rsidRPr="00E75BC6" w:rsidRDefault="00E75BC6" w:rsidP="00E75BC6">
            <w:r w:rsidRPr="00E75BC6">
              <w:t>BY / PAR</w:t>
            </w:r>
          </w:p>
        </w:tc>
        <w:tc>
          <w:tcPr>
            <w:tcW w:w="2970" w:type="dxa"/>
          </w:tcPr>
          <w:p w:rsidR="00E75BC6" w:rsidRPr="00E75BC6" w:rsidRDefault="00E75BC6" w:rsidP="00E75BC6">
            <w:r w:rsidRPr="00E75BC6">
              <w:t>Association for Reformed Political Action Canada</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r w:rsidRPr="00E75BC6">
              <w:t>IN / DANS :</w:t>
            </w:r>
          </w:p>
        </w:tc>
        <w:tc>
          <w:tcPr>
            <w:tcW w:w="2970" w:type="dxa"/>
          </w:tcPr>
          <w:p w:rsidR="00E75BC6" w:rsidRPr="00E75BC6" w:rsidRDefault="00E75BC6" w:rsidP="00E75BC6">
            <w:r w:rsidRPr="00E75BC6">
              <w:t>Saskatchewan Human Rights Commission</w:t>
            </w:r>
          </w:p>
          <w:p w:rsidR="00E75BC6" w:rsidRPr="00E75BC6" w:rsidRDefault="00E75BC6" w:rsidP="00E75BC6"/>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r w:rsidRPr="00E75BC6">
              <w:tab/>
              <w:t>v. (33676)</w:t>
            </w:r>
          </w:p>
          <w:p w:rsidR="00E75BC6" w:rsidRPr="00E75BC6" w:rsidRDefault="00E75BC6" w:rsidP="00E75BC6"/>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c>
          <w:tcPr>
            <w:tcW w:w="1368" w:type="dxa"/>
          </w:tcPr>
          <w:p w:rsidR="00E75BC6" w:rsidRPr="00E75BC6" w:rsidRDefault="00E75BC6" w:rsidP="00E75BC6"/>
        </w:tc>
        <w:tc>
          <w:tcPr>
            <w:tcW w:w="2970" w:type="dxa"/>
          </w:tcPr>
          <w:p w:rsidR="00E75BC6" w:rsidRPr="00E75BC6" w:rsidRDefault="00E75BC6" w:rsidP="00E75BC6">
            <w:pPr>
              <w:jc w:val="both"/>
            </w:pPr>
            <w:r w:rsidRPr="00E75BC6">
              <w:t xml:space="preserve">William </w:t>
            </w:r>
            <w:proofErr w:type="spellStart"/>
            <w:r w:rsidRPr="00E75BC6">
              <w:t>Whatcott</w:t>
            </w:r>
            <w:proofErr w:type="spellEnd"/>
            <w:r w:rsidRPr="00E75BC6">
              <w:t xml:space="preserve"> (Sask.)</w:t>
            </w:r>
          </w:p>
        </w:tc>
        <w:tc>
          <w:tcPr>
            <w:tcW w:w="1170" w:type="dxa"/>
          </w:tcPr>
          <w:p w:rsidR="00E75BC6" w:rsidRPr="00E75BC6" w:rsidRDefault="00E75BC6" w:rsidP="00E75BC6"/>
        </w:tc>
        <w:tc>
          <w:tcPr>
            <w:tcW w:w="4327" w:type="dxa"/>
          </w:tcPr>
          <w:p w:rsidR="00E75BC6" w:rsidRPr="00E75BC6" w:rsidRDefault="00E75BC6" w:rsidP="00E75BC6"/>
        </w:tc>
      </w:tr>
    </w:tbl>
    <w:p w:rsidR="00E75BC6" w:rsidRPr="00E75BC6" w:rsidRDefault="00E75BC6" w:rsidP="00E75BC6">
      <w:pPr>
        <w:tabs>
          <w:tab w:val="left" w:pos="-1440"/>
          <w:tab w:val="left" w:pos="-720"/>
        </w:tabs>
        <w:jc w:val="both"/>
        <w:rPr>
          <w:rFonts w:eastAsia="Times New Roman" w:cs="Times New Roman"/>
          <w:sz w:val="20"/>
          <w:szCs w:val="20"/>
          <w:lang w:eastAsia="en-CA"/>
        </w:rPr>
      </w:pPr>
    </w:p>
    <w:p w:rsidR="00E75BC6" w:rsidRPr="00E75BC6" w:rsidRDefault="00E75BC6" w:rsidP="00E75BC6">
      <w:pPr>
        <w:tabs>
          <w:tab w:val="left" w:pos="-1440"/>
          <w:tab w:val="left" w:pos="-720"/>
        </w:tabs>
        <w:jc w:val="both"/>
        <w:rPr>
          <w:rFonts w:eastAsia="Times New Roman" w:cs="Times New Roman"/>
          <w:sz w:val="20"/>
          <w:szCs w:val="20"/>
          <w:lang w:val="fr-CA" w:eastAsia="en-CA"/>
        </w:rPr>
      </w:pPr>
      <w:r w:rsidRPr="00E75BC6">
        <w:rPr>
          <w:rFonts w:eastAsia="Times New Roman" w:cs="Times New Roman"/>
          <w:b/>
          <w:sz w:val="20"/>
          <w:szCs w:val="20"/>
          <w:lang w:val="fr-CA" w:eastAsia="en-CA"/>
        </w:rPr>
        <w:t>DISMISSED / REJETÉE</w:t>
      </w:r>
    </w:p>
    <w:p w:rsidR="00E75BC6" w:rsidRPr="00E75BC6" w:rsidRDefault="00E75BC6" w:rsidP="00E75BC6">
      <w:pPr>
        <w:tabs>
          <w:tab w:val="left" w:pos="-1440"/>
          <w:tab w:val="left" w:pos="-720"/>
        </w:tabs>
        <w:jc w:val="both"/>
        <w:rPr>
          <w:rFonts w:eastAsia="Times New Roman" w:cs="Times New Roman"/>
          <w:sz w:val="20"/>
          <w:szCs w:val="20"/>
          <w:lang w:eastAsia="en-CA"/>
        </w:rPr>
      </w:pPr>
    </w:p>
    <w:p w:rsidR="00E75BC6" w:rsidRPr="00E75BC6" w:rsidRDefault="00E75BC6" w:rsidP="00E75BC6">
      <w:pPr>
        <w:spacing w:line="233" w:lineRule="auto"/>
        <w:jc w:val="both"/>
        <w:rPr>
          <w:rFonts w:eastAsia="Times New Roman" w:cs="Times New Roman"/>
          <w:sz w:val="20"/>
          <w:szCs w:val="20"/>
          <w:lang w:val="en-US" w:eastAsia="en-CA"/>
        </w:rPr>
      </w:pPr>
      <w:r w:rsidRPr="00E75BC6">
        <w:rPr>
          <w:rFonts w:eastAsia="Times New Roman" w:cs="Times New Roman"/>
          <w:b/>
          <w:bCs/>
          <w:sz w:val="20"/>
          <w:szCs w:val="20"/>
          <w:lang w:val="en-US" w:eastAsia="en-CA"/>
        </w:rPr>
        <w:t xml:space="preserve">UPON APPLICATION </w:t>
      </w:r>
      <w:r w:rsidRPr="00E75BC6">
        <w:rPr>
          <w:rFonts w:eastAsia="Times New Roman" w:cs="Times New Roman"/>
          <w:sz w:val="20"/>
          <w:szCs w:val="20"/>
          <w:lang w:val="en-US" w:eastAsia="en-CA"/>
        </w:rPr>
        <w:t xml:space="preserve">by </w:t>
      </w:r>
      <w:r w:rsidR="00547297" w:rsidRPr="00E75BC6">
        <w:rPr>
          <w:rFonts w:eastAsia="Times New Roman" w:cs="Times New Roman"/>
          <w:sz w:val="20"/>
          <w:szCs w:val="20"/>
          <w:lang w:eastAsia="en-CA"/>
        </w:rPr>
        <w:fldChar w:fldCharType="begin"/>
      </w:r>
      <w:r w:rsidRPr="00E75BC6">
        <w:rPr>
          <w:rFonts w:eastAsia="Times New Roman" w:cs="Times New Roman"/>
          <w:sz w:val="20"/>
          <w:szCs w:val="20"/>
          <w:lang w:eastAsia="en-CA"/>
        </w:rPr>
        <w:instrText xml:space="preserve"> SEQ CHAPTER \h \r 1</w:instrText>
      </w:r>
      <w:r w:rsidR="00547297" w:rsidRPr="00E75BC6">
        <w:rPr>
          <w:rFonts w:eastAsia="Times New Roman" w:cs="Times New Roman"/>
          <w:sz w:val="20"/>
          <w:szCs w:val="20"/>
          <w:lang w:eastAsia="en-CA"/>
        </w:rPr>
        <w:fldChar w:fldCharType="end"/>
      </w:r>
      <w:r w:rsidRPr="00E75BC6">
        <w:rPr>
          <w:rFonts w:eastAsia="Times New Roman" w:cs="Times New Roman"/>
          <w:sz w:val="20"/>
          <w:szCs w:val="20"/>
          <w:lang w:val="en-US" w:eastAsia="en-CA"/>
        </w:rPr>
        <w:t>the Association for Reformed Political Action Canada for leave to intervene in the above appeal;</w:t>
      </w:r>
    </w:p>
    <w:p w:rsidR="00E75BC6" w:rsidRPr="00E75BC6" w:rsidRDefault="00E75BC6" w:rsidP="00E75BC6">
      <w:pPr>
        <w:spacing w:line="233" w:lineRule="auto"/>
        <w:jc w:val="both"/>
        <w:rPr>
          <w:rFonts w:eastAsia="Times New Roman" w:cs="Times New Roman"/>
          <w:sz w:val="20"/>
          <w:szCs w:val="20"/>
          <w:lang w:val="en-US" w:eastAsia="en-CA"/>
        </w:rPr>
      </w:pPr>
    </w:p>
    <w:p w:rsidR="00E75BC6" w:rsidRPr="00E75BC6" w:rsidRDefault="00E75BC6" w:rsidP="00E75BC6">
      <w:pPr>
        <w:spacing w:line="233" w:lineRule="auto"/>
        <w:jc w:val="both"/>
        <w:rPr>
          <w:rFonts w:eastAsia="Times New Roman" w:cs="Times New Roman"/>
          <w:sz w:val="20"/>
          <w:szCs w:val="20"/>
          <w:lang w:val="en-US" w:eastAsia="en-CA"/>
        </w:rPr>
      </w:pPr>
      <w:r w:rsidRPr="00E75BC6">
        <w:rPr>
          <w:rFonts w:eastAsia="Times New Roman" w:cs="Times New Roman"/>
          <w:b/>
          <w:bCs/>
          <w:sz w:val="20"/>
          <w:szCs w:val="20"/>
          <w:lang w:val="en-US" w:eastAsia="en-CA"/>
        </w:rPr>
        <w:t>AND THE MATERIAL FILED</w:t>
      </w:r>
      <w:r w:rsidRPr="00E75BC6">
        <w:rPr>
          <w:rFonts w:eastAsia="Times New Roman" w:cs="Times New Roman"/>
          <w:sz w:val="20"/>
          <w:szCs w:val="20"/>
          <w:lang w:val="en-US" w:eastAsia="en-CA"/>
        </w:rPr>
        <w:t xml:space="preserve"> having been read;</w:t>
      </w:r>
    </w:p>
    <w:p w:rsidR="00E75BC6" w:rsidRPr="00E75BC6" w:rsidRDefault="00E75BC6" w:rsidP="00E75BC6">
      <w:pPr>
        <w:spacing w:line="233" w:lineRule="auto"/>
        <w:jc w:val="both"/>
        <w:rPr>
          <w:rFonts w:eastAsia="Times New Roman" w:cs="Times New Roman"/>
          <w:sz w:val="20"/>
          <w:szCs w:val="20"/>
          <w:lang w:val="en-US" w:eastAsia="en-CA"/>
        </w:rPr>
      </w:pPr>
    </w:p>
    <w:p w:rsidR="00E75BC6" w:rsidRPr="00E75BC6" w:rsidRDefault="00E75BC6" w:rsidP="00E75BC6">
      <w:pPr>
        <w:spacing w:line="233" w:lineRule="auto"/>
        <w:jc w:val="both"/>
        <w:rPr>
          <w:rFonts w:eastAsia="Times New Roman" w:cs="Times New Roman"/>
          <w:sz w:val="20"/>
          <w:szCs w:val="20"/>
          <w:lang w:val="en-US" w:eastAsia="en-CA"/>
        </w:rPr>
      </w:pPr>
      <w:r w:rsidRPr="00E75BC6">
        <w:rPr>
          <w:rFonts w:eastAsia="Times New Roman" w:cs="Times New Roman"/>
          <w:b/>
          <w:bCs/>
          <w:sz w:val="20"/>
          <w:szCs w:val="20"/>
          <w:lang w:val="en-US" w:eastAsia="en-CA"/>
        </w:rPr>
        <w:t>IT IS HEREBY ORDERED THAT:</w:t>
      </w:r>
    </w:p>
    <w:p w:rsidR="00E75BC6" w:rsidRPr="00E75BC6" w:rsidRDefault="00E75BC6" w:rsidP="00E75BC6">
      <w:pPr>
        <w:spacing w:line="233" w:lineRule="auto"/>
        <w:jc w:val="both"/>
        <w:rPr>
          <w:rFonts w:eastAsia="Times New Roman" w:cs="Times New Roman"/>
          <w:sz w:val="20"/>
          <w:szCs w:val="20"/>
          <w:lang w:val="en-US" w:eastAsia="en-CA"/>
        </w:rPr>
      </w:pPr>
    </w:p>
    <w:p w:rsidR="00E75BC6" w:rsidRPr="00E75BC6" w:rsidRDefault="00E75BC6" w:rsidP="00E75BC6">
      <w:pPr>
        <w:spacing w:line="233" w:lineRule="auto"/>
        <w:jc w:val="both"/>
        <w:rPr>
          <w:rFonts w:eastAsia="Times New Roman" w:cs="Times New Roman"/>
          <w:sz w:val="20"/>
          <w:szCs w:val="20"/>
          <w:lang w:val="en-US" w:eastAsia="en-CA"/>
        </w:rPr>
      </w:pPr>
      <w:r w:rsidRPr="00E75BC6">
        <w:rPr>
          <w:rFonts w:eastAsia="Times New Roman" w:cs="Times New Roman"/>
          <w:sz w:val="20"/>
          <w:szCs w:val="20"/>
          <w:lang w:val="en-US" w:eastAsia="en-CA"/>
        </w:rPr>
        <w:t xml:space="preserve">The motion for leave to intervene by </w:t>
      </w:r>
      <w:r w:rsidR="00547297" w:rsidRPr="00E75BC6">
        <w:rPr>
          <w:rFonts w:eastAsia="Times New Roman" w:cs="Times New Roman"/>
          <w:sz w:val="20"/>
          <w:szCs w:val="20"/>
          <w:lang w:eastAsia="en-CA"/>
        </w:rPr>
        <w:fldChar w:fldCharType="begin"/>
      </w:r>
      <w:r w:rsidRPr="00E75BC6">
        <w:rPr>
          <w:rFonts w:eastAsia="Times New Roman" w:cs="Times New Roman"/>
          <w:sz w:val="20"/>
          <w:szCs w:val="20"/>
          <w:lang w:eastAsia="en-CA"/>
        </w:rPr>
        <w:instrText xml:space="preserve"> SEQ CHAPTER \h \r 1</w:instrText>
      </w:r>
      <w:r w:rsidR="00547297" w:rsidRPr="00E75BC6">
        <w:rPr>
          <w:rFonts w:eastAsia="Times New Roman" w:cs="Times New Roman"/>
          <w:sz w:val="20"/>
          <w:szCs w:val="20"/>
          <w:lang w:eastAsia="en-CA"/>
        </w:rPr>
        <w:fldChar w:fldCharType="end"/>
      </w:r>
      <w:r w:rsidRPr="00E75BC6">
        <w:rPr>
          <w:rFonts w:eastAsia="Times New Roman" w:cs="Times New Roman"/>
          <w:sz w:val="20"/>
          <w:szCs w:val="20"/>
          <w:lang w:val="en-US" w:eastAsia="en-CA"/>
        </w:rPr>
        <w:t>the Association for Reformed Political Action Canada is dismissed.</w:t>
      </w:r>
    </w:p>
    <w:p w:rsidR="00E75BC6" w:rsidRPr="00E75BC6" w:rsidRDefault="00E75BC6" w:rsidP="00E75BC6">
      <w:pPr>
        <w:tabs>
          <w:tab w:val="left" w:pos="-1440"/>
          <w:tab w:val="left" w:pos="-720"/>
        </w:tabs>
        <w:jc w:val="both"/>
        <w:rPr>
          <w:rFonts w:eastAsia="Times New Roman" w:cs="Times New Roman"/>
          <w:sz w:val="20"/>
          <w:szCs w:val="20"/>
          <w:lang w:val="en-US" w:eastAsia="en-CA"/>
        </w:rPr>
      </w:pPr>
    </w:p>
    <w:p w:rsidR="00E75BC6" w:rsidRPr="00E75BC6" w:rsidRDefault="00E75BC6" w:rsidP="00E75BC6">
      <w:pPr>
        <w:tabs>
          <w:tab w:val="left" w:pos="-1440"/>
          <w:tab w:val="left" w:pos="-720"/>
        </w:tabs>
        <w:jc w:val="both"/>
        <w:rPr>
          <w:rFonts w:eastAsia="Times New Roman" w:cs="Times New Roman"/>
          <w:sz w:val="20"/>
          <w:szCs w:val="20"/>
          <w:lang w:val="en-US" w:eastAsia="en-CA"/>
        </w:rPr>
      </w:pPr>
    </w:p>
    <w:p w:rsidR="00E75BC6" w:rsidRPr="00E75BC6" w:rsidRDefault="00E75BC6" w:rsidP="00E75BC6">
      <w:pPr>
        <w:tabs>
          <w:tab w:val="left" w:pos="-1440"/>
          <w:tab w:val="left" w:pos="-720"/>
        </w:tabs>
        <w:jc w:val="both"/>
        <w:rPr>
          <w:rFonts w:eastAsia="Times New Roman" w:cs="Times New Roman"/>
          <w:sz w:val="20"/>
          <w:szCs w:val="20"/>
          <w:lang w:val="en-US" w:eastAsia="en-CA"/>
        </w:rPr>
      </w:pPr>
    </w:p>
    <w:p w:rsidR="00E75BC6" w:rsidRPr="00E75BC6" w:rsidRDefault="00E75BC6" w:rsidP="00E75BC6">
      <w:pPr>
        <w:spacing w:line="233" w:lineRule="auto"/>
        <w:jc w:val="both"/>
        <w:rPr>
          <w:rFonts w:eastAsia="Times New Roman" w:cs="Times New Roman"/>
          <w:sz w:val="20"/>
          <w:szCs w:val="20"/>
          <w:lang w:val="fr-CA" w:eastAsia="en-CA"/>
        </w:rPr>
      </w:pPr>
      <w:r w:rsidRPr="00E75BC6">
        <w:rPr>
          <w:rFonts w:eastAsia="Times New Roman" w:cs="Times New Roman"/>
          <w:b/>
          <w:bCs/>
          <w:sz w:val="20"/>
          <w:szCs w:val="20"/>
          <w:lang w:val="fr-CA" w:eastAsia="en-CA"/>
        </w:rPr>
        <w:t xml:space="preserve">À LA SUITE DE LA DEMANDE </w:t>
      </w:r>
      <w:r w:rsidRPr="00E75BC6">
        <w:rPr>
          <w:rFonts w:eastAsia="Times New Roman" w:cs="Times New Roman"/>
          <w:bCs/>
          <w:sz w:val="20"/>
          <w:szCs w:val="20"/>
          <w:lang w:val="fr-CA" w:eastAsia="en-CA"/>
        </w:rPr>
        <w:t xml:space="preserve">présentée par </w:t>
      </w:r>
      <w:r w:rsidRPr="00E75BC6">
        <w:rPr>
          <w:rFonts w:eastAsia="Times New Roman" w:cs="Times New Roman"/>
          <w:b/>
          <w:bCs/>
          <w:sz w:val="20"/>
          <w:szCs w:val="20"/>
          <w:lang w:val="fr-CA" w:eastAsia="en-CA"/>
        </w:rPr>
        <w:t xml:space="preserve"> </w:t>
      </w:r>
      <w:r w:rsidRPr="00E75BC6">
        <w:rPr>
          <w:rFonts w:eastAsia="Times New Roman" w:cs="Times New Roman"/>
          <w:sz w:val="20"/>
          <w:szCs w:val="20"/>
          <w:lang w:val="fr-CA" w:eastAsia="en-CA"/>
        </w:rPr>
        <w:t xml:space="preserve">l’Association for </w:t>
      </w:r>
      <w:proofErr w:type="spellStart"/>
      <w:r w:rsidRPr="00E75BC6">
        <w:rPr>
          <w:rFonts w:eastAsia="Times New Roman" w:cs="Times New Roman"/>
          <w:sz w:val="20"/>
          <w:szCs w:val="20"/>
          <w:lang w:val="fr-CA" w:eastAsia="en-CA"/>
        </w:rPr>
        <w:t>Reformed</w:t>
      </w:r>
      <w:proofErr w:type="spellEnd"/>
      <w:r w:rsidRPr="00E75BC6">
        <w:rPr>
          <w:rFonts w:eastAsia="Times New Roman" w:cs="Times New Roman"/>
          <w:sz w:val="20"/>
          <w:szCs w:val="20"/>
          <w:lang w:val="fr-CA" w:eastAsia="en-CA"/>
        </w:rPr>
        <w:t xml:space="preserve"> </w:t>
      </w:r>
      <w:proofErr w:type="spellStart"/>
      <w:r w:rsidRPr="00E75BC6">
        <w:rPr>
          <w:rFonts w:eastAsia="Times New Roman" w:cs="Times New Roman"/>
          <w:sz w:val="20"/>
          <w:szCs w:val="20"/>
          <w:lang w:val="fr-CA" w:eastAsia="en-CA"/>
        </w:rPr>
        <w:t>Political</w:t>
      </w:r>
      <w:proofErr w:type="spellEnd"/>
      <w:r w:rsidRPr="00E75BC6">
        <w:rPr>
          <w:rFonts w:eastAsia="Times New Roman" w:cs="Times New Roman"/>
          <w:sz w:val="20"/>
          <w:szCs w:val="20"/>
          <w:lang w:val="fr-CA" w:eastAsia="en-CA"/>
        </w:rPr>
        <w:t xml:space="preserve"> Action Canada en vue d’intervenir dans l’appel;</w:t>
      </w:r>
    </w:p>
    <w:p w:rsidR="00E75BC6" w:rsidRPr="00E75BC6" w:rsidRDefault="00E75BC6" w:rsidP="00E75BC6">
      <w:pPr>
        <w:spacing w:line="233" w:lineRule="auto"/>
        <w:jc w:val="both"/>
        <w:rPr>
          <w:rFonts w:eastAsia="Times New Roman" w:cs="Times New Roman"/>
          <w:sz w:val="20"/>
          <w:szCs w:val="20"/>
          <w:lang w:val="fr-CA" w:eastAsia="en-CA"/>
        </w:rPr>
      </w:pPr>
    </w:p>
    <w:p w:rsidR="00E75BC6" w:rsidRPr="00E75BC6" w:rsidRDefault="00E75BC6" w:rsidP="00E75BC6">
      <w:pPr>
        <w:spacing w:line="233" w:lineRule="auto"/>
        <w:rPr>
          <w:rFonts w:eastAsia="Times New Roman" w:cs="Times New Roman"/>
          <w:sz w:val="20"/>
          <w:szCs w:val="20"/>
          <w:lang w:val="fr-CA" w:eastAsia="en-CA"/>
        </w:rPr>
      </w:pPr>
      <w:r w:rsidRPr="00E75BC6">
        <w:rPr>
          <w:rFonts w:eastAsia="Times New Roman" w:cs="Times New Roman"/>
          <w:b/>
          <w:bCs/>
          <w:sz w:val="20"/>
          <w:szCs w:val="20"/>
          <w:lang w:val="fr-CA" w:eastAsia="en-CA"/>
        </w:rPr>
        <w:t xml:space="preserve">ET APRÈS EXAMEN </w:t>
      </w:r>
      <w:r w:rsidRPr="00E75BC6">
        <w:rPr>
          <w:rFonts w:eastAsia="Times New Roman" w:cs="Times New Roman"/>
          <w:bCs/>
          <w:sz w:val="20"/>
          <w:szCs w:val="20"/>
          <w:lang w:val="fr-CA" w:eastAsia="en-CA"/>
        </w:rPr>
        <w:t xml:space="preserve">des documents déposés; </w:t>
      </w:r>
    </w:p>
    <w:p w:rsidR="00E75BC6" w:rsidRPr="00E75BC6" w:rsidRDefault="00E75BC6" w:rsidP="00E75BC6">
      <w:pPr>
        <w:spacing w:line="233" w:lineRule="auto"/>
        <w:rPr>
          <w:rFonts w:eastAsia="Times New Roman" w:cs="Times New Roman"/>
          <w:sz w:val="20"/>
          <w:szCs w:val="20"/>
          <w:lang w:val="fr-CA" w:eastAsia="en-CA"/>
        </w:rPr>
      </w:pPr>
    </w:p>
    <w:p w:rsidR="00E75BC6" w:rsidRPr="00E75BC6" w:rsidRDefault="00E75BC6" w:rsidP="00E75BC6">
      <w:pPr>
        <w:spacing w:line="233" w:lineRule="auto"/>
        <w:rPr>
          <w:rFonts w:eastAsia="Times New Roman" w:cs="Times New Roman"/>
          <w:sz w:val="20"/>
          <w:szCs w:val="20"/>
          <w:lang w:val="fr-CA" w:eastAsia="en-CA"/>
        </w:rPr>
      </w:pPr>
      <w:r w:rsidRPr="00E75BC6">
        <w:rPr>
          <w:rFonts w:eastAsia="Times New Roman" w:cs="Times New Roman"/>
          <w:b/>
          <w:bCs/>
          <w:sz w:val="20"/>
          <w:szCs w:val="20"/>
          <w:lang w:val="fr-CA" w:eastAsia="en-CA"/>
        </w:rPr>
        <w:t xml:space="preserve">IL EST ORDONNÉ CE QUI SUIT : </w:t>
      </w:r>
    </w:p>
    <w:p w:rsidR="00E75BC6" w:rsidRPr="00E75BC6" w:rsidRDefault="00E75BC6" w:rsidP="00E75BC6">
      <w:pPr>
        <w:spacing w:line="233" w:lineRule="auto"/>
        <w:rPr>
          <w:rFonts w:eastAsia="Times New Roman" w:cs="Times New Roman"/>
          <w:sz w:val="20"/>
          <w:szCs w:val="20"/>
          <w:lang w:val="fr-CA" w:eastAsia="en-CA"/>
        </w:rPr>
      </w:pPr>
    </w:p>
    <w:p w:rsidR="00E75BC6" w:rsidRPr="00E75BC6" w:rsidRDefault="00E75BC6" w:rsidP="00E75BC6">
      <w:pPr>
        <w:spacing w:line="233" w:lineRule="auto"/>
        <w:jc w:val="both"/>
        <w:rPr>
          <w:rFonts w:eastAsia="Times New Roman" w:cs="Times New Roman"/>
          <w:sz w:val="20"/>
          <w:szCs w:val="20"/>
          <w:lang w:val="fr-CA" w:eastAsia="en-CA"/>
        </w:rPr>
      </w:pPr>
      <w:r w:rsidRPr="00E75BC6">
        <w:rPr>
          <w:rFonts w:eastAsia="Times New Roman" w:cs="Times New Roman"/>
          <w:sz w:val="20"/>
          <w:szCs w:val="20"/>
          <w:lang w:val="fr-CA" w:eastAsia="en-CA"/>
        </w:rPr>
        <w:t xml:space="preserve">La demande d’autorisation d’intervenir de l’Association for </w:t>
      </w:r>
      <w:proofErr w:type="spellStart"/>
      <w:r w:rsidRPr="00E75BC6">
        <w:rPr>
          <w:rFonts w:eastAsia="Times New Roman" w:cs="Times New Roman"/>
          <w:sz w:val="20"/>
          <w:szCs w:val="20"/>
          <w:lang w:val="fr-CA" w:eastAsia="en-CA"/>
        </w:rPr>
        <w:t>Reformed</w:t>
      </w:r>
      <w:proofErr w:type="spellEnd"/>
      <w:r w:rsidRPr="00E75BC6">
        <w:rPr>
          <w:rFonts w:eastAsia="Times New Roman" w:cs="Times New Roman"/>
          <w:sz w:val="20"/>
          <w:szCs w:val="20"/>
          <w:lang w:val="fr-CA" w:eastAsia="en-CA"/>
        </w:rPr>
        <w:t xml:space="preserve"> </w:t>
      </w:r>
      <w:proofErr w:type="spellStart"/>
      <w:r w:rsidRPr="00E75BC6">
        <w:rPr>
          <w:rFonts w:eastAsia="Times New Roman" w:cs="Times New Roman"/>
          <w:sz w:val="20"/>
          <w:szCs w:val="20"/>
          <w:lang w:val="fr-CA" w:eastAsia="en-CA"/>
        </w:rPr>
        <w:t>Political</w:t>
      </w:r>
      <w:proofErr w:type="spellEnd"/>
      <w:r w:rsidRPr="00E75BC6">
        <w:rPr>
          <w:rFonts w:eastAsia="Times New Roman" w:cs="Times New Roman"/>
          <w:sz w:val="20"/>
          <w:szCs w:val="20"/>
          <w:lang w:val="fr-CA" w:eastAsia="en-CA"/>
        </w:rPr>
        <w:t xml:space="preserve"> Action Canada est rejetée.</w:t>
      </w:r>
    </w:p>
    <w:p w:rsidR="00E75BC6" w:rsidRPr="00E75BC6" w:rsidRDefault="00E75BC6" w:rsidP="00E75BC6">
      <w:pPr>
        <w:tabs>
          <w:tab w:val="left" w:pos="-1440"/>
          <w:tab w:val="left" w:pos="-720"/>
        </w:tabs>
        <w:jc w:val="both"/>
        <w:rPr>
          <w:rFonts w:eastAsia="Times New Roman" w:cs="Times New Roman"/>
          <w:sz w:val="20"/>
          <w:szCs w:val="20"/>
          <w:lang w:val="fr-CA" w:eastAsia="en-CA"/>
        </w:rPr>
      </w:pPr>
    </w:p>
    <w:p w:rsidR="00E75BC6" w:rsidRPr="00E75BC6" w:rsidRDefault="00547297" w:rsidP="00E75BC6">
      <w:pPr>
        <w:tabs>
          <w:tab w:val="left" w:pos="-1440"/>
          <w:tab w:val="left" w:pos="-720"/>
        </w:tabs>
        <w:jc w:val="both"/>
        <w:rPr>
          <w:rFonts w:eastAsia="Times New Roman" w:cs="Times New Roman"/>
          <w:sz w:val="20"/>
          <w:szCs w:val="20"/>
          <w:lang w:val="fr-CA" w:eastAsia="en-CA"/>
        </w:rPr>
      </w:pPr>
      <w:r w:rsidRPr="00547297">
        <w:rPr>
          <w:rFonts w:eastAsia="Times New Roman" w:cs="Times New Roman"/>
          <w:sz w:val="20"/>
          <w:szCs w:val="20"/>
          <w:lang w:val="fr-CA" w:eastAsia="en-CA"/>
        </w:rPr>
        <w:pict>
          <v:rect id="_x0000_i1062" style="width:2in;height:1pt" o:hrpct="0" o:hralign="center" o:hrstd="t" o:hrnoshade="t" o:hr="t" fillcolor="black [3213]" stroked="f"/>
        </w:pict>
      </w:r>
    </w:p>
    <w:p w:rsidR="00E75BC6" w:rsidRPr="00E75BC6" w:rsidRDefault="00E75BC6" w:rsidP="00E75BC6">
      <w:pPr>
        <w:tabs>
          <w:tab w:val="left" w:pos="-1440"/>
          <w:tab w:val="left" w:pos="-720"/>
        </w:tabs>
        <w:jc w:val="both"/>
        <w:rPr>
          <w:rFonts w:eastAsia="Times New Roman" w:cs="Times New Roman"/>
          <w:sz w:val="20"/>
          <w:szCs w:val="20"/>
          <w:lang w:eastAsia="en-CA"/>
        </w:rPr>
      </w:pPr>
    </w:p>
    <w:p w:rsidR="00A52AF7" w:rsidRDefault="00A52AF7">
      <w:pPr>
        <w:rPr>
          <w:rFonts w:eastAsia="Times New Roman" w:cs="Times New Roman"/>
          <w:sz w:val="20"/>
          <w:szCs w:val="20"/>
          <w:lang w:val="fr-CA" w:eastAsia="en-CA"/>
        </w:rPr>
      </w:pPr>
      <w:r>
        <w:rPr>
          <w:rFonts w:eastAsia="Times New Roman" w:cs="Times New Roman"/>
          <w:sz w:val="20"/>
          <w:szCs w:val="20"/>
          <w:lang w:val="fr-CA" w:eastAsia="en-CA"/>
        </w:rPr>
        <w:br w:type="page"/>
      </w:r>
    </w:p>
    <w:p w:rsidR="00E75BC6" w:rsidRPr="00E75BC6" w:rsidRDefault="00E75BC6" w:rsidP="00E75BC6">
      <w:pPr>
        <w:jc w:val="both"/>
        <w:rPr>
          <w:rFonts w:eastAsia="Times New Roman" w:cs="Times New Roman"/>
          <w:sz w:val="20"/>
          <w:szCs w:val="20"/>
          <w:lang w:val="fr-CA" w:eastAsia="en-CA"/>
        </w:rPr>
      </w:pPr>
      <w:r w:rsidRPr="00E75BC6">
        <w:rPr>
          <w:rFonts w:eastAsia="Times New Roman" w:cs="Times New Roman"/>
          <w:sz w:val="20"/>
          <w:szCs w:val="20"/>
          <w:lang w:val="fr-CA" w:eastAsia="en-CA"/>
        </w:rPr>
        <w:lastRenderedPageBreak/>
        <w:t>15.06.2011</w:t>
      </w:r>
    </w:p>
    <w:p w:rsidR="00E75BC6" w:rsidRPr="00E75BC6" w:rsidRDefault="00E75BC6" w:rsidP="00E75BC6">
      <w:pPr>
        <w:jc w:val="both"/>
        <w:rPr>
          <w:rFonts w:eastAsia="Times New Roman" w:cs="Times New Roman"/>
          <w:sz w:val="20"/>
          <w:szCs w:val="20"/>
          <w:lang w:val="fr-CA" w:eastAsia="en-CA"/>
        </w:rPr>
      </w:pPr>
    </w:p>
    <w:p w:rsidR="00E75BC6" w:rsidRPr="00E75BC6" w:rsidRDefault="00E75BC6" w:rsidP="00E75BC6">
      <w:pPr>
        <w:tabs>
          <w:tab w:val="left" w:pos="-1440"/>
          <w:tab w:val="left" w:pos="-720"/>
        </w:tabs>
        <w:jc w:val="both"/>
        <w:rPr>
          <w:rFonts w:eastAsia="Times New Roman" w:cs="Times New Roman"/>
          <w:sz w:val="20"/>
          <w:szCs w:val="20"/>
          <w:lang w:val="fr-CA" w:eastAsia="en-CA"/>
        </w:rPr>
      </w:pPr>
      <w:proofErr w:type="spellStart"/>
      <w:r w:rsidRPr="00E75BC6">
        <w:rPr>
          <w:rFonts w:eastAsia="Times New Roman" w:cs="Times New Roman"/>
          <w:sz w:val="20"/>
          <w:szCs w:val="20"/>
          <w:lang w:val="fr-CA" w:eastAsia="en-CA"/>
        </w:rPr>
        <w:t>Before</w:t>
      </w:r>
      <w:proofErr w:type="spellEnd"/>
      <w:r w:rsidRPr="00E75BC6">
        <w:rPr>
          <w:rFonts w:eastAsia="Times New Roman" w:cs="Times New Roman"/>
          <w:sz w:val="20"/>
          <w:szCs w:val="20"/>
          <w:lang w:val="fr-CA" w:eastAsia="en-CA"/>
        </w:rPr>
        <w:t xml:space="preserve"> / Devant :   ABELLA J. / LA JUGE ABELLA</w:t>
      </w:r>
    </w:p>
    <w:p w:rsidR="00E75BC6" w:rsidRPr="00E75BC6" w:rsidRDefault="00E75BC6" w:rsidP="00E75BC6">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E75BC6" w:rsidRPr="00E75BC6" w:rsidTr="007F2048">
        <w:trPr>
          <w:cantSplit/>
        </w:trPr>
        <w:tc>
          <w:tcPr>
            <w:tcW w:w="4338" w:type="dxa"/>
            <w:gridSpan w:val="2"/>
          </w:tcPr>
          <w:p w:rsidR="00E75BC6" w:rsidRPr="00E75BC6" w:rsidRDefault="00E75BC6" w:rsidP="00E75BC6">
            <w:pPr>
              <w:rPr>
                <w:b/>
              </w:rPr>
            </w:pPr>
            <w:r w:rsidRPr="00E75BC6">
              <w:rPr>
                <w:b/>
              </w:rPr>
              <w:t>Motion for leave to intervene</w:t>
            </w:r>
            <w:r w:rsidRPr="00E75BC6">
              <w:rPr>
                <w:lang w:val="en-US"/>
              </w:rPr>
              <w:t xml:space="preserve"> </w:t>
            </w:r>
            <w:r w:rsidR="00547297" w:rsidRPr="00E75BC6">
              <w:rPr>
                <w:lang w:val="en-US"/>
              </w:rPr>
              <w:fldChar w:fldCharType="begin"/>
            </w:r>
            <w:r w:rsidRPr="00E75BC6">
              <w:instrText xml:space="preserve"> SEQ CHAPTER \h \r 1</w:instrText>
            </w:r>
            <w:r w:rsidR="00547297" w:rsidRPr="00E75BC6">
              <w:rPr>
                <w:lang w:val="en-US"/>
              </w:rPr>
              <w:fldChar w:fldCharType="end"/>
            </w:r>
          </w:p>
        </w:tc>
        <w:tc>
          <w:tcPr>
            <w:tcW w:w="1170" w:type="dxa"/>
          </w:tcPr>
          <w:p w:rsidR="00E75BC6" w:rsidRPr="00E75BC6" w:rsidRDefault="00E75BC6" w:rsidP="00E75BC6"/>
          <w:p w:rsidR="00E75BC6" w:rsidRPr="00E75BC6" w:rsidRDefault="00E75BC6" w:rsidP="00E75BC6"/>
        </w:tc>
        <w:tc>
          <w:tcPr>
            <w:tcW w:w="4327" w:type="dxa"/>
          </w:tcPr>
          <w:p w:rsidR="00E75BC6" w:rsidRPr="00E75BC6" w:rsidRDefault="00E75BC6" w:rsidP="00E75BC6">
            <w:pPr>
              <w:rPr>
                <w:b/>
              </w:rPr>
            </w:pPr>
            <w:r w:rsidRPr="00E75BC6">
              <w:rPr>
                <w:b/>
                <w:bCs/>
                <w:lang w:val="fr-CA"/>
              </w:rPr>
              <w:t>Requête en autorisation d’intervenir</w:t>
            </w:r>
            <w:r w:rsidRPr="00E75BC6">
              <w:rPr>
                <w:lang w:val="en-US"/>
              </w:rPr>
              <w:t xml:space="preserve"> </w:t>
            </w:r>
            <w:r w:rsidR="00547297" w:rsidRPr="00E75BC6">
              <w:rPr>
                <w:lang w:val="en-US"/>
              </w:rPr>
              <w:fldChar w:fldCharType="begin"/>
            </w:r>
            <w:r w:rsidRPr="00E75BC6">
              <w:instrText xml:space="preserve"> SEQ CHAPTER \h \r 1</w:instrText>
            </w:r>
            <w:r w:rsidR="00547297" w:rsidRPr="00E75BC6">
              <w:rPr>
                <w:lang w:val="en-US"/>
              </w:rPr>
              <w:fldChar w:fldCharType="end"/>
            </w:r>
          </w:p>
        </w:tc>
      </w:tr>
      <w:tr w:rsidR="00E75BC6" w:rsidRPr="00E75BC6" w:rsidTr="007F2048">
        <w:trPr>
          <w:cantSplit/>
        </w:trPr>
        <w:tc>
          <w:tcPr>
            <w:tcW w:w="1368" w:type="dxa"/>
          </w:tcPr>
          <w:p w:rsidR="00E75BC6" w:rsidRPr="00E75BC6" w:rsidRDefault="00E75BC6" w:rsidP="00E75BC6">
            <w:r w:rsidRPr="00E75BC6">
              <w:t>BY / PAR</w:t>
            </w:r>
          </w:p>
        </w:tc>
        <w:tc>
          <w:tcPr>
            <w:tcW w:w="2970" w:type="dxa"/>
          </w:tcPr>
          <w:p w:rsidR="00E75BC6" w:rsidRPr="00E75BC6" w:rsidRDefault="00E75BC6" w:rsidP="00E75BC6">
            <w:r w:rsidRPr="00E75BC6">
              <w:t>Attorney General of Ontario</w:t>
            </w:r>
          </w:p>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rPr>
          <w:cantSplit/>
        </w:trPr>
        <w:tc>
          <w:tcPr>
            <w:tcW w:w="1368" w:type="dxa"/>
          </w:tcPr>
          <w:p w:rsidR="00E75BC6" w:rsidRPr="00E75BC6" w:rsidRDefault="00E75BC6" w:rsidP="00E75BC6"/>
        </w:tc>
        <w:tc>
          <w:tcPr>
            <w:tcW w:w="2970" w:type="dxa"/>
          </w:tcPr>
          <w:p w:rsidR="00E75BC6" w:rsidRPr="00E75BC6" w:rsidRDefault="00E75BC6" w:rsidP="00E75BC6"/>
        </w:tc>
        <w:tc>
          <w:tcPr>
            <w:tcW w:w="1170" w:type="dxa"/>
          </w:tcPr>
          <w:p w:rsidR="00E75BC6" w:rsidRPr="00E75BC6" w:rsidRDefault="00E75BC6" w:rsidP="00E75BC6"/>
        </w:tc>
        <w:tc>
          <w:tcPr>
            <w:tcW w:w="4327" w:type="dxa"/>
          </w:tcPr>
          <w:p w:rsidR="00E75BC6" w:rsidRPr="00E75BC6" w:rsidRDefault="00E75BC6" w:rsidP="00E75BC6"/>
        </w:tc>
      </w:tr>
      <w:tr w:rsidR="00E75BC6" w:rsidRPr="002D1834" w:rsidTr="007F2048">
        <w:trPr>
          <w:cantSplit/>
        </w:trPr>
        <w:tc>
          <w:tcPr>
            <w:tcW w:w="1368" w:type="dxa"/>
          </w:tcPr>
          <w:p w:rsidR="00E75BC6" w:rsidRPr="00E75BC6" w:rsidRDefault="00E75BC6" w:rsidP="00E75BC6">
            <w:r w:rsidRPr="00E75BC6">
              <w:t>IN / DANS :</w:t>
            </w:r>
          </w:p>
        </w:tc>
        <w:tc>
          <w:tcPr>
            <w:tcW w:w="2970" w:type="dxa"/>
          </w:tcPr>
          <w:p w:rsidR="00E75BC6" w:rsidRPr="00E75BC6" w:rsidRDefault="00E75BC6" w:rsidP="00E75BC6">
            <w:pPr>
              <w:rPr>
                <w:lang w:val="fr-CA"/>
              </w:rPr>
            </w:pPr>
            <w:r w:rsidRPr="00E75BC6">
              <w:rPr>
                <w:lang w:val="fr-CA"/>
              </w:rPr>
              <w:t xml:space="preserve">Matthew Leslie </w:t>
            </w:r>
            <w:proofErr w:type="spellStart"/>
            <w:r w:rsidRPr="00E75BC6">
              <w:rPr>
                <w:lang w:val="fr-CA"/>
              </w:rPr>
              <w:t>Maybin</w:t>
            </w:r>
            <w:proofErr w:type="spellEnd"/>
            <w:r w:rsidRPr="00E75BC6">
              <w:rPr>
                <w:lang w:val="fr-CA"/>
              </w:rPr>
              <w:t xml:space="preserve"> et al.</w:t>
            </w:r>
          </w:p>
          <w:p w:rsidR="00E75BC6" w:rsidRPr="00E75BC6" w:rsidRDefault="00E75BC6" w:rsidP="00E75BC6">
            <w:pPr>
              <w:rPr>
                <w:lang w:val="fr-CA"/>
              </w:rPr>
            </w:pPr>
          </w:p>
        </w:tc>
        <w:tc>
          <w:tcPr>
            <w:tcW w:w="1170" w:type="dxa"/>
          </w:tcPr>
          <w:p w:rsidR="00E75BC6" w:rsidRPr="00E75BC6" w:rsidRDefault="00E75BC6" w:rsidP="00E75BC6">
            <w:pPr>
              <w:rPr>
                <w:lang w:val="fr-CA"/>
              </w:rPr>
            </w:pPr>
          </w:p>
        </w:tc>
        <w:tc>
          <w:tcPr>
            <w:tcW w:w="4327" w:type="dxa"/>
          </w:tcPr>
          <w:p w:rsidR="00E75BC6" w:rsidRPr="00E75BC6" w:rsidRDefault="00E75BC6" w:rsidP="00E75BC6">
            <w:pPr>
              <w:rPr>
                <w:lang w:val="fr-CA"/>
              </w:rPr>
            </w:pPr>
          </w:p>
        </w:tc>
      </w:tr>
      <w:tr w:rsidR="00E75BC6" w:rsidRPr="00E75BC6" w:rsidTr="007F2048">
        <w:trPr>
          <w:cantSplit/>
        </w:trPr>
        <w:tc>
          <w:tcPr>
            <w:tcW w:w="1368" w:type="dxa"/>
          </w:tcPr>
          <w:p w:rsidR="00E75BC6" w:rsidRPr="00E75BC6" w:rsidRDefault="00E75BC6" w:rsidP="00E75BC6">
            <w:pPr>
              <w:rPr>
                <w:lang w:val="fr-CA"/>
              </w:rPr>
            </w:pPr>
          </w:p>
        </w:tc>
        <w:tc>
          <w:tcPr>
            <w:tcW w:w="2970" w:type="dxa"/>
          </w:tcPr>
          <w:p w:rsidR="00E75BC6" w:rsidRPr="00E75BC6" w:rsidRDefault="00E75BC6" w:rsidP="00E75BC6">
            <w:r w:rsidRPr="00E75BC6">
              <w:rPr>
                <w:lang w:val="fr-CA"/>
              </w:rPr>
              <w:tab/>
            </w:r>
            <w:r w:rsidRPr="00E75BC6">
              <w:t>v. (34011)</w:t>
            </w:r>
          </w:p>
          <w:p w:rsidR="00E75BC6" w:rsidRPr="00E75BC6" w:rsidRDefault="00E75BC6" w:rsidP="00E75BC6"/>
        </w:tc>
        <w:tc>
          <w:tcPr>
            <w:tcW w:w="1170" w:type="dxa"/>
          </w:tcPr>
          <w:p w:rsidR="00E75BC6" w:rsidRPr="00E75BC6" w:rsidRDefault="00E75BC6" w:rsidP="00E75BC6"/>
        </w:tc>
        <w:tc>
          <w:tcPr>
            <w:tcW w:w="4327" w:type="dxa"/>
          </w:tcPr>
          <w:p w:rsidR="00E75BC6" w:rsidRPr="00E75BC6" w:rsidRDefault="00E75BC6" w:rsidP="00E75BC6"/>
        </w:tc>
      </w:tr>
      <w:tr w:rsidR="00E75BC6" w:rsidRPr="00E75BC6" w:rsidTr="007F2048">
        <w:trPr>
          <w:cantSplit/>
        </w:trPr>
        <w:tc>
          <w:tcPr>
            <w:tcW w:w="1368" w:type="dxa"/>
          </w:tcPr>
          <w:p w:rsidR="00E75BC6" w:rsidRPr="00E75BC6" w:rsidRDefault="00E75BC6" w:rsidP="00E75BC6"/>
        </w:tc>
        <w:tc>
          <w:tcPr>
            <w:tcW w:w="2970" w:type="dxa"/>
          </w:tcPr>
          <w:p w:rsidR="00E75BC6" w:rsidRPr="00E75BC6" w:rsidRDefault="00E75BC6" w:rsidP="00E75BC6">
            <w:pPr>
              <w:jc w:val="both"/>
            </w:pPr>
            <w:r w:rsidRPr="00E75BC6">
              <w:t>Her Majesty the Queen (Crim.) (B.C.)</w:t>
            </w:r>
          </w:p>
        </w:tc>
        <w:tc>
          <w:tcPr>
            <w:tcW w:w="1170" w:type="dxa"/>
          </w:tcPr>
          <w:p w:rsidR="00E75BC6" w:rsidRPr="00E75BC6" w:rsidRDefault="00E75BC6" w:rsidP="00E75BC6"/>
        </w:tc>
        <w:tc>
          <w:tcPr>
            <w:tcW w:w="4327" w:type="dxa"/>
          </w:tcPr>
          <w:p w:rsidR="00E75BC6" w:rsidRPr="00E75BC6" w:rsidRDefault="00E75BC6" w:rsidP="00E75BC6"/>
        </w:tc>
      </w:tr>
    </w:tbl>
    <w:p w:rsidR="00E75BC6" w:rsidRPr="00E75BC6" w:rsidRDefault="00E75BC6" w:rsidP="00E75BC6">
      <w:pPr>
        <w:tabs>
          <w:tab w:val="left" w:pos="-1440"/>
          <w:tab w:val="left" w:pos="-720"/>
        </w:tabs>
        <w:jc w:val="both"/>
        <w:rPr>
          <w:rFonts w:eastAsia="Times New Roman" w:cs="Times New Roman"/>
          <w:sz w:val="20"/>
          <w:szCs w:val="20"/>
          <w:lang w:eastAsia="en-CA"/>
        </w:rPr>
      </w:pPr>
    </w:p>
    <w:p w:rsidR="00E75BC6" w:rsidRPr="00E75BC6" w:rsidRDefault="00E75BC6" w:rsidP="00E75BC6">
      <w:pPr>
        <w:tabs>
          <w:tab w:val="left" w:pos="-1440"/>
          <w:tab w:val="left" w:pos="-720"/>
        </w:tabs>
        <w:jc w:val="both"/>
        <w:rPr>
          <w:rFonts w:eastAsia="Times New Roman" w:cs="Times New Roman"/>
          <w:b/>
          <w:sz w:val="20"/>
          <w:szCs w:val="20"/>
          <w:lang w:eastAsia="en-CA"/>
        </w:rPr>
      </w:pPr>
      <w:r w:rsidRPr="00E75BC6">
        <w:rPr>
          <w:rFonts w:eastAsia="Times New Roman" w:cs="Times New Roman"/>
          <w:b/>
          <w:sz w:val="20"/>
          <w:szCs w:val="20"/>
          <w:lang w:eastAsia="en-CA"/>
        </w:rPr>
        <w:t>GRANTED / ACCORDÉE</w:t>
      </w:r>
    </w:p>
    <w:p w:rsidR="00E75BC6" w:rsidRPr="00E75BC6" w:rsidRDefault="00E75BC6" w:rsidP="00E75BC6">
      <w:pPr>
        <w:tabs>
          <w:tab w:val="left" w:pos="-1440"/>
          <w:tab w:val="left" w:pos="-720"/>
        </w:tabs>
        <w:jc w:val="both"/>
        <w:rPr>
          <w:rFonts w:eastAsia="Times New Roman" w:cs="Times New Roman"/>
          <w:sz w:val="20"/>
          <w:szCs w:val="20"/>
          <w:lang w:eastAsia="en-CA"/>
        </w:rPr>
      </w:pPr>
    </w:p>
    <w:p w:rsidR="00E75BC6" w:rsidRPr="00E75BC6" w:rsidRDefault="00E75BC6" w:rsidP="00E75BC6">
      <w:pPr>
        <w:spacing w:line="233" w:lineRule="auto"/>
        <w:jc w:val="both"/>
        <w:rPr>
          <w:rFonts w:eastAsia="Times New Roman" w:cs="Times New Roman"/>
          <w:sz w:val="20"/>
          <w:szCs w:val="20"/>
          <w:lang w:val="en-US" w:eastAsia="en-CA"/>
        </w:rPr>
      </w:pPr>
      <w:r w:rsidRPr="00E75BC6">
        <w:rPr>
          <w:rFonts w:eastAsia="Times New Roman" w:cs="Times New Roman"/>
          <w:b/>
          <w:bCs/>
          <w:sz w:val="20"/>
          <w:szCs w:val="20"/>
          <w:lang w:val="en-US" w:eastAsia="en-CA"/>
        </w:rPr>
        <w:t xml:space="preserve">UPON APPLICATION </w:t>
      </w:r>
      <w:r w:rsidRPr="00E75BC6">
        <w:rPr>
          <w:rFonts w:eastAsia="Times New Roman" w:cs="Times New Roman"/>
          <w:sz w:val="20"/>
          <w:szCs w:val="20"/>
          <w:lang w:val="en-US" w:eastAsia="en-CA"/>
        </w:rPr>
        <w:t>by the Attorney General of Ontario for leave to intervene in the above appeal;</w:t>
      </w:r>
    </w:p>
    <w:p w:rsidR="00E75BC6" w:rsidRPr="00E75BC6" w:rsidRDefault="00E75BC6" w:rsidP="00E75BC6">
      <w:pPr>
        <w:spacing w:line="233" w:lineRule="auto"/>
        <w:rPr>
          <w:rFonts w:eastAsia="Times New Roman" w:cs="Times New Roman"/>
          <w:sz w:val="20"/>
          <w:szCs w:val="20"/>
          <w:lang w:val="en-US" w:eastAsia="en-CA"/>
        </w:rPr>
      </w:pPr>
    </w:p>
    <w:p w:rsidR="00E75BC6" w:rsidRPr="00E75BC6" w:rsidRDefault="00E75BC6" w:rsidP="00E75BC6">
      <w:pPr>
        <w:spacing w:line="233" w:lineRule="auto"/>
        <w:rPr>
          <w:rFonts w:eastAsia="Times New Roman" w:cs="Times New Roman"/>
          <w:sz w:val="20"/>
          <w:szCs w:val="20"/>
          <w:lang w:val="en-US" w:eastAsia="en-CA"/>
        </w:rPr>
      </w:pPr>
      <w:r w:rsidRPr="00E75BC6">
        <w:rPr>
          <w:rFonts w:eastAsia="Times New Roman" w:cs="Times New Roman"/>
          <w:b/>
          <w:bCs/>
          <w:sz w:val="20"/>
          <w:szCs w:val="20"/>
          <w:lang w:val="en-US" w:eastAsia="en-CA"/>
        </w:rPr>
        <w:t>AND THE MATERIAL FILED</w:t>
      </w:r>
      <w:r w:rsidRPr="00E75BC6">
        <w:rPr>
          <w:rFonts w:eastAsia="Times New Roman" w:cs="Times New Roman"/>
          <w:sz w:val="20"/>
          <w:szCs w:val="20"/>
          <w:lang w:val="en-US" w:eastAsia="en-CA"/>
        </w:rPr>
        <w:t xml:space="preserve"> having been read;</w:t>
      </w:r>
    </w:p>
    <w:p w:rsidR="00E75BC6" w:rsidRPr="00E75BC6" w:rsidRDefault="00E75BC6" w:rsidP="00E75BC6">
      <w:pPr>
        <w:spacing w:line="233" w:lineRule="auto"/>
        <w:rPr>
          <w:rFonts w:eastAsia="Times New Roman" w:cs="Times New Roman"/>
          <w:sz w:val="20"/>
          <w:szCs w:val="20"/>
          <w:lang w:val="en-US" w:eastAsia="en-CA"/>
        </w:rPr>
      </w:pPr>
    </w:p>
    <w:p w:rsidR="00E75BC6" w:rsidRPr="00E75BC6" w:rsidRDefault="00E75BC6" w:rsidP="00E75BC6">
      <w:pPr>
        <w:spacing w:line="233" w:lineRule="auto"/>
        <w:rPr>
          <w:rFonts w:eastAsia="Times New Roman" w:cs="Times New Roman"/>
          <w:sz w:val="20"/>
          <w:szCs w:val="20"/>
          <w:lang w:val="en-US" w:eastAsia="en-CA"/>
        </w:rPr>
      </w:pPr>
      <w:r w:rsidRPr="00E75BC6">
        <w:rPr>
          <w:rFonts w:eastAsia="Times New Roman" w:cs="Times New Roman"/>
          <w:b/>
          <w:bCs/>
          <w:sz w:val="20"/>
          <w:szCs w:val="20"/>
          <w:lang w:val="en-US" w:eastAsia="en-CA"/>
        </w:rPr>
        <w:t>IT IS HEREBY ORDERED THAT:</w:t>
      </w:r>
    </w:p>
    <w:p w:rsidR="00E75BC6" w:rsidRPr="00E75BC6" w:rsidRDefault="00E75BC6" w:rsidP="00E75BC6">
      <w:pPr>
        <w:spacing w:line="233" w:lineRule="auto"/>
        <w:rPr>
          <w:rFonts w:eastAsia="Times New Roman" w:cs="Times New Roman"/>
          <w:sz w:val="20"/>
          <w:szCs w:val="20"/>
          <w:lang w:val="en-US" w:eastAsia="en-CA"/>
        </w:rPr>
      </w:pPr>
    </w:p>
    <w:p w:rsidR="00E75BC6" w:rsidRPr="00E75BC6" w:rsidRDefault="00E75BC6" w:rsidP="00E75BC6">
      <w:pPr>
        <w:spacing w:line="233" w:lineRule="auto"/>
        <w:jc w:val="both"/>
        <w:rPr>
          <w:rFonts w:eastAsia="Times New Roman" w:cs="Times New Roman"/>
          <w:sz w:val="20"/>
          <w:szCs w:val="20"/>
          <w:lang w:val="en-US" w:eastAsia="en-CA"/>
        </w:rPr>
      </w:pPr>
      <w:r w:rsidRPr="00E75BC6">
        <w:rPr>
          <w:rFonts w:eastAsia="Times New Roman" w:cs="Times New Roman"/>
          <w:sz w:val="20"/>
          <w:szCs w:val="20"/>
          <w:lang w:val="en-US" w:eastAsia="en-CA"/>
        </w:rPr>
        <w:t>The motion for leave to intervene of the Attorney General of Ontario is granted and the said intervener shall be entitled to serve and file a factum not to exceed 10 pages in length.</w:t>
      </w:r>
    </w:p>
    <w:p w:rsidR="00E75BC6" w:rsidRPr="00E75BC6" w:rsidRDefault="00E75BC6" w:rsidP="00E75BC6">
      <w:pPr>
        <w:spacing w:line="233" w:lineRule="auto"/>
        <w:rPr>
          <w:rFonts w:eastAsia="Times New Roman" w:cs="Times New Roman"/>
          <w:sz w:val="20"/>
          <w:szCs w:val="20"/>
          <w:lang w:val="en-US" w:eastAsia="en-CA"/>
        </w:rPr>
      </w:pPr>
    </w:p>
    <w:p w:rsidR="00E75BC6" w:rsidRPr="00E75BC6" w:rsidRDefault="00E75BC6" w:rsidP="00E75BC6">
      <w:pPr>
        <w:spacing w:line="233" w:lineRule="auto"/>
        <w:jc w:val="both"/>
        <w:rPr>
          <w:rFonts w:eastAsia="Times New Roman" w:cs="Times New Roman"/>
          <w:sz w:val="20"/>
          <w:szCs w:val="20"/>
          <w:lang w:val="en-US" w:eastAsia="en-CA"/>
        </w:rPr>
      </w:pPr>
      <w:r w:rsidRPr="00E75BC6">
        <w:rPr>
          <w:rFonts w:eastAsia="Times New Roman" w:cs="Times New Roman"/>
          <w:sz w:val="20"/>
          <w:szCs w:val="20"/>
          <w:lang w:val="en-US" w:eastAsia="en-CA"/>
        </w:rPr>
        <w:t>The request to present oral argument is deferred to a date following receipt and consideration of the written arguments of the parties and the intervener.</w:t>
      </w:r>
    </w:p>
    <w:p w:rsidR="00E75BC6" w:rsidRPr="00E75BC6" w:rsidRDefault="00E75BC6" w:rsidP="00E75BC6">
      <w:pPr>
        <w:spacing w:line="233" w:lineRule="auto"/>
        <w:rPr>
          <w:rFonts w:eastAsia="Times New Roman" w:cs="Times New Roman"/>
          <w:sz w:val="20"/>
          <w:szCs w:val="20"/>
          <w:lang w:val="en-US" w:eastAsia="en-CA"/>
        </w:rPr>
      </w:pPr>
    </w:p>
    <w:p w:rsidR="00E75BC6" w:rsidRPr="00E75BC6" w:rsidRDefault="00E75BC6" w:rsidP="00E75BC6">
      <w:pPr>
        <w:spacing w:line="233" w:lineRule="auto"/>
        <w:jc w:val="both"/>
        <w:rPr>
          <w:rFonts w:eastAsia="Times New Roman" w:cs="Times New Roman"/>
          <w:sz w:val="20"/>
          <w:szCs w:val="20"/>
          <w:lang w:val="en-US" w:eastAsia="en-CA"/>
        </w:rPr>
      </w:pPr>
      <w:r w:rsidRPr="00E75BC6">
        <w:rPr>
          <w:rFonts w:eastAsia="Times New Roman" w:cs="Times New Roman"/>
          <w:sz w:val="20"/>
          <w:szCs w:val="20"/>
          <w:lang w:val="en-US" w:eastAsia="en-CA"/>
        </w:rPr>
        <w:t>The intervener shall not be entitled to raise new issues or to adduce further evidence or otherwise to supplement the record of the parties.</w:t>
      </w:r>
    </w:p>
    <w:p w:rsidR="00E75BC6" w:rsidRPr="00E75BC6" w:rsidRDefault="00E75BC6" w:rsidP="00E75BC6">
      <w:pPr>
        <w:spacing w:line="233" w:lineRule="auto"/>
        <w:rPr>
          <w:rFonts w:eastAsia="Times New Roman" w:cs="Times New Roman"/>
          <w:sz w:val="20"/>
          <w:szCs w:val="20"/>
          <w:lang w:val="en-US" w:eastAsia="en-CA"/>
        </w:rPr>
      </w:pPr>
    </w:p>
    <w:p w:rsidR="00E75BC6" w:rsidRPr="00E75BC6" w:rsidRDefault="00E75BC6" w:rsidP="00E75BC6">
      <w:pPr>
        <w:spacing w:line="233" w:lineRule="auto"/>
        <w:jc w:val="both"/>
        <w:rPr>
          <w:rFonts w:eastAsia="Times New Roman" w:cs="Times New Roman"/>
          <w:sz w:val="20"/>
          <w:szCs w:val="20"/>
          <w:lang w:val="en-US" w:eastAsia="en-CA"/>
        </w:rPr>
      </w:pPr>
      <w:r w:rsidRPr="00E75BC6">
        <w:rPr>
          <w:rFonts w:eastAsia="Times New Roman" w:cs="Times New Roman"/>
          <w:sz w:val="20"/>
          <w:szCs w:val="20"/>
          <w:lang w:val="en-US" w:eastAsia="en-CA"/>
        </w:rPr>
        <w:t>Pursuant to Rule 59(1</w:t>
      </w:r>
      <w:proofErr w:type="gramStart"/>
      <w:r w:rsidRPr="00E75BC6">
        <w:rPr>
          <w:rFonts w:eastAsia="Times New Roman" w:cs="Times New Roman"/>
          <w:sz w:val="20"/>
          <w:szCs w:val="20"/>
          <w:lang w:val="en-US" w:eastAsia="en-CA"/>
        </w:rPr>
        <w:t>)(</w:t>
      </w:r>
      <w:proofErr w:type="gramEnd"/>
      <w:r w:rsidRPr="00E75BC6">
        <w:rPr>
          <w:rFonts w:eastAsia="Times New Roman" w:cs="Times New Roman"/>
          <w:i/>
          <w:iCs/>
          <w:sz w:val="20"/>
          <w:szCs w:val="20"/>
          <w:lang w:val="en-US" w:eastAsia="en-CA"/>
        </w:rPr>
        <w:t>a</w:t>
      </w:r>
      <w:r w:rsidRPr="00E75BC6">
        <w:rPr>
          <w:rFonts w:eastAsia="Times New Roman" w:cs="Times New Roman"/>
          <w:sz w:val="20"/>
          <w:szCs w:val="20"/>
          <w:lang w:val="en-US" w:eastAsia="en-CA"/>
        </w:rPr>
        <w:t xml:space="preserve">) of the </w:t>
      </w:r>
      <w:r w:rsidRPr="00E75BC6">
        <w:rPr>
          <w:rFonts w:eastAsia="Times New Roman" w:cs="Times New Roman"/>
          <w:i/>
          <w:iCs/>
          <w:sz w:val="20"/>
          <w:szCs w:val="20"/>
          <w:lang w:val="en-US" w:eastAsia="en-CA"/>
        </w:rPr>
        <w:t>Rules of the Supreme Court of Canada</w:t>
      </w:r>
      <w:r w:rsidRPr="00E75BC6">
        <w:rPr>
          <w:rFonts w:eastAsia="Times New Roman" w:cs="Times New Roman"/>
          <w:sz w:val="20"/>
          <w:szCs w:val="20"/>
          <w:lang w:val="en-US" w:eastAsia="en-CA"/>
        </w:rPr>
        <w:t>, the intervener shall pay to the appellants and respondent any additional disbursements occasioned to the appellants and respondent by its intervention.</w:t>
      </w:r>
    </w:p>
    <w:p w:rsidR="00E75BC6" w:rsidRPr="00E75BC6" w:rsidRDefault="00E75BC6" w:rsidP="00E75BC6">
      <w:pPr>
        <w:tabs>
          <w:tab w:val="left" w:pos="-1440"/>
          <w:tab w:val="left" w:pos="-720"/>
        </w:tabs>
        <w:jc w:val="both"/>
        <w:rPr>
          <w:rFonts w:eastAsia="Times New Roman" w:cs="Times New Roman"/>
          <w:sz w:val="20"/>
          <w:szCs w:val="20"/>
          <w:lang w:val="en-US" w:eastAsia="en-CA"/>
        </w:rPr>
      </w:pPr>
    </w:p>
    <w:p w:rsidR="00E75BC6" w:rsidRDefault="00E75BC6" w:rsidP="00E75BC6">
      <w:pPr>
        <w:tabs>
          <w:tab w:val="left" w:pos="-1440"/>
          <w:tab w:val="left" w:pos="-720"/>
        </w:tabs>
        <w:jc w:val="both"/>
        <w:rPr>
          <w:rFonts w:eastAsia="Times New Roman" w:cs="Times New Roman"/>
          <w:sz w:val="20"/>
          <w:szCs w:val="20"/>
          <w:lang w:val="en-US" w:eastAsia="en-CA"/>
        </w:rPr>
      </w:pPr>
    </w:p>
    <w:p w:rsidR="008254D1" w:rsidRPr="00E75BC6" w:rsidRDefault="008254D1" w:rsidP="00E75BC6">
      <w:pPr>
        <w:tabs>
          <w:tab w:val="left" w:pos="-1440"/>
          <w:tab w:val="left" w:pos="-720"/>
        </w:tabs>
        <w:jc w:val="both"/>
        <w:rPr>
          <w:rFonts w:eastAsia="Times New Roman" w:cs="Times New Roman"/>
          <w:sz w:val="20"/>
          <w:szCs w:val="20"/>
          <w:lang w:val="en-US" w:eastAsia="en-CA"/>
        </w:rPr>
      </w:pPr>
    </w:p>
    <w:p w:rsidR="00E75BC6" w:rsidRPr="00E75BC6" w:rsidRDefault="00E75BC6" w:rsidP="00E75BC6">
      <w:pPr>
        <w:spacing w:line="233" w:lineRule="auto"/>
        <w:jc w:val="both"/>
        <w:rPr>
          <w:rFonts w:eastAsia="Times New Roman" w:cs="Times New Roman"/>
          <w:sz w:val="20"/>
          <w:szCs w:val="20"/>
          <w:lang w:val="fr-CA" w:eastAsia="en-CA"/>
        </w:rPr>
      </w:pPr>
      <w:r w:rsidRPr="00E75BC6">
        <w:rPr>
          <w:rFonts w:eastAsia="Times New Roman" w:cs="Times New Roman"/>
          <w:b/>
          <w:bCs/>
          <w:sz w:val="20"/>
          <w:szCs w:val="20"/>
          <w:lang w:val="fr-CA" w:eastAsia="en-CA"/>
        </w:rPr>
        <w:t xml:space="preserve">À LA SUITE DE LA DEMANDE </w:t>
      </w:r>
      <w:r w:rsidRPr="00E75BC6">
        <w:rPr>
          <w:rFonts w:eastAsia="Times New Roman" w:cs="Times New Roman"/>
          <w:bCs/>
          <w:sz w:val="20"/>
          <w:szCs w:val="20"/>
          <w:lang w:val="fr-CA" w:eastAsia="en-CA"/>
        </w:rPr>
        <w:t>d’autorisation d’intervenir dans l’appel présentée par le procureur général de l’Ontario</w:t>
      </w:r>
    </w:p>
    <w:p w:rsidR="00E75BC6" w:rsidRPr="00E75BC6" w:rsidRDefault="00E75BC6" w:rsidP="00E75BC6">
      <w:pPr>
        <w:spacing w:line="233" w:lineRule="auto"/>
        <w:rPr>
          <w:rFonts w:eastAsia="Times New Roman" w:cs="Times New Roman"/>
          <w:sz w:val="20"/>
          <w:szCs w:val="20"/>
          <w:lang w:val="fr-CA" w:eastAsia="en-CA"/>
        </w:rPr>
      </w:pPr>
    </w:p>
    <w:p w:rsidR="00E75BC6" w:rsidRPr="00E75BC6" w:rsidRDefault="00E75BC6" w:rsidP="00E75BC6">
      <w:pPr>
        <w:spacing w:line="233" w:lineRule="auto"/>
        <w:rPr>
          <w:rFonts w:eastAsia="Times New Roman" w:cs="Times New Roman"/>
          <w:sz w:val="20"/>
          <w:szCs w:val="20"/>
          <w:lang w:val="fr-CA" w:eastAsia="en-CA"/>
        </w:rPr>
      </w:pPr>
      <w:r w:rsidRPr="00E75BC6">
        <w:rPr>
          <w:rFonts w:eastAsia="Times New Roman" w:cs="Times New Roman"/>
          <w:b/>
          <w:bCs/>
          <w:sz w:val="20"/>
          <w:szCs w:val="20"/>
          <w:lang w:val="fr-CA" w:eastAsia="en-CA"/>
        </w:rPr>
        <w:t xml:space="preserve">ET APRÈS EXAMEN </w:t>
      </w:r>
      <w:r w:rsidRPr="00E75BC6">
        <w:rPr>
          <w:rFonts w:eastAsia="Times New Roman" w:cs="Times New Roman"/>
          <w:bCs/>
          <w:sz w:val="20"/>
          <w:szCs w:val="20"/>
          <w:lang w:val="fr-CA" w:eastAsia="en-CA"/>
        </w:rPr>
        <w:t xml:space="preserve">des documents déposés; </w:t>
      </w:r>
    </w:p>
    <w:p w:rsidR="00E75BC6" w:rsidRPr="00E75BC6" w:rsidRDefault="00E75BC6" w:rsidP="00E75BC6">
      <w:pPr>
        <w:spacing w:line="233" w:lineRule="auto"/>
        <w:rPr>
          <w:rFonts w:eastAsia="Times New Roman" w:cs="Times New Roman"/>
          <w:sz w:val="20"/>
          <w:szCs w:val="20"/>
          <w:lang w:val="fr-CA" w:eastAsia="en-CA"/>
        </w:rPr>
      </w:pPr>
    </w:p>
    <w:p w:rsidR="00E75BC6" w:rsidRPr="00E75BC6" w:rsidRDefault="00E75BC6" w:rsidP="00E75BC6">
      <w:pPr>
        <w:spacing w:line="233" w:lineRule="auto"/>
        <w:rPr>
          <w:rFonts w:eastAsia="Times New Roman" w:cs="Times New Roman"/>
          <w:sz w:val="20"/>
          <w:szCs w:val="20"/>
          <w:lang w:val="fr-CA" w:eastAsia="en-CA"/>
        </w:rPr>
      </w:pPr>
      <w:r w:rsidRPr="00E75BC6">
        <w:rPr>
          <w:rFonts w:eastAsia="Times New Roman" w:cs="Times New Roman"/>
          <w:b/>
          <w:bCs/>
          <w:sz w:val="20"/>
          <w:szCs w:val="20"/>
          <w:lang w:val="fr-CA" w:eastAsia="en-CA"/>
        </w:rPr>
        <w:t xml:space="preserve">IL EST ORDONNÉ CE QUI SUIT : </w:t>
      </w:r>
    </w:p>
    <w:p w:rsidR="00E75BC6" w:rsidRPr="00E75BC6" w:rsidRDefault="00E75BC6" w:rsidP="00E75BC6">
      <w:pPr>
        <w:spacing w:line="233" w:lineRule="auto"/>
        <w:rPr>
          <w:rFonts w:eastAsia="Times New Roman" w:cs="Times New Roman"/>
          <w:sz w:val="20"/>
          <w:szCs w:val="20"/>
          <w:lang w:val="fr-CA" w:eastAsia="en-CA"/>
        </w:rPr>
      </w:pPr>
    </w:p>
    <w:p w:rsidR="00E75BC6" w:rsidRPr="00E75BC6" w:rsidRDefault="00E75BC6" w:rsidP="00E75BC6">
      <w:pPr>
        <w:spacing w:line="233" w:lineRule="auto"/>
        <w:jc w:val="both"/>
        <w:rPr>
          <w:rFonts w:eastAsia="Times New Roman" w:cs="Times New Roman"/>
          <w:sz w:val="20"/>
          <w:szCs w:val="20"/>
          <w:lang w:val="fr-CA" w:eastAsia="en-CA"/>
        </w:rPr>
      </w:pPr>
      <w:r w:rsidRPr="00E75BC6">
        <w:rPr>
          <w:rFonts w:eastAsia="Times New Roman" w:cs="Times New Roman"/>
          <w:sz w:val="20"/>
          <w:szCs w:val="20"/>
          <w:lang w:val="fr-CA" w:eastAsia="en-CA"/>
        </w:rPr>
        <w:t>La demande d’autorisation d’intervenir du procureur général de l’Ontario est accueillie et cet intervenant pourra signifier et déposer un mémoire d’au plus 10 pages.</w:t>
      </w:r>
    </w:p>
    <w:p w:rsidR="00E75BC6" w:rsidRPr="00E75BC6" w:rsidRDefault="00E75BC6" w:rsidP="00E75BC6">
      <w:pPr>
        <w:spacing w:line="233" w:lineRule="auto"/>
        <w:rPr>
          <w:rFonts w:eastAsia="Times New Roman" w:cs="Times New Roman"/>
          <w:sz w:val="20"/>
          <w:szCs w:val="20"/>
          <w:lang w:val="fr-CA" w:eastAsia="en-CA"/>
        </w:rPr>
      </w:pPr>
    </w:p>
    <w:p w:rsidR="00E75BC6" w:rsidRPr="00E75BC6" w:rsidRDefault="00E75BC6" w:rsidP="00E75BC6">
      <w:pPr>
        <w:spacing w:line="233" w:lineRule="auto"/>
        <w:jc w:val="both"/>
        <w:rPr>
          <w:rFonts w:eastAsia="Times New Roman" w:cs="Times New Roman"/>
          <w:sz w:val="20"/>
          <w:szCs w:val="20"/>
          <w:lang w:val="fr-CA" w:eastAsia="en-CA"/>
        </w:rPr>
      </w:pPr>
      <w:r w:rsidRPr="00E75BC6">
        <w:rPr>
          <w:rFonts w:eastAsia="Times New Roman" w:cs="Times New Roman"/>
          <w:sz w:val="20"/>
          <w:szCs w:val="20"/>
          <w:lang w:val="fr-CA" w:eastAsia="en-CA"/>
        </w:rPr>
        <w:t>La décision sur la demande en vue de présenter une plaidoirie orale sera rendue après réception et examen des arguments écrits des parties et de l’intervenant.</w:t>
      </w:r>
    </w:p>
    <w:p w:rsidR="00E75BC6" w:rsidRPr="00E75BC6" w:rsidRDefault="00E75BC6" w:rsidP="00E75BC6">
      <w:pPr>
        <w:spacing w:line="233" w:lineRule="auto"/>
        <w:jc w:val="both"/>
        <w:rPr>
          <w:rFonts w:eastAsia="Times New Roman" w:cs="Times New Roman"/>
          <w:sz w:val="20"/>
          <w:szCs w:val="20"/>
          <w:lang w:val="fr-CA" w:eastAsia="en-CA"/>
        </w:rPr>
      </w:pPr>
    </w:p>
    <w:p w:rsidR="00E75BC6" w:rsidRDefault="00E75BC6" w:rsidP="00E75BC6">
      <w:pPr>
        <w:spacing w:line="233" w:lineRule="auto"/>
        <w:jc w:val="both"/>
        <w:rPr>
          <w:rFonts w:eastAsia="Times New Roman" w:cs="Times New Roman"/>
          <w:sz w:val="20"/>
          <w:szCs w:val="20"/>
          <w:lang w:val="fr-CA" w:eastAsia="en-CA"/>
        </w:rPr>
      </w:pPr>
      <w:r w:rsidRPr="00E75BC6">
        <w:rPr>
          <w:rFonts w:eastAsia="Times New Roman" w:cs="Times New Roman"/>
          <w:sz w:val="20"/>
          <w:szCs w:val="20"/>
          <w:lang w:val="fr-CA" w:eastAsia="en-CA"/>
        </w:rPr>
        <w:t>L’intervenant n’a pas le droit de soulever de nouvelles questions, de produire d’autres éléments de preuve ni de compléter de quelque autre façon le dossier des parties.</w:t>
      </w:r>
    </w:p>
    <w:p w:rsidR="00C449F3" w:rsidRPr="00E75BC6" w:rsidRDefault="00C449F3" w:rsidP="00E75BC6">
      <w:pPr>
        <w:spacing w:line="233" w:lineRule="auto"/>
        <w:jc w:val="both"/>
        <w:rPr>
          <w:rFonts w:eastAsia="Times New Roman" w:cs="Times New Roman"/>
          <w:sz w:val="20"/>
          <w:szCs w:val="20"/>
          <w:lang w:val="fr-CA" w:eastAsia="en-CA"/>
        </w:rPr>
      </w:pPr>
    </w:p>
    <w:p w:rsidR="00C449F3" w:rsidRDefault="00C449F3">
      <w:pPr>
        <w:rPr>
          <w:rFonts w:eastAsia="Times New Roman" w:cs="Times New Roman"/>
          <w:sz w:val="20"/>
          <w:szCs w:val="20"/>
          <w:lang w:val="fr-CA" w:eastAsia="en-CA"/>
        </w:rPr>
      </w:pPr>
      <w:r>
        <w:rPr>
          <w:rFonts w:eastAsia="Times New Roman" w:cs="Times New Roman"/>
          <w:sz w:val="20"/>
          <w:szCs w:val="20"/>
          <w:lang w:val="fr-CA" w:eastAsia="en-CA"/>
        </w:rPr>
        <w:br w:type="page"/>
      </w:r>
    </w:p>
    <w:p w:rsidR="00E75BC6" w:rsidRDefault="00E75BC6" w:rsidP="00E75BC6">
      <w:pPr>
        <w:spacing w:line="233" w:lineRule="auto"/>
        <w:jc w:val="both"/>
        <w:rPr>
          <w:rFonts w:eastAsia="Times New Roman" w:cs="Times New Roman"/>
          <w:sz w:val="20"/>
          <w:szCs w:val="20"/>
          <w:lang w:val="fr-CA" w:eastAsia="en-CA"/>
        </w:rPr>
      </w:pPr>
      <w:r w:rsidRPr="00E75BC6">
        <w:rPr>
          <w:rFonts w:eastAsia="Times New Roman" w:cs="Times New Roman"/>
          <w:sz w:val="20"/>
          <w:szCs w:val="20"/>
          <w:lang w:val="fr-CA" w:eastAsia="en-CA"/>
        </w:rPr>
        <w:lastRenderedPageBreak/>
        <w:t>Conformément à l’alinéa 59(1)</w:t>
      </w:r>
      <w:r w:rsidRPr="00E75BC6">
        <w:rPr>
          <w:rFonts w:eastAsia="Times New Roman" w:cs="Times New Roman"/>
          <w:i/>
          <w:sz w:val="20"/>
          <w:szCs w:val="20"/>
          <w:lang w:val="fr-CA" w:eastAsia="en-CA"/>
        </w:rPr>
        <w:t>a</w:t>
      </w:r>
      <w:r w:rsidRPr="00E75BC6">
        <w:rPr>
          <w:rFonts w:eastAsia="Times New Roman" w:cs="Times New Roman"/>
          <w:sz w:val="20"/>
          <w:szCs w:val="20"/>
          <w:lang w:val="fr-CA" w:eastAsia="en-CA"/>
        </w:rPr>
        <w:t xml:space="preserve">) des </w:t>
      </w:r>
      <w:r w:rsidRPr="00E75BC6">
        <w:rPr>
          <w:rFonts w:eastAsia="Times New Roman" w:cs="Times New Roman"/>
          <w:i/>
          <w:sz w:val="20"/>
          <w:szCs w:val="20"/>
          <w:lang w:val="fr-CA" w:eastAsia="en-CA"/>
        </w:rPr>
        <w:t>Règles de la Cour suprême du Canada</w:t>
      </w:r>
      <w:r w:rsidRPr="00E75BC6">
        <w:rPr>
          <w:rFonts w:eastAsia="Times New Roman" w:cs="Times New Roman"/>
          <w:sz w:val="20"/>
          <w:szCs w:val="20"/>
          <w:lang w:val="fr-CA" w:eastAsia="en-CA"/>
        </w:rPr>
        <w:t xml:space="preserve">, l’intervenant paiera aux appelants et à l’intimé tous débours supplémentaires résultant de son intervention. </w:t>
      </w:r>
    </w:p>
    <w:p w:rsidR="00C449F3" w:rsidRPr="00E75BC6" w:rsidRDefault="00C449F3" w:rsidP="00E75BC6">
      <w:pPr>
        <w:spacing w:line="233" w:lineRule="auto"/>
        <w:jc w:val="both"/>
        <w:rPr>
          <w:rFonts w:eastAsia="Times New Roman" w:cs="Times New Roman"/>
          <w:sz w:val="20"/>
          <w:szCs w:val="20"/>
          <w:lang w:val="fr-CA" w:eastAsia="en-CA"/>
        </w:rPr>
      </w:pPr>
    </w:p>
    <w:p w:rsidR="00E75BC6" w:rsidRPr="00E75BC6" w:rsidRDefault="00547297" w:rsidP="00E75BC6">
      <w:pPr>
        <w:tabs>
          <w:tab w:val="left" w:pos="-1440"/>
          <w:tab w:val="left" w:pos="-720"/>
        </w:tabs>
        <w:jc w:val="both"/>
        <w:rPr>
          <w:rFonts w:eastAsia="Times New Roman" w:cs="Times New Roman"/>
          <w:sz w:val="20"/>
          <w:szCs w:val="20"/>
          <w:lang w:val="fr-CA" w:eastAsia="en-CA"/>
        </w:rPr>
      </w:pPr>
      <w:r w:rsidRPr="00547297">
        <w:rPr>
          <w:rFonts w:eastAsia="Times New Roman" w:cs="Times New Roman"/>
          <w:sz w:val="20"/>
          <w:szCs w:val="20"/>
          <w:lang w:val="fr-CA" w:eastAsia="en-CA"/>
        </w:rPr>
        <w:pict>
          <v:rect id="_x0000_i1063" style="width:2in;height:1pt" o:hrpct="0" o:hralign="center" o:hrstd="t" o:hrnoshade="t" o:hr="t" fillcolor="black [3213]" stroked="f"/>
        </w:pict>
      </w:r>
    </w:p>
    <w:p w:rsidR="00C449F3" w:rsidRDefault="00C449F3" w:rsidP="00E75BC6">
      <w:pPr>
        <w:jc w:val="both"/>
        <w:rPr>
          <w:rFonts w:eastAsia="Times New Roman" w:cs="Times New Roman"/>
          <w:sz w:val="20"/>
          <w:szCs w:val="20"/>
          <w:lang w:val="fr-CA" w:eastAsia="en-CA"/>
        </w:rPr>
      </w:pPr>
    </w:p>
    <w:p w:rsidR="00E75BC6" w:rsidRPr="00E75BC6" w:rsidRDefault="00E75BC6" w:rsidP="00E75BC6">
      <w:pPr>
        <w:jc w:val="both"/>
        <w:rPr>
          <w:rFonts w:eastAsia="Times New Roman" w:cs="Times New Roman"/>
          <w:sz w:val="20"/>
          <w:szCs w:val="20"/>
          <w:lang w:val="fr-CA" w:eastAsia="en-CA"/>
        </w:rPr>
      </w:pPr>
      <w:r w:rsidRPr="00E75BC6">
        <w:rPr>
          <w:rFonts w:eastAsia="Times New Roman" w:cs="Times New Roman"/>
          <w:sz w:val="20"/>
          <w:szCs w:val="20"/>
          <w:lang w:val="fr-CA" w:eastAsia="en-CA"/>
        </w:rPr>
        <w:t>15.06.2011</w:t>
      </w:r>
    </w:p>
    <w:p w:rsidR="00E75BC6" w:rsidRPr="00E75BC6" w:rsidRDefault="00E75BC6" w:rsidP="00E75BC6">
      <w:pPr>
        <w:tabs>
          <w:tab w:val="left" w:pos="-1440"/>
          <w:tab w:val="left" w:pos="-720"/>
        </w:tabs>
        <w:jc w:val="both"/>
        <w:rPr>
          <w:rFonts w:eastAsia="Times New Roman" w:cs="Times New Roman"/>
          <w:sz w:val="20"/>
          <w:szCs w:val="20"/>
          <w:lang w:val="fr-CA" w:eastAsia="en-CA"/>
        </w:rPr>
      </w:pPr>
    </w:p>
    <w:p w:rsidR="00E75BC6" w:rsidRPr="00E75BC6" w:rsidRDefault="00E75BC6" w:rsidP="00E75BC6">
      <w:pPr>
        <w:tabs>
          <w:tab w:val="left" w:pos="-1440"/>
          <w:tab w:val="left" w:pos="-720"/>
        </w:tabs>
        <w:jc w:val="both"/>
        <w:rPr>
          <w:rFonts w:eastAsia="Times New Roman" w:cs="Times New Roman"/>
          <w:sz w:val="20"/>
          <w:szCs w:val="20"/>
          <w:lang w:eastAsia="en-CA"/>
        </w:rPr>
      </w:pPr>
      <w:r w:rsidRPr="00E75BC6">
        <w:rPr>
          <w:rFonts w:eastAsia="Times New Roman" w:cs="Times New Roman"/>
          <w:sz w:val="20"/>
          <w:szCs w:val="20"/>
          <w:lang w:eastAsia="en-CA"/>
        </w:rPr>
        <w:t xml:space="preserve">Before / </w:t>
      </w:r>
      <w:proofErr w:type="spellStart"/>
      <w:proofErr w:type="gramStart"/>
      <w:r w:rsidRPr="00E75BC6">
        <w:rPr>
          <w:rFonts w:eastAsia="Times New Roman" w:cs="Times New Roman"/>
          <w:sz w:val="20"/>
          <w:szCs w:val="20"/>
          <w:lang w:eastAsia="en-CA"/>
        </w:rPr>
        <w:t>Devant</w:t>
      </w:r>
      <w:proofErr w:type="spellEnd"/>
      <w:r w:rsidRPr="00E75BC6">
        <w:rPr>
          <w:rFonts w:eastAsia="Times New Roman" w:cs="Times New Roman"/>
          <w:sz w:val="20"/>
          <w:szCs w:val="20"/>
          <w:lang w:eastAsia="en-CA"/>
        </w:rPr>
        <w:t xml:space="preserve"> :</w:t>
      </w:r>
      <w:proofErr w:type="gramEnd"/>
      <w:r w:rsidRPr="00E75BC6">
        <w:rPr>
          <w:rFonts w:eastAsia="Times New Roman" w:cs="Times New Roman"/>
          <w:sz w:val="20"/>
          <w:szCs w:val="20"/>
          <w:lang w:eastAsia="en-CA"/>
        </w:rPr>
        <w:t xml:space="preserve">   THE REGISTRAR / LE REGISTRAIRE</w:t>
      </w:r>
    </w:p>
    <w:p w:rsidR="00E75BC6" w:rsidRPr="00E75BC6" w:rsidRDefault="00E75BC6" w:rsidP="00E75BC6">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75BC6" w:rsidRPr="002D1834" w:rsidTr="007F2048">
        <w:tc>
          <w:tcPr>
            <w:tcW w:w="4338" w:type="dxa"/>
          </w:tcPr>
          <w:p w:rsidR="00E75BC6" w:rsidRPr="00E75BC6" w:rsidRDefault="00547297" w:rsidP="00E75BC6">
            <w:pPr>
              <w:tabs>
                <w:tab w:val="left" w:pos="-1440"/>
                <w:tab w:val="left" w:pos="-720"/>
              </w:tabs>
              <w:jc w:val="both"/>
              <w:rPr>
                <w:b/>
              </w:rPr>
            </w:pPr>
            <w:r w:rsidRPr="00E75BC6">
              <w:rPr>
                <w:lang w:val="en-US"/>
              </w:rPr>
              <w:fldChar w:fldCharType="begin"/>
            </w:r>
            <w:r w:rsidR="00E75BC6" w:rsidRPr="00E75BC6">
              <w:rPr>
                <w:lang w:val="en-US"/>
              </w:rPr>
              <w:instrText xml:space="preserve"> SEQ CHAPTER \h \r 1</w:instrText>
            </w:r>
            <w:r w:rsidRPr="00E75BC6">
              <w:rPr>
                <w:lang w:val="en-US"/>
              </w:rPr>
              <w:fldChar w:fldCharType="end"/>
            </w:r>
            <w:r w:rsidR="00E75BC6" w:rsidRPr="00E75BC6">
              <w:rPr>
                <w:b/>
                <w:bCs/>
                <w:lang w:val="en-US"/>
              </w:rPr>
              <w:t xml:space="preserve">Motion to file a supplementary factum </w:t>
            </w:r>
            <w:r w:rsidRPr="00E75BC6">
              <w:rPr>
                <w:lang w:val="en-US"/>
              </w:rPr>
              <w:fldChar w:fldCharType="begin"/>
            </w:r>
            <w:r w:rsidR="00E75BC6" w:rsidRPr="00E75BC6">
              <w:rPr>
                <w:lang w:val="en-US"/>
              </w:rPr>
              <w:instrText xml:space="preserve"> SEQ CHAPTER \h \r 1</w:instrText>
            </w:r>
            <w:r w:rsidRPr="00E75BC6">
              <w:rPr>
                <w:lang w:val="en-US"/>
              </w:rPr>
              <w:fldChar w:fldCharType="end"/>
            </w:r>
          </w:p>
        </w:tc>
        <w:tc>
          <w:tcPr>
            <w:tcW w:w="1170" w:type="dxa"/>
          </w:tcPr>
          <w:p w:rsidR="00E75BC6" w:rsidRPr="00E75BC6" w:rsidRDefault="00E75BC6" w:rsidP="00E75BC6">
            <w:pPr>
              <w:tabs>
                <w:tab w:val="left" w:pos="-1440"/>
                <w:tab w:val="left" w:pos="-720"/>
              </w:tabs>
              <w:jc w:val="both"/>
            </w:pPr>
          </w:p>
          <w:p w:rsidR="00E75BC6" w:rsidRPr="00E75BC6" w:rsidRDefault="00E75BC6" w:rsidP="00E75BC6">
            <w:pPr>
              <w:tabs>
                <w:tab w:val="left" w:pos="-1440"/>
                <w:tab w:val="left" w:pos="-720"/>
              </w:tabs>
              <w:jc w:val="both"/>
            </w:pPr>
          </w:p>
        </w:tc>
        <w:tc>
          <w:tcPr>
            <w:tcW w:w="4327" w:type="dxa"/>
          </w:tcPr>
          <w:p w:rsidR="00E75BC6" w:rsidRPr="00E75BC6" w:rsidRDefault="00547297" w:rsidP="00E75BC6">
            <w:pPr>
              <w:tabs>
                <w:tab w:val="left" w:pos="-1440"/>
                <w:tab w:val="left" w:pos="-720"/>
              </w:tabs>
              <w:jc w:val="both"/>
              <w:rPr>
                <w:b/>
                <w:lang w:val="fr-CA"/>
              </w:rPr>
            </w:pPr>
            <w:r w:rsidRPr="00E75BC6">
              <w:rPr>
                <w:lang w:val="en-US"/>
              </w:rPr>
              <w:fldChar w:fldCharType="begin"/>
            </w:r>
            <w:r w:rsidR="00E75BC6" w:rsidRPr="00E75BC6">
              <w:rPr>
                <w:lang w:val="fr-CA"/>
              </w:rPr>
              <w:instrText xml:space="preserve"> SEQ CHAPTER \h \r 1</w:instrText>
            </w:r>
            <w:r w:rsidRPr="00E75BC6">
              <w:rPr>
                <w:lang w:val="en-US"/>
              </w:rPr>
              <w:fldChar w:fldCharType="end"/>
            </w:r>
            <w:r w:rsidR="00E75BC6" w:rsidRPr="00E75BC6">
              <w:rPr>
                <w:b/>
                <w:bCs/>
                <w:lang w:val="fr-CA"/>
              </w:rPr>
              <w:t>Requête en vue de déposer un mémoire supplémentaire</w:t>
            </w:r>
          </w:p>
          <w:p w:rsidR="00E75BC6" w:rsidRPr="00E75BC6" w:rsidRDefault="00547297" w:rsidP="00E75BC6">
            <w:pPr>
              <w:tabs>
                <w:tab w:val="left" w:pos="-1440"/>
                <w:tab w:val="left" w:pos="-720"/>
              </w:tabs>
              <w:jc w:val="both"/>
              <w:rPr>
                <w:b/>
                <w:lang w:val="fr-CA"/>
              </w:rPr>
            </w:pPr>
            <w:r w:rsidRPr="00E75BC6">
              <w:rPr>
                <w:b/>
                <w:lang w:val="en-US"/>
              </w:rPr>
              <w:fldChar w:fldCharType="begin"/>
            </w:r>
            <w:r w:rsidR="00E75BC6" w:rsidRPr="00E75BC6">
              <w:rPr>
                <w:b/>
                <w:lang w:val="fr-CA"/>
              </w:rPr>
              <w:instrText xml:space="preserve"> SEQ CHAPTER \h \r 1</w:instrText>
            </w:r>
            <w:r w:rsidRPr="00E75BC6">
              <w:rPr>
                <w:b/>
                <w:lang w:val="en-US"/>
              </w:rPr>
              <w:fldChar w:fldCharType="end"/>
            </w:r>
            <w:r w:rsidRPr="00E75BC6">
              <w:rPr>
                <w:b/>
                <w:lang w:val="en-US"/>
              </w:rPr>
              <w:fldChar w:fldCharType="begin"/>
            </w:r>
            <w:r w:rsidR="00E75BC6" w:rsidRPr="00E75BC6">
              <w:rPr>
                <w:b/>
                <w:lang w:val="fr-CA"/>
              </w:rPr>
              <w:instrText xml:space="preserve"> SEQ CHAPTER \h \r 1</w:instrText>
            </w:r>
            <w:r w:rsidRPr="00E75BC6">
              <w:rPr>
                <w:b/>
                <w:lang w:val="en-US"/>
              </w:rPr>
              <w:fldChar w:fldCharType="end"/>
            </w:r>
          </w:p>
        </w:tc>
      </w:tr>
      <w:tr w:rsidR="00E75BC6" w:rsidRPr="00E75BC6" w:rsidTr="007F2048">
        <w:tc>
          <w:tcPr>
            <w:tcW w:w="4338" w:type="dxa"/>
          </w:tcPr>
          <w:p w:rsidR="00E75BC6" w:rsidRPr="00E75BC6" w:rsidRDefault="00E75BC6" w:rsidP="00E75BC6">
            <w:pPr>
              <w:tabs>
                <w:tab w:val="left" w:pos="-1440"/>
                <w:tab w:val="left" w:pos="-720"/>
              </w:tabs>
              <w:jc w:val="both"/>
              <w:rPr>
                <w:lang w:val="fr-CA"/>
              </w:rPr>
            </w:pPr>
            <w:r w:rsidRPr="00E75BC6">
              <w:rPr>
                <w:lang w:val="fr-CA"/>
              </w:rPr>
              <w:t>Sa Majesté la Reine</w:t>
            </w:r>
          </w:p>
          <w:p w:rsidR="00E75BC6" w:rsidRPr="00E75BC6" w:rsidRDefault="00E75BC6" w:rsidP="00E75BC6">
            <w:pPr>
              <w:tabs>
                <w:tab w:val="left" w:pos="-1440"/>
                <w:tab w:val="left" w:pos="-720"/>
              </w:tabs>
              <w:jc w:val="both"/>
              <w:rPr>
                <w:lang w:val="fr-CA"/>
              </w:rPr>
            </w:pPr>
          </w:p>
          <w:p w:rsidR="00E75BC6" w:rsidRPr="00E75BC6" w:rsidRDefault="00E75BC6" w:rsidP="00E75BC6">
            <w:pPr>
              <w:tabs>
                <w:tab w:val="left" w:pos="-1440"/>
                <w:tab w:val="left" w:pos="-720"/>
              </w:tabs>
              <w:jc w:val="both"/>
              <w:rPr>
                <w:lang w:val="fr-CA"/>
              </w:rPr>
            </w:pPr>
            <w:r w:rsidRPr="00E75BC6">
              <w:rPr>
                <w:lang w:val="fr-CA"/>
              </w:rPr>
              <w:tab/>
              <w:t>c. (34038)</w:t>
            </w:r>
          </w:p>
          <w:p w:rsidR="00E75BC6" w:rsidRPr="00E75BC6" w:rsidRDefault="00E75BC6" w:rsidP="00E75BC6">
            <w:pPr>
              <w:tabs>
                <w:tab w:val="left" w:pos="-1440"/>
                <w:tab w:val="left" w:pos="-720"/>
              </w:tabs>
              <w:jc w:val="both"/>
              <w:rPr>
                <w:lang w:val="fr-CA"/>
              </w:rPr>
            </w:pPr>
          </w:p>
          <w:p w:rsidR="00E75BC6" w:rsidRPr="00E75BC6" w:rsidRDefault="00E75BC6" w:rsidP="00E75BC6">
            <w:pPr>
              <w:tabs>
                <w:tab w:val="left" w:pos="-1440"/>
                <w:tab w:val="left" w:pos="-720"/>
              </w:tabs>
              <w:jc w:val="both"/>
              <w:rPr>
                <w:lang w:val="fr-CA"/>
              </w:rPr>
            </w:pPr>
            <w:r w:rsidRPr="00E75BC6">
              <w:rPr>
                <w:lang w:val="fr-CA"/>
              </w:rPr>
              <w:t>R.P. (</w:t>
            </w:r>
            <w:proofErr w:type="spellStart"/>
            <w:r w:rsidRPr="00E75BC6">
              <w:rPr>
                <w:lang w:val="fr-CA"/>
              </w:rPr>
              <w:t>Crim</w:t>
            </w:r>
            <w:proofErr w:type="spellEnd"/>
            <w:r w:rsidRPr="00E75BC6">
              <w:rPr>
                <w:lang w:val="fr-CA"/>
              </w:rPr>
              <w:t>.) (</w:t>
            </w:r>
            <w:proofErr w:type="spellStart"/>
            <w:r w:rsidRPr="00E75BC6">
              <w:rPr>
                <w:lang w:val="fr-CA"/>
              </w:rPr>
              <w:t>Qc</w:t>
            </w:r>
            <w:proofErr w:type="spellEnd"/>
            <w:r w:rsidRPr="00E75BC6">
              <w:rPr>
                <w:lang w:val="fr-CA"/>
              </w:rPr>
              <w:t>)</w:t>
            </w:r>
          </w:p>
        </w:tc>
        <w:tc>
          <w:tcPr>
            <w:tcW w:w="1170" w:type="dxa"/>
          </w:tcPr>
          <w:p w:rsidR="00E75BC6" w:rsidRPr="00E75BC6" w:rsidRDefault="00E75BC6" w:rsidP="00E75BC6">
            <w:pPr>
              <w:tabs>
                <w:tab w:val="left" w:pos="-1440"/>
                <w:tab w:val="left" w:pos="-720"/>
              </w:tabs>
              <w:jc w:val="both"/>
              <w:rPr>
                <w:lang w:val="fr-CA"/>
              </w:rPr>
            </w:pPr>
          </w:p>
        </w:tc>
        <w:tc>
          <w:tcPr>
            <w:tcW w:w="4327" w:type="dxa"/>
          </w:tcPr>
          <w:p w:rsidR="00E75BC6" w:rsidRPr="00E75BC6" w:rsidRDefault="00E75BC6" w:rsidP="00E75BC6">
            <w:pPr>
              <w:tabs>
                <w:tab w:val="left" w:pos="-1440"/>
                <w:tab w:val="left" w:pos="-720"/>
              </w:tabs>
              <w:jc w:val="both"/>
              <w:rPr>
                <w:lang w:val="fr-CA"/>
              </w:rPr>
            </w:pPr>
          </w:p>
        </w:tc>
      </w:tr>
    </w:tbl>
    <w:p w:rsidR="00E75BC6" w:rsidRPr="00E75BC6" w:rsidRDefault="00E75BC6" w:rsidP="00E75BC6">
      <w:pPr>
        <w:tabs>
          <w:tab w:val="left" w:pos="-1440"/>
          <w:tab w:val="left" w:pos="-720"/>
        </w:tabs>
        <w:jc w:val="both"/>
        <w:rPr>
          <w:rFonts w:eastAsia="Times New Roman" w:cs="Times New Roman"/>
          <w:sz w:val="20"/>
          <w:szCs w:val="20"/>
          <w:lang w:val="fr-CA" w:eastAsia="en-CA"/>
        </w:rPr>
      </w:pPr>
    </w:p>
    <w:p w:rsidR="00E75BC6" w:rsidRPr="00E75BC6" w:rsidRDefault="00E75BC6" w:rsidP="00E75BC6">
      <w:pPr>
        <w:tabs>
          <w:tab w:val="left" w:pos="-1440"/>
          <w:tab w:val="left" w:pos="-720"/>
        </w:tabs>
        <w:jc w:val="both"/>
        <w:rPr>
          <w:rFonts w:eastAsia="Times New Roman" w:cs="Times New Roman"/>
          <w:b/>
          <w:sz w:val="20"/>
          <w:szCs w:val="20"/>
          <w:lang w:val="fr-CA" w:eastAsia="en-CA"/>
        </w:rPr>
      </w:pPr>
      <w:r w:rsidRPr="00E75BC6">
        <w:rPr>
          <w:rFonts w:eastAsia="Times New Roman" w:cs="Times New Roman"/>
          <w:b/>
          <w:sz w:val="20"/>
          <w:szCs w:val="20"/>
          <w:lang w:val="fr-CA" w:eastAsia="en-CA"/>
        </w:rPr>
        <w:t>GRANTED / ACCORDÉE</w:t>
      </w:r>
    </w:p>
    <w:p w:rsidR="00E75BC6" w:rsidRPr="00E75BC6" w:rsidRDefault="00E75BC6" w:rsidP="00E75BC6">
      <w:pPr>
        <w:tabs>
          <w:tab w:val="left" w:pos="-1440"/>
          <w:tab w:val="left" w:pos="-720"/>
        </w:tabs>
        <w:jc w:val="both"/>
        <w:rPr>
          <w:rFonts w:eastAsia="Times New Roman" w:cs="Times New Roman"/>
          <w:sz w:val="20"/>
          <w:szCs w:val="20"/>
          <w:lang w:val="fr-CA" w:eastAsia="en-CA"/>
        </w:rPr>
      </w:pPr>
    </w:p>
    <w:p w:rsidR="00E75BC6" w:rsidRPr="00E75BC6" w:rsidRDefault="00547297" w:rsidP="00E75BC6">
      <w:pPr>
        <w:jc w:val="both"/>
        <w:rPr>
          <w:rFonts w:eastAsia="Times New Roman" w:cs="Times New Roman"/>
          <w:sz w:val="20"/>
          <w:szCs w:val="20"/>
          <w:lang w:val="fr-FR" w:eastAsia="en-CA"/>
        </w:rPr>
      </w:pPr>
      <w:r w:rsidRPr="00E75BC6">
        <w:rPr>
          <w:rFonts w:eastAsia="Times New Roman" w:cs="Times New Roman"/>
          <w:sz w:val="20"/>
          <w:szCs w:val="20"/>
          <w:lang w:eastAsia="en-CA"/>
        </w:rPr>
        <w:fldChar w:fldCharType="begin"/>
      </w:r>
      <w:r w:rsidR="00E75BC6" w:rsidRPr="00E75BC6">
        <w:rPr>
          <w:rFonts w:eastAsia="Times New Roman" w:cs="Times New Roman"/>
          <w:sz w:val="20"/>
          <w:szCs w:val="20"/>
          <w:lang w:val="fr-FR" w:eastAsia="en-CA"/>
        </w:rPr>
        <w:instrText xml:space="preserve"> SEQ CHAPTER \h \r 1</w:instrText>
      </w:r>
      <w:r w:rsidRPr="00E75BC6">
        <w:rPr>
          <w:rFonts w:eastAsia="Times New Roman" w:cs="Times New Roman"/>
          <w:sz w:val="20"/>
          <w:szCs w:val="20"/>
          <w:lang w:eastAsia="en-CA"/>
        </w:rPr>
        <w:fldChar w:fldCharType="end"/>
      </w:r>
      <w:r w:rsidR="00E75BC6" w:rsidRPr="00E75BC6">
        <w:rPr>
          <w:rFonts w:eastAsia="Times New Roman" w:cs="Times New Roman"/>
          <w:b/>
          <w:bCs/>
          <w:sz w:val="20"/>
          <w:szCs w:val="20"/>
          <w:lang w:val="fr-FR" w:eastAsia="en-CA"/>
        </w:rPr>
        <w:t xml:space="preserve">À LA SUITE D’UNE REQUÊTE </w:t>
      </w:r>
      <w:r w:rsidR="00E75BC6" w:rsidRPr="00E75BC6">
        <w:rPr>
          <w:rFonts w:eastAsia="Times New Roman" w:cs="Times New Roman"/>
          <w:sz w:val="20"/>
          <w:szCs w:val="20"/>
          <w:lang w:val="fr-FR" w:eastAsia="en-CA"/>
        </w:rPr>
        <w:t>de l’appelante en vue de déposer un mémoire supplémentaire de 13 pages;</w:t>
      </w:r>
    </w:p>
    <w:p w:rsidR="00E75BC6" w:rsidRPr="00E75BC6" w:rsidRDefault="00E75BC6" w:rsidP="00E75BC6">
      <w:pPr>
        <w:rPr>
          <w:rFonts w:eastAsia="Times New Roman" w:cs="Times New Roman"/>
          <w:sz w:val="20"/>
          <w:szCs w:val="20"/>
          <w:lang w:val="fr-FR" w:eastAsia="en-CA"/>
        </w:rPr>
      </w:pPr>
    </w:p>
    <w:p w:rsidR="00E75BC6" w:rsidRPr="00E75BC6" w:rsidRDefault="00E75BC6" w:rsidP="00E75BC6">
      <w:pPr>
        <w:jc w:val="both"/>
        <w:rPr>
          <w:rFonts w:eastAsia="Times New Roman" w:cs="Times New Roman"/>
          <w:sz w:val="20"/>
          <w:szCs w:val="20"/>
          <w:lang w:val="fr-FR" w:eastAsia="en-CA"/>
        </w:rPr>
      </w:pPr>
      <w:r w:rsidRPr="00E75BC6">
        <w:rPr>
          <w:rFonts w:eastAsia="Times New Roman" w:cs="Times New Roman"/>
          <w:b/>
          <w:bCs/>
          <w:sz w:val="20"/>
          <w:szCs w:val="20"/>
          <w:lang w:val="fr-FR" w:eastAsia="en-CA"/>
        </w:rPr>
        <w:t xml:space="preserve">APRÈS EXAMEN </w:t>
      </w:r>
      <w:r w:rsidRPr="00E75BC6">
        <w:rPr>
          <w:rFonts w:eastAsia="Times New Roman" w:cs="Times New Roman"/>
          <w:sz w:val="20"/>
          <w:szCs w:val="20"/>
          <w:lang w:val="fr-FR" w:eastAsia="en-CA"/>
        </w:rPr>
        <w:t>des documents déposés;</w:t>
      </w:r>
    </w:p>
    <w:p w:rsidR="00E75BC6" w:rsidRPr="00E75BC6" w:rsidRDefault="00E75BC6" w:rsidP="00E75BC6">
      <w:pPr>
        <w:rPr>
          <w:rFonts w:eastAsia="Times New Roman" w:cs="Times New Roman"/>
          <w:sz w:val="20"/>
          <w:szCs w:val="20"/>
          <w:lang w:val="fr-FR" w:eastAsia="en-CA"/>
        </w:rPr>
      </w:pPr>
    </w:p>
    <w:p w:rsidR="00E75BC6" w:rsidRPr="00E75BC6" w:rsidRDefault="00E75BC6" w:rsidP="00E75BC6">
      <w:pPr>
        <w:rPr>
          <w:rFonts w:eastAsia="Times New Roman" w:cs="Times New Roman"/>
          <w:b/>
          <w:bCs/>
          <w:sz w:val="20"/>
          <w:szCs w:val="20"/>
          <w:lang w:val="fr-FR" w:eastAsia="en-CA"/>
        </w:rPr>
      </w:pPr>
      <w:r w:rsidRPr="00E75BC6">
        <w:rPr>
          <w:rFonts w:eastAsia="Times New Roman" w:cs="Times New Roman"/>
          <w:b/>
          <w:bCs/>
          <w:sz w:val="20"/>
          <w:szCs w:val="20"/>
          <w:lang w:val="fr-FR" w:eastAsia="en-CA"/>
        </w:rPr>
        <w:t>IL EST ORDONNÉ CE QUI SUIT :</w:t>
      </w:r>
    </w:p>
    <w:p w:rsidR="00E75BC6" w:rsidRPr="00E75BC6" w:rsidRDefault="00E75BC6" w:rsidP="00E75BC6">
      <w:pPr>
        <w:rPr>
          <w:rFonts w:eastAsia="Times New Roman" w:cs="Times New Roman"/>
          <w:sz w:val="20"/>
          <w:szCs w:val="20"/>
          <w:lang w:val="fr-FR" w:eastAsia="en-CA"/>
        </w:rPr>
      </w:pPr>
    </w:p>
    <w:p w:rsidR="00E75BC6" w:rsidRPr="00E75BC6" w:rsidRDefault="00E75BC6" w:rsidP="00E75BC6">
      <w:pPr>
        <w:jc w:val="both"/>
        <w:rPr>
          <w:rFonts w:eastAsia="Times New Roman" w:cs="Times New Roman"/>
          <w:sz w:val="20"/>
          <w:szCs w:val="20"/>
          <w:lang w:val="fr-FR" w:eastAsia="en-CA"/>
        </w:rPr>
      </w:pPr>
      <w:r w:rsidRPr="00E75BC6">
        <w:rPr>
          <w:rFonts w:eastAsia="Times New Roman" w:cs="Times New Roman"/>
          <w:sz w:val="20"/>
          <w:szCs w:val="20"/>
          <w:lang w:val="fr-FR" w:eastAsia="en-CA"/>
        </w:rPr>
        <w:t xml:space="preserve">La requête est accordée. L’appelante et l’intimé sont autorisés à déposer chacun un mémoire supplémentaire de 13 pages traitant de la quatrième question en litige seulement. </w:t>
      </w:r>
    </w:p>
    <w:p w:rsidR="00E75BC6" w:rsidRPr="00E75BC6" w:rsidRDefault="00E75BC6" w:rsidP="00E75BC6">
      <w:pPr>
        <w:tabs>
          <w:tab w:val="left" w:pos="-1440"/>
          <w:tab w:val="left" w:pos="-720"/>
        </w:tabs>
        <w:jc w:val="both"/>
        <w:rPr>
          <w:rFonts w:eastAsia="Times New Roman" w:cs="Times New Roman"/>
          <w:sz w:val="20"/>
          <w:szCs w:val="20"/>
          <w:lang w:val="fr-FR" w:eastAsia="en-CA"/>
        </w:rPr>
      </w:pPr>
    </w:p>
    <w:p w:rsidR="00E75BC6" w:rsidRPr="00E75BC6" w:rsidRDefault="00E75BC6" w:rsidP="00E75BC6">
      <w:pPr>
        <w:tabs>
          <w:tab w:val="left" w:pos="-1440"/>
          <w:tab w:val="left" w:pos="-720"/>
        </w:tabs>
        <w:jc w:val="both"/>
        <w:rPr>
          <w:rFonts w:eastAsia="Times New Roman" w:cs="Times New Roman"/>
          <w:sz w:val="20"/>
          <w:szCs w:val="20"/>
          <w:lang w:val="fr-FR" w:eastAsia="en-CA"/>
        </w:rPr>
      </w:pPr>
    </w:p>
    <w:p w:rsidR="00E75BC6" w:rsidRPr="00E75BC6" w:rsidRDefault="00E75BC6" w:rsidP="00E75BC6">
      <w:pPr>
        <w:tabs>
          <w:tab w:val="left" w:pos="-1440"/>
          <w:tab w:val="left" w:pos="-720"/>
        </w:tabs>
        <w:jc w:val="both"/>
        <w:rPr>
          <w:rFonts w:eastAsia="Times New Roman" w:cs="Times New Roman"/>
          <w:sz w:val="20"/>
          <w:szCs w:val="20"/>
          <w:lang w:val="fr-FR" w:eastAsia="en-CA"/>
        </w:rPr>
      </w:pPr>
    </w:p>
    <w:p w:rsidR="00E75BC6" w:rsidRPr="00E75BC6" w:rsidRDefault="00547297" w:rsidP="00E75BC6">
      <w:pPr>
        <w:jc w:val="both"/>
        <w:rPr>
          <w:rFonts w:eastAsia="Times New Roman" w:cs="Times New Roman"/>
          <w:sz w:val="20"/>
          <w:szCs w:val="20"/>
          <w:lang w:eastAsia="en-CA"/>
        </w:rPr>
      </w:pPr>
      <w:r w:rsidRPr="00E75BC6">
        <w:rPr>
          <w:rFonts w:eastAsia="Times New Roman" w:cs="Times New Roman"/>
          <w:sz w:val="20"/>
          <w:szCs w:val="20"/>
          <w:lang w:eastAsia="en-CA"/>
        </w:rPr>
        <w:fldChar w:fldCharType="begin"/>
      </w:r>
      <w:r w:rsidR="00E75BC6" w:rsidRPr="00E75BC6">
        <w:rPr>
          <w:rFonts w:eastAsia="Times New Roman" w:cs="Times New Roman"/>
          <w:sz w:val="20"/>
          <w:szCs w:val="20"/>
          <w:lang w:eastAsia="en-CA"/>
        </w:rPr>
        <w:instrText xml:space="preserve"> SEQ CHAPTER \h \r 1</w:instrText>
      </w:r>
      <w:r w:rsidRPr="00E75BC6">
        <w:rPr>
          <w:rFonts w:eastAsia="Times New Roman" w:cs="Times New Roman"/>
          <w:sz w:val="20"/>
          <w:szCs w:val="20"/>
          <w:lang w:eastAsia="en-CA"/>
        </w:rPr>
        <w:fldChar w:fldCharType="end"/>
      </w:r>
      <w:r w:rsidR="00E75BC6" w:rsidRPr="00E75BC6">
        <w:rPr>
          <w:rFonts w:eastAsia="Times New Roman" w:cs="Times New Roman"/>
          <w:b/>
          <w:bCs/>
          <w:sz w:val="20"/>
          <w:szCs w:val="20"/>
          <w:lang w:eastAsia="en-CA"/>
        </w:rPr>
        <w:t xml:space="preserve">UPON A MOTION </w:t>
      </w:r>
      <w:r w:rsidR="00E75BC6" w:rsidRPr="00E75BC6">
        <w:rPr>
          <w:rFonts w:eastAsia="Times New Roman" w:cs="Times New Roman"/>
          <w:sz w:val="20"/>
          <w:szCs w:val="20"/>
          <w:lang w:eastAsia="en-CA"/>
        </w:rPr>
        <w:t>by the appellant to file an additional factum of 13 pages;</w:t>
      </w:r>
    </w:p>
    <w:p w:rsidR="00E75BC6" w:rsidRPr="00E75BC6" w:rsidRDefault="00E75BC6" w:rsidP="00E75BC6">
      <w:pPr>
        <w:rPr>
          <w:rFonts w:eastAsia="Times New Roman" w:cs="Times New Roman"/>
          <w:sz w:val="20"/>
          <w:szCs w:val="20"/>
          <w:lang w:eastAsia="en-CA"/>
        </w:rPr>
      </w:pPr>
    </w:p>
    <w:p w:rsidR="00E75BC6" w:rsidRPr="00E75BC6" w:rsidRDefault="00E75BC6" w:rsidP="00E75BC6">
      <w:pPr>
        <w:jc w:val="both"/>
        <w:rPr>
          <w:rFonts w:eastAsia="Times New Roman" w:cs="Times New Roman"/>
          <w:sz w:val="20"/>
          <w:szCs w:val="20"/>
          <w:lang w:eastAsia="en-CA"/>
        </w:rPr>
      </w:pPr>
      <w:r w:rsidRPr="00E75BC6">
        <w:rPr>
          <w:rFonts w:eastAsia="Times New Roman" w:cs="Times New Roman"/>
          <w:b/>
          <w:bCs/>
          <w:sz w:val="20"/>
          <w:szCs w:val="20"/>
          <w:lang w:eastAsia="en-CA"/>
        </w:rPr>
        <w:t xml:space="preserve">AND THE MATERIAL FILED </w:t>
      </w:r>
      <w:r w:rsidRPr="00E75BC6">
        <w:rPr>
          <w:rFonts w:eastAsia="Times New Roman" w:cs="Times New Roman"/>
          <w:sz w:val="20"/>
          <w:szCs w:val="20"/>
          <w:lang w:eastAsia="en-CA"/>
        </w:rPr>
        <w:t>having been read;</w:t>
      </w:r>
    </w:p>
    <w:p w:rsidR="00E75BC6" w:rsidRPr="00E75BC6" w:rsidRDefault="00E75BC6" w:rsidP="00E75BC6">
      <w:pPr>
        <w:rPr>
          <w:rFonts w:eastAsia="Times New Roman" w:cs="Times New Roman"/>
          <w:sz w:val="20"/>
          <w:szCs w:val="20"/>
          <w:lang w:eastAsia="en-CA"/>
        </w:rPr>
      </w:pPr>
    </w:p>
    <w:p w:rsidR="00E75BC6" w:rsidRPr="00E75BC6" w:rsidRDefault="00E75BC6" w:rsidP="00E75BC6">
      <w:pPr>
        <w:rPr>
          <w:rFonts w:eastAsia="Times New Roman" w:cs="Times New Roman"/>
          <w:b/>
          <w:bCs/>
          <w:sz w:val="20"/>
          <w:szCs w:val="20"/>
          <w:lang w:eastAsia="en-CA"/>
        </w:rPr>
      </w:pPr>
      <w:r w:rsidRPr="00E75BC6">
        <w:rPr>
          <w:rFonts w:eastAsia="Times New Roman" w:cs="Times New Roman"/>
          <w:b/>
          <w:bCs/>
          <w:sz w:val="20"/>
          <w:szCs w:val="20"/>
          <w:lang w:eastAsia="en-CA"/>
        </w:rPr>
        <w:t>IT IS HEREBY ORDERED THAT:</w:t>
      </w:r>
    </w:p>
    <w:p w:rsidR="00E75BC6" w:rsidRPr="00E75BC6" w:rsidRDefault="00E75BC6" w:rsidP="00E75BC6">
      <w:pPr>
        <w:rPr>
          <w:rFonts w:eastAsia="Times New Roman" w:cs="Times New Roman"/>
          <w:sz w:val="20"/>
          <w:szCs w:val="20"/>
          <w:lang w:eastAsia="en-CA"/>
        </w:rPr>
      </w:pPr>
    </w:p>
    <w:p w:rsidR="00E75BC6" w:rsidRPr="00E75BC6" w:rsidRDefault="00E75BC6" w:rsidP="00E75BC6">
      <w:pPr>
        <w:jc w:val="both"/>
        <w:rPr>
          <w:rFonts w:eastAsia="Times New Roman" w:cs="Times New Roman"/>
          <w:sz w:val="20"/>
          <w:szCs w:val="20"/>
          <w:lang w:eastAsia="en-CA"/>
        </w:rPr>
      </w:pPr>
      <w:r w:rsidRPr="00E75BC6">
        <w:rPr>
          <w:rFonts w:eastAsia="Times New Roman" w:cs="Times New Roman"/>
          <w:sz w:val="20"/>
          <w:szCs w:val="20"/>
          <w:lang w:eastAsia="en-CA"/>
        </w:rPr>
        <w:t xml:space="preserve">The motion is granted. The appellant and the respondent may each file an additional factum of 13 pages on the fourth issue only. </w:t>
      </w:r>
    </w:p>
    <w:p w:rsidR="00E75BC6" w:rsidRPr="00E75BC6" w:rsidRDefault="00E75BC6" w:rsidP="00E75BC6">
      <w:pPr>
        <w:rPr>
          <w:rFonts w:eastAsia="Times New Roman" w:cs="Times New Roman"/>
          <w:sz w:val="20"/>
          <w:szCs w:val="20"/>
          <w:lang w:val="en-US" w:eastAsia="en-CA"/>
        </w:rPr>
      </w:pPr>
    </w:p>
    <w:p w:rsidR="00E75BC6" w:rsidRPr="00E75BC6" w:rsidRDefault="00547297" w:rsidP="00E75BC6">
      <w:pPr>
        <w:tabs>
          <w:tab w:val="left" w:pos="-1440"/>
          <w:tab w:val="left" w:pos="-720"/>
        </w:tabs>
        <w:jc w:val="both"/>
        <w:rPr>
          <w:rFonts w:eastAsia="Times New Roman" w:cs="Times New Roman"/>
          <w:sz w:val="20"/>
          <w:szCs w:val="20"/>
          <w:lang w:val="fr-CA" w:eastAsia="en-CA"/>
        </w:rPr>
      </w:pPr>
      <w:r w:rsidRPr="00547297">
        <w:rPr>
          <w:rFonts w:eastAsia="Times New Roman" w:cs="Times New Roman"/>
          <w:sz w:val="20"/>
          <w:szCs w:val="20"/>
          <w:lang w:val="fr-CA" w:eastAsia="en-CA"/>
        </w:rPr>
        <w:pict>
          <v:rect id="_x0000_i1064" style="width:2in;height:1pt" o:hrpct="0" o:hralign="center" o:hrstd="t" o:hrnoshade="t" o:hr="t" fillcolor="black [3213]" stroked="f"/>
        </w:pict>
      </w:r>
    </w:p>
    <w:p w:rsidR="00E75BC6" w:rsidRDefault="00E75BC6" w:rsidP="00E75BC6">
      <w:pPr>
        <w:tabs>
          <w:tab w:val="left" w:pos="-1440"/>
          <w:tab w:val="left" w:pos="-720"/>
        </w:tabs>
        <w:jc w:val="both"/>
        <w:rPr>
          <w:rFonts w:eastAsia="Times New Roman" w:cs="Times New Roman"/>
          <w:sz w:val="20"/>
          <w:szCs w:val="20"/>
          <w:lang w:val="fr-CA" w:eastAsia="en-CA"/>
        </w:rPr>
      </w:pPr>
    </w:p>
    <w:p w:rsidR="0005766D" w:rsidRDefault="0005766D">
      <w:pPr>
        <w:rPr>
          <w:rFonts w:eastAsia="Times New Roman" w:cs="Times New Roman"/>
          <w:sz w:val="20"/>
          <w:szCs w:val="20"/>
          <w:lang w:val="fr-CA" w:eastAsia="en-CA"/>
        </w:rPr>
      </w:pPr>
      <w:r>
        <w:rPr>
          <w:rFonts w:eastAsia="Times New Roman" w:cs="Times New Roman"/>
          <w:sz w:val="20"/>
          <w:szCs w:val="20"/>
          <w:lang w:val="fr-CA" w:eastAsia="en-CA"/>
        </w:rPr>
        <w:br w:type="page"/>
      </w:r>
    </w:p>
    <w:p w:rsidR="00E75BC6" w:rsidRPr="00E75BC6" w:rsidRDefault="00E75BC6" w:rsidP="00E75BC6">
      <w:pPr>
        <w:tabs>
          <w:tab w:val="left" w:pos="-1440"/>
          <w:tab w:val="left" w:pos="-720"/>
        </w:tabs>
        <w:jc w:val="both"/>
        <w:rPr>
          <w:rFonts w:eastAsia="Times New Roman" w:cs="Times New Roman"/>
          <w:sz w:val="20"/>
          <w:szCs w:val="20"/>
          <w:lang w:eastAsia="en-CA"/>
        </w:rPr>
      </w:pPr>
      <w:r w:rsidRPr="00E75BC6">
        <w:rPr>
          <w:rFonts w:eastAsia="Times New Roman" w:cs="Times New Roman"/>
          <w:sz w:val="20"/>
          <w:szCs w:val="20"/>
          <w:lang w:eastAsia="en-CA"/>
        </w:rPr>
        <w:lastRenderedPageBreak/>
        <w:t>16.06.2011</w:t>
      </w:r>
    </w:p>
    <w:p w:rsidR="00E75BC6" w:rsidRPr="00E75BC6" w:rsidRDefault="00E75BC6" w:rsidP="00E75BC6">
      <w:pPr>
        <w:tabs>
          <w:tab w:val="left" w:pos="-1440"/>
          <w:tab w:val="left" w:pos="-720"/>
        </w:tabs>
        <w:jc w:val="both"/>
        <w:rPr>
          <w:rFonts w:eastAsia="Times New Roman" w:cs="Times New Roman"/>
          <w:sz w:val="20"/>
          <w:szCs w:val="20"/>
          <w:lang w:eastAsia="en-CA"/>
        </w:rPr>
      </w:pPr>
    </w:p>
    <w:p w:rsidR="00E75BC6" w:rsidRPr="00E75BC6" w:rsidRDefault="00E75BC6" w:rsidP="00E75BC6">
      <w:pPr>
        <w:tabs>
          <w:tab w:val="left" w:pos="-1440"/>
          <w:tab w:val="left" w:pos="-720"/>
        </w:tabs>
        <w:jc w:val="both"/>
        <w:rPr>
          <w:rFonts w:eastAsia="Times New Roman" w:cs="Times New Roman"/>
          <w:sz w:val="20"/>
          <w:szCs w:val="20"/>
          <w:lang w:eastAsia="en-CA"/>
        </w:rPr>
      </w:pPr>
      <w:r w:rsidRPr="00E75BC6">
        <w:rPr>
          <w:rFonts w:eastAsia="Times New Roman" w:cs="Times New Roman"/>
          <w:sz w:val="20"/>
          <w:szCs w:val="20"/>
          <w:lang w:eastAsia="en-CA"/>
        </w:rPr>
        <w:t xml:space="preserve">Before / </w:t>
      </w:r>
      <w:proofErr w:type="spellStart"/>
      <w:proofErr w:type="gramStart"/>
      <w:r w:rsidRPr="00E75BC6">
        <w:rPr>
          <w:rFonts w:eastAsia="Times New Roman" w:cs="Times New Roman"/>
          <w:sz w:val="20"/>
          <w:szCs w:val="20"/>
          <w:lang w:eastAsia="en-CA"/>
        </w:rPr>
        <w:t>Devant</w:t>
      </w:r>
      <w:proofErr w:type="spellEnd"/>
      <w:r w:rsidRPr="00E75BC6">
        <w:rPr>
          <w:rFonts w:eastAsia="Times New Roman" w:cs="Times New Roman"/>
          <w:sz w:val="20"/>
          <w:szCs w:val="20"/>
          <w:lang w:eastAsia="en-CA"/>
        </w:rPr>
        <w:t xml:space="preserve"> :</w:t>
      </w:r>
      <w:proofErr w:type="gramEnd"/>
      <w:r w:rsidRPr="00E75BC6">
        <w:rPr>
          <w:rFonts w:eastAsia="Times New Roman" w:cs="Times New Roman"/>
          <w:sz w:val="20"/>
          <w:szCs w:val="20"/>
          <w:lang w:eastAsia="en-CA"/>
        </w:rPr>
        <w:t xml:space="preserve">   </w:t>
      </w:r>
      <w:r w:rsidRPr="00E75BC6">
        <w:rPr>
          <w:rFonts w:eastAsia="Times New Roman" w:cs="Times New Roman"/>
          <w:sz w:val="20"/>
          <w:szCs w:val="20"/>
          <w:lang w:val="fr-CA" w:eastAsia="en-CA"/>
        </w:rPr>
        <w:t>THE REGISTRAR / LE REGISTRAIRE</w:t>
      </w:r>
    </w:p>
    <w:p w:rsidR="00E75BC6" w:rsidRPr="00E75BC6" w:rsidRDefault="00E75BC6" w:rsidP="00E75BC6">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75BC6" w:rsidRPr="002D1834" w:rsidTr="007F2048">
        <w:tc>
          <w:tcPr>
            <w:tcW w:w="4338" w:type="dxa"/>
          </w:tcPr>
          <w:p w:rsidR="00E75BC6" w:rsidRPr="00E75BC6" w:rsidRDefault="00547297" w:rsidP="00E75BC6">
            <w:pPr>
              <w:tabs>
                <w:tab w:val="left" w:pos="-1440"/>
                <w:tab w:val="left" w:pos="-720"/>
              </w:tabs>
              <w:jc w:val="both"/>
            </w:pPr>
            <w:r w:rsidRPr="00E75BC6">
              <w:rPr>
                <w:lang w:val="en-US"/>
              </w:rPr>
              <w:fldChar w:fldCharType="begin"/>
            </w:r>
            <w:r w:rsidR="00E75BC6" w:rsidRPr="00E75BC6">
              <w:rPr>
                <w:lang w:val="en-US"/>
              </w:rPr>
              <w:instrText xml:space="preserve"> SEQ CHAPTER \h \r 1</w:instrText>
            </w:r>
            <w:r w:rsidRPr="00E75BC6">
              <w:rPr>
                <w:lang w:val="en-US"/>
              </w:rPr>
              <w:fldChar w:fldCharType="end"/>
            </w:r>
            <w:r w:rsidR="00E75BC6" w:rsidRPr="00E75BC6">
              <w:rPr>
                <w:b/>
                <w:bCs/>
                <w:lang w:val="en-US"/>
              </w:rPr>
              <w:t xml:space="preserve">Motion to extend the time to serve and file the respondents’ response </w:t>
            </w:r>
          </w:p>
        </w:tc>
        <w:tc>
          <w:tcPr>
            <w:tcW w:w="1170" w:type="dxa"/>
          </w:tcPr>
          <w:p w:rsidR="00E75BC6" w:rsidRPr="00E75BC6" w:rsidRDefault="00E75BC6" w:rsidP="00E75BC6">
            <w:pPr>
              <w:tabs>
                <w:tab w:val="left" w:pos="-1440"/>
                <w:tab w:val="left" w:pos="-720"/>
              </w:tabs>
              <w:jc w:val="both"/>
            </w:pPr>
          </w:p>
          <w:p w:rsidR="00E75BC6" w:rsidRPr="00E75BC6" w:rsidRDefault="00E75BC6" w:rsidP="00E75BC6">
            <w:pPr>
              <w:tabs>
                <w:tab w:val="left" w:pos="-1440"/>
                <w:tab w:val="left" w:pos="-720"/>
              </w:tabs>
              <w:jc w:val="both"/>
            </w:pPr>
          </w:p>
          <w:p w:rsidR="00E75BC6" w:rsidRPr="00E75BC6" w:rsidRDefault="00E75BC6" w:rsidP="00E75BC6">
            <w:pPr>
              <w:tabs>
                <w:tab w:val="left" w:pos="-1440"/>
                <w:tab w:val="left" w:pos="-720"/>
              </w:tabs>
              <w:jc w:val="both"/>
            </w:pPr>
          </w:p>
        </w:tc>
        <w:tc>
          <w:tcPr>
            <w:tcW w:w="4327" w:type="dxa"/>
          </w:tcPr>
          <w:p w:rsidR="00E75BC6" w:rsidRPr="00E75BC6" w:rsidRDefault="00547297" w:rsidP="00E75BC6">
            <w:pPr>
              <w:tabs>
                <w:tab w:val="left" w:pos="-1440"/>
                <w:tab w:val="left" w:pos="-720"/>
              </w:tabs>
              <w:jc w:val="both"/>
              <w:rPr>
                <w:lang w:val="fr-CA"/>
              </w:rPr>
            </w:pPr>
            <w:r w:rsidRPr="00E75BC6">
              <w:rPr>
                <w:lang w:val="en-US"/>
              </w:rPr>
              <w:fldChar w:fldCharType="begin"/>
            </w:r>
            <w:r w:rsidR="00E75BC6" w:rsidRPr="00E75BC6">
              <w:rPr>
                <w:lang w:val="fr-CA"/>
              </w:rPr>
              <w:instrText xml:space="preserve"> SEQ CHAPTER \h \r 1</w:instrText>
            </w:r>
            <w:r w:rsidRPr="00E75BC6">
              <w:rPr>
                <w:lang w:val="en-US"/>
              </w:rPr>
              <w:fldChar w:fldCharType="end"/>
            </w:r>
            <w:r w:rsidR="00E75BC6" w:rsidRPr="00E75BC6">
              <w:rPr>
                <w:b/>
                <w:bCs/>
                <w:lang w:val="fr-CA"/>
              </w:rPr>
              <w:t>Requête en prorogation du délai de signification et de dépôt de la réponse de l’intimée</w:t>
            </w:r>
          </w:p>
        </w:tc>
      </w:tr>
      <w:tr w:rsidR="00E75BC6" w:rsidRPr="00E75BC6" w:rsidTr="007F2048">
        <w:tc>
          <w:tcPr>
            <w:tcW w:w="4338" w:type="dxa"/>
          </w:tcPr>
          <w:p w:rsidR="00E75BC6" w:rsidRPr="00E75BC6" w:rsidRDefault="00E75BC6" w:rsidP="00E75BC6">
            <w:pPr>
              <w:tabs>
                <w:tab w:val="left" w:pos="-1440"/>
                <w:tab w:val="left" w:pos="-720"/>
              </w:tabs>
              <w:jc w:val="both"/>
            </w:pPr>
            <w:r w:rsidRPr="00E75BC6">
              <w:t>Troy Gilbert Davey</w:t>
            </w:r>
          </w:p>
          <w:p w:rsidR="00E75BC6" w:rsidRPr="00E75BC6" w:rsidRDefault="00E75BC6" w:rsidP="00E75BC6">
            <w:pPr>
              <w:tabs>
                <w:tab w:val="left" w:pos="-1440"/>
                <w:tab w:val="left" w:pos="-720"/>
              </w:tabs>
              <w:jc w:val="both"/>
            </w:pPr>
          </w:p>
          <w:p w:rsidR="00E75BC6" w:rsidRPr="00E75BC6" w:rsidRDefault="00E75BC6" w:rsidP="00E75BC6">
            <w:pPr>
              <w:tabs>
                <w:tab w:val="left" w:pos="-1440"/>
                <w:tab w:val="left" w:pos="-720"/>
              </w:tabs>
              <w:jc w:val="both"/>
            </w:pPr>
            <w:r w:rsidRPr="00E75BC6">
              <w:tab/>
              <w:t>v. (34179)</w:t>
            </w:r>
          </w:p>
          <w:p w:rsidR="00E75BC6" w:rsidRPr="00E75BC6" w:rsidRDefault="00E75BC6" w:rsidP="00E75BC6">
            <w:pPr>
              <w:tabs>
                <w:tab w:val="left" w:pos="-1440"/>
                <w:tab w:val="left" w:pos="-720"/>
              </w:tabs>
              <w:jc w:val="both"/>
            </w:pPr>
          </w:p>
          <w:p w:rsidR="00E75BC6" w:rsidRPr="00E75BC6" w:rsidRDefault="00E75BC6" w:rsidP="00E75BC6">
            <w:pPr>
              <w:tabs>
                <w:tab w:val="left" w:pos="-1440"/>
                <w:tab w:val="left" w:pos="-720"/>
              </w:tabs>
              <w:jc w:val="both"/>
            </w:pPr>
            <w:r w:rsidRPr="00E75BC6">
              <w:t>Her Majesty the Queen (Crim.) (Ont.)</w:t>
            </w:r>
          </w:p>
        </w:tc>
        <w:tc>
          <w:tcPr>
            <w:tcW w:w="1170" w:type="dxa"/>
          </w:tcPr>
          <w:p w:rsidR="00E75BC6" w:rsidRPr="00E75BC6" w:rsidRDefault="00E75BC6" w:rsidP="00E75BC6">
            <w:pPr>
              <w:tabs>
                <w:tab w:val="left" w:pos="-1440"/>
                <w:tab w:val="left" w:pos="-720"/>
              </w:tabs>
              <w:jc w:val="both"/>
            </w:pPr>
          </w:p>
        </w:tc>
        <w:tc>
          <w:tcPr>
            <w:tcW w:w="4327" w:type="dxa"/>
          </w:tcPr>
          <w:p w:rsidR="00E75BC6" w:rsidRPr="00E75BC6" w:rsidRDefault="00E75BC6" w:rsidP="00E75BC6">
            <w:pPr>
              <w:tabs>
                <w:tab w:val="left" w:pos="-1440"/>
                <w:tab w:val="left" w:pos="-720"/>
              </w:tabs>
              <w:jc w:val="both"/>
            </w:pPr>
          </w:p>
        </w:tc>
      </w:tr>
    </w:tbl>
    <w:p w:rsidR="00E75BC6" w:rsidRPr="00E75BC6" w:rsidRDefault="00E75BC6" w:rsidP="00E75BC6">
      <w:pPr>
        <w:tabs>
          <w:tab w:val="left" w:pos="-1440"/>
          <w:tab w:val="left" w:pos="-720"/>
        </w:tabs>
        <w:jc w:val="both"/>
        <w:rPr>
          <w:rFonts w:eastAsia="Times New Roman" w:cs="Times New Roman"/>
          <w:b/>
          <w:sz w:val="20"/>
          <w:szCs w:val="20"/>
          <w:lang w:eastAsia="en-CA"/>
        </w:rPr>
      </w:pPr>
    </w:p>
    <w:p w:rsidR="00E75BC6" w:rsidRPr="00E75BC6" w:rsidRDefault="00E75BC6" w:rsidP="00E75BC6">
      <w:pPr>
        <w:tabs>
          <w:tab w:val="left" w:pos="-1440"/>
          <w:tab w:val="left" w:pos="-720"/>
        </w:tabs>
        <w:jc w:val="both"/>
        <w:rPr>
          <w:rFonts w:eastAsia="Times New Roman" w:cs="Times New Roman"/>
          <w:sz w:val="20"/>
          <w:szCs w:val="20"/>
          <w:lang w:eastAsia="en-CA"/>
        </w:rPr>
      </w:pPr>
      <w:r w:rsidRPr="00E75BC6">
        <w:rPr>
          <w:rFonts w:eastAsia="Times New Roman" w:cs="Times New Roman"/>
          <w:b/>
          <w:sz w:val="20"/>
          <w:szCs w:val="20"/>
          <w:lang w:eastAsia="en-CA"/>
        </w:rPr>
        <w:t>GRANTED / ACCORDÉE</w:t>
      </w:r>
    </w:p>
    <w:p w:rsidR="00E75BC6" w:rsidRPr="00E75BC6" w:rsidRDefault="00E75BC6" w:rsidP="00E75BC6">
      <w:pPr>
        <w:tabs>
          <w:tab w:val="left" w:pos="-1440"/>
          <w:tab w:val="left" w:pos="-720"/>
        </w:tabs>
        <w:jc w:val="both"/>
        <w:rPr>
          <w:rFonts w:eastAsia="Times New Roman" w:cs="Times New Roman"/>
          <w:sz w:val="20"/>
          <w:szCs w:val="20"/>
          <w:lang w:eastAsia="en-CA"/>
        </w:rPr>
      </w:pPr>
    </w:p>
    <w:p w:rsidR="00E75BC6" w:rsidRPr="00E75BC6" w:rsidRDefault="00E75BC6" w:rsidP="00E75BC6">
      <w:pPr>
        <w:tabs>
          <w:tab w:val="left" w:pos="-1440"/>
          <w:tab w:val="left" w:pos="-720"/>
        </w:tabs>
        <w:spacing w:line="-19" w:lineRule="auto"/>
        <w:jc w:val="both"/>
        <w:rPr>
          <w:rFonts w:eastAsia="Times New Roman" w:cs="Times New Roman"/>
          <w:sz w:val="20"/>
          <w:szCs w:val="20"/>
          <w:lang w:eastAsia="en-CA"/>
        </w:rPr>
      </w:pPr>
    </w:p>
    <w:p w:rsidR="00E75BC6" w:rsidRPr="00E75BC6" w:rsidRDefault="00547297" w:rsidP="00E75BC6">
      <w:pPr>
        <w:tabs>
          <w:tab w:val="left" w:pos="-1440"/>
          <w:tab w:val="left" w:pos="-720"/>
        </w:tabs>
        <w:jc w:val="both"/>
        <w:rPr>
          <w:rFonts w:eastAsia="Times New Roman" w:cs="Times New Roman"/>
          <w:sz w:val="20"/>
          <w:szCs w:val="20"/>
          <w:lang w:eastAsia="en-CA"/>
        </w:rPr>
      </w:pPr>
      <w:r w:rsidRPr="00547297">
        <w:rPr>
          <w:rFonts w:eastAsia="Times New Roman" w:cs="Times New Roman"/>
          <w:sz w:val="20"/>
          <w:szCs w:val="20"/>
          <w:lang w:val="fr-CA" w:eastAsia="en-CA"/>
        </w:rPr>
        <w:pict>
          <v:rect id="_x0000_i1065" style="width:2in;height:1pt" o:hrpct="0" o:hralign="center" o:hrstd="t" o:hrnoshade="t" o:hr="t" fillcolor="black [3213]" stroked="f"/>
        </w:pict>
      </w:r>
    </w:p>
    <w:p w:rsidR="00E75BC6" w:rsidRPr="00E75BC6" w:rsidRDefault="00E75BC6" w:rsidP="00E75BC6">
      <w:pPr>
        <w:tabs>
          <w:tab w:val="left" w:pos="-1440"/>
          <w:tab w:val="left" w:pos="-720"/>
        </w:tabs>
        <w:jc w:val="both"/>
        <w:rPr>
          <w:rFonts w:eastAsia="Times New Roman" w:cs="Times New Roman"/>
          <w:sz w:val="20"/>
          <w:szCs w:val="20"/>
          <w:lang w:eastAsia="en-CA"/>
        </w:rPr>
      </w:pPr>
    </w:p>
    <w:p w:rsidR="00E75BC6" w:rsidRPr="00E75BC6" w:rsidRDefault="00E75BC6" w:rsidP="00E75BC6">
      <w:pPr>
        <w:tabs>
          <w:tab w:val="left" w:pos="-1440"/>
          <w:tab w:val="left" w:pos="-720"/>
        </w:tabs>
        <w:jc w:val="both"/>
        <w:rPr>
          <w:rFonts w:eastAsia="Times New Roman" w:cs="Times New Roman"/>
          <w:sz w:val="20"/>
          <w:szCs w:val="20"/>
          <w:lang w:val="fr-CA" w:eastAsia="en-CA"/>
        </w:rPr>
      </w:pPr>
      <w:r w:rsidRPr="00E75BC6">
        <w:rPr>
          <w:rFonts w:eastAsia="Times New Roman" w:cs="Times New Roman"/>
          <w:sz w:val="20"/>
          <w:szCs w:val="20"/>
          <w:lang w:val="fr-CA" w:eastAsia="en-CA"/>
        </w:rPr>
        <w:t>16.06.2011</w:t>
      </w:r>
    </w:p>
    <w:p w:rsidR="00E75BC6" w:rsidRPr="00E75BC6" w:rsidRDefault="00E75BC6" w:rsidP="00E75BC6">
      <w:pPr>
        <w:tabs>
          <w:tab w:val="left" w:pos="-1440"/>
          <w:tab w:val="left" w:pos="-720"/>
        </w:tabs>
        <w:jc w:val="both"/>
        <w:rPr>
          <w:rFonts w:eastAsia="Times New Roman" w:cs="Times New Roman"/>
          <w:sz w:val="20"/>
          <w:szCs w:val="20"/>
          <w:lang w:val="fr-CA" w:eastAsia="en-CA"/>
        </w:rPr>
      </w:pPr>
    </w:p>
    <w:p w:rsidR="00E75BC6" w:rsidRPr="00E75BC6" w:rsidRDefault="00E75BC6" w:rsidP="00E75BC6">
      <w:pPr>
        <w:tabs>
          <w:tab w:val="left" w:pos="-1440"/>
          <w:tab w:val="left" w:pos="-720"/>
        </w:tabs>
        <w:jc w:val="both"/>
        <w:rPr>
          <w:rFonts w:eastAsia="Times New Roman" w:cs="Times New Roman"/>
          <w:sz w:val="20"/>
          <w:szCs w:val="20"/>
          <w:lang w:val="fr-CA" w:eastAsia="en-CA"/>
        </w:rPr>
      </w:pPr>
      <w:proofErr w:type="spellStart"/>
      <w:r w:rsidRPr="00E75BC6">
        <w:rPr>
          <w:rFonts w:eastAsia="Times New Roman" w:cs="Times New Roman"/>
          <w:sz w:val="20"/>
          <w:szCs w:val="20"/>
          <w:lang w:val="fr-CA" w:eastAsia="en-CA"/>
        </w:rPr>
        <w:t>Before</w:t>
      </w:r>
      <w:proofErr w:type="spellEnd"/>
      <w:r w:rsidRPr="00E75BC6">
        <w:rPr>
          <w:rFonts w:eastAsia="Times New Roman" w:cs="Times New Roman"/>
          <w:sz w:val="20"/>
          <w:szCs w:val="20"/>
          <w:lang w:val="fr-CA" w:eastAsia="en-CA"/>
        </w:rPr>
        <w:t xml:space="preserve"> / Devant :   CHARRON J. / LA JUGE CHARRON</w:t>
      </w:r>
    </w:p>
    <w:p w:rsidR="00E75BC6" w:rsidRPr="00E75BC6" w:rsidRDefault="00E75BC6" w:rsidP="00E75BC6">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75BC6" w:rsidRPr="002D1834" w:rsidTr="007F2048">
        <w:tc>
          <w:tcPr>
            <w:tcW w:w="4338" w:type="dxa"/>
          </w:tcPr>
          <w:p w:rsidR="00E75BC6" w:rsidRPr="00E75BC6" w:rsidRDefault="00547297" w:rsidP="00E75BC6">
            <w:pPr>
              <w:tabs>
                <w:tab w:val="left" w:pos="-1440"/>
                <w:tab w:val="left" w:pos="-720"/>
              </w:tabs>
              <w:jc w:val="both"/>
              <w:rPr>
                <w:b/>
              </w:rPr>
            </w:pPr>
            <w:r w:rsidRPr="00E75BC6">
              <w:rPr>
                <w:lang w:val="en-US"/>
              </w:rPr>
              <w:fldChar w:fldCharType="begin"/>
            </w:r>
            <w:r w:rsidR="00E75BC6" w:rsidRPr="00E75BC6">
              <w:rPr>
                <w:lang w:val="en-US"/>
              </w:rPr>
              <w:instrText xml:space="preserve"> SEQ CHAPTER \h \r 1</w:instrText>
            </w:r>
            <w:r w:rsidRPr="00E75BC6">
              <w:rPr>
                <w:lang w:val="en-US"/>
              </w:rPr>
              <w:fldChar w:fldCharType="end"/>
            </w:r>
            <w:r w:rsidRPr="00E75BC6">
              <w:rPr>
                <w:lang w:val="en-US"/>
              </w:rPr>
              <w:fldChar w:fldCharType="begin"/>
            </w:r>
            <w:r w:rsidR="00E75BC6" w:rsidRPr="00E75BC6">
              <w:rPr>
                <w:lang w:val="en-US"/>
              </w:rPr>
              <w:instrText xml:space="preserve"> SEQ CHAPTER \h \r 1</w:instrText>
            </w:r>
            <w:r w:rsidRPr="00E75BC6">
              <w:rPr>
                <w:lang w:val="en-US"/>
              </w:rPr>
              <w:fldChar w:fldCharType="end"/>
            </w:r>
            <w:r w:rsidRPr="00E75BC6">
              <w:rPr>
                <w:lang w:val="en-US"/>
              </w:rPr>
              <w:fldChar w:fldCharType="begin"/>
            </w:r>
            <w:r w:rsidR="00E75BC6" w:rsidRPr="00E75BC6">
              <w:rPr>
                <w:lang w:val="en-US"/>
              </w:rPr>
              <w:instrText xml:space="preserve"> SEQ CHAPTER \h \r 1</w:instrText>
            </w:r>
            <w:r w:rsidRPr="00E75BC6">
              <w:rPr>
                <w:lang w:val="en-US"/>
              </w:rPr>
              <w:fldChar w:fldCharType="end"/>
            </w:r>
            <w:r w:rsidR="00E75BC6" w:rsidRPr="00E75BC6">
              <w:rPr>
                <w:b/>
                <w:bCs/>
                <w:lang w:val="en-US"/>
              </w:rPr>
              <w:t>Motion to extend the time to serve and file the notice of appeal</w:t>
            </w:r>
          </w:p>
        </w:tc>
        <w:tc>
          <w:tcPr>
            <w:tcW w:w="1170" w:type="dxa"/>
          </w:tcPr>
          <w:p w:rsidR="00E75BC6" w:rsidRPr="00E75BC6" w:rsidRDefault="00E75BC6" w:rsidP="00E75BC6">
            <w:pPr>
              <w:tabs>
                <w:tab w:val="left" w:pos="-1440"/>
                <w:tab w:val="left" w:pos="-720"/>
              </w:tabs>
              <w:jc w:val="both"/>
            </w:pPr>
          </w:p>
          <w:p w:rsidR="00E75BC6" w:rsidRPr="00E75BC6" w:rsidRDefault="00E75BC6" w:rsidP="00E75BC6">
            <w:pPr>
              <w:tabs>
                <w:tab w:val="left" w:pos="-1440"/>
                <w:tab w:val="left" w:pos="-720"/>
              </w:tabs>
              <w:jc w:val="both"/>
            </w:pPr>
          </w:p>
          <w:p w:rsidR="00E75BC6" w:rsidRPr="00E75BC6" w:rsidRDefault="00E75BC6" w:rsidP="00E75BC6">
            <w:pPr>
              <w:tabs>
                <w:tab w:val="left" w:pos="-1440"/>
                <w:tab w:val="left" w:pos="-720"/>
              </w:tabs>
              <w:jc w:val="both"/>
            </w:pPr>
          </w:p>
        </w:tc>
        <w:tc>
          <w:tcPr>
            <w:tcW w:w="4327" w:type="dxa"/>
          </w:tcPr>
          <w:p w:rsidR="00E75BC6" w:rsidRPr="00E75BC6" w:rsidRDefault="00547297" w:rsidP="00E75BC6">
            <w:pPr>
              <w:tabs>
                <w:tab w:val="left" w:pos="-1440"/>
                <w:tab w:val="left" w:pos="-720"/>
              </w:tabs>
              <w:jc w:val="both"/>
              <w:rPr>
                <w:lang w:val="fr-CA"/>
              </w:rPr>
            </w:pPr>
            <w:r w:rsidRPr="00E75BC6">
              <w:rPr>
                <w:lang w:val="en-US"/>
              </w:rPr>
              <w:fldChar w:fldCharType="begin"/>
            </w:r>
            <w:r w:rsidR="00E75BC6" w:rsidRPr="00E75BC6">
              <w:rPr>
                <w:lang w:val="fr-CA"/>
              </w:rPr>
              <w:instrText xml:space="preserve"> SEQ CHAPTER \h \r 1</w:instrText>
            </w:r>
            <w:r w:rsidRPr="00E75BC6">
              <w:rPr>
                <w:lang w:val="en-US"/>
              </w:rPr>
              <w:fldChar w:fldCharType="end"/>
            </w:r>
            <w:r w:rsidRPr="00E75BC6">
              <w:rPr>
                <w:lang w:val="en-US"/>
              </w:rPr>
              <w:fldChar w:fldCharType="begin"/>
            </w:r>
            <w:r w:rsidR="00E75BC6" w:rsidRPr="00E75BC6">
              <w:rPr>
                <w:lang w:val="fr-CA"/>
              </w:rPr>
              <w:instrText xml:space="preserve"> SEQ CHAPTER \h \r 1</w:instrText>
            </w:r>
            <w:r w:rsidRPr="00E75BC6">
              <w:rPr>
                <w:lang w:val="en-US"/>
              </w:rPr>
              <w:fldChar w:fldCharType="end"/>
            </w:r>
            <w:r w:rsidR="00E75BC6" w:rsidRPr="00E75BC6">
              <w:rPr>
                <w:b/>
                <w:bCs/>
                <w:lang w:val="fr-CA"/>
              </w:rPr>
              <w:t xml:space="preserve">Requête en prorogation du délai de signification et de dépôt l’avis d’appel </w:t>
            </w:r>
            <w:r w:rsidR="00E75BC6" w:rsidRPr="00E75BC6">
              <w:rPr>
                <w:lang w:val="fr-CA"/>
              </w:rPr>
              <w:t xml:space="preserve"> </w:t>
            </w:r>
            <w:r w:rsidRPr="00E75BC6">
              <w:rPr>
                <w:lang w:val="en-US"/>
              </w:rPr>
              <w:fldChar w:fldCharType="begin"/>
            </w:r>
            <w:r w:rsidR="00E75BC6" w:rsidRPr="00E75BC6">
              <w:rPr>
                <w:lang w:val="fr-CA"/>
              </w:rPr>
              <w:instrText xml:space="preserve"> SEQ CHAPTER \h \r 1</w:instrText>
            </w:r>
            <w:r w:rsidRPr="00E75BC6">
              <w:rPr>
                <w:lang w:val="en-US"/>
              </w:rPr>
              <w:fldChar w:fldCharType="end"/>
            </w:r>
            <w:r w:rsidRPr="00E75BC6">
              <w:rPr>
                <w:lang w:val="en-US"/>
              </w:rPr>
              <w:fldChar w:fldCharType="begin"/>
            </w:r>
            <w:r w:rsidR="00E75BC6" w:rsidRPr="00E75BC6">
              <w:rPr>
                <w:lang w:val="fr-CA"/>
              </w:rPr>
              <w:instrText xml:space="preserve"> SEQ CHAPTER \h \r 1</w:instrText>
            </w:r>
            <w:r w:rsidRPr="00E75BC6">
              <w:rPr>
                <w:lang w:val="en-US"/>
              </w:rPr>
              <w:fldChar w:fldCharType="end"/>
            </w:r>
          </w:p>
        </w:tc>
      </w:tr>
      <w:tr w:rsidR="00E75BC6" w:rsidRPr="00E75BC6" w:rsidTr="007F2048">
        <w:tc>
          <w:tcPr>
            <w:tcW w:w="4338" w:type="dxa"/>
          </w:tcPr>
          <w:p w:rsidR="00E75BC6" w:rsidRPr="00E75BC6" w:rsidRDefault="00E75BC6" w:rsidP="00E75BC6">
            <w:pPr>
              <w:tabs>
                <w:tab w:val="left" w:pos="-1440"/>
                <w:tab w:val="left" w:pos="-720"/>
              </w:tabs>
              <w:jc w:val="both"/>
            </w:pPr>
            <w:r w:rsidRPr="00E75BC6">
              <w:t>Her Majesty the Queen</w:t>
            </w:r>
          </w:p>
          <w:p w:rsidR="00E75BC6" w:rsidRPr="00E75BC6" w:rsidRDefault="00E75BC6" w:rsidP="00E75BC6">
            <w:pPr>
              <w:tabs>
                <w:tab w:val="left" w:pos="-1440"/>
                <w:tab w:val="left" w:pos="-720"/>
              </w:tabs>
              <w:jc w:val="both"/>
            </w:pPr>
          </w:p>
          <w:p w:rsidR="00E75BC6" w:rsidRPr="00E75BC6" w:rsidRDefault="00E75BC6" w:rsidP="00E75BC6">
            <w:pPr>
              <w:tabs>
                <w:tab w:val="left" w:pos="-1440"/>
                <w:tab w:val="left" w:pos="-720"/>
              </w:tabs>
              <w:jc w:val="both"/>
            </w:pPr>
            <w:r w:rsidRPr="00E75BC6">
              <w:tab/>
              <w:t>v. (34288)</w:t>
            </w:r>
          </w:p>
          <w:p w:rsidR="00E75BC6" w:rsidRPr="00E75BC6" w:rsidRDefault="00E75BC6" w:rsidP="00E75BC6">
            <w:pPr>
              <w:tabs>
                <w:tab w:val="left" w:pos="-1440"/>
                <w:tab w:val="left" w:pos="-720"/>
              </w:tabs>
              <w:jc w:val="both"/>
            </w:pPr>
          </w:p>
          <w:p w:rsidR="00E75BC6" w:rsidRPr="00E75BC6" w:rsidRDefault="00E75BC6" w:rsidP="00E75BC6">
            <w:pPr>
              <w:tabs>
                <w:tab w:val="left" w:pos="-1440"/>
                <w:tab w:val="left" w:pos="-720"/>
              </w:tabs>
              <w:jc w:val="both"/>
              <w:rPr>
                <w:lang w:val="en-US"/>
              </w:rPr>
            </w:pPr>
            <w:r w:rsidRPr="00E75BC6">
              <w:rPr>
                <w:lang w:val="en-US"/>
              </w:rPr>
              <w:t>T.L.M. (Crim.) (N.L.)</w:t>
            </w:r>
          </w:p>
        </w:tc>
        <w:tc>
          <w:tcPr>
            <w:tcW w:w="1170" w:type="dxa"/>
          </w:tcPr>
          <w:p w:rsidR="00E75BC6" w:rsidRPr="00E75BC6" w:rsidRDefault="00E75BC6" w:rsidP="00E75BC6">
            <w:pPr>
              <w:tabs>
                <w:tab w:val="left" w:pos="-1440"/>
                <w:tab w:val="left" w:pos="-720"/>
              </w:tabs>
              <w:jc w:val="both"/>
              <w:rPr>
                <w:lang w:val="en-US"/>
              </w:rPr>
            </w:pPr>
          </w:p>
        </w:tc>
        <w:tc>
          <w:tcPr>
            <w:tcW w:w="4327" w:type="dxa"/>
          </w:tcPr>
          <w:p w:rsidR="00E75BC6" w:rsidRPr="00E75BC6" w:rsidRDefault="00E75BC6" w:rsidP="00E75BC6">
            <w:pPr>
              <w:tabs>
                <w:tab w:val="left" w:pos="-1440"/>
                <w:tab w:val="left" w:pos="-720"/>
              </w:tabs>
              <w:jc w:val="both"/>
              <w:rPr>
                <w:lang w:val="en-US"/>
              </w:rPr>
            </w:pPr>
          </w:p>
        </w:tc>
      </w:tr>
    </w:tbl>
    <w:p w:rsidR="00E75BC6" w:rsidRPr="00E75BC6" w:rsidRDefault="00E75BC6" w:rsidP="00E75BC6">
      <w:pPr>
        <w:tabs>
          <w:tab w:val="left" w:pos="-1440"/>
          <w:tab w:val="left" w:pos="-720"/>
        </w:tabs>
        <w:jc w:val="both"/>
        <w:rPr>
          <w:rFonts w:eastAsia="Times New Roman" w:cs="Times New Roman"/>
          <w:b/>
          <w:sz w:val="20"/>
          <w:szCs w:val="20"/>
          <w:lang w:eastAsia="en-CA"/>
        </w:rPr>
      </w:pPr>
    </w:p>
    <w:p w:rsidR="00E75BC6" w:rsidRPr="00E75BC6" w:rsidRDefault="00E75BC6" w:rsidP="00E75BC6">
      <w:pPr>
        <w:tabs>
          <w:tab w:val="left" w:pos="-1440"/>
          <w:tab w:val="left" w:pos="-720"/>
        </w:tabs>
        <w:jc w:val="both"/>
        <w:rPr>
          <w:rFonts w:eastAsia="Times New Roman" w:cs="Times New Roman"/>
          <w:sz w:val="20"/>
          <w:szCs w:val="20"/>
          <w:lang w:eastAsia="en-CA"/>
        </w:rPr>
      </w:pPr>
      <w:r w:rsidRPr="00E75BC6">
        <w:rPr>
          <w:rFonts w:eastAsia="Times New Roman" w:cs="Times New Roman"/>
          <w:b/>
          <w:sz w:val="20"/>
          <w:szCs w:val="20"/>
          <w:lang w:eastAsia="en-CA"/>
        </w:rPr>
        <w:t>GRANTED / ACCORDÉE</w:t>
      </w:r>
    </w:p>
    <w:p w:rsidR="00E75BC6" w:rsidRPr="00E75BC6" w:rsidRDefault="00E75BC6" w:rsidP="00E75BC6">
      <w:pPr>
        <w:tabs>
          <w:tab w:val="left" w:pos="-1440"/>
          <w:tab w:val="left" w:pos="-720"/>
        </w:tabs>
        <w:jc w:val="both"/>
        <w:rPr>
          <w:rFonts w:eastAsia="Times New Roman" w:cs="Times New Roman"/>
          <w:sz w:val="20"/>
          <w:szCs w:val="20"/>
          <w:lang w:val="fr-CA" w:eastAsia="en-CA"/>
        </w:rPr>
      </w:pPr>
    </w:p>
    <w:p w:rsidR="00E75BC6" w:rsidRPr="00E75BC6" w:rsidRDefault="00547297" w:rsidP="00E75BC6">
      <w:pPr>
        <w:tabs>
          <w:tab w:val="left" w:pos="-1440"/>
          <w:tab w:val="left" w:pos="-720"/>
        </w:tabs>
        <w:jc w:val="both"/>
        <w:rPr>
          <w:rFonts w:eastAsia="Times New Roman" w:cs="Times New Roman"/>
          <w:sz w:val="20"/>
          <w:szCs w:val="20"/>
          <w:lang w:val="fr-CA" w:eastAsia="en-CA"/>
        </w:rPr>
      </w:pPr>
      <w:r w:rsidRPr="00547297">
        <w:rPr>
          <w:rFonts w:eastAsia="Times New Roman" w:cs="Times New Roman"/>
          <w:sz w:val="20"/>
          <w:szCs w:val="20"/>
          <w:lang w:val="fr-CA" w:eastAsia="en-CA"/>
        </w:rPr>
        <w:pict>
          <v:rect id="_x0000_i1066" style="width:2in;height:1pt" o:hrpct="0" o:hralign="center" o:hrstd="t" o:hrnoshade="t" o:hr="t" fillcolor="black [3213]" stroked="f"/>
        </w:pict>
      </w: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2D1834"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5756A5" w:rsidRDefault="009840BB" w:rsidP="003B3977">
            <w:pPr>
              <w:rPr>
                <w:sz w:val="20"/>
                <w:szCs w:val="20"/>
                <w:lang w:val="fr-CA"/>
              </w:rPr>
            </w:pPr>
            <w:r w:rsidRPr="005756A5">
              <w:rPr>
                <w:sz w:val="20"/>
                <w:szCs w:val="20"/>
                <w:lang w:val="fr-CA"/>
              </w:rPr>
              <w:t>1</w:t>
            </w:r>
            <w:r w:rsidR="00BB5793" w:rsidRPr="005756A5">
              <w:rPr>
                <w:sz w:val="20"/>
                <w:szCs w:val="20"/>
                <w:lang w:val="fr-CA"/>
              </w:rPr>
              <w:t>7</w:t>
            </w:r>
            <w:r w:rsidR="0010587F" w:rsidRPr="005756A5">
              <w:rPr>
                <w:sz w:val="20"/>
                <w:szCs w:val="20"/>
                <w:lang w:val="fr-CA"/>
              </w:rPr>
              <w:t>.0</w:t>
            </w:r>
            <w:r w:rsidR="00BB5793" w:rsidRPr="005756A5">
              <w:rPr>
                <w:sz w:val="20"/>
                <w:szCs w:val="20"/>
                <w:lang w:val="fr-CA"/>
              </w:rPr>
              <w:t>6</w:t>
            </w:r>
            <w:r w:rsidR="0010587F" w:rsidRPr="005756A5">
              <w:rPr>
                <w:sz w:val="20"/>
                <w:szCs w:val="20"/>
                <w:lang w:val="fr-CA"/>
              </w:rPr>
              <w:t>.201</w:t>
            </w:r>
            <w:r w:rsidR="00BB5793" w:rsidRPr="005756A5">
              <w:rPr>
                <w:sz w:val="20"/>
                <w:szCs w:val="20"/>
                <w:lang w:val="fr-CA"/>
              </w:rPr>
              <w:t>1</w:t>
            </w:r>
          </w:p>
          <w:p w:rsidR="0010587F" w:rsidRPr="005756A5" w:rsidRDefault="0010587F" w:rsidP="003B3977">
            <w:pPr>
              <w:rPr>
                <w:sz w:val="20"/>
                <w:szCs w:val="20"/>
                <w:lang w:val="fr-CA"/>
              </w:rPr>
            </w:pPr>
          </w:p>
          <w:p w:rsidR="00082042" w:rsidRPr="009840BB" w:rsidRDefault="009840BB" w:rsidP="00082042">
            <w:pPr>
              <w:rPr>
                <w:b/>
                <w:sz w:val="20"/>
                <w:szCs w:val="20"/>
                <w:lang w:val="fr-CA"/>
              </w:rPr>
            </w:pPr>
            <w:r w:rsidRPr="009840BB">
              <w:rPr>
                <w:b/>
                <w:sz w:val="20"/>
                <w:szCs w:val="20"/>
                <w:lang w:val="fr-CA"/>
              </w:rPr>
              <w:t>Momentous.ca Corporation et al.</w:t>
            </w:r>
          </w:p>
          <w:p w:rsidR="00082042" w:rsidRPr="009840BB" w:rsidRDefault="00082042" w:rsidP="00082042">
            <w:pPr>
              <w:rPr>
                <w:b/>
                <w:sz w:val="20"/>
                <w:szCs w:val="20"/>
                <w:lang w:val="fr-CA"/>
              </w:rPr>
            </w:pPr>
          </w:p>
          <w:p w:rsidR="00082042" w:rsidRPr="003B3977" w:rsidRDefault="00082042" w:rsidP="00082042">
            <w:pPr>
              <w:rPr>
                <w:b/>
                <w:sz w:val="20"/>
                <w:szCs w:val="20"/>
              </w:rPr>
            </w:pPr>
            <w:r w:rsidRPr="009840BB">
              <w:rPr>
                <w:b/>
                <w:sz w:val="20"/>
                <w:szCs w:val="20"/>
                <w:lang w:val="fr-CA"/>
              </w:rPr>
              <w:tab/>
            </w:r>
            <w:r w:rsidR="009840BB">
              <w:rPr>
                <w:b/>
                <w:sz w:val="20"/>
                <w:szCs w:val="20"/>
              </w:rPr>
              <w:t>v</w:t>
            </w:r>
            <w:r w:rsidRPr="003B3977">
              <w:rPr>
                <w:b/>
                <w:sz w:val="20"/>
                <w:szCs w:val="20"/>
              </w:rPr>
              <w:t>. (</w:t>
            </w:r>
            <w:r w:rsidR="009840BB">
              <w:rPr>
                <w:b/>
                <w:sz w:val="20"/>
                <w:szCs w:val="20"/>
              </w:rPr>
              <w:t>33999</w:t>
            </w:r>
            <w:r w:rsidRPr="003B3977">
              <w:rPr>
                <w:b/>
                <w:sz w:val="20"/>
                <w:szCs w:val="20"/>
              </w:rPr>
              <w:t>)</w:t>
            </w:r>
          </w:p>
          <w:p w:rsidR="00082042" w:rsidRPr="003B3977" w:rsidRDefault="00082042" w:rsidP="00082042">
            <w:pPr>
              <w:rPr>
                <w:b/>
                <w:sz w:val="20"/>
                <w:szCs w:val="20"/>
              </w:rPr>
            </w:pPr>
          </w:p>
          <w:p w:rsidR="00082042" w:rsidRPr="003B3977" w:rsidRDefault="009840BB" w:rsidP="00082042">
            <w:pPr>
              <w:rPr>
                <w:b/>
                <w:sz w:val="20"/>
                <w:szCs w:val="20"/>
              </w:rPr>
            </w:pPr>
            <w:r w:rsidRPr="009840BB">
              <w:rPr>
                <w:b/>
                <w:sz w:val="20"/>
                <w:szCs w:val="20"/>
              </w:rPr>
              <w:t>Canadian American Association of Professional Baseball Ltd.</w:t>
            </w:r>
            <w:r w:rsidR="00082042" w:rsidRPr="00BB5793">
              <w:rPr>
                <w:b/>
                <w:sz w:val="20"/>
                <w:szCs w:val="20"/>
              </w:rPr>
              <w:t xml:space="preserve"> </w:t>
            </w:r>
            <w:r>
              <w:rPr>
                <w:b/>
                <w:sz w:val="20"/>
                <w:szCs w:val="20"/>
              </w:rPr>
              <w:t>et al.</w:t>
            </w:r>
            <w:r w:rsidR="00CB628C">
              <w:rPr>
                <w:b/>
                <w:sz w:val="20"/>
                <w:szCs w:val="20"/>
              </w:rPr>
              <w:t xml:space="preserve"> </w:t>
            </w:r>
            <w:r w:rsidR="00082042" w:rsidRPr="003B3977">
              <w:rPr>
                <w:b/>
                <w:sz w:val="20"/>
                <w:szCs w:val="20"/>
              </w:rPr>
              <w:t>(</w:t>
            </w:r>
            <w:r>
              <w:rPr>
                <w:b/>
                <w:sz w:val="20"/>
                <w:szCs w:val="20"/>
              </w:rPr>
              <w:t>Ont.</w:t>
            </w:r>
            <w:r w:rsidR="00082042" w:rsidRPr="003B3977">
              <w:rPr>
                <w:b/>
                <w:sz w:val="20"/>
                <w:szCs w:val="20"/>
              </w:rPr>
              <w:t>)</w:t>
            </w:r>
          </w:p>
          <w:p w:rsidR="00082042" w:rsidRPr="003B3977" w:rsidRDefault="00082042" w:rsidP="00082042">
            <w:pPr>
              <w:rPr>
                <w:sz w:val="20"/>
                <w:szCs w:val="20"/>
              </w:rPr>
            </w:pPr>
          </w:p>
          <w:p w:rsidR="00082042" w:rsidRPr="003B3977" w:rsidRDefault="00082042" w:rsidP="00082042">
            <w:pPr>
              <w:rPr>
                <w:sz w:val="20"/>
                <w:szCs w:val="20"/>
              </w:rPr>
            </w:pPr>
            <w:r w:rsidRPr="003B3977">
              <w:rPr>
                <w:sz w:val="20"/>
                <w:szCs w:val="20"/>
              </w:rPr>
              <w:t>(</w:t>
            </w:r>
            <w:r w:rsidR="009840BB">
              <w:rPr>
                <w:sz w:val="20"/>
                <w:szCs w:val="20"/>
              </w:rPr>
              <w:t>By Leave</w:t>
            </w:r>
            <w:r w:rsidRPr="003B3977">
              <w:rPr>
                <w:sz w:val="20"/>
                <w:szCs w:val="20"/>
              </w:rPr>
              <w:t>)</w:t>
            </w:r>
          </w:p>
          <w:p w:rsidR="00082042" w:rsidRPr="003B3977" w:rsidRDefault="00082042" w:rsidP="003B3977">
            <w:pPr>
              <w:rPr>
                <w:sz w:val="20"/>
                <w:szCs w:val="20"/>
              </w:rPr>
            </w:pPr>
          </w:p>
          <w:p w:rsidR="0010587F" w:rsidRPr="009840BB" w:rsidRDefault="00547297" w:rsidP="003B3977">
            <w:pPr>
              <w:rPr>
                <w:sz w:val="20"/>
                <w:szCs w:val="20"/>
                <w:lang w:val="en-US"/>
              </w:rPr>
            </w:pPr>
            <w:r w:rsidRPr="00547297">
              <w:rPr>
                <w:sz w:val="20"/>
                <w:szCs w:val="20"/>
                <w:lang w:val="fr-CA"/>
              </w:rPr>
              <w:pict>
                <v:rect id="_x0000_i1069"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002471" w:rsidRPr="005756A5" w:rsidRDefault="009840BB" w:rsidP="00002471">
            <w:pPr>
              <w:rPr>
                <w:color w:val="000000" w:themeColor="text1"/>
                <w:sz w:val="20"/>
                <w:szCs w:val="20"/>
                <w:lang w:val="fr-CA"/>
              </w:rPr>
            </w:pPr>
            <w:r w:rsidRPr="005756A5">
              <w:rPr>
                <w:color w:val="000000" w:themeColor="text1"/>
                <w:sz w:val="20"/>
                <w:szCs w:val="20"/>
                <w:lang w:val="fr-CA"/>
              </w:rPr>
              <w:t>2</w:t>
            </w:r>
            <w:r w:rsidR="00002471" w:rsidRPr="005756A5">
              <w:rPr>
                <w:color w:val="000000" w:themeColor="text1"/>
                <w:sz w:val="20"/>
                <w:szCs w:val="20"/>
                <w:lang w:val="fr-CA"/>
              </w:rPr>
              <w:t>0.06.2011</w:t>
            </w:r>
          </w:p>
          <w:p w:rsidR="00002471" w:rsidRPr="005756A5" w:rsidRDefault="00002471" w:rsidP="00002471">
            <w:pPr>
              <w:rPr>
                <w:color w:val="000000" w:themeColor="text1"/>
                <w:sz w:val="20"/>
                <w:szCs w:val="20"/>
                <w:lang w:val="fr-CA"/>
              </w:rPr>
            </w:pPr>
          </w:p>
          <w:p w:rsidR="00002471" w:rsidRPr="005756A5" w:rsidRDefault="009840BB" w:rsidP="00002471">
            <w:pPr>
              <w:rPr>
                <w:b/>
                <w:color w:val="000000" w:themeColor="text1"/>
                <w:sz w:val="20"/>
                <w:szCs w:val="20"/>
                <w:lang w:val="fr-CA"/>
              </w:rPr>
            </w:pPr>
            <w:r w:rsidRPr="005756A5">
              <w:rPr>
                <w:b/>
                <w:color w:val="000000" w:themeColor="text1"/>
                <w:sz w:val="20"/>
                <w:szCs w:val="20"/>
                <w:lang w:val="fr-CA"/>
              </w:rPr>
              <w:t>Ville de Westmount</w:t>
            </w:r>
          </w:p>
          <w:p w:rsidR="009840BB" w:rsidRPr="005756A5" w:rsidRDefault="009840BB" w:rsidP="00002471">
            <w:pPr>
              <w:rPr>
                <w:b/>
                <w:color w:val="000000" w:themeColor="text1"/>
                <w:sz w:val="20"/>
                <w:szCs w:val="20"/>
                <w:lang w:val="fr-CA"/>
              </w:rPr>
            </w:pPr>
          </w:p>
          <w:p w:rsidR="00002471" w:rsidRPr="005756A5" w:rsidRDefault="00002471" w:rsidP="00002471">
            <w:pPr>
              <w:rPr>
                <w:b/>
                <w:color w:val="000000" w:themeColor="text1"/>
                <w:sz w:val="20"/>
                <w:szCs w:val="20"/>
                <w:lang w:val="fr-CA"/>
              </w:rPr>
            </w:pPr>
            <w:r w:rsidRPr="005756A5">
              <w:rPr>
                <w:b/>
                <w:color w:val="000000" w:themeColor="text1"/>
                <w:sz w:val="20"/>
                <w:szCs w:val="20"/>
                <w:lang w:val="fr-CA"/>
              </w:rPr>
              <w:tab/>
            </w:r>
            <w:r w:rsidR="009840BB" w:rsidRPr="005756A5">
              <w:rPr>
                <w:b/>
                <w:color w:val="000000" w:themeColor="text1"/>
                <w:sz w:val="20"/>
                <w:szCs w:val="20"/>
                <w:lang w:val="fr-CA"/>
              </w:rPr>
              <w:t>c</w:t>
            </w:r>
            <w:r w:rsidRPr="005756A5">
              <w:rPr>
                <w:b/>
                <w:color w:val="000000" w:themeColor="text1"/>
                <w:sz w:val="20"/>
                <w:szCs w:val="20"/>
                <w:lang w:val="fr-CA"/>
              </w:rPr>
              <w:t>. (</w:t>
            </w:r>
            <w:r w:rsidR="009840BB" w:rsidRPr="005756A5">
              <w:rPr>
                <w:b/>
                <w:color w:val="000000" w:themeColor="text1"/>
                <w:sz w:val="20"/>
                <w:szCs w:val="20"/>
                <w:lang w:val="fr-CA"/>
              </w:rPr>
              <w:t>34060</w:t>
            </w:r>
            <w:r w:rsidRPr="005756A5">
              <w:rPr>
                <w:b/>
                <w:color w:val="000000" w:themeColor="text1"/>
                <w:sz w:val="20"/>
                <w:szCs w:val="20"/>
                <w:lang w:val="fr-CA"/>
              </w:rPr>
              <w:t>)</w:t>
            </w:r>
          </w:p>
          <w:p w:rsidR="00002471" w:rsidRPr="005756A5" w:rsidRDefault="00002471" w:rsidP="00002471">
            <w:pPr>
              <w:rPr>
                <w:b/>
                <w:color w:val="000000" w:themeColor="text1"/>
                <w:sz w:val="20"/>
                <w:szCs w:val="20"/>
                <w:lang w:val="fr-CA"/>
              </w:rPr>
            </w:pPr>
          </w:p>
          <w:p w:rsidR="00002471" w:rsidRPr="00A64A9F" w:rsidRDefault="009840BB" w:rsidP="00002471">
            <w:pPr>
              <w:rPr>
                <w:b/>
                <w:color w:val="000000" w:themeColor="text1"/>
                <w:sz w:val="20"/>
                <w:szCs w:val="20"/>
                <w:lang w:val="fr-CA"/>
              </w:rPr>
            </w:pPr>
            <w:r w:rsidRPr="00A64A9F">
              <w:rPr>
                <w:b/>
                <w:color w:val="000000" w:themeColor="text1"/>
                <w:sz w:val="20"/>
                <w:szCs w:val="20"/>
                <w:lang w:val="fr-CA"/>
              </w:rPr>
              <w:t xml:space="preserve">Richard </w:t>
            </w:r>
            <w:proofErr w:type="spellStart"/>
            <w:r w:rsidRPr="00A64A9F">
              <w:rPr>
                <w:b/>
                <w:color w:val="000000" w:themeColor="text1"/>
                <w:sz w:val="20"/>
                <w:szCs w:val="20"/>
                <w:lang w:val="fr-CA"/>
              </w:rPr>
              <w:t>Rossy</w:t>
            </w:r>
            <w:proofErr w:type="spellEnd"/>
            <w:r w:rsidR="00002471" w:rsidRPr="00A64A9F">
              <w:rPr>
                <w:b/>
                <w:color w:val="000000" w:themeColor="text1"/>
                <w:sz w:val="20"/>
                <w:szCs w:val="20"/>
                <w:lang w:val="fr-CA"/>
              </w:rPr>
              <w:t xml:space="preserve"> </w:t>
            </w:r>
            <w:r w:rsidR="005F71E1" w:rsidRPr="00A64A9F">
              <w:rPr>
                <w:b/>
                <w:color w:val="000000" w:themeColor="text1"/>
                <w:sz w:val="20"/>
                <w:szCs w:val="20"/>
                <w:lang w:val="fr-CA"/>
              </w:rPr>
              <w:t xml:space="preserve">et autres </w:t>
            </w:r>
            <w:r w:rsidR="00002471" w:rsidRPr="00A64A9F">
              <w:rPr>
                <w:b/>
                <w:color w:val="000000" w:themeColor="text1"/>
                <w:sz w:val="20"/>
                <w:szCs w:val="20"/>
                <w:lang w:val="fr-CA"/>
              </w:rPr>
              <w:t>(</w:t>
            </w:r>
            <w:proofErr w:type="spellStart"/>
            <w:r w:rsidRPr="00A64A9F">
              <w:rPr>
                <w:b/>
                <w:color w:val="000000" w:themeColor="text1"/>
                <w:sz w:val="20"/>
                <w:szCs w:val="20"/>
                <w:lang w:val="fr-CA"/>
              </w:rPr>
              <w:t>Qc</w:t>
            </w:r>
            <w:proofErr w:type="spellEnd"/>
            <w:r w:rsidR="00002471" w:rsidRPr="00A64A9F">
              <w:rPr>
                <w:b/>
                <w:color w:val="000000" w:themeColor="text1"/>
                <w:sz w:val="20"/>
                <w:szCs w:val="20"/>
                <w:lang w:val="fr-CA"/>
              </w:rPr>
              <w:t>)</w:t>
            </w:r>
          </w:p>
          <w:p w:rsidR="00002471" w:rsidRPr="00A64A9F" w:rsidRDefault="00002471" w:rsidP="00002471">
            <w:pPr>
              <w:rPr>
                <w:color w:val="000000" w:themeColor="text1"/>
                <w:sz w:val="20"/>
                <w:szCs w:val="20"/>
                <w:lang w:val="fr-CA"/>
              </w:rPr>
            </w:pPr>
          </w:p>
          <w:p w:rsidR="00002471" w:rsidRPr="00A64A9F" w:rsidRDefault="00002471" w:rsidP="00002471">
            <w:pPr>
              <w:rPr>
                <w:color w:val="000000" w:themeColor="text1"/>
                <w:sz w:val="20"/>
                <w:szCs w:val="20"/>
                <w:lang w:val="fr-CA"/>
              </w:rPr>
            </w:pPr>
            <w:r w:rsidRPr="00A64A9F">
              <w:rPr>
                <w:color w:val="000000" w:themeColor="text1"/>
                <w:sz w:val="20"/>
                <w:szCs w:val="20"/>
                <w:lang w:val="fr-CA"/>
              </w:rPr>
              <w:t>(</w:t>
            </w:r>
            <w:r w:rsidR="009840BB" w:rsidRPr="00A64A9F">
              <w:rPr>
                <w:color w:val="000000" w:themeColor="text1"/>
                <w:sz w:val="20"/>
                <w:szCs w:val="20"/>
                <w:lang w:val="fr-CA"/>
              </w:rPr>
              <w:t>Autorisation</w:t>
            </w:r>
            <w:r w:rsidRPr="00A64A9F">
              <w:rPr>
                <w:color w:val="000000" w:themeColor="text1"/>
                <w:sz w:val="20"/>
                <w:szCs w:val="20"/>
                <w:lang w:val="fr-CA"/>
              </w:rPr>
              <w:t>)</w:t>
            </w:r>
          </w:p>
          <w:p w:rsidR="0010587F" w:rsidRPr="00A64A9F" w:rsidRDefault="0010587F" w:rsidP="003B3977">
            <w:pPr>
              <w:rPr>
                <w:color w:val="000000" w:themeColor="text1"/>
                <w:sz w:val="20"/>
                <w:szCs w:val="20"/>
                <w:lang w:val="fr-CA"/>
              </w:rPr>
            </w:pPr>
          </w:p>
          <w:p w:rsidR="0010587F" w:rsidRPr="00BB5793" w:rsidRDefault="00547297" w:rsidP="003B3977">
            <w:pPr>
              <w:rPr>
                <w:color w:val="FF0000"/>
                <w:sz w:val="20"/>
                <w:szCs w:val="20"/>
              </w:rPr>
            </w:pPr>
            <w:r w:rsidRPr="00547297">
              <w:rPr>
                <w:color w:val="000000" w:themeColor="text1"/>
                <w:sz w:val="20"/>
                <w:szCs w:val="20"/>
                <w:lang w:val="fr-CA"/>
              </w:rPr>
              <w:pict>
                <v:rect id="_x0000_i1070"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2D1834"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FE2DFB" w:rsidP="00AF1715">
      <w:pPr>
        <w:rPr>
          <w:b/>
          <w:sz w:val="20"/>
          <w:szCs w:val="20"/>
        </w:rPr>
      </w:pPr>
      <w:r>
        <w:rPr>
          <w:b/>
          <w:sz w:val="20"/>
          <w:szCs w:val="20"/>
        </w:rPr>
        <w:t>JUNE</w:t>
      </w:r>
      <w:r w:rsidR="00AF1715" w:rsidRPr="003B3977">
        <w:rPr>
          <w:b/>
          <w:sz w:val="20"/>
          <w:szCs w:val="20"/>
        </w:rPr>
        <w:t xml:space="preserve"> </w:t>
      </w:r>
      <w:r>
        <w:rPr>
          <w:b/>
          <w:sz w:val="20"/>
          <w:szCs w:val="20"/>
        </w:rPr>
        <w:t>23</w:t>
      </w:r>
      <w:r w:rsidR="00AF1715" w:rsidRPr="003B3977">
        <w:rPr>
          <w:b/>
          <w:sz w:val="20"/>
          <w:szCs w:val="20"/>
        </w:rPr>
        <w:t>, 201</w:t>
      </w:r>
      <w:r>
        <w:rPr>
          <w:b/>
          <w:sz w:val="20"/>
          <w:szCs w:val="20"/>
        </w:rPr>
        <w:t>1</w:t>
      </w:r>
      <w:r w:rsidR="00AF1715" w:rsidRPr="003B3977">
        <w:rPr>
          <w:b/>
          <w:sz w:val="20"/>
          <w:szCs w:val="20"/>
        </w:rPr>
        <w:t xml:space="preserve"> / LE </w:t>
      </w:r>
      <w:r>
        <w:rPr>
          <w:b/>
          <w:sz w:val="20"/>
          <w:szCs w:val="20"/>
        </w:rPr>
        <w:t>23</w:t>
      </w:r>
      <w:r w:rsidR="00AF1715" w:rsidRPr="003B3977">
        <w:rPr>
          <w:b/>
          <w:sz w:val="20"/>
          <w:szCs w:val="20"/>
        </w:rPr>
        <w:t xml:space="preserve"> </w:t>
      </w:r>
      <w:r>
        <w:rPr>
          <w:b/>
          <w:sz w:val="20"/>
          <w:szCs w:val="20"/>
        </w:rPr>
        <w:t>JUIN</w:t>
      </w:r>
      <w:r w:rsidR="00AF1715" w:rsidRPr="003B3977">
        <w:rPr>
          <w:b/>
          <w:sz w:val="20"/>
          <w:szCs w:val="20"/>
        </w:rPr>
        <w:t xml:space="preserve"> 201</w:t>
      </w:r>
      <w:r>
        <w:rPr>
          <w:b/>
          <w:sz w:val="20"/>
          <w:szCs w:val="20"/>
        </w:rPr>
        <w:t>1</w:t>
      </w:r>
    </w:p>
    <w:p w:rsidR="00AF1715" w:rsidRPr="003B3977" w:rsidRDefault="00AF1715" w:rsidP="00AF1715">
      <w:pPr>
        <w:rPr>
          <w:sz w:val="20"/>
          <w:szCs w:val="20"/>
        </w:rPr>
      </w:pPr>
    </w:p>
    <w:p w:rsidR="00FE2DFB" w:rsidRPr="00337546" w:rsidRDefault="00FE2DFB" w:rsidP="00FE2DFB">
      <w:pPr>
        <w:ind w:left="1440" w:hanging="1440"/>
        <w:jc w:val="both"/>
        <w:rPr>
          <w:sz w:val="20"/>
          <w:u w:val="single"/>
          <w:lang w:val="en-GB"/>
        </w:rPr>
      </w:pPr>
      <w:proofErr w:type="gramStart"/>
      <w:r w:rsidRPr="00337546">
        <w:rPr>
          <w:b/>
          <w:sz w:val="20"/>
        </w:rPr>
        <w:t>33916</w:t>
      </w:r>
      <w:r w:rsidRPr="00337546">
        <w:rPr>
          <w:b/>
          <w:sz w:val="20"/>
        </w:rPr>
        <w:tab/>
      </w:r>
      <w:r w:rsidRPr="00337546">
        <w:rPr>
          <w:b/>
          <w:iCs/>
          <w:sz w:val="20"/>
          <w:u w:val="single"/>
          <w:lang w:val="en-GB"/>
        </w:rPr>
        <w:t>Norman Martin Campbell v.</w:t>
      </w:r>
      <w:proofErr w:type="gramEnd"/>
      <w:r w:rsidRPr="00337546">
        <w:rPr>
          <w:b/>
          <w:iCs/>
          <w:sz w:val="20"/>
          <w:u w:val="single"/>
          <w:lang w:val="en-GB"/>
        </w:rPr>
        <w:t xml:space="preserve"> </w:t>
      </w:r>
      <w:proofErr w:type="gramStart"/>
      <w:r w:rsidRPr="00337546">
        <w:rPr>
          <w:b/>
          <w:iCs/>
          <w:sz w:val="20"/>
          <w:u w:val="single"/>
          <w:lang w:val="en-GB"/>
        </w:rPr>
        <w:t xml:space="preserve">Her Majesty the Queen – and – </w:t>
      </w:r>
      <w:r w:rsidRPr="00337546">
        <w:rPr>
          <w:b/>
          <w:sz w:val="20"/>
          <w:u w:val="single"/>
        </w:rPr>
        <w:t>Criminal Lawyers’ Association (Ontario)</w:t>
      </w:r>
      <w:r w:rsidRPr="00FE2DFB">
        <w:rPr>
          <w:b/>
          <w:sz w:val="20"/>
          <w:lang w:val="en-GB"/>
        </w:rPr>
        <w:t xml:space="preserve"> </w:t>
      </w:r>
      <w:r w:rsidRPr="00FE2DFB">
        <w:rPr>
          <w:sz w:val="20"/>
          <w:lang w:val="en-GB"/>
        </w:rPr>
        <w:t>(Ont.)</w:t>
      </w:r>
      <w:proofErr w:type="gramEnd"/>
      <w:r w:rsidRPr="00337546">
        <w:rPr>
          <w:sz w:val="20"/>
          <w:u w:val="single"/>
          <w:lang w:val="en-GB"/>
        </w:rPr>
        <w:t xml:space="preserve"> </w:t>
      </w:r>
    </w:p>
    <w:p w:rsidR="00FE2DFB" w:rsidRPr="00337546" w:rsidRDefault="00FE2DFB" w:rsidP="00FE2DFB">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b/>
          <w:sz w:val="20"/>
        </w:rPr>
      </w:pPr>
      <w:r w:rsidRPr="00337546">
        <w:rPr>
          <w:b/>
          <w:sz w:val="20"/>
        </w:rPr>
        <w:t>2011 SCC 32 / 2011 CSC 32</w:t>
      </w:r>
    </w:p>
    <w:p w:rsidR="00FE2DFB" w:rsidRPr="00337546" w:rsidRDefault="00FE2DFB" w:rsidP="00FE2DFB">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rPr>
      </w:pPr>
    </w:p>
    <w:p w:rsidR="00FE2DFB" w:rsidRPr="00337546" w:rsidRDefault="00FE2DFB" w:rsidP="00FE2DFB">
      <w:pPr>
        <w:tabs>
          <w:tab w:val="left" w:pos="0"/>
          <w:tab w:val="left" w:pos="720"/>
          <w:tab w:val="left" w:pos="1440"/>
          <w:tab w:val="left" w:pos="2880"/>
          <w:tab w:val="left" w:pos="3600"/>
          <w:tab w:val="left" w:pos="4320"/>
          <w:tab w:val="left" w:pos="5040"/>
          <w:tab w:val="left" w:pos="5760"/>
          <w:tab w:val="left" w:pos="6480"/>
          <w:tab w:val="left" w:pos="7200"/>
        </w:tabs>
        <w:ind w:left="720" w:hanging="720"/>
        <w:jc w:val="both"/>
        <w:rPr>
          <w:sz w:val="20"/>
        </w:rPr>
      </w:pPr>
      <w:r w:rsidRPr="00337546">
        <w:rPr>
          <w:sz w:val="20"/>
        </w:rPr>
        <w:t>Coram:</w:t>
      </w:r>
      <w:r>
        <w:rPr>
          <w:sz w:val="20"/>
        </w:rPr>
        <w:tab/>
      </w:r>
      <w:r>
        <w:rPr>
          <w:sz w:val="20"/>
        </w:rPr>
        <w:tab/>
      </w:r>
      <w:proofErr w:type="spellStart"/>
      <w:r w:rsidRPr="00337546">
        <w:rPr>
          <w:sz w:val="20"/>
          <w:u w:val="single"/>
        </w:rPr>
        <w:t>LeBel</w:t>
      </w:r>
      <w:proofErr w:type="spellEnd"/>
      <w:r w:rsidRPr="00337546">
        <w:rPr>
          <w:sz w:val="20"/>
          <w:u w:val="single"/>
        </w:rPr>
        <w:t xml:space="preserve">, </w:t>
      </w:r>
      <w:proofErr w:type="spellStart"/>
      <w:r w:rsidRPr="00337546">
        <w:rPr>
          <w:sz w:val="20"/>
          <w:u w:val="single"/>
        </w:rPr>
        <w:t>Deschamps</w:t>
      </w:r>
      <w:proofErr w:type="spellEnd"/>
      <w:r w:rsidRPr="00337546">
        <w:rPr>
          <w:sz w:val="20"/>
          <w:u w:val="single"/>
        </w:rPr>
        <w:t xml:space="preserve">, Fish, </w:t>
      </w:r>
      <w:proofErr w:type="spellStart"/>
      <w:r w:rsidRPr="00337546">
        <w:rPr>
          <w:sz w:val="20"/>
          <w:u w:val="single"/>
        </w:rPr>
        <w:t>Abella</w:t>
      </w:r>
      <w:proofErr w:type="spellEnd"/>
      <w:r w:rsidRPr="00337546">
        <w:rPr>
          <w:sz w:val="20"/>
          <w:u w:val="single"/>
        </w:rPr>
        <w:t xml:space="preserve">, </w:t>
      </w:r>
      <w:proofErr w:type="spellStart"/>
      <w:r w:rsidRPr="00337546">
        <w:rPr>
          <w:sz w:val="20"/>
          <w:u w:val="single"/>
        </w:rPr>
        <w:t>Charron</w:t>
      </w:r>
      <w:proofErr w:type="spellEnd"/>
      <w:r w:rsidRPr="00337546">
        <w:rPr>
          <w:sz w:val="20"/>
          <w:u w:val="single"/>
        </w:rPr>
        <w:t xml:space="preserve">, Rothstein and Cromwell JJ. </w:t>
      </w:r>
      <w:r w:rsidR="00547297" w:rsidRPr="00337546">
        <w:rPr>
          <w:sz w:val="20"/>
          <w:u w:val="single"/>
        </w:rPr>
        <w:fldChar w:fldCharType="begin"/>
      </w:r>
      <w:r w:rsidRPr="00337546">
        <w:rPr>
          <w:sz w:val="20"/>
          <w:u w:val="single"/>
        </w:rPr>
        <w:instrText xml:space="preserve"> SEQ CHAPTER \h \r 1</w:instrText>
      </w:r>
      <w:r w:rsidR="00547297" w:rsidRPr="00337546">
        <w:rPr>
          <w:sz w:val="20"/>
          <w:u w:val="single"/>
        </w:rPr>
        <w:fldChar w:fldCharType="end"/>
      </w:r>
    </w:p>
    <w:p w:rsidR="00FE2DFB" w:rsidRPr="00337546" w:rsidRDefault="00FE2DFB" w:rsidP="00FE2DF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FE2DFB" w:rsidRDefault="00FE2DFB" w:rsidP="00FE2DFB">
      <w:pPr>
        <w:jc w:val="both"/>
        <w:rPr>
          <w:sz w:val="20"/>
        </w:rPr>
      </w:pPr>
      <w:r w:rsidRPr="00337546">
        <w:rPr>
          <w:sz w:val="20"/>
        </w:rPr>
        <w:t>The appeal from the judgment of the Court of Appeal for Ontario, Number C49978, 2010 ONCA 588, dated September 13, 2010, heard on May 11, 2011, is dismissed.</w:t>
      </w:r>
    </w:p>
    <w:p w:rsidR="00FE2DFB" w:rsidRPr="00337546" w:rsidRDefault="00FE2DFB" w:rsidP="00FE2DFB">
      <w:pPr>
        <w:jc w:val="both"/>
        <w:rPr>
          <w:sz w:val="20"/>
        </w:rPr>
      </w:pPr>
    </w:p>
    <w:p w:rsidR="00FE2DFB" w:rsidRPr="00337546" w:rsidRDefault="00FE2DFB" w:rsidP="00FE2DFB">
      <w:pPr>
        <w:jc w:val="both"/>
        <w:rPr>
          <w:sz w:val="20"/>
          <w:lang w:val="fr-CA"/>
        </w:rPr>
      </w:pPr>
      <w:r w:rsidRPr="00337546">
        <w:rPr>
          <w:sz w:val="20"/>
          <w:lang w:val="fr-CA"/>
        </w:rPr>
        <w:t>L’appel interjeté contre l’arrêt de la Cour d’appel de l’Ontario, numéro C49978, 2010 ONCA 588, en date du 13 septembre 2010, entendu le 11 mai 2011, est rejeté.</w:t>
      </w:r>
    </w:p>
    <w:p w:rsidR="00FE2DFB" w:rsidRDefault="00FE2DFB" w:rsidP="00FE2DF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AF1715" w:rsidRPr="003B3977" w:rsidRDefault="00547297" w:rsidP="00AF1715">
      <w:pPr>
        <w:spacing w:line="0" w:lineRule="atLeast"/>
        <w:rPr>
          <w:sz w:val="20"/>
          <w:szCs w:val="20"/>
        </w:rPr>
      </w:pPr>
      <w:r w:rsidRPr="00547297">
        <w:rPr>
          <w:b/>
          <w:sz w:val="20"/>
          <w:szCs w:val="20"/>
        </w:rPr>
        <w:pict>
          <v:rect id="_x0000_i1073"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FE2DFB" w:rsidRPr="003B3977" w:rsidRDefault="00FE2DFB" w:rsidP="00FE2DFB">
      <w:pPr>
        <w:rPr>
          <w:b/>
          <w:sz w:val="20"/>
          <w:szCs w:val="20"/>
        </w:rPr>
      </w:pPr>
      <w:r>
        <w:rPr>
          <w:b/>
          <w:sz w:val="20"/>
          <w:szCs w:val="20"/>
        </w:rPr>
        <w:t>JUNE</w:t>
      </w:r>
      <w:r w:rsidRPr="003B3977">
        <w:rPr>
          <w:b/>
          <w:sz w:val="20"/>
          <w:szCs w:val="20"/>
        </w:rPr>
        <w:t xml:space="preserve"> </w:t>
      </w:r>
      <w:r>
        <w:rPr>
          <w:b/>
          <w:sz w:val="20"/>
          <w:szCs w:val="20"/>
        </w:rPr>
        <w:t>24</w:t>
      </w:r>
      <w:r w:rsidRPr="003B3977">
        <w:rPr>
          <w:b/>
          <w:sz w:val="20"/>
          <w:szCs w:val="20"/>
        </w:rPr>
        <w:t>, 201</w:t>
      </w:r>
      <w:r>
        <w:rPr>
          <w:b/>
          <w:sz w:val="20"/>
          <w:szCs w:val="20"/>
        </w:rPr>
        <w:t>1</w:t>
      </w:r>
      <w:r w:rsidRPr="003B3977">
        <w:rPr>
          <w:b/>
          <w:sz w:val="20"/>
          <w:szCs w:val="20"/>
        </w:rPr>
        <w:t xml:space="preserve"> / LE </w:t>
      </w:r>
      <w:r>
        <w:rPr>
          <w:b/>
          <w:sz w:val="20"/>
          <w:szCs w:val="20"/>
        </w:rPr>
        <w:t>24</w:t>
      </w:r>
      <w:r w:rsidRPr="003B3977">
        <w:rPr>
          <w:b/>
          <w:sz w:val="20"/>
          <w:szCs w:val="20"/>
        </w:rPr>
        <w:t xml:space="preserve"> </w:t>
      </w:r>
      <w:r>
        <w:rPr>
          <w:b/>
          <w:sz w:val="20"/>
          <w:szCs w:val="20"/>
        </w:rPr>
        <w:t>JUIN</w:t>
      </w:r>
      <w:r w:rsidRPr="003B3977">
        <w:rPr>
          <w:b/>
          <w:sz w:val="20"/>
          <w:szCs w:val="20"/>
        </w:rPr>
        <w:t xml:space="preserve"> 201</w:t>
      </w:r>
      <w:r>
        <w:rPr>
          <w:b/>
          <w:sz w:val="20"/>
          <w:szCs w:val="20"/>
        </w:rPr>
        <w:t>1</w:t>
      </w:r>
    </w:p>
    <w:p w:rsidR="00AF1715" w:rsidRPr="006C5F7A" w:rsidRDefault="00AF1715" w:rsidP="00AF1715">
      <w:pPr>
        <w:spacing w:line="0" w:lineRule="atLeast"/>
        <w:rPr>
          <w:rFonts w:cs="Times New Roman"/>
          <w:b/>
          <w:sz w:val="20"/>
          <w:szCs w:val="20"/>
        </w:rPr>
      </w:pPr>
    </w:p>
    <w:p w:rsidR="00B55C93" w:rsidRPr="00836EA2" w:rsidRDefault="00B55C93" w:rsidP="00B55C93">
      <w:pPr>
        <w:ind w:left="1440" w:hanging="1440"/>
        <w:jc w:val="both"/>
        <w:rPr>
          <w:b/>
          <w:sz w:val="20"/>
        </w:rPr>
      </w:pPr>
      <w:proofErr w:type="gramStart"/>
      <w:r w:rsidRPr="00337546">
        <w:rPr>
          <w:b/>
          <w:sz w:val="20"/>
        </w:rPr>
        <w:t>33</w:t>
      </w:r>
      <w:r>
        <w:rPr>
          <w:b/>
          <w:sz w:val="20"/>
        </w:rPr>
        <w:t>476</w:t>
      </w:r>
      <w:r w:rsidRPr="00337546">
        <w:rPr>
          <w:b/>
          <w:sz w:val="20"/>
        </w:rPr>
        <w:tab/>
      </w:r>
      <w:r w:rsidRPr="00836EA2">
        <w:rPr>
          <w:b/>
          <w:sz w:val="20"/>
          <w:u w:val="single"/>
        </w:rPr>
        <w:t>Olga Maria Nixon v.</w:t>
      </w:r>
      <w:proofErr w:type="gramEnd"/>
      <w:r w:rsidRPr="00836EA2">
        <w:rPr>
          <w:b/>
          <w:sz w:val="20"/>
          <w:u w:val="single"/>
        </w:rPr>
        <w:t xml:space="preserve"> Her Majesty the Queen – and – Attorney General of Ontario, Attorney General of Manitoba, Attorney General of British Columbia, Criminal Trial Lawyers’</w:t>
      </w:r>
      <w:r>
        <w:rPr>
          <w:b/>
          <w:sz w:val="20"/>
          <w:u w:val="single"/>
        </w:rPr>
        <w:t xml:space="preserve"> Association and</w:t>
      </w:r>
      <w:r w:rsidRPr="00836EA2">
        <w:rPr>
          <w:b/>
          <w:sz w:val="20"/>
          <w:u w:val="single"/>
        </w:rPr>
        <w:t xml:space="preserve"> Criminal Lawyers’ Association (Ontario)</w:t>
      </w:r>
      <w:r>
        <w:rPr>
          <w:b/>
          <w:sz w:val="20"/>
        </w:rPr>
        <w:t xml:space="preserve"> </w:t>
      </w:r>
      <w:r w:rsidRPr="00062752">
        <w:rPr>
          <w:sz w:val="20"/>
          <w:lang w:val="en-GB"/>
        </w:rPr>
        <w:t>(</w:t>
      </w:r>
      <w:r>
        <w:rPr>
          <w:sz w:val="20"/>
          <w:lang w:val="en-GB"/>
        </w:rPr>
        <w:t>Alta</w:t>
      </w:r>
      <w:r w:rsidRPr="00062752">
        <w:rPr>
          <w:sz w:val="20"/>
          <w:lang w:val="en-GB"/>
        </w:rPr>
        <w:t xml:space="preserve">.) </w:t>
      </w:r>
    </w:p>
    <w:p w:rsidR="00B55C93" w:rsidRPr="00337546" w:rsidRDefault="00B55C93" w:rsidP="00B55C93">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b/>
          <w:sz w:val="20"/>
        </w:rPr>
      </w:pPr>
      <w:r w:rsidRPr="00337546">
        <w:rPr>
          <w:b/>
          <w:sz w:val="20"/>
        </w:rPr>
        <w:t>2011 SCC 3</w:t>
      </w:r>
      <w:r>
        <w:rPr>
          <w:b/>
          <w:sz w:val="20"/>
        </w:rPr>
        <w:t>4</w:t>
      </w:r>
      <w:r w:rsidRPr="00337546">
        <w:rPr>
          <w:b/>
          <w:sz w:val="20"/>
        </w:rPr>
        <w:t xml:space="preserve"> / 2011 CSC 3</w:t>
      </w:r>
      <w:r>
        <w:rPr>
          <w:b/>
          <w:sz w:val="20"/>
        </w:rPr>
        <w:t>4</w:t>
      </w:r>
    </w:p>
    <w:p w:rsidR="00B55C93" w:rsidRPr="00337546" w:rsidRDefault="00B55C93" w:rsidP="00B55C93">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rPr>
      </w:pPr>
    </w:p>
    <w:p w:rsidR="00B55C93" w:rsidRPr="00337546" w:rsidRDefault="00B55C93" w:rsidP="00B55C93">
      <w:pPr>
        <w:tabs>
          <w:tab w:val="left" w:pos="0"/>
          <w:tab w:val="left" w:pos="720"/>
          <w:tab w:val="left" w:pos="1440"/>
          <w:tab w:val="left" w:pos="2880"/>
          <w:tab w:val="left" w:pos="3600"/>
          <w:tab w:val="left" w:pos="4320"/>
          <w:tab w:val="left" w:pos="5040"/>
          <w:tab w:val="left" w:pos="5760"/>
          <w:tab w:val="left" w:pos="6480"/>
          <w:tab w:val="left" w:pos="7200"/>
        </w:tabs>
        <w:ind w:left="720" w:hanging="720"/>
        <w:jc w:val="both"/>
        <w:rPr>
          <w:sz w:val="20"/>
        </w:rPr>
      </w:pPr>
      <w:r w:rsidRPr="00337546">
        <w:rPr>
          <w:sz w:val="20"/>
        </w:rPr>
        <w:t>Coram:</w:t>
      </w:r>
      <w:r>
        <w:rPr>
          <w:sz w:val="20"/>
        </w:rPr>
        <w:tab/>
      </w:r>
      <w:r>
        <w:rPr>
          <w:sz w:val="20"/>
        </w:rPr>
        <w:tab/>
      </w:r>
      <w:proofErr w:type="spellStart"/>
      <w:r w:rsidRPr="00836EA2">
        <w:rPr>
          <w:sz w:val="20"/>
          <w:u w:val="single"/>
        </w:rPr>
        <w:t>McLachlin</w:t>
      </w:r>
      <w:proofErr w:type="spellEnd"/>
      <w:r w:rsidRPr="00836EA2">
        <w:rPr>
          <w:sz w:val="20"/>
          <w:u w:val="single"/>
        </w:rPr>
        <w:t xml:space="preserve"> C.J. and </w:t>
      </w:r>
      <w:proofErr w:type="spellStart"/>
      <w:r w:rsidRPr="00836EA2">
        <w:rPr>
          <w:sz w:val="20"/>
          <w:u w:val="single"/>
        </w:rPr>
        <w:t>Binnie</w:t>
      </w:r>
      <w:proofErr w:type="spellEnd"/>
      <w:r w:rsidRPr="00836EA2">
        <w:rPr>
          <w:sz w:val="20"/>
          <w:u w:val="single"/>
        </w:rPr>
        <w:t xml:space="preserve">, </w:t>
      </w:r>
      <w:proofErr w:type="spellStart"/>
      <w:r w:rsidRPr="00836EA2">
        <w:rPr>
          <w:sz w:val="20"/>
          <w:u w:val="single"/>
        </w:rPr>
        <w:t>LeBel</w:t>
      </w:r>
      <w:proofErr w:type="spellEnd"/>
      <w:r w:rsidRPr="00836EA2">
        <w:rPr>
          <w:sz w:val="20"/>
          <w:u w:val="single"/>
        </w:rPr>
        <w:t xml:space="preserve">, </w:t>
      </w:r>
      <w:proofErr w:type="spellStart"/>
      <w:r w:rsidRPr="00836EA2">
        <w:rPr>
          <w:sz w:val="20"/>
          <w:u w:val="single"/>
        </w:rPr>
        <w:t>Deschamps</w:t>
      </w:r>
      <w:proofErr w:type="spellEnd"/>
      <w:r w:rsidRPr="00836EA2">
        <w:rPr>
          <w:sz w:val="20"/>
          <w:u w:val="single"/>
        </w:rPr>
        <w:t xml:space="preserve">, Fish, </w:t>
      </w:r>
      <w:proofErr w:type="spellStart"/>
      <w:r w:rsidRPr="00836EA2">
        <w:rPr>
          <w:sz w:val="20"/>
          <w:u w:val="single"/>
        </w:rPr>
        <w:t>Abella</w:t>
      </w:r>
      <w:proofErr w:type="spellEnd"/>
      <w:r w:rsidRPr="00836EA2">
        <w:rPr>
          <w:sz w:val="20"/>
          <w:u w:val="single"/>
        </w:rPr>
        <w:t xml:space="preserve">, </w:t>
      </w:r>
      <w:proofErr w:type="spellStart"/>
      <w:r w:rsidRPr="00836EA2">
        <w:rPr>
          <w:sz w:val="20"/>
          <w:u w:val="single"/>
        </w:rPr>
        <w:t>Charron</w:t>
      </w:r>
      <w:proofErr w:type="spellEnd"/>
      <w:r w:rsidRPr="00836EA2">
        <w:rPr>
          <w:sz w:val="20"/>
          <w:u w:val="single"/>
        </w:rPr>
        <w:t>, Rothstein and Cromwell JJ.</w:t>
      </w:r>
      <w:r w:rsidRPr="00337546">
        <w:rPr>
          <w:sz w:val="20"/>
          <w:u w:val="single"/>
        </w:rPr>
        <w:t xml:space="preserve"> </w:t>
      </w:r>
      <w:r w:rsidR="00547297" w:rsidRPr="00337546">
        <w:rPr>
          <w:sz w:val="20"/>
          <w:u w:val="single"/>
        </w:rPr>
        <w:fldChar w:fldCharType="begin"/>
      </w:r>
      <w:r w:rsidRPr="00337546">
        <w:rPr>
          <w:sz w:val="20"/>
          <w:u w:val="single"/>
        </w:rPr>
        <w:instrText xml:space="preserve"> SEQ CHAPTER \h \r 1</w:instrText>
      </w:r>
      <w:r w:rsidR="00547297" w:rsidRPr="00337546">
        <w:rPr>
          <w:sz w:val="20"/>
          <w:u w:val="single"/>
        </w:rPr>
        <w:fldChar w:fldCharType="end"/>
      </w:r>
    </w:p>
    <w:p w:rsidR="00B55C93" w:rsidRPr="00337546" w:rsidRDefault="00B55C93" w:rsidP="00B55C9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B55C93" w:rsidRDefault="00B55C93" w:rsidP="00B55C9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r w:rsidRPr="00836EA2">
        <w:rPr>
          <w:sz w:val="20"/>
        </w:rPr>
        <w:t xml:space="preserve">The appeal from the judgment </w:t>
      </w:r>
      <w:bookmarkStart w:id="1" w:name="BM_1_"/>
      <w:bookmarkEnd w:id="1"/>
      <w:r w:rsidRPr="00836EA2">
        <w:rPr>
          <w:sz w:val="20"/>
        </w:rPr>
        <w:t>of the Court of Appeal of Alberta (Edmonton), Numbers 0803-0039-A and 0803-0040-A, 2009 ABCA 269, dated August 13, 2009, heard on December 15, 2010, is dismissed.</w:t>
      </w:r>
    </w:p>
    <w:p w:rsidR="00B55C93" w:rsidRPr="00836EA2" w:rsidRDefault="00B55C93" w:rsidP="00B55C9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B55C93" w:rsidRDefault="00B55C93" w:rsidP="00B55C9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r w:rsidRPr="00836EA2">
        <w:rPr>
          <w:sz w:val="20"/>
          <w:lang w:val="fr-CA"/>
        </w:rPr>
        <w:t>L’appel interjeté contre l’arrêt de la Cour d’appel de l’Alberta (Edmonton), numéros 0803-0039-A et 0803-0040-A, 2009 ABCA 269, en date du 13 août 2009, entendu le 15 décembre 2010, est rejeté.</w:t>
      </w:r>
    </w:p>
    <w:p w:rsidR="00B55C93" w:rsidRPr="00836EA2" w:rsidRDefault="00B55C93" w:rsidP="00B55C9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AF1715" w:rsidRPr="00B55C93" w:rsidRDefault="00547297" w:rsidP="00AF1715">
      <w:pPr>
        <w:spacing w:line="0" w:lineRule="atLeast"/>
        <w:rPr>
          <w:rFonts w:cs="Times New Roman"/>
          <w:sz w:val="20"/>
          <w:szCs w:val="20"/>
        </w:rPr>
      </w:pPr>
      <w:r w:rsidRPr="00547297">
        <w:rPr>
          <w:rFonts w:cs="Times New Roman"/>
          <w:sz w:val="20"/>
          <w:szCs w:val="20"/>
        </w:rPr>
        <w:pict>
          <v:rect id="_x0000_i1074" style="width:144.3pt;height:1pt" o:hrpct="300" o:hralign="center" o:hrstd="t" o:hrnoshade="t" o:hr="t" fillcolor="black [3213]" stroked="f"/>
        </w:pict>
      </w:r>
    </w:p>
    <w:p w:rsidR="00AF1715" w:rsidRPr="00B55C93"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7C0DF1" w:rsidRPr="007C0DF1" w:rsidRDefault="007C0DF1" w:rsidP="007C0DF1">
      <w:pPr>
        <w:jc w:val="both"/>
        <w:rPr>
          <w:sz w:val="20"/>
          <w:szCs w:val="20"/>
          <w:lang w:val="en-GB"/>
        </w:rPr>
      </w:pPr>
      <w:proofErr w:type="gramStart"/>
      <w:r w:rsidRPr="007C0DF1">
        <w:rPr>
          <w:i/>
          <w:iCs/>
          <w:sz w:val="20"/>
          <w:szCs w:val="20"/>
          <w:lang w:val="en-GB"/>
        </w:rPr>
        <w:t>Norman Martin Campbell v.</w:t>
      </w:r>
      <w:proofErr w:type="gramEnd"/>
      <w:r w:rsidRPr="007C0DF1">
        <w:rPr>
          <w:i/>
          <w:iCs/>
          <w:sz w:val="20"/>
          <w:szCs w:val="20"/>
          <w:lang w:val="en-GB"/>
        </w:rPr>
        <w:t xml:space="preserve"> Her Majesty the Queen</w:t>
      </w:r>
      <w:r w:rsidRPr="007C0DF1">
        <w:rPr>
          <w:sz w:val="20"/>
          <w:szCs w:val="20"/>
          <w:lang w:val="en-GB"/>
        </w:rPr>
        <w:t xml:space="preserve"> (Ont.) (33916)</w:t>
      </w:r>
    </w:p>
    <w:p w:rsidR="005C6840" w:rsidRPr="003B3977" w:rsidRDefault="005C6840" w:rsidP="005C6840">
      <w:pPr>
        <w:jc w:val="both"/>
        <w:rPr>
          <w:rFonts w:cs="Times New Roman"/>
          <w:b/>
          <w:sz w:val="20"/>
          <w:szCs w:val="20"/>
        </w:rPr>
      </w:pPr>
      <w:r w:rsidRPr="003B3977">
        <w:rPr>
          <w:rFonts w:cs="Times New Roman"/>
          <w:b/>
          <w:sz w:val="20"/>
          <w:szCs w:val="20"/>
        </w:rPr>
        <w:t xml:space="preserve">Indexed as:  R. </w:t>
      </w:r>
      <w:r w:rsidRPr="003B3977">
        <w:rPr>
          <w:rFonts w:cs="Times New Roman"/>
          <w:b/>
          <w:i/>
          <w:sz w:val="20"/>
          <w:szCs w:val="20"/>
        </w:rPr>
        <w:t>v.</w:t>
      </w:r>
      <w:r w:rsidRPr="003B3977">
        <w:rPr>
          <w:rFonts w:cs="Times New Roman"/>
          <w:b/>
          <w:sz w:val="20"/>
          <w:szCs w:val="20"/>
        </w:rPr>
        <w:t xml:space="preserve"> </w:t>
      </w:r>
      <w:r w:rsidR="007C0DF1">
        <w:rPr>
          <w:rStyle w:val="SCCRespondentForIndexChar"/>
          <w:rFonts w:eastAsiaTheme="minorHAnsi"/>
          <w:sz w:val="20"/>
        </w:rPr>
        <w:t>Campbell</w:t>
      </w:r>
      <w:r w:rsidRPr="003B3977">
        <w:rPr>
          <w:rStyle w:val="SCCRespondentForIndexChar"/>
          <w:rFonts w:eastAsiaTheme="minorHAnsi"/>
          <w:sz w:val="20"/>
        </w:rPr>
        <w:t xml:space="preserve"> / </w:t>
      </w:r>
      <w:proofErr w:type="spellStart"/>
      <w:proofErr w:type="gramStart"/>
      <w:r w:rsidRPr="003B3977">
        <w:rPr>
          <w:rFonts w:cs="Times New Roman"/>
          <w:b/>
          <w:sz w:val="20"/>
          <w:szCs w:val="20"/>
        </w:rPr>
        <w:t>Répertorié</w:t>
      </w:r>
      <w:proofErr w:type="spellEnd"/>
      <w:r w:rsidRPr="003B3977">
        <w:rPr>
          <w:rFonts w:cs="Times New Roman"/>
          <w:b/>
          <w:sz w:val="20"/>
          <w:szCs w:val="20"/>
        </w:rPr>
        <w:t> :</w:t>
      </w:r>
      <w:proofErr w:type="gramEnd"/>
      <w:r w:rsidRPr="003B3977">
        <w:rPr>
          <w:rFonts w:cs="Times New Roman"/>
          <w:b/>
          <w:sz w:val="20"/>
          <w:szCs w:val="20"/>
        </w:rPr>
        <w:t> </w:t>
      </w:r>
      <w:r w:rsidRPr="003B3977">
        <w:rPr>
          <w:rStyle w:val="SCCAppellantForIndexChar"/>
          <w:rFonts w:eastAsiaTheme="minorHAnsi"/>
          <w:sz w:val="20"/>
          <w:lang w:val="en-CA"/>
        </w:rPr>
        <w:t>R.</w:t>
      </w:r>
      <w:r w:rsidRPr="003B3977">
        <w:rPr>
          <w:rFonts w:cs="Times New Roman"/>
          <w:b/>
          <w:sz w:val="20"/>
          <w:szCs w:val="20"/>
        </w:rPr>
        <w:t xml:space="preserve"> </w:t>
      </w:r>
      <w:r w:rsidRPr="003B3977">
        <w:rPr>
          <w:rFonts w:cs="Times New Roman"/>
          <w:b/>
          <w:i/>
          <w:sz w:val="20"/>
          <w:szCs w:val="20"/>
        </w:rPr>
        <w:t>c.</w:t>
      </w:r>
      <w:r w:rsidRPr="003B3977">
        <w:rPr>
          <w:rFonts w:cs="Times New Roman"/>
          <w:b/>
          <w:sz w:val="20"/>
          <w:szCs w:val="20"/>
        </w:rPr>
        <w:t xml:space="preserve"> </w:t>
      </w:r>
      <w:r w:rsidR="007C0DF1">
        <w:rPr>
          <w:rStyle w:val="SCCRespondentForIndexChar"/>
          <w:rFonts w:eastAsiaTheme="minorHAnsi"/>
          <w:sz w:val="20"/>
        </w:rPr>
        <w:t>Campbell</w:t>
      </w:r>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sidR="007F387B">
        <w:rPr>
          <w:sz w:val="20"/>
        </w:rPr>
        <w:t>1</w:t>
      </w:r>
      <w:proofErr w:type="gramEnd"/>
      <w:r w:rsidRPr="003B3977">
        <w:rPr>
          <w:sz w:val="20"/>
        </w:rPr>
        <w:t xml:space="preserve"> SCC </w:t>
      </w:r>
      <w:r w:rsidR="007C0DF1">
        <w:rPr>
          <w:sz w:val="20"/>
        </w:rPr>
        <w:t>32</w:t>
      </w:r>
      <w:r w:rsidRPr="003B3977">
        <w:rPr>
          <w:sz w:val="20"/>
        </w:rPr>
        <w:t xml:space="preserve"> / Référence neutre : 201</w:t>
      </w:r>
      <w:r w:rsidR="007F387B">
        <w:rPr>
          <w:sz w:val="20"/>
        </w:rPr>
        <w:t>1</w:t>
      </w:r>
      <w:r w:rsidRPr="003B3977">
        <w:rPr>
          <w:sz w:val="20"/>
        </w:rPr>
        <w:t xml:space="preserve"> CSC </w:t>
      </w:r>
      <w:r w:rsidR="007C0DF1">
        <w:rPr>
          <w:sz w:val="20"/>
        </w:rPr>
        <w:t>32</w:t>
      </w:r>
    </w:p>
    <w:p w:rsidR="005C6840" w:rsidRPr="003B3977" w:rsidRDefault="005C6840" w:rsidP="005C6840">
      <w:pPr>
        <w:rPr>
          <w:rFonts w:cs="Times New Roman"/>
          <w:sz w:val="20"/>
          <w:szCs w:val="20"/>
          <w:lang w:val="fr-CA"/>
        </w:rPr>
      </w:pPr>
      <w:r w:rsidRPr="003B3977">
        <w:rPr>
          <w:rFonts w:cs="Times New Roman"/>
          <w:sz w:val="20"/>
          <w:szCs w:val="20"/>
          <w:lang w:val="fr-CA"/>
        </w:rPr>
        <w:t>Hearing</w:t>
      </w:r>
      <w:proofErr w:type="gramStart"/>
      <w:r w:rsidRPr="003B3977">
        <w:rPr>
          <w:rFonts w:cs="Times New Roman"/>
          <w:sz w:val="20"/>
          <w:szCs w:val="20"/>
          <w:lang w:val="fr-CA"/>
        </w:rPr>
        <w:t xml:space="preserve">:  </w:t>
      </w:r>
      <w:r w:rsidR="007C0DF1">
        <w:rPr>
          <w:rFonts w:cs="Times New Roman"/>
          <w:sz w:val="20"/>
          <w:szCs w:val="20"/>
          <w:lang w:val="fr-CA"/>
        </w:rPr>
        <w:t>May</w:t>
      </w:r>
      <w:proofErr w:type="gramEnd"/>
      <w:r w:rsidR="007C0DF1">
        <w:rPr>
          <w:rFonts w:cs="Times New Roman"/>
          <w:sz w:val="20"/>
          <w:szCs w:val="20"/>
          <w:lang w:val="fr-CA"/>
        </w:rPr>
        <w:t xml:space="preserve"> 11</w:t>
      </w:r>
      <w:r w:rsidRPr="003B3977">
        <w:rPr>
          <w:rFonts w:cs="Times New Roman"/>
          <w:sz w:val="20"/>
          <w:szCs w:val="20"/>
          <w:lang w:val="fr-CA"/>
        </w:rPr>
        <w:t>, 201</w:t>
      </w:r>
      <w:r w:rsidR="007C0DF1">
        <w:rPr>
          <w:rFonts w:cs="Times New Roman"/>
          <w:sz w:val="20"/>
          <w:szCs w:val="20"/>
          <w:lang w:val="fr-CA"/>
        </w:rPr>
        <w:t>1</w:t>
      </w:r>
      <w:r w:rsidRPr="003B3977">
        <w:rPr>
          <w:rFonts w:cs="Times New Roman"/>
          <w:sz w:val="20"/>
          <w:szCs w:val="20"/>
          <w:lang w:val="fr-CA"/>
        </w:rPr>
        <w:t xml:space="preserve"> / </w:t>
      </w:r>
      <w:proofErr w:type="spellStart"/>
      <w:r w:rsidRPr="003B3977">
        <w:rPr>
          <w:rFonts w:cs="Times New Roman"/>
          <w:sz w:val="20"/>
          <w:szCs w:val="20"/>
          <w:lang w:val="fr-CA"/>
        </w:rPr>
        <w:t>Judgment</w:t>
      </w:r>
      <w:proofErr w:type="spellEnd"/>
      <w:r w:rsidRPr="003B3977">
        <w:rPr>
          <w:rFonts w:cs="Times New Roman"/>
          <w:sz w:val="20"/>
          <w:szCs w:val="20"/>
          <w:lang w:val="fr-CA"/>
        </w:rPr>
        <w:t xml:space="preserve">:  </w:t>
      </w:r>
      <w:proofErr w:type="spellStart"/>
      <w:r w:rsidR="007C0DF1">
        <w:rPr>
          <w:rFonts w:cs="Times New Roman"/>
          <w:sz w:val="20"/>
          <w:szCs w:val="20"/>
          <w:lang w:val="fr-CA"/>
        </w:rPr>
        <w:t>June</w:t>
      </w:r>
      <w:proofErr w:type="spellEnd"/>
      <w:r w:rsidR="007C0DF1">
        <w:rPr>
          <w:rFonts w:cs="Times New Roman"/>
          <w:sz w:val="20"/>
          <w:szCs w:val="20"/>
          <w:lang w:val="fr-CA"/>
        </w:rPr>
        <w:t xml:space="preserve"> </w:t>
      </w:r>
      <w:r w:rsidRPr="003B3977">
        <w:rPr>
          <w:rFonts w:cs="Times New Roman"/>
          <w:sz w:val="20"/>
          <w:szCs w:val="20"/>
          <w:lang w:val="fr-CA"/>
        </w:rPr>
        <w:t>2</w:t>
      </w:r>
      <w:r w:rsidR="007C0DF1">
        <w:rPr>
          <w:rFonts w:cs="Times New Roman"/>
          <w:sz w:val="20"/>
          <w:szCs w:val="20"/>
          <w:lang w:val="fr-CA"/>
        </w:rPr>
        <w:t>3</w:t>
      </w:r>
      <w:r w:rsidRPr="003B3977">
        <w:rPr>
          <w:rFonts w:cs="Times New Roman"/>
          <w:sz w:val="20"/>
          <w:szCs w:val="20"/>
          <w:lang w:val="fr-CA"/>
        </w:rPr>
        <w:t>, 201</w:t>
      </w:r>
      <w:r w:rsidR="007C0DF1">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7C0DF1">
        <w:rPr>
          <w:rFonts w:cs="Times New Roman"/>
          <w:sz w:val="20"/>
          <w:szCs w:val="20"/>
          <w:lang w:val="fr-CA"/>
        </w:rPr>
        <w:t>11</w:t>
      </w:r>
      <w:r w:rsidRPr="003B3977">
        <w:rPr>
          <w:rFonts w:cs="Times New Roman"/>
          <w:sz w:val="20"/>
          <w:szCs w:val="20"/>
          <w:lang w:val="fr-CA"/>
        </w:rPr>
        <w:t xml:space="preserve"> </w:t>
      </w:r>
      <w:r w:rsidR="007C0DF1">
        <w:rPr>
          <w:rFonts w:cs="Times New Roman"/>
          <w:sz w:val="20"/>
          <w:szCs w:val="20"/>
          <w:lang w:val="fr-CA"/>
        </w:rPr>
        <w:t>mai</w:t>
      </w:r>
      <w:r w:rsidRPr="003B3977">
        <w:rPr>
          <w:rFonts w:cs="Times New Roman"/>
          <w:sz w:val="20"/>
          <w:szCs w:val="20"/>
          <w:lang w:val="fr-CA"/>
        </w:rPr>
        <w:t xml:space="preserve"> 201</w:t>
      </w:r>
      <w:r w:rsidR="007C0DF1">
        <w:rPr>
          <w:rFonts w:cs="Times New Roman"/>
          <w:sz w:val="20"/>
          <w:szCs w:val="20"/>
          <w:lang w:val="fr-CA"/>
        </w:rPr>
        <w:t>1</w:t>
      </w:r>
      <w:r w:rsidRPr="003B3977">
        <w:rPr>
          <w:rFonts w:cs="Times New Roman"/>
          <w:sz w:val="20"/>
          <w:szCs w:val="20"/>
          <w:lang w:val="fr-CA"/>
        </w:rPr>
        <w:t xml:space="preserve"> / Jugement : Le 2</w:t>
      </w:r>
      <w:r w:rsidR="007C0DF1">
        <w:rPr>
          <w:rFonts w:cs="Times New Roman"/>
          <w:sz w:val="20"/>
          <w:szCs w:val="20"/>
          <w:lang w:val="fr-CA"/>
        </w:rPr>
        <w:t>3</w:t>
      </w:r>
      <w:r w:rsidRPr="003B3977">
        <w:rPr>
          <w:rFonts w:cs="Times New Roman"/>
          <w:sz w:val="20"/>
          <w:szCs w:val="20"/>
          <w:lang w:val="fr-CA"/>
        </w:rPr>
        <w:t xml:space="preserve"> </w:t>
      </w:r>
      <w:r w:rsidR="007C0DF1">
        <w:rPr>
          <w:rFonts w:cs="Times New Roman"/>
          <w:sz w:val="20"/>
          <w:szCs w:val="20"/>
          <w:lang w:val="fr-CA"/>
        </w:rPr>
        <w:t>juin</w:t>
      </w:r>
      <w:r w:rsidRPr="003B3977">
        <w:rPr>
          <w:rFonts w:cs="Times New Roman"/>
          <w:sz w:val="20"/>
          <w:szCs w:val="20"/>
          <w:lang w:val="fr-CA"/>
        </w:rPr>
        <w:t xml:space="preserve"> 201</w:t>
      </w:r>
      <w:r w:rsidR="007C0DF1">
        <w:rPr>
          <w:rFonts w:cs="Times New Roman"/>
          <w:sz w:val="20"/>
          <w:szCs w:val="20"/>
          <w:lang w:val="fr-CA"/>
        </w:rPr>
        <w:t>1</w:t>
      </w:r>
    </w:p>
    <w:p w:rsidR="005C6840" w:rsidRPr="003B3977" w:rsidRDefault="00547297" w:rsidP="005C6840">
      <w:pPr>
        <w:rPr>
          <w:rFonts w:cs="Times New Roman"/>
          <w:sz w:val="20"/>
          <w:szCs w:val="20"/>
          <w:lang w:val="fr-CA"/>
        </w:rPr>
      </w:pPr>
      <w:r w:rsidRPr="00547297">
        <w:rPr>
          <w:rFonts w:cs="Times New Roman"/>
          <w:i/>
          <w:sz w:val="20"/>
          <w:szCs w:val="20"/>
        </w:rPr>
        <w:pict>
          <v:rect id="_x0000_i1077"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C6840" w:rsidRPr="003B3977" w:rsidRDefault="005C6840" w:rsidP="005C6840">
      <w:pPr>
        <w:rPr>
          <w:rFonts w:cs="Times New Roman"/>
          <w:sz w:val="20"/>
          <w:szCs w:val="20"/>
        </w:rPr>
      </w:pPr>
      <w:r w:rsidRPr="003B3977">
        <w:rPr>
          <w:rFonts w:cs="Times New Roman"/>
          <w:sz w:val="20"/>
          <w:szCs w:val="20"/>
        </w:rPr>
        <w:t xml:space="preserve">Present:  </w:t>
      </w:r>
      <w:proofErr w:type="spellStart"/>
      <w:r w:rsidRPr="003B3977">
        <w:rPr>
          <w:rFonts w:cs="Times New Roman"/>
          <w:sz w:val="20"/>
          <w:szCs w:val="20"/>
        </w:rPr>
        <w:t>LeBel</w:t>
      </w:r>
      <w:proofErr w:type="spellEnd"/>
      <w:r w:rsidRPr="003B3977">
        <w:rPr>
          <w:rFonts w:cs="Times New Roman"/>
          <w:sz w:val="20"/>
          <w:szCs w:val="20"/>
        </w:rPr>
        <w:t xml:space="preserve">, </w:t>
      </w:r>
      <w:proofErr w:type="spellStart"/>
      <w:r w:rsidRPr="003B3977">
        <w:rPr>
          <w:rFonts w:cs="Times New Roman"/>
          <w:sz w:val="20"/>
          <w:szCs w:val="20"/>
        </w:rPr>
        <w:t>Deschamps</w:t>
      </w:r>
      <w:proofErr w:type="spellEnd"/>
      <w:r w:rsidRPr="003B3977">
        <w:rPr>
          <w:rFonts w:cs="Times New Roman"/>
          <w:sz w:val="20"/>
          <w:szCs w:val="20"/>
        </w:rPr>
        <w:t xml:space="preserve">, Fish, </w:t>
      </w:r>
      <w:proofErr w:type="spellStart"/>
      <w:r w:rsidRPr="003B3977">
        <w:rPr>
          <w:rFonts w:cs="Times New Roman"/>
          <w:sz w:val="20"/>
          <w:szCs w:val="20"/>
        </w:rPr>
        <w:t>Abella</w:t>
      </w:r>
      <w:proofErr w:type="spellEnd"/>
      <w:r w:rsidRPr="003B3977">
        <w:rPr>
          <w:rFonts w:cs="Times New Roman"/>
          <w:sz w:val="20"/>
          <w:szCs w:val="20"/>
        </w:rPr>
        <w:t xml:space="preserve">, </w:t>
      </w:r>
      <w:proofErr w:type="spellStart"/>
      <w:r w:rsidRPr="003B3977">
        <w:rPr>
          <w:rFonts w:cs="Times New Roman"/>
          <w:sz w:val="20"/>
          <w:szCs w:val="20"/>
        </w:rPr>
        <w:t>Charron</w:t>
      </w:r>
      <w:proofErr w:type="spellEnd"/>
      <w:r w:rsidR="007C0DF1">
        <w:rPr>
          <w:rFonts w:cs="Times New Roman"/>
          <w:sz w:val="20"/>
          <w:szCs w:val="20"/>
        </w:rPr>
        <w:t>,</w:t>
      </w:r>
      <w:r w:rsidRPr="003B3977">
        <w:rPr>
          <w:rFonts w:cs="Times New Roman"/>
          <w:sz w:val="20"/>
          <w:szCs w:val="20"/>
        </w:rPr>
        <w:t xml:space="preserve"> Rothstein </w:t>
      </w:r>
      <w:r w:rsidR="007C0DF1">
        <w:rPr>
          <w:rFonts w:cs="Times New Roman"/>
          <w:sz w:val="20"/>
          <w:szCs w:val="20"/>
        </w:rPr>
        <w:t xml:space="preserve">and Cromwell </w:t>
      </w:r>
      <w:r w:rsidRPr="003B3977">
        <w:rPr>
          <w:rFonts w:cs="Times New Roman"/>
          <w:sz w:val="20"/>
          <w:szCs w:val="20"/>
        </w:rPr>
        <w:t>JJ.</w:t>
      </w:r>
    </w:p>
    <w:p w:rsidR="005C6840" w:rsidRDefault="005C6840" w:rsidP="005C6840">
      <w:pPr>
        <w:rPr>
          <w:rFonts w:cs="Times New Roman"/>
          <w:sz w:val="20"/>
          <w:szCs w:val="20"/>
        </w:rPr>
      </w:pPr>
    </w:p>
    <w:p w:rsidR="007C0DF1" w:rsidRDefault="007C0DF1" w:rsidP="007C0DF1">
      <w:pPr>
        <w:pStyle w:val="SCCNormalDoubleSpacing"/>
        <w:spacing w:line="240" w:lineRule="auto"/>
        <w:rPr>
          <w:i/>
          <w:sz w:val="20"/>
        </w:rPr>
      </w:pPr>
      <w:r>
        <w:rPr>
          <w:i/>
          <w:sz w:val="20"/>
        </w:rPr>
        <w:tab/>
      </w:r>
      <w:r w:rsidRPr="007C0DF1">
        <w:rPr>
          <w:i/>
          <w:sz w:val="20"/>
        </w:rPr>
        <w:t xml:space="preserve">Constitutional law ― Charter of Rights ― Search and Seizure ― Validity of search warrant ― Police obtaining warrant to search </w:t>
      </w:r>
      <w:proofErr w:type="spellStart"/>
      <w:r w:rsidRPr="007C0DF1">
        <w:rPr>
          <w:i/>
          <w:sz w:val="20"/>
        </w:rPr>
        <w:t>four</w:t>
      </w:r>
      <w:r w:rsidRPr="007C0DF1">
        <w:rPr>
          <w:i/>
          <w:sz w:val="20"/>
        </w:rPr>
        <w:noBreakHyphen/>
        <w:t>bedroom</w:t>
      </w:r>
      <w:proofErr w:type="spellEnd"/>
      <w:r w:rsidRPr="007C0DF1">
        <w:rPr>
          <w:i/>
          <w:sz w:val="20"/>
        </w:rPr>
        <w:t xml:space="preserve"> townhouse operating as rooming house ― Accused renting room in townhouse ― Accused charged with possession of a </w:t>
      </w:r>
      <w:proofErr w:type="spellStart"/>
      <w:r w:rsidRPr="007C0DF1">
        <w:rPr>
          <w:i/>
          <w:sz w:val="20"/>
        </w:rPr>
        <w:t>sawed</w:t>
      </w:r>
      <w:r w:rsidRPr="007C0DF1">
        <w:rPr>
          <w:i/>
          <w:sz w:val="20"/>
        </w:rPr>
        <w:noBreakHyphen/>
        <w:t>off</w:t>
      </w:r>
      <w:proofErr w:type="spellEnd"/>
      <w:r w:rsidRPr="007C0DF1">
        <w:rPr>
          <w:i/>
          <w:sz w:val="20"/>
        </w:rPr>
        <w:t xml:space="preserve"> shotgun and ammunition while under weapons prohibitions and while on probation with conditions not to possess weapons ― Whether there were sufficient grounds upon which the issuing justice of the peace could have authorized the search warrant ― Whether search of </w:t>
      </w:r>
      <w:proofErr w:type="spellStart"/>
      <w:r w:rsidRPr="007C0DF1">
        <w:rPr>
          <w:i/>
          <w:sz w:val="20"/>
        </w:rPr>
        <w:t>accused’s</w:t>
      </w:r>
      <w:proofErr w:type="spellEnd"/>
      <w:r w:rsidRPr="007C0DF1">
        <w:rPr>
          <w:i/>
          <w:sz w:val="20"/>
        </w:rPr>
        <w:t xml:space="preserve"> room breached </w:t>
      </w:r>
      <w:proofErr w:type="spellStart"/>
      <w:r w:rsidRPr="007C0DF1">
        <w:rPr>
          <w:i/>
          <w:sz w:val="20"/>
        </w:rPr>
        <w:t>accused’s</w:t>
      </w:r>
      <w:proofErr w:type="spellEnd"/>
      <w:r w:rsidRPr="007C0DF1">
        <w:rPr>
          <w:i/>
          <w:sz w:val="20"/>
        </w:rPr>
        <w:t xml:space="preserve"> rights under s. 8 of Canadian Charter of Rights and Freedoms ― If so, whether evidence ought to be excluded pursuant to s. 24(2) of the Charter.</w:t>
      </w:r>
    </w:p>
    <w:p w:rsidR="007C0DF1" w:rsidRPr="007C0DF1" w:rsidRDefault="007C0DF1" w:rsidP="007C0DF1">
      <w:pPr>
        <w:pStyle w:val="SCCNormalDoubleSpacing"/>
        <w:spacing w:line="240" w:lineRule="auto"/>
        <w:rPr>
          <w:i/>
          <w:sz w:val="20"/>
        </w:rPr>
      </w:pPr>
    </w:p>
    <w:p w:rsidR="007C0DF1" w:rsidRDefault="007C0DF1" w:rsidP="007C0DF1">
      <w:pPr>
        <w:pStyle w:val="SCCNormalDoubleSpacing"/>
        <w:spacing w:line="240" w:lineRule="auto"/>
        <w:rPr>
          <w:i/>
          <w:sz w:val="20"/>
        </w:rPr>
      </w:pPr>
      <w:r w:rsidRPr="007C0DF1">
        <w:rPr>
          <w:i/>
          <w:sz w:val="20"/>
        </w:rPr>
        <w:tab/>
        <w:t xml:space="preserve">Criminal law ― Search warrant ― Validity ― Police obtaining warrant to search </w:t>
      </w:r>
      <w:proofErr w:type="spellStart"/>
      <w:r w:rsidRPr="007C0DF1">
        <w:rPr>
          <w:i/>
          <w:sz w:val="20"/>
        </w:rPr>
        <w:t>four</w:t>
      </w:r>
      <w:r w:rsidRPr="007C0DF1">
        <w:rPr>
          <w:i/>
          <w:sz w:val="20"/>
        </w:rPr>
        <w:noBreakHyphen/>
        <w:t>bedroom</w:t>
      </w:r>
      <w:proofErr w:type="spellEnd"/>
      <w:r w:rsidRPr="007C0DF1">
        <w:rPr>
          <w:i/>
          <w:sz w:val="20"/>
        </w:rPr>
        <w:t xml:space="preserve"> townhouse operating as rooming house ― Accused renting room in townhouse ― Accused charged with possession of a </w:t>
      </w:r>
      <w:proofErr w:type="spellStart"/>
      <w:r w:rsidRPr="007C0DF1">
        <w:rPr>
          <w:i/>
          <w:sz w:val="20"/>
        </w:rPr>
        <w:t>sawed</w:t>
      </w:r>
      <w:r w:rsidRPr="007C0DF1">
        <w:rPr>
          <w:i/>
          <w:sz w:val="20"/>
        </w:rPr>
        <w:noBreakHyphen/>
        <w:t>off</w:t>
      </w:r>
      <w:proofErr w:type="spellEnd"/>
      <w:r w:rsidRPr="007C0DF1">
        <w:rPr>
          <w:i/>
          <w:sz w:val="20"/>
        </w:rPr>
        <w:t xml:space="preserve"> shotgun and ammunition while under weapons prohibitions and while on probation with conditions not to possess weapons ― Whether there were sufficient grounds upon which the issuing justice of the peace could have authorized the search warrant.</w:t>
      </w:r>
    </w:p>
    <w:p w:rsidR="007C0DF1" w:rsidRPr="007C0DF1" w:rsidRDefault="007C0DF1" w:rsidP="007C0DF1">
      <w:pPr>
        <w:pStyle w:val="SCCNormalDoubleSpacing"/>
        <w:spacing w:line="240" w:lineRule="auto"/>
        <w:rPr>
          <w:i/>
          <w:sz w:val="20"/>
        </w:rPr>
      </w:pPr>
    </w:p>
    <w:p w:rsidR="007C0DF1" w:rsidRDefault="007C0DF1" w:rsidP="007C0DF1">
      <w:pPr>
        <w:pStyle w:val="SCCNormalDoubleSpacing"/>
        <w:spacing w:line="240" w:lineRule="auto"/>
        <w:rPr>
          <w:sz w:val="20"/>
        </w:rPr>
      </w:pPr>
      <w:r w:rsidRPr="007C0DF1">
        <w:rPr>
          <w:sz w:val="20"/>
        </w:rPr>
        <w:tab/>
        <w:t xml:space="preserve">In the course of a murder investigation, the police obtained and executed a search warrant in respect of a </w:t>
      </w:r>
      <w:proofErr w:type="spellStart"/>
      <w:r w:rsidRPr="007C0DF1">
        <w:rPr>
          <w:sz w:val="20"/>
        </w:rPr>
        <w:t>four</w:t>
      </w:r>
      <w:r w:rsidRPr="007C0DF1">
        <w:rPr>
          <w:sz w:val="20"/>
        </w:rPr>
        <w:noBreakHyphen/>
        <w:t>bedroom</w:t>
      </w:r>
      <w:proofErr w:type="spellEnd"/>
      <w:r w:rsidRPr="007C0DF1">
        <w:rPr>
          <w:sz w:val="20"/>
        </w:rPr>
        <w:t xml:space="preserve"> townhouse which operated as a rooming house.  During the search, the police found a </w:t>
      </w:r>
      <w:proofErr w:type="spellStart"/>
      <w:r w:rsidRPr="007C0DF1">
        <w:rPr>
          <w:sz w:val="20"/>
        </w:rPr>
        <w:t>sawed</w:t>
      </w:r>
      <w:r w:rsidRPr="007C0DF1">
        <w:rPr>
          <w:sz w:val="20"/>
        </w:rPr>
        <w:noBreakHyphen/>
        <w:t>off</w:t>
      </w:r>
      <w:proofErr w:type="spellEnd"/>
      <w:r w:rsidRPr="007C0DF1">
        <w:rPr>
          <w:sz w:val="20"/>
        </w:rPr>
        <w:t xml:space="preserve"> shotgun and ammunition in the room rented by the accused.  The accused was charged with possession of a </w:t>
      </w:r>
      <w:proofErr w:type="spellStart"/>
      <w:r w:rsidRPr="007C0DF1">
        <w:rPr>
          <w:sz w:val="20"/>
        </w:rPr>
        <w:t>sawed</w:t>
      </w:r>
      <w:r w:rsidRPr="007C0DF1">
        <w:rPr>
          <w:sz w:val="20"/>
        </w:rPr>
        <w:noBreakHyphen/>
        <w:t>off</w:t>
      </w:r>
      <w:proofErr w:type="spellEnd"/>
      <w:r w:rsidRPr="007C0DF1">
        <w:rPr>
          <w:sz w:val="20"/>
        </w:rPr>
        <w:t xml:space="preserve"> shotgun and ammunition while under weapons prohibitions and while on probation with conditions not to possess weapons.  At trial, the search and seizure were found to be unconstitutional, the evidence was excluded and the accused was acquitted.  On appeal by the Crown, the majority of the Court of Appeal allowed the appeal, set aside the acquittals and remitted the charges for trial.  The accused appeals to this Court as of right.  </w:t>
      </w:r>
    </w:p>
    <w:p w:rsidR="007C0DF1" w:rsidRPr="007C0DF1" w:rsidRDefault="007C0DF1" w:rsidP="007C0DF1">
      <w:pPr>
        <w:pStyle w:val="SCCNormalDoubleSpacing"/>
        <w:spacing w:line="240" w:lineRule="auto"/>
        <w:rPr>
          <w:sz w:val="20"/>
        </w:rPr>
      </w:pPr>
    </w:p>
    <w:p w:rsidR="007C0DF1" w:rsidRDefault="007C0DF1" w:rsidP="007C0DF1">
      <w:pPr>
        <w:pStyle w:val="SCCNormalDoubleSpacing"/>
        <w:spacing w:line="240" w:lineRule="auto"/>
        <w:rPr>
          <w:sz w:val="20"/>
        </w:rPr>
      </w:pPr>
      <w:r w:rsidRPr="007C0DF1">
        <w:rPr>
          <w:i/>
          <w:sz w:val="20"/>
        </w:rPr>
        <w:tab/>
        <w:t>Held</w:t>
      </w:r>
      <w:r w:rsidRPr="007C0DF1">
        <w:rPr>
          <w:sz w:val="20"/>
        </w:rPr>
        <w:t>:  The appeal should be dismissed.</w:t>
      </w:r>
    </w:p>
    <w:p w:rsidR="007C0DF1" w:rsidRPr="007C0DF1" w:rsidRDefault="007C0DF1" w:rsidP="007C0DF1">
      <w:pPr>
        <w:pStyle w:val="SCCNormalDoubleSpacing"/>
        <w:spacing w:line="240" w:lineRule="auto"/>
        <w:rPr>
          <w:sz w:val="20"/>
        </w:rPr>
      </w:pPr>
    </w:p>
    <w:p w:rsidR="007C0DF1" w:rsidRDefault="007C0DF1" w:rsidP="007C0DF1">
      <w:pPr>
        <w:pStyle w:val="SCCNormalDoubleSpacing"/>
        <w:spacing w:line="240" w:lineRule="auto"/>
        <w:rPr>
          <w:sz w:val="20"/>
        </w:rPr>
      </w:pPr>
      <w:r w:rsidRPr="007C0DF1">
        <w:rPr>
          <w:sz w:val="20"/>
        </w:rPr>
        <w:tab/>
        <w:t xml:space="preserve">There were sufficient grounds upon which the issuing justice of the peace could have authorized the search warrant.  The majority of the Court of Appeal rightly concluded that the search and seizure were constitutional and that the trial judge erred in excluding the evidence of the shotgun and ammunition.  They followed the correct approach to reviewing the sufficiency of a warrant application. </w:t>
      </w:r>
    </w:p>
    <w:p w:rsidR="007C0DF1" w:rsidRPr="007C0DF1" w:rsidRDefault="007C0DF1" w:rsidP="007C0DF1">
      <w:pPr>
        <w:pStyle w:val="SCCNormalDoubleSpacing"/>
        <w:spacing w:line="240" w:lineRule="auto"/>
        <w:rPr>
          <w:sz w:val="20"/>
        </w:rPr>
      </w:pPr>
    </w:p>
    <w:p w:rsidR="007C0DF1" w:rsidRDefault="007C0DF1" w:rsidP="007C0DF1">
      <w:pPr>
        <w:pStyle w:val="SCCNormalDoubleSpacing"/>
        <w:spacing w:line="240" w:lineRule="auto"/>
        <w:rPr>
          <w:sz w:val="20"/>
        </w:rPr>
      </w:pPr>
      <w:r w:rsidRPr="007C0DF1">
        <w:rPr>
          <w:sz w:val="20"/>
        </w:rPr>
        <w:tab/>
        <w:t xml:space="preserve">In order to comply with s. 8 of the </w:t>
      </w:r>
      <w:r w:rsidRPr="007C0DF1">
        <w:rPr>
          <w:i/>
          <w:sz w:val="20"/>
        </w:rPr>
        <w:t>Charter</w:t>
      </w:r>
      <w:r w:rsidRPr="007C0DF1">
        <w:rPr>
          <w:sz w:val="20"/>
        </w:rPr>
        <w:t>, prior to conducting a search the police must provide reasonable and probable grounds, established upon oath, to believe that an offence has been committed and that there is evidence to be found at the place of the search.  The question for a reviewing court is not whether the reviewing court itself would have issued the warrant, but whether there was sufficient credible and reliable evidence to permit an issuing justice to authorize the warrant.  In conducting this analysis, the reviewing court must exclude erroneous information from the Information to Obtain a Search Warrant (“ITO”) and may have reference to material properly received as “amplification” evidence.  The accused bears the burden of demonstrating that the ITO is insufficient.</w:t>
      </w:r>
    </w:p>
    <w:p w:rsidR="007C0DF1" w:rsidRPr="007C0DF1" w:rsidRDefault="007C0DF1" w:rsidP="007C0DF1">
      <w:pPr>
        <w:pStyle w:val="SCCNormalDoubleSpacing"/>
        <w:spacing w:line="240" w:lineRule="auto"/>
        <w:rPr>
          <w:sz w:val="20"/>
        </w:rPr>
      </w:pPr>
    </w:p>
    <w:p w:rsidR="007C0DF1" w:rsidRPr="007C0DF1" w:rsidRDefault="007C0DF1" w:rsidP="007C0DF1">
      <w:pPr>
        <w:pStyle w:val="SCCNormalDoubleSpacing"/>
        <w:spacing w:line="240" w:lineRule="auto"/>
        <w:rPr>
          <w:sz w:val="20"/>
        </w:rPr>
      </w:pPr>
      <w:r w:rsidRPr="007C0DF1">
        <w:rPr>
          <w:sz w:val="20"/>
        </w:rPr>
        <w:tab/>
        <w:t xml:space="preserve">The </w:t>
      </w:r>
      <w:proofErr w:type="spellStart"/>
      <w:r w:rsidRPr="007C0DF1">
        <w:rPr>
          <w:sz w:val="20"/>
        </w:rPr>
        <w:t>accused’s</w:t>
      </w:r>
      <w:proofErr w:type="spellEnd"/>
      <w:r w:rsidRPr="007C0DF1">
        <w:rPr>
          <w:sz w:val="20"/>
        </w:rPr>
        <w:t xml:space="preserve"> expectation of privacy in his room within the townhouse is just as high as that of a resident of a single dwelling unit.  In drafting ITOs proposing to search more than one unit within a multi</w:t>
      </w:r>
      <w:r w:rsidRPr="007C0DF1">
        <w:rPr>
          <w:sz w:val="20"/>
        </w:rPr>
        <w:noBreakHyphen/>
        <w:t xml:space="preserve">unit dwelling, this principle should be reflected by clearly setting out reasonable and probable grounds for each unit to be searched.  The drafting of this ITO left much to be desired in this respect.  It also appears that the trial judge was not given some portions of the ITO until the very end of the hearing.  Coupled with the lack of clarity in the ITO’s drafting, this may have accounted for the trial judge’s errors.  Nonetheless, the majority of the Court of Appeal’s assessment of the </w:t>
      </w:r>
      <w:r w:rsidRPr="007C0DF1">
        <w:rPr>
          <w:sz w:val="20"/>
        </w:rPr>
        <w:lastRenderedPageBreak/>
        <w:t xml:space="preserve">sufficiency of the record was correct.  The accused has failed to establish that there were insufficient grounds to issue a warrant to search his room.  </w:t>
      </w:r>
    </w:p>
    <w:p w:rsidR="007C0DF1" w:rsidRPr="007C0DF1" w:rsidRDefault="007C0DF1" w:rsidP="007C0DF1">
      <w:pPr>
        <w:rPr>
          <w:rFonts w:cs="Times New Roman"/>
          <w:sz w:val="20"/>
          <w:szCs w:val="20"/>
        </w:rPr>
      </w:pPr>
    </w:p>
    <w:p w:rsidR="007C0DF1" w:rsidRDefault="007C0DF1" w:rsidP="007C0DF1">
      <w:pPr>
        <w:pStyle w:val="SCCNormalDoubleSpacing"/>
        <w:spacing w:line="240" w:lineRule="auto"/>
        <w:rPr>
          <w:sz w:val="20"/>
        </w:rPr>
      </w:pPr>
      <w:r w:rsidRPr="00660CA6">
        <w:rPr>
          <w:sz w:val="20"/>
          <w:lang w:val="en-US"/>
        </w:rPr>
        <w:tab/>
      </w:r>
      <w:r w:rsidRPr="007C0DF1">
        <w:rPr>
          <w:sz w:val="20"/>
        </w:rPr>
        <w:t xml:space="preserve">APPEAL from a judgment of the Ontario Court of Appeal (Doherty, </w:t>
      </w:r>
      <w:proofErr w:type="spellStart"/>
      <w:r w:rsidRPr="007C0DF1">
        <w:rPr>
          <w:sz w:val="20"/>
        </w:rPr>
        <w:t>Juriansz</w:t>
      </w:r>
      <w:proofErr w:type="spellEnd"/>
      <w:r w:rsidRPr="007C0DF1">
        <w:rPr>
          <w:sz w:val="20"/>
        </w:rPr>
        <w:t xml:space="preserve"> and </w:t>
      </w:r>
      <w:proofErr w:type="spellStart"/>
      <w:r w:rsidRPr="007C0DF1">
        <w:rPr>
          <w:sz w:val="20"/>
        </w:rPr>
        <w:t>Karakatsanis</w:t>
      </w:r>
      <w:proofErr w:type="spellEnd"/>
      <w:r w:rsidRPr="007C0DF1">
        <w:rPr>
          <w:sz w:val="20"/>
        </w:rPr>
        <w:t xml:space="preserve"> JJ.A.), 2010 ONCA 588, 270 O.A.C. 349, 261 C.C.C. (3d) 1, 216 C.R.R. (2d) 303, 78 C.R. (6th) 299, [2010] O.J. No. 3767 (QL), 2010 </w:t>
      </w:r>
      <w:proofErr w:type="spellStart"/>
      <w:r w:rsidRPr="007C0DF1">
        <w:rPr>
          <w:sz w:val="20"/>
        </w:rPr>
        <w:t>CarswellOnt</w:t>
      </w:r>
      <w:proofErr w:type="spellEnd"/>
      <w:r w:rsidRPr="007C0DF1">
        <w:rPr>
          <w:sz w:val="20"/>
        </w:rPr>
        <w:t xml:space="preserve"> 6691, setting aside the decision of </w:t>
      </w:r>
      <w:proofErr w:type="spellStart"/>
      <w:r w:rsidRPr="007C0DF1">
        <w:rPr>
          <w:sz w:val="20"/>
        </w:rPr>
        <w:t>Croll</w:t>
      </w:r>
      <w:proofErr w:type="spellEnd"/>
      <w:r w:rsidRPr="007C0DF1">
        <w:rPr>
          <w:sz w:val="20"/>
        </w:rPr>
        <w:t xml:space="preserve"> J., [2009] O.J. No. 4772 (QL), 2009 </w:t>
      </w:r>
      <w:proofErr w:type="spellStart"/>
      <w:r w:rsidRPr="007C0DF1">
        <w:rPr>
          <w:sz w:val="20"/>
        </w:rPr>
        <w:t>CarswellOnt</w:t>
      </w:r>
      <w:proofErr w:type="spellEnd"/>
      <w:r w:rsidRPr="007C0DF1">
        <w:rPr>
          <w:sz w:val="20"/>
        </w:rPr>
        <w:t xml:space="preserve"> 9499, and ordering a new trial. Appeal dismissed.</w:t>
      </w:r>
    </w:p>
    <w:p w:rsidR="007C0DF1" w:rsidRPr="007C0DF1" w:rsidRDefault="007C0DF1" w:rsidP="007C0DF1">
      <w:pPr>
        <w:pStyle w:val="SCCNormalDoubleSpacing"/>
        <w:spacing w:line="240" w:lineRule="auto"/>
        <w:rPr>
          <w:sz w:val="20"/>
        </w:rPr>
      </w:pPr>
    </w:p>
    <w:p w:rsidR="007C0DF1" w:rsidRDefault="007C0DF1" w:rsidP="007C0DF1">
      <w:pPr>
        <w:pStyle w:val="SCCNormalDoubleSpacing"/>
        <w:spacing w:line="240" w:lineRule="auto"/>
        <w:rPr>
          <w:rStyle w:val="SCCCounselPartyRoleChar"/>
          <w:sz w:val="20"/>
        </w:rPr>
      </w:pPr>
      <w:r w:rsidRPr="007C0DF1">
        <w:rPr>
          <w:rStyle w:val="SCCCounselNameChar"/>
          <w:sz w:val="20"/>
        </w:rPr>
        <w:tab/>
      </w:r>
      <w:proofErr w:type="gramStart"/>
      <w:r w:rsidRPr="007C0DF1">
        <w:rPr>
          <w:rStyle w:val="SCCCounselNameChar"/>
          <w:sz w:val="20"/>
        </w:rPr>
        <w:t xml:space="preserve">Dirk </w:t>
      </w:r>
      <w:proofErr w:type="spellStart"/>
      <w:r w:rsidRPr="007C0DF1">
        <w:rPr>
          <w:rStyle w:val="SCCCounselNameChar"/>
          <w:sz w:val="20"/>
        </w:rPr>
        <w:t>Derstine</w:t>
      </w:r>
      <w:proofErr w:type="spellEnd"/>
      <w:r w:rsidRPr="007C0DF1">
        <w:rPr>
          <w:rStyle w:val="SCCCounselSeparatorChar"/>
          <w:sz w:val="20"/>
          <w:lang w:val="en-US"/>
        </w:rPr>
        <w:t xml:space="preserve"> and </w:t>
      </w:r>
      <w:proofErr w:type="spellStart"/>
      <w:r w:rsidRPr="007C0DF1">
        <w:rPr>
          <w:rStyle w:val="SCCCounselNameChar"/>
          <w:sz w:val="20"/>
        </w:rPr>
        <w:t>Mariya</w:t>
      </w:r>
      <w:proofErr w:type="spellEnd"/>
      <w:r w:rsidRPr="007C0DF1">
        <w:rPr>
          <w:rStyle w:val="SCCCounselNameChar"/>
          <w:sz w:val="20"/>
        </w:rPr>
        <w:t xml:space="preserve"> </w:t>
      </w:r>
      <w:proofErr w:type="spellStart"/>
      <w:r w:rsidRPr="007C0DF1">
        <w:rPr>
          <w:rStyle w:val="SCCCounselNameChar"/>
          <w:sz w:val="20"/>
        </w:rPr>
        <w:t>Yakusheva</w:t>
      </w:r>
      <w:proofErr w:type="spellEnd"/>
      <w:r w:rsidRPr="007C0DF1">
        <w:rPr>
          <w:rStyle w:val="SCCCounselPartyRoleChar"/>
          <w:sz w:val="20"/>
        </w:rPr>
        <w:t>, for the appellant.</w:t>
      </w:r>
      <w:proofErr w:type="gramEnd"/>
    </w:p>
    <w:p w:rsidR="007C0DF1" w:rsidRPr="007C0DF1" w:rsidRDefault="007C0DF1" w:rsidP="007C0DF1">
      <w:pPr>
        <w:pStyle w:val="SCCNormalDoubleSpacing"/>
        <w:spacing w:line="240" w:lineRule="auto"/>
        <w:rPr>
          <w:sz w:val="20"/>
        </w:rPr>
      </w:pPr>
    </w:p>
    <w:p w:rsidR="007C0DF1" w:rsidRDefault="007C0DF1" w:rsidP="007C0DF1">
      <w:pPr>
        <w:pStyle w:val="SCCNormalDoubleSpacing"/>
        <w:spacing w:line="240" w:lineRule="auto"/>
        <w:rPr>
          <w:rStyle w:val="SCCCounselPartyRoleChar"/>
          <w:sz w:val="20"/>
        </w:rPr>
      </w:pPr>
      <w:r w:rsidRPr="007C0DF1">
        <w:rPr>
          <w:rStyle w:val="SCCCounselNameChar"/>
          <w:sz w:val="20"/>
        </w:rPr>
        <w:tab/>
      </w:r>
      <w:proofErr w:type="gramStart"/>
      <w:r w:rsidRPr="007C0DF1">
        <w:rPr>
          <w:rStyle w:val="SCCCounselNameChar"/>
          <w:sz w:val="20"/>
        </w:rPr>
        <w:t xml:space="preserve">Susan </w:t>
      </w:r>
      <w:proofErr w:type="spellStart"/>
      <w:r w:rsidRPr="007C0DF1">
        <w:rPr>
          <w:rStyle w:val="SCCCounselNameChar"/>
          <w:sz w:val="20"/>
        </w:rPr>
        <w:t>Ficek</w:t>
      </w:r>
      <w:proofErr w:type="spellEnd"/>
      <w:r w:rsidRPr="007C0DF1">
        <w:rPr>
          <w:rStyle w:val="SCCCounselPartyRoleChar"/>
          <w:sz w:val="20"/>
        </w:rPr>
        <w:t xml:space="preserve">, for the </w:t>
      </w:r>
      <w:r w:rsidRPr="007C0DF1">
        <w:rPr>
          <w:sz w:val="20"/>
        </w:rPr>
        <w:t>respondent</w:t>
      </w:r>
      <w:r w:rsidRPr="007C0DF1">
        <w:rPr>
          <w:rStyle w:val="SCCCounselPartyRoleChar"/>
          <w:sz w:val="20"/>
        </w:rPr>
        <w:t>.</w:t>
      </w:r>
      <w:proofErr w:type="gramEnd"/>
    </w:p>
    <w:p w:rsidR="007C0DF1" w:rsidRPr="007C0DF1" w:rsidRDefault="007C0DF1" w:rsidP="007C0DF1">
      <w:pPr>
        <w:pStyle w:val="SCCNormalDoubleSpacing"/>
        <w:spacing w:line="240" w:lineRule="auto"/>
        <w:rPr>
          <w:sz w:val="20"/>
        </w:rPr>
      </w:pPr>
    </w:p>
    <w:p w:rsidR="007C0DF1" w:rsidRPr="007C0DF1" w:rsidRDefault="007C0DF1" w:rsidP="007C0DF1">
      <w:pPr>
        <w:pStyle w:val="SCCNormalDoubleSpacing"/>
        <w:spacing w:line="240" w:lineRule="auto"/>
        <w:rPr>
          <w:sz w:val="20"/>
        </w:rPr>
      </w:pPr>
      <w:r w:rsidRPr="007C0DF1">
        <w:rPr>
          <w:rStyle w:val="SCCCounselNameChar"/>
          <w:sz w:val="20"/>
        </w:rPr>
        <w:tab/>
      </w:r>
      <w:proofErr w:type="gramStart"/>
      <w:r w:rsidRPr="007C0DF1">
        <w:rPr>
          <w:rStyle w:val="SCCCounselNameChar"/>
          <w:sz w:val="20"/>
        </w:rPr>
        <w:t xml:space="preserve">Frank </w:t>
      </w:r>
      <w:proofErr w:type="spellStart"/>
      <w:r w:rsidRPr="007C0DF1">
        <w:rPr>
          <w:rStyle w:val="SCCCounselNameChar"/>
          <w:sz w:val="20"/>
        </w:rPr>
        <w:t>Addario</w:t>
      </w:r>
      <w:proofErr w:type="spellEnd"/>
      <w:r w:rsidRPr="007C0DF1">
        <w:rPr>
          <w:rStyle w:val="SCCCounselSeparatorChar"/>
          <w:sz w:val="20"/>
          <w:lang w:val="en-US"/>
        </w:rPr>
        <w:t xml:space="preserve"> and </w:t>
      </w:r>
      <w:r w:rsidRPr="007C0DF1">
        <w:rPr>
          <w:rStyle w:val="SCCCounselNameChar"/>
          <w:sz w:val="20"/>
        </w:rPr>
        <w:t>Colleen Bauman</w:t>
      </w:r>
      <w:r w:rsidRPr="007C0DF1">
        <w:rPr>
          <w:rStyle w:val="SCCCounselPartyRoleChar"/>
          <w:sz w:val="20"/>
        </w:rPr>
        <w:t>, for the intervener.</w:t>
      </w:r>
      <w:proofErr w:type="gramEnd"/>
    </w:p>
    <w:p w:rsidR="007C0DF1" w:rsidRPr="007C0DF1" w:rsidRDefault="007C0DF1" w:rsidP="007C0DF1">
      <w:pPr>
        <w:rPr>
          <w:rFonts w:cs="Times New Roman"/>
          <w:sz w:val="20"/>
          <w:szCs w:val="20"/>
          <w:lang w:val="fr-CA"/>
        </w:rPr>
      </w:pPr>
      <w:r w:rsidRPr="007C0DF1">
        <w:rPr>
          <w:rFonts w:cs="Times New Roman"/>
          <w:sz w:val="20"/>
          <w:szCs w:val="20"/>
          <w:lang w:val="fr-CA"/>
        </w:rPr>
        <w:t>________________________</w:t>
      </w:r>
    </w:p>
    <w:p w:rsidR="007C0DF1" w:rsidRPr="007C0DF1" w:rsidRDefault="007C0DF1" w:rsidP="005C6840">
      <w:pPr>
        <w:rPr>
          <w:rFonts w:cs="Times New Roman"/>
          <w:sz w:val="20"/>
          <w:szCs w:val="20"/>
          <w:lang w:val="fr-CA"/>
        </w:rPr>
      </w:pPr>
    </w:p>
    <w:p w:rsidR="007C0DF1" w:rsidRPr="007C0DF1" w:rsidRDefault="007C0DF1" w:rsidP="007C0DF1">
      <w:pPr>
        <w:jc w:val="both"/>
        <w:rPr>
          <w:rFonts w:cs="Times New Roman"/>
          <w:sz w:val="20"/>
          <w:szCs w:val="20"/>
          <w:lang w:val="fr-CA"/>
        </w:rPr>
      </w:pPr>
      <w:r w:rsidRPr="007C0DF1">
        <w:rPr>
          <w:rFonts w:cs="Times New Roman"/>
          <w:sz w:val="20"/>
          <w:szCs w:val="20"/>
          <w:lang w:val="fr-CA"/>
        </w:rPr>
        <w:t xml:space="preserve">Présents : Les juges </w:t>
      </w:r>
      <w:proofErr w:type="spellStart"/>
      <w:r w:rsidRPr="007C0DF1">
        <w:rPr>
          <w:rFonts w:cs="Times New Roman"/>
          <w:sz w:val="20"/>
          <w:szCs w:val="20"/>
          <w:lang w:val="fr-CA"/>
        </w:rPr>
        <w:t>LeBel</w:t>
      </w:r>
      <w:proofErr w:type="spellEnd"/>
      <w:r w:rsidRPr="007C0DF1">
        <w:rPr>
          <w:rFonts w:cs="Times New Roman"/>
          <w:sz w:val="20"/>
          <w:szCs w:val="20"/>
          <w:lang w:val="fr-CA"/>
        </w:rPr>
        <w:t xml:space="preserve">, Deschamps, Fish, Abella, Charron, </w:t>
      </w:r>
      <w:proofErr w:type="spellStart"/>
      <w:r w:rsidRPr="007C0DF1">
        <w:rPr>
          <w:rFonts w:cs="Times New Roman"/>
          <w:sz w:val="20"/>
          <w:szCs w:val="20"/>
          <w:lang w:val="fr-CA"/>
        </w:rPr>
        <w:t>Rothstein</w:t>
      </w:r>
      <w:proofErr w:type="spellEnd"/>
      <w:r w:rsidRPr="007C0DF1">
        <w:rPr>
          <w:rFonts w:cs="Times New Roman"/>
          <w:sz w:val="20"/>
          <w:szCs w:val="20"/>
          <w:lang w:val="fr-CA"/>
        </w:rPr>
        <w:t xml:space="preserve"> et Cromwell.</w:t>
      </w:r>
    </w:p>
    <w:p w:rsidR="007C0DF1" w:rsidRPr="00D040D8" w:rsidRDefault="007C0DF1" w:rsidP="00D040D8">
      <w:pPr>
        <w:rPr>
          <w:rFonts w:cs="Times New Roman"/>
          <w:sz w:val="20"/>
          <w:szCs w:val="20"/>
          <w:lang w:val="fr-CA"/>
        </w:rPr>
      </w:pPr>
    </w:p>
    <w:p w:rsidR="00D040D8" w:rsidRDefault="00D040D8" w:rsidP="00D040D8">
      <w:pPr>
        <w:pStyle w:val="SCCNormalDoubleSpacing"/>
        <w:spacing w:line="240" w:lineRule="auto"/>
        <w:rPr>
          <w:i/>
          <w:sz w:val="20"/>
          <w:lang w:val="fr-CA"/>
        </w:rPr>
      </w:pPr>
      <w:r w:rsidRPr="00660CA6">
        <w:rPr>
          <w:i/>
          <w:sz w:val="20"/>
          <w:lang w:val="fr-CA"/>
        </w:rPr>
        <w:tab/>
      </w:r>
      <w:r w:rsidRPr="00D040D8">
        <w:rPr>
          <w:i/>
          <w:sz w:val="20"/>
          <w:lang w:val="fr-CA"/>
        </w:rPr>
        <w:t xml:space="preserve">Droit constitutionnel ― Charte des droits ― Fouilles, perquisitions et saisies ― Validité d’un mandat de perquisition ― Obtention par la police d’un mandat de perquisition relativement à une maison en rangée de quatre chambres à coucher convertie en maison de chambres ― L’accusé y louait une chambre ― L’accusé a été inculpé de possession d’un fusil de chasse à canon tronqué et de munitions alors qu’il était sous le coup d’ordonnances d’interdiction d’avoir des armes en sa possession et d’une ordonnance de probation assortie de conditions, dont celle de ne pas avoir d’armes en sa possession ― Y </w:t>
      </w:r>
      <w:proofErr w:type="spellStart"/>
      <w:r w:rsidRPr="00D040D8">
        <w:rPr>
          <w:i/>
          <w:sz w:val="20"/>
          <w:lang w:val="fr-CA"/>
        </w:rPr>
        <w:t>avait</w:t>
      </w:r>
      <w:r w:rsidRPr="00D040D8">
        <w:rPr>
          <w:i/>
          <w:sz w:val="20"/>
          <w:lang w:val="fr-CA"/>
        </w:rPr>
        <w:noBreakHyphen/>
        <w:t>il</w:t>
      </w:r>
      <w:proofErr w:type="spellEnd"/>
      <w:r w:rsidRPr="00D040D8">
        <w:rPr>
          <w:i/>
          <w:sz w:val="20"/>
          <w:lang w:val="fr-CA"/>
        </w:rPr>
        <w:t xml:space="preserve"> suffisamment de motifs pour permettre au juge de paix de délivrer le mandat de perquisition? ― La fouille de la chambre de l’accusé </w:t>
      </w:r>
      <w:proofErr w:type="spellStart"/>
      <w:r w:rsidRPr="00D040D8">
        <w:rPr>
          <w:i/>
          <w:sz w:val="20"/>
          <w:lang w:val="fr-CA"/>
        </w:rPr>
        <w:t>portait</w:t>
      </w:r>
      <w:r w:rsidRPr="00D040D8">
        <w:rPr>
          <w:i/>
          <w:sz w:val="20"/>
          <w:lang w:val="fr-CA"/>
        </w:rPr>
        <w:noBreakHyphen/>
        <w:t>elle</w:t>
      </w:r>
      <w:proofErr w:type="spellEnd"/>
      <w:r w:rsidRPr="00D040D8">
        <w:rPr>
          <w:i/>
          <w:sz w:val="20"/>
          <w:lang w:val="fr-CA"/>
        </w:rPr>
        <w:t xml:space="preserve"> atteinte aux droits que lui garantit l’art. 8 de la Charte canadienne des droits et libertés? ― Dans l’affirmative, la preuve </w:t>
      </w:r>
      <w:proofErr w:type="spellStart"/>
      <w:r w:rsidRPr="00D040D8">
        <w:rPr>
          <w:i/>
          <w:sz w:val="20"/>
          <w:lang w:val="fr-CA"/>
        </w:rPr>
        <w:t>devait</w:t>
      </w:r>
      <w:r w:rsidRPr="00D040D8">
        <w:rPr>
          <w:i/>
          <w:sz w:val="20"/>
          <w:lang w:val="fr-CA"/>
        </w:rPr>
        <w:noBreakHyphen/>
        <w:t>elle</w:t>
      </w:r>
      <w:proofErr w:type="spellEnd"/>
      <w:r w:rsidRPr="00D040D8">
        <w:rPr>
          <w:i/>
          <w:sz w:val="20"/>
          <w:lang w:val="fr-CA"/>
        </w:rPr>
        <w:t xml:space="preserve"> être écartée en application du par. 24(2) de la Charte?</w:t>
      </w:r>
    </w:p>
    <w:p w:rsidR="00D040D8" w:rsidRPr="00D040D8" w:rsidRDefault="00D040D8" w:rsidP="00D040D8">
      <w:pPr>
        <w:pStyle w:val="SCCNormalDoubleSpacing"/>
        <w:spacing w:line="240" w:lineRule="auto"/>
        <w:rPr>
          <w:i/>
          <w:sz w:val="20"/>
          <w:lang w:val="fr-CA"/>
        </w:rPr>
      </w:pPr>
    </w:p>
    <w:p w:rsidR="00D040D8" w:rsidRDefault="00D040D8" w:rsidP="00D040D8">
      <w:pPr>
        <w:pStyle w:val="SCCNormalDoubleSpacing"/>
        <w:spacing w:line="240" w:lineRule="auto"/>
        <w:rPr>
          <w:i/>
          <w:sz w:val="20"/>
          <w:lang w:val="fr-CA"/>
        </w:rPr>
      </w:pPr>
      <w:r w:rsidRPr="00D040D8">
        <w:rPr>
          <w:i/>
          <w:sz w:val="20"/>
          <w:lang w:val="fr-CA"/>
        </w:rPr>
        <w:tab/>
        <w:t xml:space="preserve">Droit criminel ― Mandat de perquisition ― Validité ― Obtention par la police d’un mandat de perquisition relativement à une maison en rangée de quatre chambres à coucher convertie en maison de chambres ― L’accusé y louait une chambre ― L’accusé a été inculpé de possession d’un fusil de chasse à canon tronqué et de munitions alors qu’il était sous le coup d’ordonnances d’interdiction d’avoir des armes en sa possession et d’une ordonnance de probation assortie de conditions, dont celle de ne pas avoir d’armes en sa possession ― Y </w:t>
      </w:r>
      <w:proofErr w:type="spellStart"/>
      <w:r w:rsidRPr="00D040D8">
        <w:rPr>
          <w:i/>
          <w:sz w:val="20"/>
          <w:lang w:val="fr-CA"/>
        </w:rPr>
        <w:t>avait</w:t>
      </w:r>
      <w:r w:rsidRPr="00D040D8">
        <w:rPr>
          <w:i/>
          <w:sz w:val="20"/>
          <w:lang w:val="fr-CA"/>
        </w:rPr>
        <w:noBreakHyphen/>
        <w:t>il</w:t>
      </w:r>
      <w:proofErr w:type="spellEnd"/>
      <w:r w:rsidRPr="00D040D8">
        <w:rPr>
          <w:i/>
          <w:sz w:val="20"/>
          <w:lang w:val="fr-CA"/>
        </w:rPr>
        <w:t xml:space="preserve"> suffisamment de motifs pour permettre au juge de paix de délivrer le mandat de perquisition?</w:t>
      </w:r>
    </w:p>
    <w:p w:rsidR="00D040D8" w:rsidRPr="00D040D8" w:rsidRDefault="00D040D8" w:rsidP="00D040D8">
      <w:pPr>
        <w:pStyle w:val="SCCNormalDoubleSpacing"/>
        <w:spacing w:line="240" w:lineRule="auto"/>
        <w:rPr>
          <w:i/>
          <w:sz w:val="20"/>
          <w:lang w:val="fr-CA"/>
        </w:rPr>
      </w:pPr>
    </w:p>
    <w:p w:rsidR="00D040D8" w:rsidRDefault="00D040D8" w:rsidP="00D040D8">
      <w:pPr>
        <w:pStyle w:val="SCCNormalDoubleSpacing"/>
        <w:spacing w:line="240" w:lineRule="auto"/>
        <w:rPr>
          <w:sz w:val="20"/>
          <w:lang w:val="fr-CA"/>
        </w:rPr>
      </w:pPr>
      <w:r w:rsidRPr="00D040D8">
        <w:rPr>
          <w:sz w:val="20"/>
          <w:lang w:val="fr-CA"/>
        </w:rPr>
        <w:tab/>
        <w:t xml:space="preserve">Dans le cadre d’une enquête relative à un meurtre, la police a obtenu et exécuté un mandat de perquisition relativement à une maison en rangée de quatre chambres à coucher convertie en maison de chambres.  Au cours de la perquisition, la police a trouvé un fusil de chasse à canon tronqué et des munitions dans la chambre louée par l’accusé.  L’accusé a été inculpé de possession d’un fusil de chasse à canon tronqué et de munitions alors qu’il était sous le coup d’ordonnances d’interdiction d’avoir des armes en sa possession et d’une ordonnance de probation assortie de conditions, dont celle de ne pas avoir d’armes en sa possession.  Au procès, la perquisition et la saisie ont été jugées inconstitutionnelles, la preuve a été écartée, et l’accusé a été acquitté.  Les juges majoritaires de la Cour d’appel ont accueilli l’appel interjeté par le ministère public, annulé les acquittements et renvoyé les accusations au tribunal de première instance.  L’accusé se pourvoit de plein droit devant la Cour.  </w:t>
      </w:r>
    </w:p>
    <w:p w:rsidR="00D040D8" w:rsidRPr="00D040D8" w:rsidRDefault="00D040D8" w:rsidP="00D040D8">
      <w:pPr>
        <w:pStyle w:val="SCCNormalDoubleSpacing"/>
        <w:spacing w:line="240" w:lineRule="auto"/>
        <w:rPr>
          <w:sz w:val="20"/>
          <w:lang w:val="fr-CA"/>
        </w:rPr>
      </w:pPr>
    </w:p>
    <w:p w:rsidR="00D040D8" w:rsidRDefault="00D040D8" w:rsidP="00D040D8">
      <w:pPr>
        <w:pStyle w:val="SCCNormalDoubleSpacing"/>
        <w:spacing w:line="240" w:lineRule="auto"/>
        <w:rPr>
          <w:sz w:val="20"/>
          <w:lang w:val="fr-CA"/>
        </w:rPr>
      </w:pPr>
      <w:r w:rsidRPr="00D040D8">
        <w:rPr>
          <w:i/>
          <w:sz w:val="20"/>
          <w:lang w:val="fr-CA"/>
        </w:rPr>
        <w:tab/>
        <w:t>Arrêt </w:t>
      </w:r>
      <w:r w:rsidRPr="00D040D8">
        <w:rPr>
          <w:sz w:val="20"/>
          <w:lang w:val="fr-CA"/>
        </w:rPr>
        <w:t>: Le pourvoi est rejeté.</w:t>
      </w:r>
    </w:p>
    <w:p w:rsidR="00D040D8" w:rsidRPr="00D040D8" w:rsidRDefault="00D040D8" w:rsidP="00D040D8">
      <w:pPr>
        <w:pStyle w:val="SCCNormalDoubleSpacing"/>
        <w:spacing w:line="240" w:lineRule="auto"/>
        <w:rPr>
          <w:sz w:val="20"/>
          <w:lang w:val="fr-CA"/>
        </w:rPr>
      </w:pPr>
    </w:p>
    <w:p w:rsidR="00D040D8" w:rsidRDefault="00D040D8" w:rsidP="00D040D8">
      <w:pPr>
        <w:pStyle w:val="SCCNormalDoubleSpacing"/>
        <w:spacing w:line="240" w:lineRule="auto"/>
        <w:rPr>
          <w:sz w:val="20"/>
          <w:lang w:val="fr-CA"/>
        </w:rPr>
      </w:pPr>
      <w:r w:rsidRPr="00D040D8">
        <w:rPr>
          <w:sz w:val="20"/>
          <w:lang w:val="fr-CA"/>
        </w:rPr>
        <w:tab/>
        <w:t xml:space="preserve">Il y avait suffisamment de motifs pour permettre au juge de paix de délivrer le mandat de perquisition.  Les juges majoritaires de la Cour d’appel ont conclu à bon droit que la perquisition et la saisie étaient constitutionnelles et que la juge de première instance avait commis une erreur en écartant la preuve constituée par le fusil de chasse et les munitions.  Ils ont correctement suivi la démarche qu’il convient d’appliquer pour réviser le fondement d’une demande de mandat. </w:t>
      </w:r>
    </w:p>
    <w:p w:rsidR="00D040D8" w:rsidRPr="00D040D8" w:rsidRDefault="00D040D8" w:rsidP="00D040D8">
      <w:pPr>
        <w:pStyle w:val="SCCNormalDoubleSpacing"/>
        <w:spacing w:line="240" w:lineRule="auto"/>
        <w:rPr>
          <w:sz w:val="20"/>
          <w:lang w:val="fr-CA"/>
        </w:rPr>
      </w:pPr>
    </w:p>
    <w:p w:rsidR="00D040D8" w:rsidRDefault="00D040D8" w:rsidP="00D040D8">
      <w:pPr>
        <w:pStyle w:val="SCCNormalDoubleSpacing"/>
        <w:spacing w:line="240" w:lineRule="auto"/>
        <w:rPr>
          <w:sz w:val="20"/>
          <w:lang w:val="fr-CA"/>
        </w:rPr>
      </w:pPr>
      <w:r w:rsidRPr="00D040D8">
        <w:rPr>
          <w:sz w:val="20"/>
          <w:lang w:val="fr-CA"/>
        </w:rPr>
        <w:tab/>
        <w:t xml:space="preserve">Pour se conformer à l’art. 8 de la </w:t>
      </w:r>
      <w:r w:rsidRPr="00D040D8">
        <w:rPr>
          <w:i/>
          <w:sz w:val="20"/>
          <w:lang w:val="fr-CA"/>
        </w:rPr>
        <w:t>Charte</w:t>
      </w:r>
      <w:r w:rsidRPr="00D040D8">
        <w:rPr>
          <w:sz w:val="20"/>
          <w:lang w:val="fr-CA"/>
        </w:rPr>
        <w:t xml:space="preserve">, la police doit, avant d’effectuer une perquisition, fournir des motifs raisonnables et probables, dont l’existence est </w:t>
      </w:r>
      <w:r w:rsidRPr="00D040D8">
        <w:rPr>
          <w:sz w:val="20"/>
          <w:lang w:val="fr-FR"/>
        </w:rPr>
        <w:t>établie sous serment, de croire qu’une infraction a été commise et que des éléments de preuve se trouvent à l’endroit de la perquisition</w:t>
      </w:r>
      <w:r w:rsidRPr="00D040D8">
        <w:rPr>
          <w:sz w:val="20"/>
          <w:lang w:val="fr-CA"/>
        </w:rPr>
        <w:t xml:space="preserve">.  Le </w:t>
      </w:r>
      <w:r w:rsidRPr="00D040D8">
        <w:rPr>
          <w:sz w:val="20"/>
          <w:lang w:val="fr-FR"/>
        </w:rPr>
        <w:t xml:space="preserve">tribunal siégeant en révision n’a pas à se demander s’il </w:t>
      </w:r>
      <w:r w:rsidRPr="00D040D8">
        <w:rPr>
          <w:sz w:val="20"/>
          <w:lang w:val="fr-FR"/>
        </w:rPr>
        <w:lastRenderedPageBreak/>
        <w:t xml:space="preserve">aurait </w:t>
      </w:r>
      <w:proofErr w:type="spellStart"/>
      <w:r w:rsidRPr="00D040D8">
        <w:rPr>
          <w:sz w:val="20"/>
          <w:lang w:val="fr-FR"/>
        </w:rPr>
        <w:t>lui</w:t>
      </w:r>
      <w:r w:rsidRPr="00D040D8">
        <w:rPr>
          <w:sz w:val="20"/>
          <w:lang w:val="fr-FR"/>
        </w:rPr>
        <w:noBreakHyphen/>
        <w:t>même</w:t>
      </w:r>
      <w:proofErr w:type="spellEnd"/>
      <w:r w:rsidRPr="00D040D8">
        <w:rPr>
          <w:sz w:val="20"/>
          <w:lang w:val="fr-FR"/>
        </w:rPr>
        <w:t xml:space="preserve"> délivré le mandat, mais s’il existait suffisamment d’éléments de preuve crédibles et fiables pour permettre au juge de paix de délivrer le mandat</w:t>
      </w:r>
      <w:r w:rsidRPr="00D040D8">
        <w:rPr>
          <w:sz w:val="20"/>
          <w:lang w:val="fr-CA"/>
        </w:rPr>
        <w:t xml:space="preserve">.  Lorsqu’il effectue cette analyse, le tribunal siégeant en révision doit </w:t>
      </w:r>
      <w:r w:rsidRPr="00D040D8">
        <w:rPr>
          <w:sz w:val="20"/>
          <w:lang w:val="fr-FR"/>
        </w:rPr>
        <w:t>faire abstraction des renseignements inexacts</w:t>
      </w:r>
      <w:r w:rsidRPr="00D040D8">
        <w:rPr>
          <w:sz w:val="20"/>
          <w:lang w:val="fr-CA"/>
        </w:rPr>
        <w:t xml:space="preserve"> figurant dans la dénonciation </w:t>
      </w:r>
      <w:r w:rsidRPr="00D040D8">
        <w:rPr>
          <w:bCs/>
          <w:sz w:val="20"/>
          <w:lang w:val="fr-CA"/>
        </w:rPr>
        <w:t xml:space="preserve">visant à obtenir un mandat de perquisition </w:t>
      </w:r>
      <w:r w:rsidRPr="00D040D8">
        <w:rPr>
          <w:sz w:val="20"/>
          <w:lang w:val="fr-CA"/>
        </w:rPr>
        <w:t xml:space="preserve">(la « dénonciation »), et il </w:t>
      </w:r>
      <w:r w:rsidRPr="00D040D8">
        <w:rPr>
          <w:sz w:val="20"/>
          <w:lang w:val="fr-FR"/>
        </w:rPr>
        <w:t xml:space="preserve">peut avoir recours </w:t>
      </w:r>
      <w:r w:rsidRPr="00D040D8">
        <w:rPr>
          <w:sz w:val="20"/>
          <w:lang w:val="fr-CA"/>
        </w:rPr>
        <w:t>à</w:t>
      </w:r>
      <w:r w:rsidRPr="00D040D8">
        <w:rPr>
          <w:sz w:val="20"/>
          <w:lang w:val="fr-FR"/>
        </w:rPr>
        <w:t xml:space="preserve"> l’« amplification », c’est</w:t>
      </w:r>
      <w:r w:rsidRPr="00D040D8">
        <w:rPr>
          <w:sz w:val="20"/>
          <w:lang w:val="fr-FR"/>
        </w:rPr>
        <w:noBreakHyphen/>
      </w:r>
      <w:proofErr w:type="spellStart"/>
      <w:r w:rsidRPr="00D040D8">
        <w:rPr>
          <w:sz w:val="20"/>
          <w:lang w:val="fr-FR"/>
        </w:rPr>
        <w:t>à</w:t>
      </w:r>
      <w:r w:rsidRPr="00D040D8">
        <w:rPr>
          <w:sz w:val="20"/>
          <w:lang w:val="fr-FR"/>
        </w:rPr>
        <w:noBreakHyphen/>
        <w:t>dire</w:t>
      </w:r>
      <w:proofErr w:type="spellEnd"/>
      <w:r w:rsidRPr="00D040D8">
        <w:rPr>
          <w:sz w:val="20"/>
          <w:lang w:val="fr-FR"/>
        </w:rPr>
        <w:t xml:space="preserve"> à d’autres éléments de preuve admis à bon droit</w:t>
      </w:r>
      <w:r w:rsidRPr="00D040D8">
        <w:rPr>
          <w:sz w:val="20"/>
          <w:lang w:val="fr-CA"/>
        </w:rPr>
        <w:t xml:space="preserve">.  </w:t>
      </w:r>
      <w:r w:rsidRPr="00D040D8">
        <w:rPr>
          <w:sz w:val="20"/>
          <w:lang w:val="fr-FR"/>
        </w:rPr>
        <w:t>Il appartient à l’accusé de démontrer que la dénonciation ne justifiait pas l’autorisation</w:t>
      </w:r>
      <w:r w:rsidRPr="00D040D8">
        <w:rPr>
          <w:sz w:val="20"/>
          <w:lang w:val="fr-CA"/>
        </w:rPr>
        <w:t>.</w:t>
      </w:r>
    </w:p>
    <w:p w:rsidR="00D040D8" w:rsidRPr="00D040D8" w:rsidRDefault="00D040D8" w:rsidP="00D040D8">
      <w:pPr>
        <w:pStyle w:val="SCCNormalDoubleSpacing"/>
        <w:spacing w:line="240" w:lineRule="auto"/>
        <w:rPr>
          <w:sz w:val="20"/>
          <w:lang w:val="fr-CA"/>
        </w:rPr>
      </w:pPr>
    </w:p>
    <w:p w:rsidR="00D040D8" w:rsidRDefault="00D040D8" w:rsidP="00D040D8">
      <w:pPr>
        <w:pStyle w:val="SCCNormalDoubleSpacing"/>
        <w:spacing w:line="240" w:lineRule="auto"/>
        <w:rPr>
          <w:sz w:val="20"/>
          <w:lang w:val="fr-CA"/>
        </w:rPr>
      </w:pPr>
      <w:r w:rsidRPr="00D040D8">
        <w:rPr>
          <w:sz w:val="20"/>
          <w:lang w:val="fr-CA"/>
        </w:rPr>
        <w:tab/>
        <w:t>L’accusé pouvait s’attendre au respect de sa vie privée dans la chambre qu’il occupait dans la maison au même titre que la personne qui réside dans un logement unifamilial.  Il convient d’appliquer ce principe dans la rédaction de toute dénonciation visant à obtenir un mandat de perquisition de plusieurs logements se trouvant dans le même immeuble, et ce en énonçant clairement les motifs raisonnables et probables pour lesquels chacun de ces derniers doit faire l’objet de la perquisition.  À cet égard, le libellé de la dénonciation laissait beaucoup à désirer.  De plus, il semble que certaines parties de la dénonciation n’ont été remises à la juge de première instance qu’à la toute fin de l’audience.  Ce fait, conjugué au manque de clarté du libellé de la dénonciation, pourrait bien expliquer les erreurs que la juge de première instance a commises.  Néanmoins, les juges majoritaires de la Cour d’appel ont eu raison de conclure que le dossier était suffisant.  L’accusé n’a pas établi qu’il n’y avait pas suffisamment de motifs pour justifier la délivrance d’un mandat autorisant la fouille de sa chambre.</w:t>
      </w:r>
    </w:p>
    <w:p w:rsidR="00D040D8" w:rsidRPr="00D040D8" w:rsidRDefault="00D040D8" w:rsidP="00D040D8">
      <w:pPr>
        <w:pStyle w:val="SCCNormalDoubleSpacing"/>
        <w:spacing w:line="240" w:lineRule="auto"/>
        <w:rPr>
          <w:sz w:val="20"/>
          <w:lang w:val="fr-CA"/>
        </w:rPr>
      </w:pPr>
    </w:p>
    <w:p w:rsidR="00D040D8" w:rsidRDefault="00D040D8" w:rsidP="00D040D8">
      <w:pPr>
        <w:pStyle w:val="SCCNormalDoubleSpacing"/>
        <w:spacing w:line="240" w:lineRule="auto"/>
        <w:rPr>
          <w:sz w:val="20"/>
          <w:lang w:val="fr-CA"/>
        </w:rPr>
      </w:pPr>
      <w:r w:rsidRPr="00660CA6">
        <w:rPr>
          <w:sz w:val="20"/>
          <w:lang w:val="fr-CA"/>
        </w:rPr>
        <w:tab/>
      </w:r>
      <w:r w:rsidRPr="00D040D8">
        <w:rPr>
          <w:sz w:val="20"/>
          <w:lang w:val="fr-CA"/>
        </w:rPr>
        <w:t xml:space="preserve">POURVOI contre un arrêt de la Cour d’appel de l’Ontario (les juges Doherty, </w:t>
      </w:r>
      <w:proofErr w:type="spellStart"/>
      <w:r w:rsidRPr="00D040D8">
        <w:rPr>
          <w:sz w:val="20"/>
          <w:lang w:val="fr-CA"/>
        </w:rPr>
        <w:t>Juriansz</w:t>
      </w:r>
      <w:proofErr w:type="spellEnd"/>
      <w:r w:rsidRPr="00D040D8">
        <w:rPr>
          <w:sz w:val="20"/>
          <w:lang w:val="fr-CA"/>
        </w:rPr>
        <w:t xml:space="preserve"> et </w:t>
      </w:r>
      <w:proofErr w:type="spellStart"/>
      <w:r w:rsidRPr="00D040D8">
        <w:rPr>
          <w:sz w:val="20"/>
          <w:lang w:val="fr-CA"/>
        </w:rPr>
        <w:t>Karakatsanis</w:t>
      </w:r>
      <w:proofErr w:type="spellEnd"/>
      <w:r w:rsidRPr="00D040D8">
        <w:rPr>
          <w:sz w:val="20"/>
          <w:lang w:val="fr-CA"/>
        </w:rPr>
        <w:t xml:space="preserve">), 2010 ONCA 588, 270 O.A.C. 349, 261 C.C.C. (3d) 1, 216 C.R.R. (2d) 303, 78 C.R. (6th) 299, [2010] O.J. No. 3767 (QL), 2010 </w:t>
      </w:r>
      <w:proofErr w:type="spellStart"/>
      <w:r w:rsidRPr="00D040D8">
        <w:rPr>
          <w:sz w:val="20"/>
          <w:lang w:val="fr-CA"/>
        </w:rPr>
        <w:t>CarswellOnt</w:t>
      </w:r>
      <w:proofErr w:type="spellEnd"/>
      <w:r w:rsidRPr="00D040D8">
        <w:rPr>
          <w:sz w:val="20"/>
          <w:lang w:val="fr-CA"/>
        </w:rPr>
        <w:t xml:space="preserve"> 6691, qui a infirmé une décision de la juge </w:t>
      </w:r>
      <w:proofErr w:type="spellStart"/>
      <w:r w:rsidRPr="00D040D8">
        <w:rPr>
          <w:sz w:val="20"/>
          <w:lang w:val="fr-CA"/>
        </w:rPr>
        <w:t>Croll</w:t>
      </w:r>
      <w:proofErr w:type="spellEnd"/>
      <w:r w:rsidRPr="00D040D8">
        <w:rPr>
          <w:sz w:val="20"/>
          <w:lang w:val="fr-CA"/>
        </w:rPr>
        <w:t xml:space="preserve">, [2009] O.J. No. 4772 (QL), 2009 </w:t>
      </w:r>
      <w:proofErr w:type="spellStart"/>
      <w:r w:rsidRPr="00D040D8">
        <w:rPr>
          <w:sz w:val="20"/>
          <w:lang w:val="fr-CA"/>
        </w:rPr>
        <w:t>CarswellOnt</w:t>
      </w:r>
      <w:proofErr w:type="spellEnd"/>
      <w:r w:rsidRPr="00D040D8">
        <w:rPr>
          <w:sz w:val="20"/>
          <w:lang w:val="fr-CA"/>
        </w:rPr>
        <w:t xml:space="preserve"> 9499, et ordonné la tenue d’un nouveau procès.  Pourvoi rejeté.</w:t>
      </w:r>
    </w:p>
    <w:p w:rsidR="00D040D8" w:rsidRPr="00D040D8" w:rsidRDefault="00D040D8" w:rsidP="00D040D8">
      <w:pPr>
        <w:pStyle w:val="SCCNormalDoubleSpacing"/>
        <w:spacing w:line="240" w:lineRule="auto"/>
        <w:rPr>
          <w:sz w:val="20"/>
          <w:lang w:val="fr-CA"/>
        </w:rPr>
      </w:pPr>
    </w:p>
    <w:p w:rsidR="00D040D8" w:rsidRDefault="00D040D8" w:rsidP="00D040D8">
      <w:pPr>
        <w:pStyle w:val="SCCNormalDoubleSpacing"/>
        <w:spacing w:line="240" w:lineRule="auto"/>
        <w:rPr>
          <w:rStyle w:val="SCCCounselPartyRoleChar"/>
          <w:sz w:val="20"/>
          <w:lang w:val="fr-CA"/>
        </w:rPr>
      </w:pPr>
      <w:r w:rsidRPr="00D040D8">
        <w:rPr>
          <w:rStyle w:val="SCCCounselNameChar"/>
          <w:sz w:val="20"/>
          <w:lang w:val="fr-CA"/>
        </w:rPr>
        <w:tab/>
        <w:t xml:space="preserve">Dirk </w:t>
      </w:r>
      <w:proofErr w:type="spellStart"/>
      <w:r w:rsidRPr="00D040D8">
        <w:rPr>
          <w:rStyle w:val="SCCCounselNameChar"/>
          <w:sz w:val="20"/>
          <w:lang w:val="fr-CA"/>
        </w:rPr>
        <w:t>Derstine</w:t>
      </w:r>
      <w:proofErr w:type="spellEnd"/>
      <w:r w:rsidRPr="00D040D8">
        <w:rPr>
          <w:rStyle w:val="SCCCounselSeparatorChar"/>
          <w:sz w:val="20"/>
        </w:rPr>
        <w:t xml:space="preserve"> et </w:t>
      </w:r>
      <w:proofErr w:type="spellStart"/>
      <w:r w:rsidRPr="00D040D8">
        <w:rPr>
          <w:rStyle w:val="SCCCounselNameChar"/>
          <w:sz w:val="20"/>
          <w:lang w:val="fr-CA"/>
        </w:rPr>
        <w:t>Mariya</w:t>
      </w:r>
      <w:proofErr w:type="spellEnd"/>
      <w:r w:rsidRPr="00D040D8">
        <w:rPr>
          <w:rStyle w:val="SCCCounselNameChar"/>
          <w:sz w:val="20"/>
          <w:lang w:val="fr-CA"/>
        </w:rPr>
        <w:t xml:space="preserve"> </w:t>
      </w:r>
      <w:proofErr w:type="spellStart"/>
      <w:r w:rsidRPr="00D040D8">
        <w:rPr>
          <w:rStyle w:val="SCCCounselNameChar"/>
          <w:sz w:val="20"/>
          <w:lang w:val="fr-CA"/>
        </w:rPr>
        <w:t>Yakusheva</w:t>
      </w:r>
      <w:proofErr w:type="spellEnd"/>
      <w:r w:rsidRPr="00D040D8">
        <w:rPr>
          <w:rStyle w:val="SCCCounselPartyRoleChar"/>
          <w:sz w:val="20"/>
          <w:lang w:val="fr-CA"/>
        </w:rPr>
        <w:t>, pour l’appelant.</w:t>
      </w:r>
    </w:p>
    <w:p w:rsidR="00D040D8" w:rsidRPr="00D040D8" w:rsidRDefault="00D040D8" w:rsidP="00D040D8">
      <w:pPr>
        <w:pStyle w:val="SCCNormalDoubleSpacing"/>
        <w:spacing w:line="240" w:lineRule="auto"/>
        <w:rPr>
          <w:sz w:val="20"/>
          <w:lang w:val="fr-CA"/>
        </w:rPr>
      </w:pPr>
    </w:p>
    <w:p w:rsidR="00D040D8" w:rsidRDefault="00D040D8" w:rsidP="00D040D8">
      <w:pPr>
        <w:pStyle w:val="SCCNormalDoubleSpacing"/>
        <w:spacing w:line="240" w:lineRule="auto"/>
        <w:rPr>
          <w:rStyle w:val="SCCCounselPartyRoleChar"/>
          <w:sz w:val="20"/>
          <w:lang w:val="fr-CA"/>
        </w:rPr>
      </w:pPr>
      <w:r w:rsidRPr="00D040D8">
        <w:rPr>
          <w:rStyle w:val="SCCCounselNameChar"/>
          <w:sz w:val="20"/>
          <w:lang w:val="fr-CA"/>
        </w:rPr>
        <w:tab/>
        <w:t xml:space="preserve">Susan </w:t>
      </w:r>
      <w:proofErr w:type="spellStart"/>
      <w:r w:rsidRPr="00D040D8">
        <w:rPr>
          <w:rStyle w:val="SCCCounselNameChar"/>
          <w:sz w:val="20"/>
          <w:lang w:val="fr-CA"/>
        </w:rPr>
        <w:t>Ficek</w:t>
      </w:r>
      <w:proofErr w:type="spellEnd"/>
      <w:r w:rsidRPr="00D040D8">
        <w:rPr>
          <w:rStyle w:val="SCCCounselPartyRoleChar"/>
          <w:sz w:val="20"/>
          <w:lang w:val="fr-CA"/>
        </w:rPr>
        <w:t>, pour l’intimée.</w:t>
      </w:r>
    </w:p>
    <w:p w:rsidR="00D040D8" w:rsidRPr="00D040D8" w:rsidRDefault="00D040D8" w:rsidP="00D040D8">
      <w:pPr>
        <w:pStyle w:val="SCCNormalDoubleSpacing"/>
        <w:spacing w:line="240" w:lineRule="auto"/>
        <w:rPr>
          <w:sz w:val="20"/>
          <w:lang w:val="fr-CA"/>
        </w:rPr>
      </w:pPr>
    </w:p>
    <w:p w:rsidR="00D040D8" w:rsidRPr="00D040D8" w:rsidRDefault="00D040D8" w:rsidP="00D040D8">
      <w:pPr>
        <w:pStyle w:val="SCCNormalDoubleSpacing"/>
        <w:spacing w:line="240" w:lineRule="auto"/>
        <w:rPr>
          <w:sz w:val="20"/>
          <w:lang w:val="fr-CA"/>
        </w:rPr>
      </w:pPr>
      <w:r w:rsidRPr="00D040D8">
        <w:rPr>
          <w:rStyle w:val="SCCCounselNameChar"/>
          <w:sz w:val="20"/>
          <w:lang w:val="fr-CA"/>
        </w:rPr>
        <w:tab/>
        <w:t xml:space="preserve">Frank </w:t>
      </w:r>
      <w:proofErr w:type="spellStart"/>
      <w:r w:rsidRPr="00D040D8">
        <w:rPr>
          <w:rStyle w:val="SCCCounselNameChar"/>
          <w:sz w:val="20"/>
          <w:lang w:val="fr-CA"/>
        </w:rPr>
        <w:t>Addario</w:t>
      </w:r>
      <w:proofErr w:type="spellEnd"/>
      <w:r w:rsidRPr="00D040D8">
        <w:rPr>
          <w:rStyle w:val="SCCCounselSeparatorChar"/>
          <w:sz w:val="20"/>
        </w:rPr>
        <w:t xml:space="preserve"> et </w:t>
      </w:r>
      <w:proofErr w:type="spellStart"/>
      <w:r w:rsidRPr="00D040D8">
        <w:rPr>
          <w:rStyle w:val="SCCCounselNameChar"/>
          <w:sz w:val="20"/>
          <w:lang w:val="fr-CA"/>
        </w:rPr>
        <w:t>Colleen</w:t>
      </w:r>
      <w:proofErr w:type="spellEnd"/>
      <w:r w:rsidRPr="00D040D8">
        <w:rPr>
          <w:rStyle w:val="SCCCounselNameChar"/>
          <w:sz w:val="20"/>
          <w:lang w:val="fr-CA"/>
        </w:rPr>
        <w:t xml:space="preserve"> </w:t>
      </w:r>
      <w:proofErr w:type="spellStart"/>
      <w:r w:rsidRPr="00D040D8">
        <w:rPr>
          <w:rStyle w:val="SCCCounselNameChar"/>
          <w:sz w:val="20"/>
          <w:lang w:val="fr-CA"/>
        </w:rPr>
        <w:t>Bauman</w:t>
      </w:r>
      <w:proofErr w:type="spellEnd"/>
      <w:r w:rsidRPr="00D040D8">
        <w:rPr>
          <w:rStyle w:val="SCCCounselPartyRoleChar"/>
          <w:sz w:val="20"/>
          <w:lang w:val="fr-CA"/>
        </w:rPr>
        <w:t>, pour l’intervenante.</w:t>
      </w:r>
    </w:p>
    <w:p w:rsidR="007C0DF1" w:rsidRPr="007C0DF1" w:rsidRDefault="007C0DF1" w:rsidP="005C6840">
      <w:pPr>
        <w:rPr>
          <w:rFonts w:cs="Times New Roman"/>
          <w:sz w:val="20"/>
          <w:szCs w:val="20"/>
          <w:lang w:val="fr-CA"/>
        </w:rPr>
      </w:pPr>
    </w:p>
    <w:p w:rsidR="005C6840" w:rsidRDefault="00547297" w:rsidP="005C6840">
      <w:pPr>
        <w:rPr>
          <w:lang w:val="fr-CA"/>
        </w:rPr>
      </w:pPr>
      <w:r w:rsidRPr="00547297">
        <w:rPr>
          <w:rFonts w:cs="Times New Roman"/>
          <w:sz w:val="20"/>
          <w:szCs w:val="20"/>
          <w:lang w:val="fr-CA"/>
        </w:rPr>
        <w:pict>
          <v:rect id="_x0000_i1078" style="width:144.3pt;height:1pt" o:hrpct="300" o:hralign="center" o:hrstd="t" o:hrnoshade="t" o:hr="t" fillcolor="black [3213]" stroked="f"/>
        </w:pict>
      </w:r>
      <w:r w:rsidR="005C6840">
        <w:rPr>
          <w:lang w:val="fr-CA"/>
        </w:rPr>
        <w:br w:type="page"/>
      </w:r>
    </w:p>
    <w:p w:rsidR="0010199C" w:rsidRPr="0010199C" w:rsidRDefault="0010199C" w:rsidP="0010199C">
      <w:pPr>
        <w:jc w:val="both"/>
        <w:rPr>
          <w:sz w:val="20"/>
          <w:szCs w:val="20"/>
          <w:lang w:val="en-US"/>
        </w:rPr>
      </w:pPr>
      <w:proofErr w:type="gramStart"/>
      <w:r w:rsidRPr="0010199C">
        <w:rPr>
          <w:i/>
          <w:iCs/>
          <w:sz w:val="20"/>
          <w:szCs w:val="20"/>
        </w:rPr>
        <w:lastRenderedPageBreak/>
        <w:t>Olga Maria Nixon v.</w:t>
      </w:r>
      <w:proofErr w:type="gramEnd"/>
      <w:r w:rsidRPr="0010199C">
        <w:rPr>
          <w:i/>
          <w:iCs/>
          <w:sz w:val="20"/>
          <w:szCs w:val="20"/>
        </w:rPr>
        <w:t xml:space="preserve"> Her Majesty the Queen</w:t>
      </w:r>
      <w:r w:rsidRPr="0010199C">
        <w:rPr>
          <w:sz w:val="20"/>
          <w:szCs w:val="20"/>
        </w:rPr>
        <w:t xml:space="preserve"> (Alta.) </w:t>
      </w:r>
      <w:r w:rsidRPr="0010199C">
        <w:rPr>
          <w:sz w:val="20"/>
          <w:szCs w:val="20"/>
          <w:lang w:val="en-US"/>
        </w:rPr>
        <w:t>(33476)</w:t>
      </w:r>
    </w:p>
    <w:p w:rsidR="0010199C" w:rsidRPr="00660CA6" w:rsidRDefault="0010199C" w:rsidP="0010199C">
      <w:pPr>
        <w:jc w:val="both"/>
        <w:rPr>
          <w:rFonts w:cs="Times New Roman"/>
          <w:b/>
          <w:sz w:val="20"/>
          <w:szCs w:val="20"/>
          <w:lang w:val="fr-CA"/>
        </w:rPr>
      </w:pPr>
      <w:proofErr w:type="spellStart"/>
      <w:r w:rsidRPr="00660CA6">
        <w:rPr>
          <w:rFonts w:cs="Times New Roman"/>
          <w:b/>
          <w:sz w:val="20"/>
          <w:szCs w:val="20"/>
          <w:lang w:val="fr-CA"/>
        </w:rPr>
        <w:t>Indexed</w:t>
      </w:r>
      <w:proofErr w:type="spellEnd"/>
      <w:r w:rsidRPr="00660CA6">
        <w:rPr>
          <w:rFonts w:cs="Times New Roman"/>
          <w:b/>
          <w:sz w:val="20"/>
          <w:szCs w:val="20"/>
          <w:lang w:val="fr-CA"/>
        </w:rPr>
        <w:t xml:space="preserve"> as:</w:t>
      </w:r>
      <w:proofErr w:type="gramStart"/>
      <w:r w:rsidRPr="00660CA6">
        <w:rPr>
          <w:rFonts w:cs="Times New Roman"/>
          <w:b/>
          <w:sz w:val="20"/>
          <w:szCs w:val="20"/>
          <w:lang w:val="fr-CA"/>
        </w:rPr>
        <w:t>  R</w:t>
      </w:r>
      <w:proofErr w:type="gramEnd"/>
      <w:r w:rsidRPr="00660CA6">
        <w:rPr>
          <w:rFonts w:cs="Times New Roman"/>
          <w:b/>
          <w:sz w:val="20"/>
          <w:szCs w:val="20"/>
          <w:lang w:val="fr-CA"/>
        </w:rPr>
        <w:t xml:space="preserve">. </w:t>
      </w:r>
      <w:r w:rsidRPr="00660CA6">
        <w:rPr>
          <w:rFonts w:cs="Times New Roman"/>
          <w:b/>
          <w:i/>
          <w:sz w:val="20"/>
          <w:szCs w:val="20"/>
          <w:lang w:val="fr-CA"/>
        </w:rPr>
        <w:t>v.</w:t>
      </w:r>
      <w:r w:rsidRPr="00660CA6">
        <w:rPr>
          <w:rFonts w:cs="Times New Roman"/>
          <w:b/>
          <w:sz w:val="20"/>
          <w:szCs w:val="20"/>
          <w:lang w:val="fr-CA"/>
        </w:rPr>
        <w:t xml:space="preserve"> </w:t>
      </w:r>
      <w:r w:rsidRPr="00660CA6">
        <w:rPr>
          <w:rStyle w:val="SCCRespondentForIndexChar"/>
          <w:rFonts w:eastAsiaTheme="minorHAnsi"/>
          <w:sz w:val="20"/>
          <w:lang w:val="fr-CA"/>
        </w:rPr>
        <w:t xml:space="preserve">Nixon / </w:t>
      </w:r>
      <w:r w:rsidRPr="00660CA6">
        <w:rPr>
          <w:rFonts w:cs="Times New Roman"/>
          <w:b/>
          <w:sz w:val="20"/>
          <w:szCs w:val="20"/>
          <w:lang w:val="fr-CA"/>
        </w:rPr>
        <w:t>Répertorié : </w:t>
      </w:r>
      <w:r w:rsidRPr="00660CA6">
        <w:rPr>
          <w:rStyle w:val="SCCAppellantForIndexChar"/>
          <w:rFonts w:eastAsiaTheme="minorHAnsi"/>
          <w:sz w:val="20"/>
        </w:rPr>
        <w:t>R.</w:t>
      </w:r>
      <w:r w:rsidRPr="00660CA6">
        <w:rPr>
          <w:rFonts w:cs="Times New Roman"/>
          <w:b/>
          <w:sz w:val="20"/>
          <w:szCs w:val="20"/>
          <w:lang w:val="fr-CA"/>
        </w:rPr>
        <w:t xml:space="preserve"> </w:t>
      </w:r>
      <w:r w:rsidRPr="00660CA6">
        <w:rPr>
          <w:rFonts w:cs="Times New Roman"/>
          <w:b/>
          <w:i/>
          <w:sz w:val="20"/>
          <w:szCs w:val="20"/>
          <w:lang w:val="fr-CA"/>
        </w:rPr>
        <w:t>c.</w:t>
      </w:r>
      <w:r w:rsidRPr="00660CA6">
        <w:rPr>
          <w:rFonts w:cs="Times New Roman"/>
          <w:b/>
          <w:sz w:val="20"/>
          <w:szCs w:val="20"/>
          <w:lang w:val="fr-CA"/>
        </w:rPr>
        <w:t xml:space="preserve"> </w:t>
      </w:r>
      <w:r w:rsidRPr="00660CA6">
        <w:rPr>
          <w:rStyle w:val="SCCRespondentForIndexChar"/>
          <w:rFonts w:eastAsiaTheme="minorHAnsi"/>
          <w:sz w:val="20"/>
          <w:lang w:val="fr-CA"/>
        </w:rPr>
        <w:t>Nixon</w:t>
      </w:r>
    </w:p>
    <w:p w:rsidR="0010199C" w:rsidRPr="003B3977" w:rsidRDefault="0010199C" w:rsidP="0010199C">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Pr>
          <w:sz w:val="20"/>
        </w:rPr>
        <w:t>1</w:t>
      </w:r>
      <w:proofErr w:type="gramEnd"/>
      <w:r w:rsidRPr="003B3977">
        <w:rPr>
          <w:sz w:val="20"/>
        </w:rPr>
        <w:t xml:space="preserve"> SCC </w:t>
      </w:r>
      <w:r>
        <w:rPr>
          <w:sz w:val="20"/>
        </w:rPr>
        <w:t>34</w:t>
      </w:r>
      <w:r w:rsidRPr="003B3977">
        <w:rPr>
          <w:sz w:val="20"/>
        </w:rPr>
        <w:t xml:space="preserve"> / Référence neutre : 201</w:t>
      </w:r>
      <w:r>
        <w:rPr>
          <w:sz w:val="20"/>
        </w:rPr>
        <w:t>1</w:t>
      </w:r>
      <w:r w:rsidRPr="003B3977">
        <w:rPr>
          <w:sz w:val="20"/>
        </w:rPr>
        <w:t xml:space="preserve"> CSC </w:t>
      </w:r>
      <w:r>
        <w:rPr>
          <w:sz w:val="20"/>
        </w:rPr>
        <w:t>34</w:t>
      </w:r>
    </w:p>
    <w:p w:rsidR="0010199C" w:rsidRPr="0010199C" w:rsidRDefault="0010199C" w:rsidP="0010199C">
      <w:pPr>
        <w:rPr>
          <w:rFonts w:cs="Times New Roman"/>
          <w:sz w:val="20"/>
          <w:szCs w:val="20"/>
          <w:lang w:val="fr-CA"/>
        </w:rPr>
      </w:pPr>
      <w:proofErr w:type="spellStart"/>
      <w:r w:rsidRPr="0010199C">
        <w:rPr>
          <w:rFonts w:cs="Times New Roman"/>
          <w:sz w:val="20"/>
          <w:szCs w:val="20"/>
          <w:lang w:val="fr-CA"/>
        </w:rPr>
        <w:t>Hearing</w:t>
      </w:r>
      <w:proofErr w:type="spellEnd"/>
      <w:proofErr w:type="gramStart"/>
      <w:r w:rsidRPr="0010199C">
        <w:rPr>
          <w:rFonts w:cs="Times New Roman"/>
          <w:sz w:val="20"/>
          <w:szCs w:val="20"/>
          <w:lang w:val="fr-CA"/>
        </w:rPr>
        <w:t xml:space="preserve">:  </w:t>
      </w:r>
      <w:proofErr w:type="spellStart"/>
      <w:r w:rsidRPr="0010199C">
        <w:rPr>
          <w:rFonts w:cs="Times New Roman"/>
          <w:sz w:val="20"/>
          <w:szCs w:val="20"/>
          <w:lang w:val="fr-CA"/>
        </w:rPr>
        <w:t>December</w:t>
      </w:r>
      <w:proofErr w:type="spellEnd"/>
      <w:proofErr w:type="gramEnd"/>
      <w:r w:rsidRPr="0010199C">
        <w:rPr>
          <w:rFonts w:cs="Times New Roman"/>
          <w:sz w:val="20"/>
          <w:szCs w:val="20"/>
          <w:lang w:val="fr-CA"/>
        </w:rPr>
        <w:t xml:space="preserve"> 15, 2010 / </w:t>
      </w:r>
      <w:proofErr w:type="spellStart"/>
      <w:r w:rsidRPr="0010199C">
        <w:rPr>
          <w:rFonts w:cs="Times New Roman"/>
          <w:sz w:val="20"/>
          <w:szCs w:val="20"/>
          <w:lang w:val="fr-CA"/>
        </w:rPr>
        <w:t>Judgment</w:t>
      </w:r>
      <w:proofErr w:type="spellEnd"/>
      <w:r w:rsidRPr="0010199C">
        <w:rPr>
          <w:rFonts w:cs="Times New Roman"/>
          <w:sz w:val="20"/>
          <w:szCs w:val="20"/>
          <w:lang w:val="fr-CA"/>
        </w:rPr>
        <w:t xml:space="preserve">:  </w:t>
      </w:r>
      <w:proofErr w:type="spellStart"/>
      <w:r w:rsidRPr="0010199C">
        <w:rPr>
          <w:rFonts w:cs="Times New Roman"/>
          <w:sz w:val="20"/>
          <w:szCs w:val="20"/>
          <w:lang w:val="fr-CA"/>
        </w:rPr>
        <w:t>June</w:t>
      </w:r>
      <w:proofErr w:type="spellEnd"/>
      <w:r w:rsidRPr="0010199C">
        <w:rPr>
          <w:rFonts w:cs="Times New Roman"/>
          <w:sz w:val="20"/>
          <w:szCs w:val="20"/>
          <w:lang w:val="fr-CA"/>
        </w:rPr>
        <w:t xml:space="preserve"> 24, 2011</w:t>
      </w:r>
    </w:p>
    <w:p w:rsidR="0010199C" w:rsidRPr="0010199C" w:rsidRDefault="0010199C" w:rsidP="0010199C">
      <w:pPr>
        <w:rPr>
          <w:rFonts w:cs="Times New Roman"/>
          <w:sz w:val="20"/>
          <w:szCs w:val="20"/>
          <w:lang w:val="fr-CA"/>
        </w:rPr>
      </w:pPr>
      <w:r w:rsidRPr="0010199C">
        <w:rPr>
          <w:rFonts w:cs="Times New Roman"/>
          <w:sz w:val="20"/>
          <w:szCs w:val="20"/>
          <w:lang w:val="fr-CA"/>
        </w:rPr>
        <w:t>Audition : Le 15 décembre  2010 / Jugement : Le 24 juin 2011</w:t>
      </w:r>
    </w:p>
    <w:p w:rsidR="0010199C" w:rsidRPr="0010199C" w:rsidRDefault="00547297" w:rsidP="0010199C">
      <w:pPr>
        <w:rPr>
          <w:rFonts w:cs="Times New Roman"/>
          <w:sz w:val="20"/>
          <w:szCs w:val="20"/>
          <w:lang w:val="fr-CA"/>
        </w:rPr>
      </w:pPr>
      <w:r w:rsidRPr="00547297">
        <w:rPr>
          <w:rFonts w:cs="Times New Roman"/>
          <w:i/>
          <w:sz w:val="20"/>
          <w:szCs w:val="20"/>
        </w:rPr>
        <w:pict>
          <v:rect id="_x0000_i1079" style="width:480.95pt;height:1pt" o:hralign="center" o:hrstd="t" o:hrnoshade="t" o:hr="t" fillcolor="black [3213]" stroked="f"/>
        </w:pict>
      </w:r>
    </w:p>
    <w:p w:rsidR="0010199C" w:rsidRPr="003B3977" w:rsidRDefault="0010199C" w:rsidP="0010199C">
      <w:pPr>
        <w:rPr>
          <w:rFonts w:cs="Times New Roman"/>
          <w:sz w:val="20"/>
          <w:szCs w:val="20"/>
          <w:lang w:val="fr-CA"/>
        </w:rPr>
      </w:pPr>
    </w:p>
    <w:p w:rsidR="0010199C" w:rsidRPr="0010199C" w:rsidRDefault="0010199C" w:rsidP="0010199C">
      <w:pPr>
        <w:jc w:val="both"/>
        <w:rPr>
          <w:sz w:val="20"/>
          <w:szCs w:val="20"/>
        </w:rPr>
      </w:pPr>
      <w:r w:rsidRPr="0010199C">
        <w:rPr>
          <w:rFonts w:cs="Times New Roman"/>
          <w:sz w:val="20"/>
          <w:szCs w:val="20"/>
        </w:rPr>
        <w:t xml:space="preserve">Present:  </w:t>
      </w:r>
      <w:proofErr w:type="spellStart"/>
      <w:r w:rsidRPr="0010199C">
        <w:rPr>
          <w:sz w:val="20"/>
          <w:szCs w:val="20"/>
        </w:rPr>
        <w:t>McLachlin</w:t>
      </w:r>
      <w:proofErr w:type="spellEnd"/>
      <w:r w:rsidRPr="0010199C">
        <w:rPr>
          <w:sz w:val="20"/>
          <w:szCs w:val="20"/>
        </w:rPr>
        <w:t xml:space="preserve"> C.J. and </w:t>
      </w:r>
      <w:proofErr w:type="spellStart"/>
      <w:r w:rsidRPr="0010199C">
        <w:rPr>
          <w:sz w:val="20"/>
          <w:szCs w:val="20"/>
        </w:rPr>
        <w:t>Binnie</w:t>
      </w:r>
      <w:proofErr w:type="spellEnd"/>
      <w:r w:rsidRPr="0010199C">
        <w:rPr>
          <w:sz w:val="20"/>
          <w:szCs w:val="20"/>
        </w:rPr>
        <w:t xml:space="preserve">, </w:t>
      </w:r>
      <w:proofErr w:type="spellStart"/>
      <w:r w:rsidRPr="0010199C">
        <w:rPr>
          <w:sz w:val="20"/>
          <w:szCs w:val="20"/>
        </w:rPr>
        <w:t>LeBel</w:t>
      </w:r>
      <w:proofErr w:type="spellEnd"/>
      <w:r w:rsidRPr="0010199C">
        <w:rPr>
          <w:sz w:val="20"/>
          <w:szCs w:val="20"/>
        </w:rPr>
        <w:t xml:space="preserve">, </w:t>
      </w:r>
      <w:proofErr w:type="spellStart"/>
      <w:r w:rsidRPr="0010199C">
        <w:rPr>
          <w:sz w:val="20"/>
          <w:szCs w:val="20"/>
        </w:rPr>
        <w:t>Deschamps</w:t>
      </w:r>
      <w:proofErr w:type="spellEnd"/>
      <w:r w:rsidRPr="0010199C">
        <w:rPr>
          <w:sz w:val="20"/>
          <w:szCs w:val="20"/>
        </w:rPr>
        <w:t xml:space="preserve">, Fish, </w:t>
      </w:r>
      <w:proofErr w:type="spellStart"/>
      <w:r w:rsidRPr="0010199C">
        <w:rPr>
          <w:sz w:val="20"/>
          <w:szCs w:val="20"/>
        </w:rPr>
        <w:t>Abella</w:t>
      </w:r>
      <w:proofErr w:type="spellEnd"/>
      <w:r w:rsidRPr="0010199C">
        <w:rPr>
          <w:sz w:val="20"/>
          <w:szCs w:val="20"/>
        </w:rPr>
        <w:t xml:space="preserve">, </w:t>
      </w:r>
      <w:proofErr w:type="spellStart"/>
      <w:r w:rsidRPr="0010199C">
        <w:rPr>
          <w:sz w:val="20"/>
          <w:szCs w:val="20"/>
        </w:rPr>
        <w:t>Charron</w:t>
      </w:r>
      <w:proofErr w:type="spellEnd"/>
      <w:r w:rsidRPr="0010199C">
        <w:rPr>
          <w:sz w:val="20"/>
          <w:szCs w:val="20"/>
        </w:rPr>
        <w:t>, Rothstein and Cromwell JJ.</w:t>
      </w:r>
    </w:p>
    <w:p w:rsidR="0010199C" w:rsidRDefault="0010199C" w:rsidP="0010199C">
      <w:pPr>
        <w:rPr>
          <w:rFonts w:cs="Times New Roman"/>
          <w:sz w:val="20"/>
          <w:szCs w:val="20"/>
        </w:rPr>
      </w:pPr>
    </w:p>
    <w:p w:rsidR="00C319EC" w:rsidRDefault="00C319EC" w:rsidP="00C319EC">
      <w:pPr>
        <w:pStyle w:val="SCCNormalDoubleSpacing"/>
        <w:spacing w:line="240" w:lineRule="auto"/>
        <w:rPr>
          <w:i/>
          <w:sz w:val="20"/>
        </w:rPr>
      </w:pPr>
      <w:r w:rsidRPr="00C319EC">
        <w:rPr>
          <w:sz w:val="20"/>
        </w:rPr>
        <w:tab/>
      </w:r>
      <w:r w:rsidRPr="00C319EC">
        <w:rPr>
          <w:rStyle w:val="QuoteChar"/>
          <w:sz w:val="20"/>
        </w:rPr>
        <w:t>Constitutional</w:t>
      </w:r>
      <w:r w:rsidRPr="00C319EC">
        <w:rPr>
          <w:sz w:val="20"/>
        </w:rPr>
        <w:t xml:space="preserve"> </w:t>
      </w:r>
      <w:r w:rsidRPr="00C319EC">
        <w:rPr>
          <w:i/>
          <w:sz w:val="20"/>
        </w:rPr>
        <w:t xml:space="preserve">law — Charter of Rights — Right to life, liberty and security of person — Accused charged with dangerous driving causing death, dangerous driving causing bodily harm and parallel charges for impaired driving — Crown and accused entering into plea agreement — Crown subsequently repudiating plea agreement — Whether repudiation amounting to breach of </w:t>
      </w:r>
      <w:proofErr w:type="spellStart"/>
      <w:r w:rsidRPr="00C319EC">
        <w:rPr>
          <w:i/>
          <w:sz w:val="20"/>
        </w:rPr>
        <w:t>accused’s</w:t>
      </w:r>
      <w:proofErr w:type="spellEnd"/>
      <w:r w:rsidRPr="00C319EC">
        <w:rPr>
          <w:i/>
          <w:sz w:val="20"/>
        </w:rPr>
        <w:t xml:space="preserve"> s. 7 Charter rights — Canadian Charter of Rights and Freedoms, s. 7.</w:t>
      </w:r>
    </w:p>
    <w:p w:rsidR="00C449F3" w:rsidRPr="00C319EC" w:rsidRDefault="00C449F3" w:rsidP="00C319EC">
      <w:pPr>
        <w:pStyle w:val="SCCNormalDoubleSpacing"/>
        <w:spacing w:line="240" w:lineRule="auto"/>
        <w:rPr>
          <w:i/>
          <w:sz w:val="20"/>
        </w:rPr>
      </w:pPr>
    </w:p>
    <w:p w:rsidR="00C319EC" w:rsidRDefault="00C319EC" w:rsidP="00C319EC">
      <w:pPr>
        <w:pStyle w:val="SCCNormalDoubleSpacing"/>
        <w:spacing w:line="240" w:lineRule="auto"/>
        <w:rPr>
          <w:i/>
          <w:sz w:val="20"/>
        </w:rPr>
      </w:pPr>
      <w:r w:rsidRPr="00C319EC">
        <w:rPr>
          <w:i/>
          <w:sz w:val="20"/>
        </w:rPr>
        <w:tab/>
        <w:t>Criminal law — Plea agreement — Repudiation — Accused charged with dangerous driving causing death, dangerous driving causing bodily harm and parallel charges for impaired driving — Crown and accused entering into plea agreement — Crown subsequently repudiating plea agreement — Whether act of repudiation matter of tactics or conduct before court or matter of prosecutorial discretion — Whether act of repudiation reviewable on grounds of abuse of process.</w:t>
      </w:r>
    </w:p>
    <w:p w:rsidR="00C319EC" w:rsidRPr="00C319EC" w:rsidRDefault="00C319EC" w:rsidP="00C319EC">
      <w:pPr>
        <w:pStyle w:val="SCCNormalDoubleSpacing"/>
        <w:spacing w:line="240" w:lineRule="auto"/>
        <w:rPr>
          <w:i/>
          <w:sz w:val="20"/>
        </w:rPr>
      </w:pPr>
    </w:p>
    <w:p w:rsidR="00C319EC" w:rsidRDefault="00C319EC" w:rsidP="00C319EC">
      <w:pPr>
        <w:pStyle w:val="SCCNormalDoubleSpacing"/>
        <w:spacing w:line="240" w:lineRule="auto"/>
        <w:rPr>
          <w:sz w:val="20"/>
        </w:rPr>
      </w:pPr>
      <w:r w:rsidRPr="00C319EC">
        <w:rPr>
          <w:sz w:val="20"/>
        </w:rPr>
        <w:tab/>
        <w:t xml:space="preserve">The accused drove her motor home through an intersection and struck another vehicle, killing a husband and wife and injuring their young son.  She was charged with several </w:t>
      </w:r>
      <w:r w:rsidRPr="00C319EC">
        <w:rPr>
          <w:i/>
          <w:sz w:val="20"/>
        </w:rPr>
        <w:t>Criminal Code</w:t>
      </w:r>
      <w:r w:rsidRPr="00C319EC">
        <w:rPr>
          <w:sz w:val="20"/>
        </w:rPr>
        <w:t xml:space="preserve"> offences, including dangerous driving causing death, dangerous driving causing bodily harm, and parallel charges for impaired driving.  Counsel initially entered into a plea agreement according to which the accused would plead guilty to a charge of careless driving under the provincial </w:t>
      </w:r>
      <w:r w:rsidRPr="00C319EC">
        <w:rPr>
          <w:i/>
          <w:sz w:val="20"/>
        </w:rPr>
        <w:t>Traffic Safety Act</w:t>
      </w:r>
      <w:r w:rsidRPr="00C319EC">
        <w:rPr>
          <w:sz w:val="20"/>
        </w:rPr>
        <w:t xml:space="preserve"> with a joint sentence recommendation for </w:t>
      </w:r>
      <w:proofErr w:type="gramStart"/>
      <w:r w:rsidRPr="00C319EC">
        <w:rPr>
          <w:sz w:val="20"/>
        </w:rPr>
        <w:t>an</w:t>
      </w:r>
      <w:proofErr w:type="gramEnd"/>
      <w:r w:rsidRPr="00C319EC">
        <w:rPr>
          <w:sz w:val="20"/>
        </w:rPr>
        <w:t xml:space="preserve"> $1,800 fine in return for which the Crown agreed to withdraw the </w:t>
      </w:r>
      <w:r w:rsidRPr="00C319EC">
        <w:rPr>
          <w:i/>
          <w:sz w:val="20"/>
        </w:rPr>
        <w:t>Criminal Code</w:t>
      </w:r>
      <w:r w:rsidRPr="00C319EC">
        <w:rPr>
          <w:sz w:val="20"/>
        </w:rPr>
        <w:t xml:space="preserve"> charges.  When the Acting Assistant Deputy Minister of the Criminal Justice Division of the Office of the Attorney General saw the proposed resolution, he initiated an inquiry which led him to conclude that Crown counsel’s assessment of the strength of the case was flawed. In his view, a plea to careless driving in the circumstances was contrary to the interests of justice and would bring the administration of justice into disrepute.  Crown counsel was thus instructed to withdraw the plea agreement and to proceed to trial.  In response, the accused brought </w:t>
      </w:r>
      <w:proofErr w:type="gramStart"/>
      <w:r w:rsidRPr="00C319EC">
        <w:rPr>
          <w:sz w:val="20"/>
        </w:rPr>
        <w:t>a</w:t>
      </w:r>
      <w:proofErr w:type="gramEnd"/>
      <w:r w:rsidRPr="00C319EC">
        <w:rPr>
          <w:sz w:val="20"/>
        </w:rPr>
        <w:t xml:space="preserve"> s. 7 </w:t>
      </w:r>
      <w:r w:rsidRPr="00C319EC">
        <w:rPr>
          <w:i/>
          <w:sz w:val="20"/>
        </w:rPr>
        <w:t>Charter</w:t>
      </w:r>
      <w:r w:rsidRPr="00C319EC">
        <w:rPr>
          <w:sz w:val="20"/>
        </w:rPr>
        <w:t xml:space="preserve"> application alleging abuse of process and seeking a court direction requiring the Crown to complete the plea agreement.  The application judge held that negotiations between </w:t>
      </w:r>
      <w:proofErr w:type="gramStart"/>
      <w:r w:rsidRPr="00C319EC">
        <w:rPr>
          <w:sz w:val="20"/>
        </w:rPr>
        <w:t>counsel</w:t>
      </w:r>
      <w:proofErr w:type="gramEnd"/>
      <w:r w:rsidRPr="00C319EC">
        <w:rPr>
          <w:sz w:val="20"/>
        </w:rPr>
        <w:t xml:space="preserve"> after charges are laid are matters of tactics or conduct which are subject to review by the court, and that the repudiation of the plea agreement, in this case, was not justified.  He concluded that the </w:t>
      </w:r>
      <w:proofErr w:type="spellStart"/>
      <w:r w:rsidRPr="00C319EC">
        <w:rPr>
          <w:sz w:val="20"/>
        </w:rPr>
        <w:t>accused’s</w:t>
      </w:r>
      <w:proofErr w:type="spellEnd"/>
      <w:r w:rsidRPr="00C319EC">
        <w:rPr>
          <w:sz w:val="20"/>
        </w:rPr>
        <w:t xml:space="preserve"> s. 7 </w:t>
      </w:r>
      <w:r w:rsidRPr="00C319EC">
        <w:rPr>
          <w:i/>
          <w:sz w:val="20"/>
        </w:rPr>
        <w:t>Charter</w:t>
      </w:r>
      <w:r w:rsidRPr="00C319EC">
        <w:rPr>
          <w:sz w:val="20"/>
        </w:rPr>
        <w:t xml:space="preserve"> right to security of the person had been breached and he directed the Crown to proceed with the agreement.  The Court of Appeal allowed the Crown’s appeal, finding that the repudiation of a plea agreement is a matter of prosecutorial discretion not reviewable by the courts, subject to the doctrine of abuse of process. </w:t>
      </w:r>
    </w:p>
    <w:p w:rsidR="00C319EC" w:rsidRPr="00C319EC" w:rsidRDefault="00C319EC" w:rsidP="00C319EC">
      <w:pPr>
        <w:pStyle w:val="SCCNormalDoubleSpacing"/>
        <w:spacing w:line="240" w:lineRule="auto"/>
        <w:rPr>
          <w:sz w:val="20"/>
        </w:rPr>
      </w:pPr>
    </w:p>
    <w:p w:rsidR="00C319EC" w:rsidRDefault="00C319EC" w:rsidP="00C319EC">
      <w:pPr>
        <w:pStyle w:val="SCCNormalDoubleSpacing"/>
        <w:spacing w:line="240" w:lineRule="auto"/>
        <w:rPr>
          <w:sz w:val="20"/>
        </w:rPr>
      </w:pPr>
      <w:r w:rsidRPr="00C319EC">
        <w:rPr>
          <w:sz w:val="20"/>
        </w:rPr>
        <w:tab/>
      </w:r>
      <w:r w:rsidRPr="00C319EC">
        <w:rPr>
          <w:rStyle w:val="QuoteChar"/>
          <w:sz w:val="20"/>
        </w:rPr>
        <w:t>Held:</w:t>
      </w:r>
      <w:r w:rsidRPr="00C319EC">
        <w:rPr>
          <w:sz w:val="20"/>
        </w:rPr>
        <w:t xml:space="preserve">  The appeal should be dismissed.</w:t>
      </w:r>
    </w:p>
    <w:p w:rsidR="00C319EC" w:rsidRPr="00C319EC" w:rsidRDefault="00C319EC" w:rsidP="00C319EC">
      <w:pPr>
        <w:pStyle w:val="SCCNormalDoubleSpacing"/>
        <w:spacing w:line="240" w:lineRule="auto"/>
        <w:rPr>
          <w:sz w:val="20"/>
        </w:rPr>
      </w:pPr>
    </w:p>
    <w:p w:rsidR="00C319EC" w:rsidRDefault="00C319EC" w:rsidP="00C319EC">
      <w:pPr>
        <w:pStyle w:val="SCCNormalDoubleSpacing"/>
        <w:spacing w:line="240" w:lineRule="auto"/>
        <w:rPr>
          <w:sz w:val="20"/>
        </w:rPr>
      </w:pPr>
      <w:r w:rsidRPr="00C319EC">
        <w:rPr>
          <w:sz w:val="20"/>
        </w:rPr>
        <w:tab/>
        <w:t xml:space="preserve">The crucial importance of the distinction between prosecutorial discretion reviewable only for abuse of process and matters of tactics or conduct before the court governed by the inherent jurisdiction of the criminal trial court to control its own process was fully canvassed and explained in </w:t>
      </w:r>
      <w:r w:rsidRPr="00C319EC">
        <w:rPr>
          <w:i/>
          <w:sz w:val="20"/>
        </w:rPr>
        <w:t>Krieger v. Law Society of Alberta</w:t>
      </w:r>
      <w:r w:rsidRPr="00C319EC">
        <w:rPr>
          <w:sz w:val="20"/>
        </w:rPr>
        <w:t xml:space="preserve">, 2002 SCC 65, [2002] 3 S.C.R. 372.  Subject to the abuse of process doctrine, supervising one litigant’s decision-making process — rather than the conduct of litigants before the court — is beyond the legitimate reach of the court.  The Crown’s decision in this case to </w:t>
      </w:r>
      <w:proofErr w:type="spellStart"/>
      <w:r w:rsidRPr="00C319EC">
        <w:rPr>
          <w:sz w:val="20"/>
        </w:rPr>
        <w:t>resile</w:t>
      </w:r>
      <w:proofErr w:type="spellEnd"/>
      <w:r w:rsidRPr="00C319EC">
        <w:rPr>
          <w:sz w:val="20"/>
        </w:rPr>
        <w:t xml:space="preserve"> from the plea agreement and to continue the prosecution clearly constituted an act of prosecutorial discretion subject to the principles set out in </w:t>
      </w:r>
      <w:r w:rsidRPr="00C319EC">
        <w:rPr>
          <w:i/>
          <w:sz w:val="20"/>
        </w:rPr>
        <w:t>Krieger</w:t>
      </w:r>
      <w:r w:rsidRPr="00C319EC">
        <w:rPr>
          <w:sz w:val="20"/>
        </w:rPr>
        <w:t xml:space="preserve">:  it is only reviewable for abuse of process.  Prosecutorial discretion is not spent with the decision to initiate the proceedings, nor does it terminate with a plea agreement.  So long as the proceedings are ongoing, the Crown may be required to make further decisions about whether the prosecution should be continued, and if so, in respect of what charges. </w:t>
      </w:r>
    </w:p>
    <w:p w:rsidR="00C319EC" w:rsidRPr="00C319EC" w:rsidRDefault="00C319EC" w:rsidP="00C319EC">
      <w:pPr>
        <w:pStyle w:val="SCCNormalDoubleSpacing"/>
        <w:spacing w:line="240" w:lineRule="auto"/>
        <w:rPr>
          <w:sz w:val="20"/>
        </w:rPr>
      </w:pPr>
    </w:p>
    <w:p w:rsidR="00C319EC" w:rsidRDefault="00C319EC" w:rsidP="00C319EC">
      <w:pPr>
        <w:pStyle w:val="SCCNormalDoubleSpacing"/>
        <w:spacing w:line="240" w:lineRule="auto"/>
        <w:rPr>
          <w:sz w:val="20"/>
        </w:rPr>
      </w:pPr>
      <w:r w:rsidRPr="00C319EC">
        <w:rPr>
          <w:sz w:val="20"/>
        </w:rPr>
        <w:tab/>
        <w:t xml:space="preserve">There are two categories of abuse of process under s. 7 of the </w:t>
      </w:r>
      <w:r w:rsidRPr="00C319EC">
        <w:rPr>
          <w:i/>
          <w:sz w:val="20"/>
        </w:rPr>
        <w:t>Charter</w:t>
      </w:r>
      <w:r w:rsidRPr="00C319EC">
        <w:rPr>
          <w:sz w:val="20"/>
        </w:rPr>
        <w:t xml:space="preserve">:  (1) prosecutorial conduct affecting the fairness of the trial; and (2) prosecutorial conduct that contravenes fundamental notions of justice and thus undermines the integrity of the judicial process.  While s. 24(1) of the </w:t>
      </w:r>
      <w:r w:rsidRPr="00C319EC">
        <w:rPr>
          <w:i/>
          <w:sz w:val="20"/>
        </w:rPr>
        <w:t xml:space="preserve">Charter </w:t>
      </w:r>
      <w:r w:rsidRPr="00C319EC">
        <w:rPr>
          <w:sz w:val="20"/>
        </w:rPr>
        <w:t xml:space="preserve">allows for a wide range of remedies, this does not mean that abuse of process can be made out by demonstrating a lesser degree of harm, either to the </w:t>
      </w:r>
      <w:proofErr w:type="spellStart"/>
      <w:r w:rsidRPr="00C319EC">
        <w:rPr>
          <w:sz w:val="20"/>
        </w:rPr>
        <w:t>accused’s</w:t>
      </w:r>
      <w:proofErr w:type="spellEnd"/>
      <w:r w:rsidRPr="00C319EC">
        <w:rPr>
          <w:sz w:val="20"/>
        </w:rPr>
        <w:t xml:space="preserve"> fair trial </w:t>
      </w:r>
      <w:r w:rsidRPr="00C319EC">
        <w:rPr>
          <w:sz w:val="20"/>
        </w:rPr>
        <w:lastRenderedPageBreak/>
        <w:t>interests or to the integrity of the justice system.  Achieving the appropriate balance between societal and individual concerns defines the essential character of abuse of process.</w:t>
      </w:r>
    </w:p>
    <w:p w:rsidR="00C319EC" w:rsidRPr="00C319EC" w:rsidRDefault="00C319EC" w:rsidP="00C319EC">
      <w:pPr>
        <w:pStyle w:val="SCCNormalDoubleSpacing"/>
        <w:spacing w:line="240" w:lineRule="auto"/>
        <w:rPr>
          <w:sz w:val="20"/>
        </w:rPr>
      </w:pPr>
    </w:p>
    <w:p w:rsidR="00C319EC" w:rsidRDefault="00C319EC" w:rsidP="00C319EC">
      <w:pPr>
        <w:pStyle w:val="SCCNormalDoubleSpacing"/>
        <w:spacing w:line="240" w:lineRule="auto"/>
        <w:rPr>
          <w:sz w:val="20"/>
        </w:rPr>
      </w:pPr>
      <w:r w:rsidRPr="00C319EC">
        <w:rPr>
          <w:sz w:val="20"/>
        </w:rPr>
        <w:tab/>
        <w:t xml:space="preserve">The repudiation of a plea agreement may well constitute an abuse of process, either because it results in trial unfairness or meets the narrow residual category of abuse that undermines the integrity of the judicial process.  The more difficult question in this appeal is how the initial exercise of prosecutorial discretion — Crown counsel’s offer to resolve the matter on the basis of a plea to a lesser charge — should figure in the analysis regarding abuse of process.  A plea agreement should not be regarded as a contractual undertaking.  Vitiating factors, such as mistake, misrepresentation or fraud, which usually inform a private party’s right to </w:t>
      </w:r>
      <w:proofErr w:type="spellStart"/>
      <w:r w:rsidRPr="00C319EC">
        <w:rPr>
          <w:sz w:val="20"/>
        </w:rPr>
        <w:t>resile</w:t>
      </w:r>
      <w:proofErr w:type="spellEnd"/>
      <w:r w:rsidRPr="00C319EC">
        <w:rPr>
          <w:sz w:val="20"/>
        </w:rPr>
        <w:t xml:space="preserve"> from a bargain, do not fully capture the public interest considerations which are at play.  However, the analogy can usefully underscore the utmost importance of honouring the agreement.  The situations in which the Crown can properly repudiate a plea agreement are, and must remain, very rare.  Moreover, the reasonably defensible test applied by the application judge to Crown </w:t>
      </w:r>
      <w:proofErr w:type="spellStart"/>
      <w:r w:rsidRPr="00C319EC">
        <w:rPr>
          <w:sz w:val="20"/>
        </w:rPr>
        <w:t>counsel’s</w:t>
      </w:r>
      <w:proofErr w:type="spellEnd"/>
      <w:r w:rsidRPr="00C319EC">
        <w:rPr>
          <w:sz w:val="20"/>
        </w:rPr>
        <w:t xml:space="preserve"> decision to enter into a plea agreement is not the appropriate measure to determine whether there is an abuse of process.  Indeed, it is the circumstances surrounding the repudiation of a plea agreement which should be reviewed to determine whether that decision amounts to an abuse of process.  Reviewing for “reasonableness” a decision made in the exercise of prosecutorial discretion runs contrary to the constitutionally separate role of the Attorney General in the initiation and pursuit of criminal prosecutions as well as the principles set out in </w:t>
      </w:r>
      <w:r w:rsidRPr="00C319EC">
        <w:rPr>
          <w:i/>
          <w:sz w:val="20"/>
        </w:rPr>
        <w:t>Krieger</w:t>
      </w:r>
      <w:r w:rsidRPr="00C319EC">
        <w:rPr>
          <w:sz w:val="20"/>
        </w:rPr>
        <w:t>.</w:t>
      </w:r>
    </w:p>
    <w:p w:rsidR="00C319EC" w:rsidRPr="00C319EC" w:rsidRDefault="00C319EC" w:rsidP="00C319EC">
      <w:pPr>
        <w:pStyle w:val="SCCNormalDoubleSpacing"/>
        <w:spacing w:line="240" w:lineRule="auto"/>
        <w:rPr>
          <w:sz w:val="20"/>
        </w:rPr>
      </w:pPr>
    </w:p>
    <w:p w:rsidR="00C319EC" w:rsidRDefault="00C319EC" w:rsidP="00C319EC">
      <w:pPr>
        <w:pStyle w:val="SCCNormalDoubleSpacing"/>
        <w:spacing w:line="240" w:lineRule="auto"/>
        <w:rPr>
          <w:sz w:val="20"/>
        </w:rPr>
      </w:pPr>
      <w:r w:rsidRPr="00C319EC">
        <w:rPr>
          <w:sz w:val="20"/>
        </w:rPr>
        <w:tab/>
        <w:t xml:space="preserve">Given that acts of prosecutorial discretion are generally beyond the reach of the court, there is good reason to impose a threshold burden on the applicant who alleges abuse of process.  A court should not embark on an inquiry into the reasons behind the exercise of prosecutorial discretion without a proper evidentiary foundation.  However, evidence that a plea agreement has been entered into and subsequently reneged by the Crown meets the requisite threshold.  Further, to the extent that the Crown is the only party who is privy to the information, the evidentiary burden shifts to the Crown to enlighten the court on the circumstances and reasons behind its decision to </w:t>
      </w:r>
      <w:proofErr w:type="spellStart"/>
      <w:r w:rsidRPr="00C319EC">
        <w:rPr>
          <w:sz w:val="20"/>
        </w:rPr>
        <w:t>resile</w:t>
      </w:r>
      <w:proofErr w:type="spellEnd"/>
      <w:r w:rsidRPr="00C319EC">
        <w:rPr>
          <w:sz w:val="20"/>
        </w:rPr>
        <w:t xml:space="preserve"> from the agreement.  The ultimate burden of proving abuse of process, however, remains on the applicant.</w:t>
      </w:r>
    </w:p>
    <w:p w:rsidR="00C319EC" w:rsidRPr="00C319EC" w:rsidRDefault="00C319EC" w:rsidP="00C319EC">
      <w:pPr>
        <w:pStyle w:val="SCCNormalDoubleSpacing"/>
        <w:spacing w:line="240" w:lineRule="auto"/>
        <w:rPr>
          <w:sz w:val="20"/>
        </w:rPr>
      </w:pPr>
    </w:p>
    <w:p w:rsidR="00C319EC" w:rsidRDefault="00C319EC" w:rsidP="00C319EC">
      <w:pPr>
        <w:pStyle w:val="SCCNormalDoubleSpacing"/>
        <w:spacing w:line="240" w:lineRule="auto"/>
        <w:rPr>
          <w:sz w:val="20"/>
        </w:rPr>
      </w:pPr>
      <w:r w:rsidRPr="00C319EC">
        <w:rPr>
          <w:sz w:val="20"/>
        </w:rPr>
        <w:tab/>
        <w:t xml:space="preserve">In this case, the Crown’s repudiation conduct cannot be considered so unfair or oppressive to the accused, or so tainted by bad faith or improper motive, that to allow the Crown to now </w:t>
      </w:r>
      <w:proofErr w:type="gramStart"/>
      <w:r w:rsidRPr="00C319EC">
        <w:rPr>
          <w:sz w:val="20"/>
        </w:rPr>
        <w:t>proceed</w:t>
      </w:r>
      <w:proofErr w:type="gramEnd"/>
      <w:r w:rsidRPr="00C319EC">
        <w:rPr>
          <w:sz w:val="20"/>
        </w:rPr>
        <w:t xml:space="preserve"> on the dangerous driving </w:t>
      </w:r>
      <w:r w:rsidRPr="00C319EC">
        <w:rPr>
          <w:i/>
          <w:sz w:val="20"/>
        </w:rPr>
        <w:t>Criminal Code</w:t>
      </w:r>
      <w:r w:rsidRPr="00C319EC">
        <w:rPr>
          <w:sz w:val="20"/>
        </w:rPr>
        <w:t xml:space="preserve"> charges would tarnish the integrity of the judicial system and thus constitute an abuse of process.  Indeed, the Acting Assistant Deputy Minister, in good faith, determined that Crown counsel’s assessment of the strength of the evidence was erroneous and, on that basis, having regard to the seriousness of the offences, concluded that it would not be in the public interest to terminate the prosecution on the criminal charges.  This can hardly be regarded as evidence of misconduct.  Finally, the accused was returned to the position she was in at the conclusion of the preliminary hearing before the plea agreement was entered into and thus suffered no prejudice as a result of the repudiation. </w:t>
      </w:r>
    </w:p>
    <w:p w:rsidR="00C319EC" w:rsidRPr="00C319EC" w:rsidRDefault="00C319EC" w:rsidP="00C319EC">
      <w:pPr>
        <w:pStyle w:val="SCCNormalDoubleSpacing"/>
        <w:spacing w:line="240" w:lineRule="auto"/>
        <w:rPr>
          <w:sz w:val="20"/>
        </w:rPr>
      </w:pPr>
    </w:p>
    <w:p w:rsidR="00C319EC" w:rsidRDefault="00C319EC" w:rsidP="00C319EC">
      <w:pPr>
        <w:pStyle w:val="SCCNormalDoubleSpacing"/>
        <w:spacing w:line="240" w:lineRule="auto"/>
        <w:rPr>
          <w:sz w:val="20"/>
        </w:rPr>
      </w:pPr>
      <w:r w:rsidRPr="00C319EC">
        <w:rPr>
          <w:sz w:val="20"/>
        </w:rPr>
        <w:tab/>
        <w:t>APPEAL from a judgment of the Alberta Court of Appeal (</w:t>
      </w:r>
      <w:proofErr w:type="spellStart"/>
      <w:r w:rsidRPr="00C319EC">
        <w:rPr>
          <w:sz w:val="20"/>
        </w:rPr>
        <w:t>Côté</w:t>
      </w:r>
      <w:proofErr w:type="spellEnd"/>
      <w:r w:rsidRPr="00C319EC">
        <w:rPr>
          <w:sz w:val="20"/>
        </w:rPr>
        <w:t xml:space="preserve">, </w:t>
      </w:r>
      <w:proofErr w:type="spellStart"/>
      <w:r w:rsidRPr="00C319EC">
        <w:rPr>
          <w:sz w:val="20"/>
        </w:rPr>
        <w:t>Paperny</w:t>
      </w:r>
      <w:proofErr w:type="spellEnd"/>
      <w:r w:rsidRPr="00C319EC">
        <w:rPr>
          <w:sz w:val="20"/>
        </w:rPr>
        <w:t xml:space="preserve"> and </w:t>
      </w:r>
      <w:proofErr w:type="spellStart"/>
      <w:r w:rsidRPr="00C319EC">
        <w:rPr>
          <w:sz w:val="20"/>
        </w:rPr>
        <w:t>Slatter</w:t>
      </w:r>
      <w:proofErr w:type="spellEnd"/>
      <w:r w:rsidRPr="00C319EC">
        <w:rPr>
          <w:sz w:val="20"/>
        </w:rPr>
        <w:t xml:space="preserve"> JJ.A.), 2009 ABCA 269, 8 Alta. L.R. (5th) 384, 464 A.R. 1, 246 C.C.C. (3d) 149, 195 C.R.R. (2d) 352, [2009] 10 W.W.R. 641, 82 M.V.R. (5th) 191, [2009] A.J. No. 871 (QL), 2009 </w:t>
      </w:r>
      <w:proofErr w:type="spellStart"/>
      <w:r w:rsidRPr="00C319EC">
        <w:rPr>
          <w:sz w:val="20"/>
        </w:rPr>
        <w:t>CarswellAlta</w:t>
      </w:r>
      <w:proofErr w:type="spellEnd"/>
      <w:r w:rsidRPr="00C319EC">
        <w:rPr>
          <w:sz w:val="20"/>
        </w:rPr>
        <w:t xml:space="preserve"> 1221, setting aside an order of </w:t>
      </w:r>
      <w:proofErr w:type="spellStart"/>
      <w:r w:rsidRPr="00C319EC">
        <w:rPr>
          <w:sz w:val="20"/>
        </w:rPr>
        <w:t>Ayotte</w:t>
      </w:r>
      <w:proofErr w:type="spellEnd"/>
      <w:r w:rsidRPr="00C319EC">
        <w:rPr>
          <w:sz w:val="20"/>
        </w:rPr>
        <w:t xml:space="preserve"> Prov. Ct. J., 2008 ABPC 20, 89 Alta. L.R. (4th) 156, 445 A.R. 111, 233 C.C.C. (3d) 539, [2008] 8 W.W.R. 740, 61 M.V.R. (5th) 287, [2008] A.J. No. 129 (QL), 2008 </w:t>
      </w:r>
      <w:proofErr w:type="spellStart"/>
      <w:r w:rsidRPr="00C319EC">
        <w:rPr>
          <w:sz w:val="20"/>
        </w:rPr>
        <w:t>CarswellAlta</w:t>
      </w:r>
      <w:proofErr w:type="spellEnd"/>
      <w:r w:rsidRPr="00C319EC">
        <w:rPr>
          <w:sz w:val="20"/>
        </w:rPr>
        <w:t xml:space="preserve"> 162, directing Crown to honour plea agreement. Appeal dismissed.</w:t>
      </w:r>
    </w:p>
    <w:p w:rsidR="00C319EC" w:rsidRPr="00C319EC" w:rsidRDefault="00C319EC" w:rsidP="00C319EC">
      <w:pPr>
        <w:pStyle w:val="SCCNormalDoubleSpacing"/>
        <w:spacing w:line="240" w:lineRule="auto"/>
        <w:rPr>
          <w:sz w:val="20"/>
        </w:rPr>
      </w:pPr>
    </w:p>
    <w:p w:rsidR="00C319EC" w:rsidRDefault="00C319EC" w:rsidP="00C319EC">
      <w:pPr>
        <w:pStyle w:val="SCCNormalDoubleSpacing"/>
        <w:spacing w:line="240" w:lineRule="auto"/>
        <w:rPr>
          <w:rStyle w:val="SCCCounselPartyRoleChar"/>
          <w:sz w:val="20"/>
        </w:rPr>
      </w:pPr>
      <w:r w:rsidRPr="00C319EC">
        <w:rPr>
          <w:rStyle w:val="SCCCounselNameChar"/>
          <w:sz w:val="20"/>
        </w:rPr>
        <w:tab/>
        <w:t xml:space="preserve">Marvin R. </w:t>
      </w:r>
      <w:proofErr w:type="spellStart"/>
      <w:r w:rsidRPr="00C319EC">
        <w:rPr>
          <w:rStyle w:val="SCCCounselNameChar"/>
          <w:sz w:val="20"/>
        </w:rPr>
        <w:t>Bloos</w:t>
      </w:r>
      <w:proofErr w:type="spellEnd"/>
      <w:r w:rsidRPr="00C319EC">
        <w:rPr>
          <w:rStyle w:val="SCCCounselNameChar"/>
          <w:sz w:val="20"/>
        </w:rPr>
        <w:t>, Q.C.,</w:t>
      </w:r>
      <w:r w:rsidRPr="00C319EC">
        <w:rPr>
          <w:rStyle w:val="SCCCounselPartyRoleChar"/>
          <w:sz w:val="20"/>
        </w:rPr>
        <w:t xml:space="preserve"> for the appellant.</w:t>
      </w:r>
    </w:p>
    <w:p w:rsidR="00C319EC" w:rsidRPr="00C319EC" w:rsidRDefault="00C319EC" w:rsidP="00C319EC">
      <w:pPr>
        <w:pStyle w:val="SCCNormalDoubleSpacing"/>
        <w:spacing w:line="240" w:lineRule="auto"/>
        <w:rPr>
          <w:sz w:val="20"/>
        </w:rPr>
      </w:pPr>
    </w:p>
    <w:p w:rsidR="00C319EC" w:rsidRDefault="00C319EC" w:rsidP="00C319EC">
      <w:pPr>
        <w:pStyle w:val="SCCNormalDoubleSpacing"/>
        <w:spacing w:line="240" w:lineRule="auto"/>
        <w:rPr>
          <w:rStyle w:val="SCCCounselPartyRoleChar"/>
          <w:sz w:val="20"/>
        </w:rPr>
      </w:pPr>
      <w:r w:rsidRPr="00C319EC">
        <w:rPr>
          <w:rStyle w:val="SCCCounselNameChar"/>
          <w:sz w:val="20"/>
        </w:rPr>
        <w:tab/>
      </w:r>
      <w:proofErr w:type="spellStart"/>
      <w:proofErr w:type="gramStart"/>
      <w:r w:rsidRPr="00C319EC">
        <w:rPr>
          <w:rStyle w:val="SCCCounselNameChar"/>
          <w:sz w:val="20"/>
        </w:rPr>
        <w:t>Goran</w:t>
      </w:r>
      <w:proofErr w:type="spellEnd"/>
      <w:r w:rsidRPr="00C319EC">
        <w:rPr>
          <w:rStyle w:val="SCCCounselNameChar"/>
          <w:sz w:val="20"/>
        </w:rPr>
        <w:t xml:space="preserve"> </w:t>
      </w:r>
      <w:proofErr w:type="spellStart"/>
      <w:r w:rsidRPr="00C319EC">
        <w:rPr>
          <w:rStyle w:val="SCCCounselNameChar"/>
          <w:sz w:val="20"/>
        </w:rPr>
        <w:t>Tomljanovic</w:t>
      </w:r>
      <w:proofErr w:type="spellEnd"/>
      <w:r w:rsidRPr="00C319EC">
        <w:rPr>
          <w:rStyle w:val="SCCCounselNameChar"/>
          <w:sz w:val="20"/>
        </w:rPr>
        <w:t>, Q.C.,</w:t>
      </w:r>
      <w:r w:rsidRPr="00C319EC">
        <w:rPr>
          <w:rStyle w:val="SCCCounselSeparatorChar"/>
          <w:sz w:val="20"/>
          <w:lang w:val="en-US"/>
        </w:rPr>
        <w:t xml:space="preserve"> and </w:t>
      </w:r>
      <w:r w:rsidRPr="00C319EC">
        <w:rPr>
          <w:rStyle w:val="SCCCounselNameChar"/>
          <w:sz w:val="20"/>
        </w:rPr>
        <w:t xml:space="preserve">Christine </w:t>
      </w:r>
      <w:proofErr w:type="spellStart"/>
      <w:r w:rsidRPr="00C319EC">
        <w:rPr>
          <w:rStyle w:val="SCCCounselNameChar"/>
          <w:sz w:val="20"/>
        </w:rPr>
        <w:t>Rideout</w:t>
      </w:r>
      <w:proofErr w:type="spellEnd"/>
      <w:r w:rsidRPr="00C319EC">
        <w:rPr>
          <w:rStyle w:val="SCCCounselPartyRoleChar"/>
          <w:sz w:val="20"/>
        </w:rPr>
        <w:t>, for the respondent.</w:t>
      </w:r>
      <w:proofErr w:type="gramEnd"/>
    </w:p>
    <w:p w:rsidR="00C319EC" w:rsidRPr="00C319EC" w:rsidRDefault="00C319EC" w:rsidP="00C319EC">
      <w:pPr>
        <w:pStyle w:val="SCCNormalDoubleSpacing"/>
        <w:spacing w:line="240" w:lineRule="auto"/>
        <w:rPr>
          <w:sz w:val="20"/>
        </w:rPr>
      </w:pPr>
    </w:p>
    <w:p w:rsidR="00C319EC" w:rsidRDefault="00C319EC" w:rsidP="00C319EC">
      <w:pPr>
        <w:pStyle w:val="SCCNormalDoubleSpacing"/>
        <w:spacing w:line="240" w:lineRule="auto"/>
        <w:rPr>
          <w:rStyle w:val="SCCCounselPartyRoleChar"/>
          <w:sz w:val="20"/>
        </w:rPr>
      </w:pPr>
      <w:r w:rsidRPr="00C319EC">
        <w:rPr>
          <w:rStyle w:val="SCCCounselNameChar"/>
          <w:sz w:val="20"/>
        </w:rPr>
        <w:tab/>
      </w:r>
      <w:proofErr w:type="gramStart"/>
      <w:r w:rsidRPr="00C319EC">
        <w:rPr>
          <w:rStyle w:val="SCCCounselNameChar"/>
          <w:sz w:val="20"/>
        </w:rPr>
        <w:t>Michal Fairburn</w:t>
      </w:r>
      <w:r w:rsidRPr="00C319EC">
        <w:rPr>
          <w:rStyle w:val="SCCCounselSeparatorChar"/>
          <w:sz w:val="20"/>
          <w:lang w:val="en-US"/>
        </w:rPr>
        <w:t xml:space="preserve"> and </w:t>
      </w:r>
      <w:r w:rsidRPr="00C319EC">
        <w:rPr>
          <w:rStyle w:val="SCCCounselNameChar"/>
          <w:sz w:val="20"/>
        </w:rPr>
        <w:t>Frank Au</w:t>
      </w:r>
      <w:r w:rsidRPr="00C319EC">
        <w:rPr>
          <w:rStyle w:val="SCCCounselPartyRoleChar"/>
          <w:sz w:val="20"/>
        </w:rPr>
        <w:t>, for the intervener the Attorney General of Ontario.</w:t>
      </w:r>
      <w:proofErr w:type="gramEnd"/>
    </w:p>
    <w:p w:rsidR="00C319EC" w:rsidRPr="00C319EC" w:rsidRDefault="00C319EC" w:rsidP="00C319EC">
      <w:pPr>
        <w:pStyle w:val="SCCNormalDoubleSpacing"/>
        <w:spacing w:line="240" w:lineRule="auto"/>
        <w:rPr>
          <w:sz w:val="20"/>
        </w:rPr>
      </w:pPr>
    </w:p>
    <w:p w:rsidR="00C319EC" w:rsidRDefault="00C319EC" w:rsidP="00C319EC">
      <w:pPr>
        <w:pStyle w:val="SCCNormalDoubleSpacing"/>
        <w:spacing w:line="240" w:lineRule="auto"/>
        <w:rPr>
          <w:rStyle w:val="SCCCounselPartyRoleChar"/>
          <w:sz w:val="20"/>
        </w:rPr>
      </w:pPr>
      <w:r w:rsidRPr="00C319EC">
        <w:rPr>
          <w:rStyle w:val="SCCCounselNameChar"/>
          <w:sz w:val="20"/>
        </w:rPr>
        <w:tab/>
      </w:r>
      <w:proofErr w:type="gramStart"/>
      <w:r w:rsidRPr="00C319EC">
        <w:rPr>
          <w:rStyle w:val="SCCCounselNameChar"/>
          <w:sz w:val="20"/>
        </w:rPr>
        <w:t xml:space="preserve">Ami </w:t>
      </w:r>
      <w:proofErr w:type="spellStart"/>
      <w:r w:rsidRPr="00C319EC">
        <w:rPr>
          <w:rStyle w:val="SCCCounselNameChar"/>
          <w:sz w:val="20"/>
        </w:rPr>
        <w:t>Kotler</w:t>
      </w:r>
      <w:proofErr w:type="spellEnd"/>
      <w:r w:rsidRPr="00C319EC">
        <w:rPr>
          <w:rStyle w:val="SCCCounselPartyRoleChar"/>
          <w:sz w:val="20"/>
        </w:rPr>
        <w:t>, for the intervener the Attorney General of Manitoba.</w:t>
      </w:r>
      <w:proofErr w:type="gramEnd"/>
    </w:p>
    <w:p w:rsidR="00C319EC" w:rsidRPr="00C319EC" w:rsidRDefault="00C319EC" w:rsidP="00C319EC">
      <w:pPr>
        <w:pStyle w:val="SCCNormalDoubleSpacing"/>
        <w:spacing w:line="240" w:lineRule="auto"/>
        <w:rPr>
          <w:rStyle w:val="SCCCounselPartyRoleChar"/>
          <w:sz w:val="20"/>
        </w:rPr>
      </w:pPr>
    </w:p>
    <w:p w:rsidR="00C319EC" w:rsidRDefault="00C319EC" w:rsidP="00C319EC">
      <w:pPr>
        <w:pStyle w:val="SCCNormalDoubleSpacing"/>
        <w:spacing w:line="240" w:lineRule="auto"/>
        <w:rPr>
          <w:rStyle w:val="SCCCounselPartyRoleChar"/>
          <w:sz w:val="20"/>
        </w:rPr>
      </w:pPr>
      <w:r w:rsidRPr="00C319EC">
        <w:rPr>
          <w:rStyle w:val="SCCCounselNameChar"/>
          <w:sz w:val="20"/>
        </w:rPr>
        <w:tab/>
      </w:r>
      <w:proofErr w:type="gramStart"/>
      <w:r w:rsidRPr="00C319EC">
        <w:rPr>
          <w:rStyle w:val="SCCCounselNameChar"/>
          <w:sz w:val="20"/>
        </w:rPr>
        <w:t xml:space="preserve">M. Joyce </w:t>
      </w:r>
      <w:proofErr w:type="spellStart"/>
      <w:r w:rsidRPr="00C319EC">
        <w:rPr>
          <w:rStyle w:val="SCCCounselNameChar"/>
          <w:sz w:val="20"/>
        </w:rPr>
        <w:t>DeWitt</w:t>
      </w:r>
      <w:r w:rsidRPr="00C319EC">
        <w:rPr>
          <w:rStyle w:val="SCCCounselNameChar"/>
          <w:sz w:val="20"/>
        </w:rPr>
        <w:noBreakHyphen/>
        <w:t>Van</w:t>
      </w:r>
      <w:proofErr w:type="spellEnd"/>
      <w:r w:rsidRPr="00C319EC">
        <w:rPr>
          <w:rStyle w:val="SCCCounselNameChar"/>
          <w:sz w:val="20"/>
        </w:rPr>
        <w:t xml:space="preserve"> </w:t>
      </w:r>
      <w:proofErr w:type="spellStart"/>
      <w:r w:rsidRPr="00C319EC">
        <w:rPr>
          <w:rStyle w:val="SCCCounselNameChar"/>
          <w:sz w:val="20"/>
        </w:rPr>
        <w:t>Oosten</w:t>
      </w:r>
      <w:proofErr w:type="spellEnd"/>
      <w:r w:rsidRPr="00C319EC">
        <w:rPr>
          <w:rStyle w:val="SCCCounselPartyRoleChar"/>
          <w:sz w:val="20"/>
        </w:rPr>
        <w:t xml:space="preserve">, </w:t>
      </w:r>
      <w:r w:rsidRPr="00C319EC">
        <w:rPr>
          <w:rStyle w:val="SCCCounselPartyRoleChar"/>
          <w:i/>
          <w:sz w:val="20"/>
        </w:rPr>
        <w:t>Q.C.</w:t>
      </w:r>
      <w:r w:rsidRPr="00C319EC">
        <w:rPr>
          <w:rStyle w:val="SCCCounselPartyRoleChar"/>
          <w:sz w:val="20"/>
        </w:rPr>
        <w:t>, for the intervener the Attorney General of British Columbia.</w:t>
      </w:r>
      <w:proofErr w:type="gramEnd"/>
    </w:p>
    <w:p w:rsidR="00C319EC" w:rsidRPr="00C319EC" w:rsidRDefault="00C319EC" w:rsidP="00C319EC">
      <w:pPr>
        <w:pStyle w:val="SCCNormalDoubleSpacing"/>
        <w:spacing w:line="240" w:lineRule="auto"/>
        <w:rPr>
          <w:sz w:val="20"/>
        </w:rPr>
      </w:pPr>
    </w:p>
    <w:p w:rsidR="00C319EC" w:rsidRDefault="00C319EC" w:rsidP="00C319EC">
      <w:pPr>
        <w:pStyle w:val="SCCNormalDoubleSpacing"/>
        <w:spacing w:line="240" w:lineRule="auto"/>
        <w:rPr>
          <w:rStyle w:val="SCCCounselPartyRoleChar"/>
          <w:sz w:val="20"/>
        </w:rPr>
      </w:pPr>
      <w:r w:rsidRPr="00C319EC">
        <w:rPr>
          <w:rStyle w:val="SCCCounselNameChar"/>
          <w:sz w:val="20"/>
        </w:rPr>
        <w:tab/>
        <w:t xml:space="preserve">D’Arcy </w:t>
      </w:r>
      <w:proofErr w:type="spellStart"/>
      <w:r w:rsidRPr="00C319EC">
        <w:rPr>
          <w:rStyle w:val="SCCCounselNameChar"/>
          <w:sz w:val="20"/>
        </w:rPr>
        <w:t>DePoe</w:t>
      </w:r>
      <w:proofErr w:type="spellEnd"/>
      <w:r w:rsidRPr="00C319EC">
        <w:rPr>
          <w:rStyle w:val="SCCCounselPartyRoleChar"/>
          <w:sz w:val="20"/>
        </w:rPr>
        <w:t>, for the intervener the Criminal Trial Lawyers’ Association.</w:t>
      </w:r>
    </w:p>
    <w:p w:rsidR="00C449F3" w:rsidRDefault="00C449F3" w:rsidP="00C319EC">
      <w:pPr>
        <w:pStyle w:val="SCCNormalDoubleSpacing"/>
        <w:spacing w:line="240" w:lineRule="auto"/>
        <w:rPr>
          <w:rStyle w:val="SCCCounselPartyRoleChar"/>
          <w:sz w:val="20"/>
        </w:rPr>
      </w:pPr>
    </w:p>
    <w:p w:rsidR="00C449F3" w:rsidRDefault="00C449F3">
      <w:pPr>
        <w:rPr>
          <w:rFonts w:eastAsia="Times New Roman" w:cs="Times New Roman"/>
          <w:sz w:val="20"/>
          <w:szCs w:val="20"/>
          <w:lang w:eastAsia="en-CA"/>
        </w:rPr>
      </w:pPr>
      <w:r>
        <w:rPr>
          <w:sz w:val="20"/>
        </w:rPr>
        <w:br w:type="page"/>
      </w:r>
    </w:p>
    <w:p w:rsidR="00C319EC" w:rsidRPr="00C319EC" w:rsidRDefault="00C319EC" w:rsidP="00C319EC">
      <w:pPr>
        <w:pStyle w:val="SCCNormalDoubleSpacing"/>
        <w:spacing w:line="240" w:lineRule="auto"/>
        <w:rPr>
          <w:sz w:val="20"/>
        </w:rPr>
      </w:pPr>
      <w:r w:rsidRPr="00C319EC">
        <w:rPr>
          <w:rStyle w:val="SCCCounselNameChar"/>
          <w:sz w:val="20"/>
        </w:rPr>
        <w:lastRenderedPageBreak/>
        <w:tab/>
      </w:r>
      <w:proofErr w:type="gramStart"/>
      <w:r w:rsidRPr="00C319EC">
        <w:rPr>
          <w:rStyle w:val="SCCCounselNameChar"/>
          <w:sz w:val="20"/>
        </w:rPr>
        <w:t xml:space="preserve">Marie </w:t>
      </w:r>
      <w:proofErr w:type="spellStart"/>
      <w:r w:rsidRPr="00C319EC">
        <w:rPr>
          <w:rStyle w:val="SCCCounselNameChar"/>
          <w:sz w:val="20"/>
        </w:rPr>
        <w:t>Henein</w:t>
      </w:r>
      <w:proofErr w:type="spellEnd"/>
      <w:r w:rsidRPr="00C319EC">
        <w:rPr>
          <w:rStyle w:val="SCCCounselPartyRoleChar"/>
          <w:sz w:val="20"/>
        </w:rPr>
        <w:t xml:space="preserve">, </w:t>
      </w:r>
      <w:r w:rsidRPr="00C319EC">
        <w:rPr>
          <w:rStyle w:val="SCCCounselPartyRoleChar"/>
          <w:i/>
          <w:sz w:val="20"/>
        </w:rPr>
        <w:t xml:space="preserve">Matthew </w:t>
      </w:r>
      <w:proofErr w:type="spellStart"/>
      <w:r w:rsidRPr="00C319EC">
        <w:rPr>
          <w:rStyle w:val="SCCCounselPartyRoleChar"/>
          <w:i/>
          <w:sz w:val="20"/>
        </w:rPr>
        <w:t>Gourlay</w:t>
      </w:r>
      <w:proofErr w:type="spellEnd"/>
      <w:r w:rsidRPr="00C319EC">
        <w:rPr>
          <w:rStyle w:val="SCCCounselPartyRoleChar"/>
          <w:sz w:val="20"/>
        </w:rPr>
        <w:t xml:space="preserve"> and </w:t>
      </w:r>
      <w:r w:rsidRPr="00C319EC">
        <w:rPr>
          <w:rStyle w:val="SCCCounselPartyRoleChar"/>
          <w:i/>
          <w:sz w:val="20"/>
        </w:rPr>
        <w:t xml:space="preserve">Lou </w:t>
      </w:r>
      <w:proofErr w:type="spellStart"/>
      <w:r w:rsidRPr="00C319EC">
        <w:rPr>
          <w:rStyle w:val="SCCCounselPartyRoleChar"/>
          <w:i/>
          <w:sz w:val="20"/>
        </w:rPr>
        <w:t>Strezos</w:t>
      </w:r>
      <w:proofErr w:type="spellEnd"/>
      <w:r w:rsidRPr="00C319EC">
        <w:rPr>
          <w:rStyle w:val="SCCCounselPartyRoleChar"/>
          <w:sz w:val="20"/>
        </w:rPr>
        <w:t>, for the intervener the Criminal Lawyers’ Association (Ontario).</w:t>
      </w:r>
      <w:proofErr w:type="gramEnd"/>
    </w:p>
    <w:p w:rsidR="0010199C" w:rsidRPr="00C319EC" w:rsidRDefault="0010199C" w:rsidP="0010199C">
      <w:pPr>
        <w:rPr>
          <w:rFonts w:cs="Times New Roman"/>
          <w:sz w:val="20"/>
          <w:szCs w:val="20"/>
          <w:lang w:val="fr-CA"/>
        </w:rPr>
      </w:pPr>
      <w:r w:rsidRPr="00C319EC">
        <w:rPr>
          <w:rFonts w:cs="Times New Roman"/>
          <w:sz w:val="20"/>
          <w:szCs w:val="20"/>
          <w:lang w:val="fr-CA"/>
        </w:rPr>
        <w:t>________________________</w:t>
      </w:r>
    </w:p>
    <w:p w:rsidR="0010199C" w:rsidRPr="00C319EC" w:rsidRDefault="0010199C" w:rsidP="0010199C">
      <w:pPr>
        <w:rPr>
          <w:rFonts w:cs="Times New Roman"/>
          <w:sz w:val="20"/>
          <w:szCs w:val="20"/>
          <w:lang w:val="fr-CA"/>
        </w:rPr>
      </w:pPr>
    </w:p>
    <w:p w:rsidR="0010199C" w:rsidRPr="0010199C" w:rsidRDefault="0010199C" w:rsidP="0010199C">
      <w:pPr>
        <w:jc w:val="both"/>
        <w:rPr>
          <w:sz w:val="20"/>
          <w:szCs w:val="20"/>
          <w:lang w:val="fr-CA"/>
        </w:rPr>
      </w:pPr>
      <w:r w:rsidRPr="0010199C">
        <w:rPr>
          <w:sz w:val="20"/>
          <w:szCs w:val="20"/>
          <w:lang w:val="fr-CA"/>
        </w:rPr>
        <w:t xml:space="preserve">Présents : La juge en chef </w:t>
      </w:r>
      <w:proofErr w:type="spellStart"/>
      <w:r w:rsidRPr="0010199C">
        <w:rPr>
          <w:sz w:val="20"/>
          <w:szCs w:val="20"/>
          <w:lang w:val="fr-CA"/>
        </w:rPr>
        <w:t>McLachlin</w:t>
      </w:r>
      <w:proofErr w:type="spellEnd"/>
      <w:r w:rsidRPr="0010199C">
        <w:rPr>
          <w:sz w:val="20"/>
          <w:szCs w:val="20"/>
          <w:lang w:val="fr-CA"/>
        </w:rPr>
        <w:t xml:space="preserve"> et les juges </w:t>
      </w:r>
      <w:proofErr w:type="spellStart"/>
      <w:r w:rsidRPr="0010199C">
        <w:rPr>
          <w:sz w:val="20"/>
          <w:szCs w:val="20"/>
          <w:lang w:val="fr-CA"/>
        </w:rPr>
        <w:t>Binnie</w:t>
      </w:r>
      <w:proofErr w:type="spellEnd"/>
      <w:r w:rsidRPr="0010199C">
        <w:rPr>
          <w:sz w:val="20"/>
          <w:szCs w:val="20"/>
          <w:lang w:val="fr-CA"/>
        </w:rPr>
        <w:t xml:space="preserve">, </w:t>
      </w:r>
      <w:proofErr w:type="spellStart"/>
      <w:r w:rsidRPr="0010199C">
        <w:rPr>
          <w:sz w:val="20"/>
          <w:szCs w:val="20"/>
          <w:lang w:val="fr-CA"/>
        </w:rPr>
        <w:t>LeBel</w:t>
      </w:r>
      <w:proofErr w:type="spellEnd"/>
      <w:r w:rsidRPr="0010199C">
        <w:rPr>
          <w:sz w:val="20"/>
          <w:szCs w:val="20"/>
          <w:lang w:val="fr-CA"/>
        </w:rPr>
        <w:t xml:space="preserve">, Deschamps, Fish, Abella, Charron, </w:t>
      </w:r>
      <w:proofErr w:type="spellStart"/>
      <w:r w:rsidRPr="0010199C">
        <w:rPr>
          <w:sz w:val="20"/>
          <w:szCs w:val="20"/>
          <w:lang w:val="fr-CA"/>
        </w:rPr>
        <w:t>Rothstein</w:t>
      </w:r>
      <w:proofErr w:type="spellEnd"/>
      <w:r w:rsidRPr="0010199C">
        <w:rPr>
          <w:sz w:val="20"/>
          <w:szCs w:val="20"/>
          <w:lang w:val="fr-CA"/>
        </w:rPr>
        <w:t xml:space="preserve"> et Cromwell.</w:t>
      </w:r>
    </w:p>
    <w:p w:rsidR="0010199C" w:rsidRPr="0043768A" w:rsidRDefault="0010199C" w:rsidP="0043768A">
      <w:pPr>
        <w:rPr>
          <w:rFonts w:cs="Times New Roman"/>
          <w:sz w:val="20"/>
          <w:szCs w:val="20"/>
          <w:lang w:val="fr-CA"/>
        </w:rPr>
      </w:pPr>
    </w:p>
    <w:p w:rsidR="0043768A" w:rsidRDefault="0043768A" w:rsidP="0043768A">
      <w:pPr>
        <w:pStyle w:val="SCCNormalDoubleSpacing"/>
        <w:spacing w:line="240" w:lineRule="auto"/>
        <w:rPr>
          <w:i/>
          <w:sz w:val="20"/>
          <w:lang w:val="fr-CA"/>
        </w:rPr>
      </w:pPr>
      <w:r w:rsidRPr="00660CA6">
        <w:rPr>
          <w:sz w:val="20"/>
          <w:lang w:val="fr-CA"/>
        </w:rPr>
        <w:tab/>
      </w:r>
      <w:r w:rsidRPr="0043768A">
        <w:rPr>
          <w:i/>
          <w:sz w:val="20"/>
          <w:lang w:val="fr-CA"/>
        </w:rPr>
        <w:t xml:space="preserve">Droit constitutionnel — Charte des droits — Droit à la vie, à la liberté et à la sécurité de la personne — Accusée inculpée de conduite dangereuse ayant causé la mort, de conduite dangereuse ayant causé des lésions corporelles, et d’accusations parallèles de conduite avec facultés affaiblies — La Couronne et l’accusée concluent une entente sur le plaidoyer — Par la suite, la Couronne répudie l’entente — La répudiation </w:t>
      </w:r>
      <w:proofErr w:type="spellStart"/>
      <w:r w:rsidRPr="0043768A">
        <w:rPr>
          <w:i/>
          <w:sz w:val="20"/>
          <w:lang w:val="fr-CA"/>
        </w:rPr>
        <w:t>porte</w:t>
      </w:r>
      <w:r w:rsidRPr="0043768A">
        <w:rPr>
          <w:i/>
          <w:sz w:val="20"/>
          <w:lang w:val="fr-CA"/>
        </w:rPr>
        <w:noBreakHyphen/>
        <w:t>t</w:t>
      </w:r>
      <w:r w:rsidRPr="0043768A">
        <w:rPr>
          <w:i/>
          <w:sz w:val="20"/>
          <w:lang w:val="fr-CA"/>
        </w:rPr>
        <w:noBreakHyphen/>
        <w:t>elle</w:t>
      </w:r>
      <w:proofErr w:type="spellEnd"/>
      <w:r w:rsidRPr="0043768A">
        <w:rPr>
          <w:i/>
          <w:sz w:val="20"/>
          <w:lang w:val="fr-CA"/>
        </w:rPr>
        <w:t xml:space="preserve"> atteinte aux droits garantis à l’accusée par l’art. 7 de la Charte? — Charte canadienne des droits et libertés, art. 7.</w:t>
      </w:r>
    </w:p>
    <w:p w:rsidR="0043768A" w:rsidRPr="0043768A" w:rsidRDefault="0043768A" w:rsidP="0043768A">
      <w:pPr>
        <w:pStyle w:val="SCCNormalDoubleSpacing"/>
        <w:spacing w:line="240" w:lineRule="auto"/>
        <w:rPr>
          <w:i/>
          <w:sz w:val="20"/>
          <w:lang w:val="fr-CA"/>
        </w:rPr>
      </w:pPr>
    </w:p>
    <w:p w:rsidR="0043768A" w:rsidRDefault="0043768A" w:rsidP="0043768A">
      <w:pPr>
        <w:pStyle w:val="SCCNormalDoubleSpacing"/>
        <w:spacing w:line="240" w:lineRule="auto"/>
        <w:rPr>
          <w:i/>
          <w:sz w:val="20"/>
          <w:lang w:val="fr-CA"/>
        </w:rPr>
      </w:pPr>
      <w:r w:rsidRPr="0043768A">
        <w:rPr>
          <w:i/>
          <w:sz w:val="20"/>
          <w:lang w:val="fr-CA"/>
        </w:rPr>
        <w:tab/>
        <w:t xml:space="preserve">Droit criminel — Entente sur le plaidoyer — Répudiation — Accusée inculpée de conduite dangereuse ayant causé la mort, de conduite dangereuse ayant causé des lésions corporelles, et d’accusations parallèles de conduite avec facultés affaiblies — La Couronne et l’accusée concluent une entente sur le plaidoyer — Par la suite, la Couronne répudie l’entente — La répudiation </w:t>
      </w:r>
      <w:proofErr w:type="spellStart"/>
      <w:r w:rsidRPr="0043768A">
        <w:rPr>
          <w:i/>
          <w:sz w:val="20"/>
          <w:lang w:val="fr-CA"/>
        </w:rPr>
        <w:t>constitue</w:t>
      </w:r>
      <w:r w:rsidRPr="0043768A">
        <w:rPr>
          <w:i/>
          <w:sz w:val="20"/>
          <w:lang w:val="fr-CA"/>
        </w:rPr>
        <w:noBreakHyphen/>
        <w:t>t</w:t>
      </w:r>
      <w:r w:rsidRPr="0043768A">
        <w:rPr>
          <w:i/>
          <w:sz w:val="20"/>
          <w:lang w:val="fr-CA"/>
        </w:rPr>
        <w:noBreakHyphen/>
        <w:t>elle</w:t>
      </w:r>
      <w:proofErr w:type="spellEnd"/>
      <w:r w:rsidRPr="0043768A">
        <w:rPr>
          <w:i/>
          <w:sz w:val="20"/>
          <w:lang w:val="fr-CA"/>
        </w:rPr>
        <w:t xml:space="preserve"> un élément de stratégie ou de conduite devant le tribunal ou </w:t>
      </w:r>
      <w:proofErr w:type="spellStart"/>
      <w:r w:rsidRPr="0043768A">
        <w:rPr>
          <w:i/>
          <w:sz w:val="20"/>
          <w:lang w:val="fr-CA"/>
        </w:rPr>
        <w:t>relève</w:t>
      </w:r>
      <w:r w:rsidRPr="0043768A">
        <w:rPr>
          <w:i/>
          <w:sz w:val="20"/>
          <w:lang w:val="fr-CA"/>
        </w:rPr>
        <w:noBreakHyphen/>
        <w:t>t</w:t>
      </w:r>
      <w:r w:rsidRPr="0043768A">
        <w:rPr>
          <w:i/>
          <w:sz w:val="20"/>
          <w:lang w:val="fr-CA"/>
        </w:rPr>
        <w:noBreakHyphen/>
        <w:t>elle</w:t>
      </w:r>
      <w:proofErr w:type="spellEnd"/>
      <w:r w:rsidRPr="0043768A">
        <w:rPr>
          <w:i/>
          <w:sz w:val="20"/>
          <w:lang w:val="fr-CA"/>
        </w:rPr>
        <w:t xml:space="preserve"> du pouvoir discrétionnaire en matière de poursuites? — La répudiation </w:t>
      </w:r>
      <w:proofErr w:type="spellStart"/>
      <w:r w:rsidRPr="0043768A">
        <w:rPr>
          <w:i/>
          <w:sz w:val="20"/>
          <w:lang w:val="fr-CA"/>
        </w:rPr>
        <w:t>peut</w:t>
      </w:r>
      <w:r w:rsidRPr="0043768A">
        <w:rPr>
          <w:i/>
          <w:sz w:val="20"/>
          <w:lang w:val="fr-CA"/>
        </w:rPr>
        <w:noBreakHyphen/>
        <w:t>elle</w:t>
      </w:r>
      <w:proofErr w:type="spellEnd"/>
      <w:r w:rsidRPr="0043768A">
        <w:rPr>
          <w:i/>
          <w:sz w:val="20"/>
          <w:lang w:val="fr-CA"/>
        </w:rPr>
        <w:t xml:space="preserve"> faire l’objet d’un contrôle judiciaire au motif qu’elle constitue un abus de procédure?</w:t>
      </w:r>
    </w:p>
    <w:p w:rsidR="0043768A" w:rsidRPr="0043768A" w:rsidRDefault="0043768A" w:rsidP="0043768A">
      <w:pPr>
        <w:pStyle w:val="SCCNormalDoubleSpacing"/>
        <w:spacing w:line="240" w:lineRule="auto"/>
        <w:rPr>
          <w:i/>
          <w:sz w:val="20"/>
          <w:lang w:val="fr-CA"/>
        </w:rPr>
      </w:pPr>
    </w:p>
    <w:p w:rsidR="0043768A" w:rsidRDefault="0043768A" w:rsidP="0043768A">
      <w:pPr>
        <w:pStyle w:val="SCCNormalDoubleSpacing"/>
        <w:spacing w:line="240" w:lineRule="auto"/>
        <w:rPr>
          <w:sz w:val="20"/>
          <w:lang w:val="fr-CA"/>
        </w:rPr>
      </w:pPr>
      <w:r w:rsidRPr="0043768A">
        <w:rPr>
          <w:sz w:val="20"/>
          <w:lang w:val="fr-CA"/>
        </w:rPr>
        <w:tab/>
        <w:t xml:space="preserve">L’accusée a franchi une intersection avec son autocaravane sans faire d’arrêt et a heurté un autre véhicule, tuant un homme et son épouse et blessant leur jeune fils.  Elle a été accusée de plusieurs infractions au </w:t>
      </w:r>
      <w:r w:rsidRPr="0043768A">
        <w:rPr>
          <w:i/>
          <w:sz w:val="20"/>
          <w:lang w:val="fr-CA"/>
        </w:rPr>
        <w:t>Code criminel</w:t>
      </w:r>
      <w:r w:rsidRPr="0043768A">
        <w:rPr>
          <w:sz w:val="20"/>
          <w:lang w:val="fr-CA"/>
        </w:rPr>
        <w:t xml:space="preserve">, notamment de conduite dangereuse ayant causé la mort, de conduite dangereuse ayant causé des lésions corporelles, et d’accusations parallèles de conduite avec facultés affaiblies.  Les avocats ont d’abord conclu une entente sur le plaidoyer, assortie d’une recommandation conjointe qu’une amende de 1 800 $ soit imposée à l’accusée.  Selon l’entente, l’accusée devait inscrire un plaidoyer de culpabilité à une accusation de conduite imprudente au sens de la </w:t>
      </w:r>
      <w:proofErr w:type="spellStart"/>
      <w:r w:rsidRPr="0043768A">
        <w:rPr>
          <w:i/>
          <w:sz w:val="20"/>
          <w:lang w:val="fr-CA"/>
        </w:rPr>
        <w:t>Traffic</w:t>
      </w:r>
      <w:proofErr w:type="spellEnd"/>
      <w:r w:rsidRPr="0043768A">
        <w:rPr>
          <w:i/>
          <w:sz w:val="20"/>
          <w:lang w:val="fr-CA"/>
        </w:rPr>
        <w:t xml:space="preserve"> </w:t>
      </w:r>
      <w:proofErr w:type="spellStart"/>
      <w:r w:rsidRPr="0043768A">
        <w:rPr>
          <w:i/>
          <w:sz w:val="20"/>
          <w:lang w:val="fr-CA"/>
        </w:rPr>
        <w:t>Safety</w:t>
      </w:r>
      <w:proofErr w:type="spellEnd"/>
      <w:r w:rsidRPr="0043768A">
        <w:rPr>
          <w:i/>
          <w:sz w:val="20"/>
          <w:lang w:val="fr-CA"/>
        </w:rPr>
        <w:t xml:space="preserve"> </w:t>
      </w:r>
      <w:proofErr w:type="spellStart"/>
      <w:r w:rsidRPr="0043768A">
        <w:rPr>
          <w:i/>
          <w:sz w:val="20"/>
          <w:lang w:val="fr-CA"/>
        </w:rPr>
        <w:t>Act</w:t>
      </w:r>
      <w:proofErr w:type="spellEnd"/>
      <w:r w:rsidRPr="0043768A">
        <w:rPr>
          <w:sz w:val="20"/>
          <w:lang w:val="fr-CA"/>
        </w:rPr>
        <w:t xml:space="preserve"> de la province; en contrepartie, la Couronne consentait à retirer les accusations fondées sur le </w:t>
      </w:r>
      <w:r w:rsidRPr="0043768A">
        <w:rPr>
          <w:i/>
          <w:sz w:val="20"/>
          <w:lang w:val="fr-CA"/>
        </w:rPr>
        <w:t>Code criminel</w:t>
      </w:r>
      <w:r w:rsidRPr="0043768A">
        <w:rPr>
          <w:sz w:val="20"/>
          <w:lang w:val="fr-CA"/>
        </w:rPr>
        <w:t xml:space="preserve">.  Quand le </w:t>
      </w:r>
      <w:proofErr w:type="spellStart"/>
      <w:r w:rsidRPr="0043768A">
        <w:rPr>
          <w:sz w:val="20"/>
          <w:lang w:val="fr-CA"/>
        </w:rPr>
        <w:t>sous</w:t>
      </w:r>
      <w:r w:rsidRPr="0043768A">
        <w:rPr>
          <w:sz w:val="20"/>
          <w:lang w:val="fr-CA"/>
        </w:rPr>
        <w:noBreakHyphen/>
        <w:t>ministre</w:t>
      </w:r>
      <w:proofErr w:type="spellEnd"/>
      <w:r w:rsidRPr="0043768A">
        <w:rPr>
          <w:sz w:val="20"/>
          <w:lang w:val="fr-CA"/>
        </w:rPr>
        <w:t xml:space="preserve"> adjoint par intérim de la section de la justice pénale du bureau du procureur général a vu le projet d’entente, il a entrepris une enquête qui l’a amené à conclure que l’appréciation de la solidité de la preuve par le procureur de la Couronne comportait des lacunes.  Selon lui, un plaidoyer relatif à une accusation de conduite imprudente dans les circonstances était contraire aux intérêts de la justice et susceptible de déconsidérer l’administration de </w:t>
      </w:r>
      <w:proofErr w:type="spellStart"/>
      <w:r w:rsidRPr="0043768A">
        <w:rPr>
          <w:sz w:val="20"/>
          <w:lang w:val="fr-CA"/>
        </w:rPr>
        <w:t>celle</w:t>
      </w:r>
      <w:r w:rsidRPr="0043768A">
        <w:rPr>
          <w:sz w:val="20"/>
          <w:lang w:val="fr-CA"/>
        </w:rPr>
        <w:noBreakHyphen/>
        <w:t>ci</w:t>
      </w:r>
      <w:proofErr w:type="spellEnd"/>
      <w:r w:rsidRPr="0043768A">
        <w:rPr>
          <w:sz w:val="20"/>
          <w:lang w:val="fr-CA"/>
        </w:rPr>
        <w:t xml:space="preserve">.  Il a donc été ordonné au procureur de la Couronne de répudier l’entente sur le plaidoyer et de procéder à l’instruction de l’affaire.  En réponse, l’accusée a présenté une requête fondée sur l’art. 7 de la </w:t>
      </w:r>
      <w:r w:rsidRPr="0043768A">
        <w:rPr>
          <w:i/>
          <w:sz w:val="20"/>
          <w:lang w:val="fr-CA"/>
        </w:rPr>
        <w:t>Charte</w:t>
      </w:r>
      <w:r w:rsidRPr="0043768A">
        <w:rPr>
          <w:sz w:val="20"/>
          <w:lang w:val="fr-CA"/>
        </w:rPr>
        <w:t xml:space="preserve"> dans laquelle elle a allégué l’abus de procédure et demandé au tribunal d’ordonner à la Couronne d’exécuter l’entente.  Le juge de première instance a conclu que les négociations entre les avocats survenues après le dépôt des accusations constituaient des éléments de la stratégie ou de la conduite du poursuivant pouvant faire l’objet d’un contrôle par le tribunal, et que la répudiation de l’entente sur le plaidoyer n’était pas justifiée en l’espèce.  Il a conclu qu’il avait été porté atteinte au droit à la sécurité de la personne garanti à l’accusée par l’art. 7 de la </w:t>
      </w:r>
      <w:r w:rsidRPr="0043768A">
        <w:rPr>
          <w:i/>
          <w:sz w:val="20"/>
          <w:lang w:val="fr-CA"/>
        </w:rPr>
        <w:t>Charte</w:t>
      </w:r>
      <w:r w:rsidRPr="0043768A">
        <w:rPr>
          <w:sz w:val="20"/>
          <w:lang w:val="fr-CA"/>
        </w:rPr>
        <w:t xml:space="preserve"> et ordonné à la Couronne de soumettre l’entente à un autre juge.  La Cour d’appel a accueilli l’appel interjeté par la Couronne après avoir conclu que la répudiation d’une entente sur le plaidoyer était une question relevant du pouvoir discrétionnaire en matière de poursuites qui ne pouvait faire l’objet d’un contrôle de la part des tribunaux, sous réserve de la règle de l’abus de procédure.</w:t>
      </w:r>
    </w:p>
    <w:p w:rsidR="0043768A" w:rsidRPr="0043768A" w:rsidRDefault="0043768A" w:rsidP="0043768A">
      <w:pPr>
        <w:pStyle w:val="SCCNormalDoubleSpacing"/>
        <w:spacing w:line="240" w:lineRule="auto"/>
        <w:rPr>
          <w:sz w:val="20"/>
          <w:lang w:val="fr-CA"/>
        </w:rPr>
      </w:pPr>
    </w:p>
    <w:p w:rsidR="0043768A" w:rsidRDefault="0043768A" w:rsidP="00C449F3">
      <w:pPr>
        <w:pStyle w:val="SCCNormalDoubleSpacing"/>
        <w:spacing w:line="240" w:lineRule="auto"/>
        <w:rPr>
          <w:sz w:val="20"/>
          <w:lang w:val="fr-CA"/>
        </w:rPr>
      </w:pPr>
      <w:r w:rsidRPr="0043768A">
        <w:rPr>
          <w:sz w:val="20"/>
          <w:lang w:val="fr-CA"/>
        </w:rPr>
        <w:tab/>
      </w:r>
      <w:r w:rsidRPr="0043768A">
        <w:rPr>
          <w:i/>
          <w:sz w:val="20"/>
          <w:lang w:val="fr-CA"/>
        </w:rPr>
        <w:t>Arrêt</w:t>
      </w:r>
      <w:r w:rsidRPr="0043768A">
        <w:rPr>
          <w:sz w:val="20"/>
          <w:lang w:val="fr-CA"/>
        </w:rPr>
        <w:t> : Le pourvoi est rejeté.</w:t>
      </w:r>
    </w:p>
    <w:p w:rsidR="0043768A" w:rsidRPr="0043768A" w:rsidRDefault="0043768A" w:rsidP="0043768A">
      <w:pPr>
        <w:pStyle w:val="SCCNormalDoubleSpacing"/>
        <w:tabs>
          <w:tab w:val="left" w:pos="1170"/>
        </w:tabs>
        <w:spacing w:line="240" w:lineRule="auto"/>
        <w:rPr>
          <w:sz w:val="20"/>
          <w:lang w:val="fr-CA"/>
        </w:rPr>
      </w:pPr>
    </w:p>
    <w:p w:rsidR="0043768A" w:rsidRDefault="0043768A" w:rsidP="0043768A">
      <w:pPr>
        <w:pStyle w:val="SCCNormalDoubleSpacing"/>
        <w:spacing w:line="240" w:lineRule="auto"/>
        <w:rPr>
          <w:sz w:val="20"/>
          <w:lang w:val="fr-CA"/>
        </w:rPr>
      </w:pPr>
      <w:r w:rsidRPr="0043768A">
        <w:rPr>
          <w:sz w:val="20"/>
          <w:lang w:val="fr-CA"/>
        </w:rPr>
        <w:tab/>
        <w:t xml:space="preserve">L’importance cruciale de la distinction entre l’exercice du pouvoir discrétionnaire en matière de poursuites ne pouvant faire l’objet d’un contrôle qu’en cas d’abus de procédure et les éléments de stratégie ou de conduite devant le tribunal assujettis à la compétence inhérente de la cour de juridiction criminelle de contrôler sa propre procédure a été examinée et expliquée à fond dans </w:t>
      </w:r>
      <w:r w:rsidRPr="0043768A">
        <w:rPr>
          <w:i/>
          <w:sz w:val="20"/>
          <w:lang w:val="fr-CA"/>
        </w:rPr>
        <w:t>Krieger c. Law Society of Alberta</w:t>
      </w:r>
      <w:r w:rsidRPr="0043768A">
        <w:rPr>
          <w:sz w:val="20"/>
          <w:lang w:val="fr-CA"/>
        </w:rPr>
        <w:t xml:space="preserve">, 2002 CSC 65, [2002] 3 R.C.S. 372.  </w:t>
      </w:r>
      <w:r w:rsidRPr="0043768A">
        <w:rPr>
          <w:rStyle w:val="c03"/>
          <w:color w:val="auto"/>
          <w:sz w:val="20"/>
          <w:lang w:val="fr-CA"/>
        </w:rPr>
        <w:t>Sous réserve de la règle de l’abus de procédure, il ne relève pas de la compétence légitime du tribunal de superviser le processus décisionnel d’une partie plutôt que la conduite des parties comparaissant devant lui</w:t>
      </w:r>
      <w:r w:rsidRPr="0043768A">
        <w:rPr>
          <w:sz w:val="20"/>
          <w:lang w:val="fr-CA"/>
        </w:rPr>
        <w:t xml:space="preserve">.  La décision de la Couronne de répudier l’entente sur le plaidoyer et de continuer la poursuite constituait manifestement un acte résultant de l’exercice du pouvoir discrétionnaire en matière de poursuites visé par les principes énoncés dans </w:t>
      </w:r>
      <w:r w:rsidRPr="0043768A">
        <w:rPr>
          <w:i/>
          <w:sz w:val="20"/>
          <w:lang w:val="fr-CA"/>
        </w:rPr>
        <w:t>Krieger</w:t>
      </w:r>
      <w:r w:rsidRPr="0043768A">
        <w:rPr>
          <w:sz w:val="20"/>
          <w:lang w:val="fr-CA"/>
        </w:rPr>
        <w:t xml:space="preserve"> : il est susceptible de contrôle judiciaire seulement s’il y a eu abus de procédure.  Ni la décision d’entamer des procédures, ni la conclusion d’une entente sur le plaidoyer ne signifie que ce pouvoir ne peut plus être exercé.  Tant que les procédures sont en </w:t>
      </w:r>
      <w:r w:rsidRPr="0043768A">
        <w:rPr>
          <w:sz w:val="20"/>
          <w:lang w:val="fr-CA"/>
        </w:rPr>
        <w:lastRenderedPageBreak/>
        <w:t xml:space="preserve">cours, la Couronne peut être tenue de prendre d’autres décisions quant à savoir si la poursuite doit être continuée et, le cas échéant, à l’égard de quelles accusations. </w:t>
      </w:r>
    </w:p>
    <w:p w:rsidR="0043768A" w:rsidRPr="0043768A" w:rsidRDefault="0043768A" w:rsidP="0043768A">
      <w:pPr>
        <w:pStyle w:val="SCCNormalDoubleSpacing"/>
        <w:spacing w:line="240" w:lineRule="auto"/>
        <w:rPr>
          <w:sz w:val="20"/>
          <w:lang w:val="fr-CA"/>
        </w:rPr>
      </w:pPr>
    </w:p>
    <w:p w:rsidR="0043768A" w:rsidRDefault="0043768A" w:rsidP="0043768A">
      <w:pPr>
        <w:pStyle w:val="SCCNormalDoubleSpacing"/>
        <w:widowControl w:val="0"/>
        <w:spacing w:line="240" w:lineRule="auto"/>
        <w:rPr>
          <w:sz w:val="20"/>
          <w:lang w:val="fr-CA"/>
        </w:rPr>
      </w:pPr>
      <w:r w:rsidRPr="0043768A">
        <w:rPr>
          <w:sz w:val="20"/>
          <w:lang w:val="fr-CA"/>
        </w:rPr>
        <w:tab/>
        <w:t xml:space="preserve">Il existe deux catégories d’abus de procédure auxquelles s’applique l’art. 7 de la </w:t>
      </w:r>
      <w:r w:rsidRPr="0043768A">
        <w:rPr>
          <w:i/>
          <w:sz w:val="20"/>
          <w:lang w:val="fr-CA"/>
        </w:rPr>
        <w:t>Charte</w:t>
      </w:r>
      <w:r w:rsidRPr="0043768A">
        <w:rPr>
          <w:sz w:val="20"/>
          <w:lang w:val="fr-CA"/>
        </w:rPr>
        <w:t xml:space="preserve"> : (1) les cas où la conduite du poursuivant porte atteinte à l’équité du procès; (2) les cas où la conduite du poursuivant contrevient aux notions fondamentales de justice et mine ainsi l’intégrité du processus judiciaire.  Même si le par. 24(1) de la </w:t>
      </w:r>
      <w:r w:rsidRPr="0043768A">
        <w:rPr>
          <w:i/>
          <w:sz w:val="20"/>
          <w:lang w:val="fr-CA"/>
        </w:rPr>
        <w:t xml:space="preserve">Charte </w:t>
      </w:r>
      <w:r w:rsidRPr="0043768A">
        <w:rPr>
          <w:sz w:val="20"/>
          <w:lang w:val="fr-CA"/>
        </w:rPr>
        <w:t>permet d’octroyer une vaste gamme de réparations, cela ne signifie pas pour autant que l’on puisse faire la preuve d’un abus de procédure en établissant une atteinte moins grave soit au droit de l’accusé à un procès équitable, soit à l’intégrité du système de justice.  Trouver le juste équilibre entre les préoccupations des individus et celles de la société : voilà le caractère essentiel de l’analyse relative à l’abus de procédure.</w:t>
      </w:r>
    </w:p>
    <w:p w:rsidR="0043768A" w:rsidRPr="0043768A" w:rsidRDefault="0043768A" w:rsidP="0043768A">
      <w:pPr>
        <w:pStyle w:val="SCCNormalDoubleSpacing"/>
        <w:widowControl w:val="0"/>
        <w:spacing w:line="240" w:lineRule="auto"/>
        <w:rPr>
          <w:sz w:val="20"/>
          <w:lang w:val="fr-CA"/>
        </w:rPr>
      </w:pPr>
    </w:p>
    <w:p w:rsidR="0043768A" w:rsidRDefault="0043768A" w:rsidP="0043768A">
      <w:pPr>
        <w:pStyle w:val="SCCNormalDoubleSpacing"/>
        <w:widowControl w:val="0"/>
        <w:spacing w:line="240" w:lineRule="auto"/>
        <w:rPr>
          <w:sz w:val="20"/>
          <w:lang w:val="fr-CA"/>
        </w:rPr>
      </w:pPr>
      <w:r w:rsidRPr="0043768A">
        <w:rPr>
          <w:sz w:val="20"/>
          <w:lang w:val="fr-CA"/>
        </w:rPr>
        <w:tab/>
        <w:t xml:space="preserve">La répudiation d’une entente sur le plaidoyer peut fort bien constituer un abus de procédure, soit parce qu’elle rend le procès inéquitable, soit parce qu’elle est visée par l’étroite catégorie résiduelle de cas qui minent l’intégrité du processus judiciaire.  La question plus difficile à trancher dans le présent pourvoi est de savoir dans quelle mesure il faut, dans l’analyse relative à l’abus de procédure, tenir compte de l’exercice initial du pouvoir discrétionnaire en matière de poursuites, à savoir l’offre du procureur de la Couronne de régler l’affaire sur la base d’un plaidoyer de culpabilité relativement à une accusation moins grave.  Il ne faut pas considérer l’entente sur le plaidoyer comme un engagement contractuel.  Les facteurs susceptibles de vicier une entente — tels l’erreur, la déclaration inexacte et la fraude — et qui permettent habituellement à une partie privée de répudier une entente ne rendent pas pleinement compte des considérations d’intérêt public qui entrent en jeu.  Toutefois, l’analogie fait utilement ressortir l’importance capitale de respecter l’entente.  Les cas dans lesquels la Couronne peut à juste titre répudier une entente sur le plaidoyer sont — et doivent demeurer — très rares.  En outre, le critère de la décision raisonnablement défendable que le juge de première instance a appliqué pour apprécier la décision du procureur de la Couronne de conclure une entente sur le plaidoyer n’est pas la norme qu’il convient d’appliquer pour décider s’il y a eu abus de procédure.  En effet, il faut plutôt analyser les circonstances de la décision de répudier l’entente pour établir si cette </w:t>
      </w:r>
      <w:proofErr w:type="spellStart"/>
      <w:r w:rsidRPr="0043768A">
        <w:rPr>
          <w:sz w:val="20"/>
          <w:lang w:val="fr-CA"/>
        </w:rPr>
        <w:t>décision</w:t>
      </w:r>
      <w:r w:rsidRPr="0043768A">
        <w:rPr>
          <w:sz w:val="20"/>
          <w:lang w:val="fr-CA"/>
        </w:rPr>
        <w:noBreakHyphen/>
        <w:t>là</w:t>
      </w:r>
      <w:proofErr w:type="spellEnd"/>
      <w:r w:rsidRPr="0043768A">
        <w:rPr>
          <w:sz w:val="20"/>
          <w:lang w:val="fr-CA"/>
        </w:rPr>
        <w:t xml:space="preserve"> constitue un abus de procédure.  L’appréciation du « caractère raisonnable » d’une décision prise dans l’exercice du pouvoir discrétionnaire en matière de poursuites va à l’encontre du rôle distinct du procureur général sur le plan constitutionnel quant aux décisions d’engager et de continuer des poursuites pénales, ainsi que des principes énoncés dans </w:t>
      </w:r>
      <w:r w:rsidRPr="0043768A">
        <w:rPr>
          <w:i/>
          <w:sz w:val="20"/>
          <w:lang w:val="fr-CA"/>
        </w:rPr>
        <w:t>Krieger</w:t>
      </w:r>
      <w:r w:rsidRPr="0043768A">
        <w:rPr>
          <w:sz w:val="20"/>
          <w:lang w:val="fr-CA"/>
        </w:rPr>
        <w:t>.</w:t>
      </w:r>
    </w:p>
    <w:p w:rsidR="0043768A" w:rsidRPr="0043768A" w:rsidRDefault="0043768A" w:rsidP="0043768A">
      <w:pPr>
        <w:pStyle w:val="SCCNormalDoubleSpacing"/>
        <w:widowControl w:val="0"/>
        <w:spacing w:line="240" w:lineRule="auto"/>
        <w:rPr>
          <w:sz w:val="20"/>
          <w:lang w:val="fr-CA"/>
        </w:rPr>
      </w:pPr>
    </w:p>
    <w:p w:rsidR="0043768A" w:rsidRDefault="0043768A" w:rsidP="0043768A">
      <w:pPr>
        <w:pStyle w:val="SCCNormalDoubleSpacing"/>
        <w:widowControl w:val="0"/>
        <w:spacing w:line="240" w:lineRule="auto"/>
        <w:rPr>
          <w:sz w:val="20"/>
          <w:lang w:val="fr-CA"/>
        </w:rPr>
      </w:pPr>
      <w:r w:rsidRPr="0043768A">
        <w:rPr>
          <w:sz w:val="20"/>
          <w:lang w:val="fr-CA"/>
        </w:rPr>
        <w:tab/>
        <w:t xml:space="preserve">Comme les actes résultant de l’exercice du pouvoir discrétionnaire en matière de poursuites échappent généralement à la compétence du tribunal, il existe de bonnes raisons d’imposer un fardeau initial au demandeur qui allègue l’abus de procédure.  Les tribunaux ne doivent pas examiner les motifs qui </w:t>
      </w:r>
      <w:proofErr w:type="spellStart"/>
      <w:r w:rsidRPr="0043768A">
        <w:rPr>
          <w:sz w:val="20"/>
          <w:lang w:val="fr-CA"/>
        </w:rPr>
        <w:t>sous</w:t>
      </w:r>
      <w:r w:rsidRPr="0043768A">
        <w:rPr>
          <w:sz w:val="20"/>
          <w:lang w:val="fr-CA"/>
        </w:rPr>
        <w:noBreakHyphen/>
        <w:t>tendent</w:t>
      </w:r>
      <w:proofErr w:type="spellEnd"/>
      <w:r w:rsidRPr="0043768A">
        <w:rPr>
          <w:sz w:val="20"/>
          <w:lang w:val="fr-CA"/>
        </w:rPr>
        <w:t xml:space="preserve"> les actes résultant de l’exercice du pouvoir discrétionnaire en matière de poursuites s’ils ne peuvent s’appuyer sur une preuve suffisante.  Toutefois, la preuve que la Couronne a conclu une entente sur le plaidoyer qu’elle a par la suite répudiée est conforme à la norme préliminaire à laquelle il doit être satisfait.  En outre, dans la mesure où la Couronne est la seule partie au courant de l’information, c’est à elle qu’il incombe d’exposer au tribunal les circonstances et les motifs qui </w:t>
      </w:r>
      <w:proofErr w:type="spellStart"/>
      <w:r w:rsidRPr="0043768A">
        <w:rPr>
          <w:sz w:val="20"/>
          <w:lang w:val="fr-CA"/>
        </w:rPr>
        <w:t>sous</w:t>
      </w:r>
      <w:r w:rsidRPr="0043768A">
        <w:rPr>
          <w:sz w:val="20"/>
          <w:lang w:val="fr-CA"/>
        </w:rPr>
        <w:noBreakHyphen/>
        <w:t>tendent</w:t>
      </w:r>
      <w:proofErr w:type="spellEnd"/>
      <w:r w:rsidRPr="0043768A">
        <w:rPr>
          <w:sz w:val="20"/>
          <w:lang w:val="fr-CA"/>
        </w:rPr>
        <w:t xml:space="preserve"> sa décision de répudier l’entente.  En bout de ligne, cependant, c’est au demandeur qu’il revient d’établir qu’il y a eu abus de procédure.</w:t>
      </w:r>
    </w:p>
    <w:p w:rsidR="0043768A" w:rsidRPr="0043768A" w:rsidRDefault="0043768A" w:rsidP="0043768A">
      <w:pPr>
        <w:pStyle w:val="SCCNormalDoubleSpacing"/>
        <w:widowControl w:val="0"/>
        <w:spacing w:line="240" w:lineRule="auto"/>
        <w:rPr>
          <w:sz w:val="20"/>
          <w:lang w:val="fr-CA"/>
        </w:rPr>
      </w:pPr>
    </w:p>
    <w:p w:rsidR="0043768A" w:rsidRDefault="0043768A" w:rsidP="0043768A">
      <w:pPr>
        <w:pStyle w:val="SCCNormalDoubleSpacing"/>
        <w:widowControl w:val="0"/>
        <w:spacing w:line="240" w:lineRule="auto"/>
        <w:rPr>
          <w:sz w:val="20"/>
          <w:lang w:val="fr-CA"/>
        </w:rPr>
      </w:pPr>
      <w:r w:rsidRPr="0043768A">
        <w:rPr>
          <w:sz w:val="20"/>
          <w:lang w:val="fr-CA"/>
        </w:rPr>
        <w:tab/>
        <w:t xml:space="preserve">En l’espèce, le fait que la Couronne ait répudié l’entente n’était pas à ce point injuste ou oppressif pour l’accusée, ou à ce point entaché de mauvaise foi ou d’un motif illégitime, que permettre à la Couronne de tenir un procès relativement à l’accusation de conduite dangereuse prévue au </w:t>
      </w:r>
      <w:r w:rsidRPr="0043768A">
        <w:rPr>
          <w:i/>
          <w:sz w:val="20"/>
          <w:lang w:val="fr-CA"/>
        </w:rPr>
        <w:t>Code criminel</w:t>
      </w:r>
      <w:r w:rsidRPr="0043768A">
        <w:rPr>
          <w:sz w:val="20"/>
          <w:lang w:val="fr-CA"/>
        </w:rPr>
        <w:t xml:space="preserve"> porterait atteinte à l’intégrité du système judiciaire et, partant, constituerait un abus de procédure.  En effet, le </w:t>
      </w:r>
      <w:proofErr w:type="spellStart"/>
      <w:r w:rsidRPr="0043768A">
        <w:rPr>
          <w:sz w:val="20"/>
          <w:lang w:val="fr-CA"/>
        </w:rPr>
        <w:t>sous</w:t>
      </w:r>
      <w:r w:rsidRPr="0043768A">
        <w:rPr>
          <w:sz w:val="20"/>
          <w:lang w:val="fr-CA"/>
        </w:rPr>
        <w:noBreakHyphen/>
        <w:t>ministre</w:t>
      </w:r>
      <w:proofErr w:type="spellEnd"/>
      <w:r w:rsidRPr="0043768A">
        <w:rPr>
          <w:sz w:val="20"/>
          <w:lang w:val="fr-CA"/>
        </w:rPr>
        <w:t xml:space="preserve"> adjoint par intérim a conclu de bonne foi que le procureur de la Couronne avait mal évalué la force probante de la preuve, et, sur ce fondement, il a jugé que, compte tenu de la gravité des infractions reprochées, il ne serait pas dans l’intérêt public de mettre fin à la poursuite.  On ne saurait guère considérer cela comme la preuve d’une inconduite.  Enfin, l’accusée a été rétablie dans la situation dans laquelle elle se trouvait à la fin de l’enquête préliminaire, avant que l’entente sur le plaidoyer ne soit conclue, et n’a donc pas subi de préjudice par suite de la répudiation.</w:t>
      </w:r>
    </w:p>
    <w:p w:rsidR="0043768A" w:rsidRPr="0043768A" w:rsidRDefault="0043768A" w:rsidP="0043768A">
      <w:pPr>
        <w:pStyle w:val="SCCNormalDoubleSpacing"/>
        <w:widowControl w:val="0"/>
        <w:spacing w:line="240" w:lineRule="auto"/>
        <w:rPr>
          <w:sz w:val="20"/>
          <w:lang w:val="fr-CA"/>
        </w:rPr>
      </w:pPr>
    </w:p>
    <w:p w:rsidR="0043768A" w:rsidRDefault="0043768A" w:rsidP="0043768A">
      <w:pPr>
        <w:pStyle w:val="SCCNormalDoubleSpacing"/>
        <w:spacing w:line="240" w:lineRule="auto"/>
        <w:rPr>
          <w:sz w:val="20"/>
          <w:lang w:val="fr-CA"/>
        </w:rPr>
      </w:pPr>
      <w:r w:rsidRPr="00660CA6">
        <w:rPr>
          <w:sz w:val="20"/>
          <w:lang w:val="fr-CA"/>
        </w:rPr>
        <w:tab/>
        <w:t xml:space="preserve">POURVOI contre un arrêt de la Cour d’appel de l’Alberta (les juges Côté, </w:t>
      </w:r>
      <w:proofErr w:type="spellStart"/>
      <w:r w:rsidRPr="00660CA6">
        <w:rPr>
          <w:sz w:val="20"/>
          <w:lang w:val="fr-CA"/>
        </w:rPr>
        <w:t>Paperny</w:t>
      </w:r>
      <w:proofErr w:type="spellEnd"/>
      <w:r w:rsidRPr="00660CA6">
        <w:rPr>
          <w:sz w:val="20"/>
          <w:lang w:val="fr-CA"/>
        </w:rPr>
        <w:t xml:space="preserve"> et </w:t>
      </w:r>
      <w:proofErr w:type="spellStart"/>
      <w:r w:rsidRPr="00660CA6">
        <w:rPr>
          <w:sz w:val="20"/>
          <w:lang w:val="fr-CA"/>
        </w:rPr>
        <w:t>Slatter</w:t>
      </w:r>
      <w:proofErr w:type="spellEnd"/>
      <w:r w:rsidRPr="00660CA6">
        <w:rPr>
          <w:sz w:val="20"/>
          <w:lang w:val="fr-CA"/>
        </w:rPr>
        <w:t xml:space="preserve">), 2009 ABCA 269, 8 Alta. L.R. (5th) 384, 464 A.R. 1, 246 C.C.C. (3d) 149, 195 C.R.R. (2d) 352, [2009] 10 W.W.R. 641, 82 M.V.R. (5th) 191, [2009] A.J. No. 871 (QL), 2009 </w:t>
      </w:r>
      <w:proofErr w:type="spellStart"/>
      <w:r w:rsidRPr="00660CA6">
        <w:rPr>
          <w:sz w:val="20"/>
          <w:lang w:val="fr-CA"/>
        </w:rPr>
        <w:t>CarswellAlta</w:t>
      </w:r>
      <w:proofErr w:type="spellEnd"/>
      <w:r w:rsidRPr="00660CA6">
        <w:rPr>
          <w:sz w:val="20"/>
          <w:lang w:val="fr-CA"/>
        </w:rPr>
        <w:t xml:space="preserve"> 1221, qui a infirmé l’ordonnance du juge Ayotte, 2008 ABPC 20, 89 Alta. L.R. (4th) 156, 445 A.R. 111, 233 C.C.C. (3d) 539, [2008] 8 W.W.R. 740, 61 M.V.R. (5th) 287, [2008] A.J. No. 129 (QL), 2008 </w:t>
      </w:r>
      <w:proofErr w:type="spellStart"/>
      <w:r w:rsidRPr="00660CA6">
        <w:rPr>
          <w:sz w:val="20"/>
          <w:lang w:val="fr-CA"/>
        </w:rPr>
        <w:t>CarswellAlta</w:t>
      </w:r>
      <w:proofErr w:type="spellEnd"/>
      <w:r w:rsidRPr="00660CA6">
        <w:rPr>
          <w:sz w:val="20"/>
          <w:lang w:val="fr-CA"/>
        </w:rPr>
        <w:t xml:space="preserve"> 162, enjoignant à la Couronne de respecter l’entente sur le plaidoyer.  </w:t>
      </w:r>
      <w:r w:rsidRPr="0043768A">
        <w:rPr>
          <w:sz w:val="20"/>
          <w:lang w:val="fr-CA"/>
        </w:rPr>
        <w:t>Pourvoi rejeté.</w:t>
      </w:r>
    </w:p>
    <w:p w:rsidR="0043768A" w:rsidRDefault="0043768A" w:rsidP="0043768A">
      <w:pPr>
        <w:pStyle w:val="SCCNormalDoubleSpacing"/>
        <w:spacing w:line="240" w:lineRule="auto"/>
        <w:rPr>
          <w:rStyle w:val="SCCCounselPartyRoleChar"/>
          <w:sz w:val="20"/>
          <w:lang w:val="fr-CA"/>
        </w:rPr>
      </w:pPr>
      <w:r w:rsidRPr="0043768A">
        <w:rPr>
          <w:rStyle w:val="SCCCounselNameChar"/>
          <w:sz w:val="20"/>
          <w:lang w:val="fr-CA"/>
        </w:rPr>
        <w:lastRenderedPageBreak/>
        <w:tab/>
        <w:t xml:space="preserve">Marvin R. </w:t>
      </w:r>
      <w:proofErr w:type="spellStart"/>
      <w:r w:rsidRPr="0043768A">
        <w:rPr>
          <w:rStyle w:val="SCCCounselNameChar"/>
          <w:sz w:val="20"/>
          <w:lang w:val="fr-CA"/>
        </w:rPr>
        <w:t>Bloos</w:t>
      </w:r>
      <w:proofErr w:type="spellEnd"/>
      <w:r w:rsidRPr="0043768A">
        <w:rPr>
          <w:rStyle w:val="SCCCounselNameChar"/>
          <w:sz w:val="20"/>
          <w:lang w:val="fr-CA"/>
        </w:rPr>
        <w:t>, c.r.,</w:t>
      </w:r>
      <w:r w:rsidRPr="0043768A">
        <w:rPr>
          <w:rStyle w:val="SCCCounselSeparatorChar"/>
          <w:sz w:val="20"/>
        </w:rPr>
        <w:t xml:space="preserve"> </w:t>
      </w:r>
      <w:r w:rsidRPr="0043768A">
        <w:rPr>
          <w:rStyle w:val="SCCCounselPartyRoleChar"/>
          <w:sz w:val="20"/>
          <w:lang w:val="fr-CA"/>
        </w:rPr>
        <w:t>pour l’appelante.</w:t>
      </w:r>
    </w:p>
    <w:p w:rsidR="0043768A" w:rsidRPr="0043768A" w:rsidRDefault="0043768A" w:rsidP="0043768A">
      <w:pPr>
        <w:pStyle w:val="SCCNormalDoubleSpacing"/>
        <w:spacing w:line="240" w:lineRule="auto"/>
        <w:rPr>
          <w:sz w:val="20"/>
          <w:lang w:val="fr-CA"/>
        </w:rPr>
      </w:pPr>
    </w:p>
    <w:p w:rsidR="0043768A" w:rsidRDefault="0043768A" w:rsidP="0043768A">
      <w:pPr>
        <w:pStyle w:val="SCCNormalDoubleSpacing"/>
        <w:spacing w:line="240" w:lineRule="auto"/>
        <w:rPr>
          <w:rStyle w:val="SCCCounselPartyRoleChar"/>
          <w:sz w:val="20"/>
          <w:lang w:val="fr-CA"/>
        </w:rPr>
      </w:pPr>
      <w:r w:rsidRPr="0043768A">
        <w:rPr>
          <w:rStyle w:val="SCCCounselNameChar"/>
          <w:sz w:val="20"/>
          <w:lang w:val="fr-CA"/>
        </w:rPr>
        <w:tab/>
        <w:t xml:space="preserve">Goran </w:t>
      </w:r>
      <w:proofErr w:type="spellStart"/>
      <w:r w:rsidRPr="0043768A">
        <w:rPr>
          <w:rStyle w:val="SCCCounselNameChar"/>
          <w:sz w:val="20"/>
          <w:lang w:val="fr-CA"/>
        </w:rPr>
        <w:t>Tomljanovic</w:t>
      </w:r>
      <w:proofErr w:type="spellEnd"/>
      <w:r w:rsidRPr="0043768A">
        <w:rPr>
          <w:rStyle w:val="SCCCounselNameChar"/>
          <w:sz w:val="20"/>
          <w:lang w:val="fr-CA"/>
        </w:rPr>
        <w:t>, c.r.,</w:t>
      </w:r>
      <w:r w:rsidRPr="0043768A">
        <w:rPr>
          <w:rStyle w:val="SCCCounselSeparatorChar"/>
          <w:sz w:val="20"/>
        </w:rPr>
        <w:t xml:space="preserve"> et </w:t>
      </w:r>
      <w:r w:rsidRPr="0043768A">
        <w:rPr>
          <w:rStyle w:val="SCCCounselNameChar"/>
          <w:sz w:val="20"/>
          <w:lang w:val="fr-CA"/>
        </w:rPr>
        <w:t xml:space="preserve">Christine </w:t>
      </w:r>
      <w:proofErr w:type="spellStart"/>
      <w:r w:rsidRPr="0043768A">
        <w:rPr>
          <w:rStyle w:val="SCCCounselNameChar"/>
          <w:sz w:val="20"/>
          <w:lang w:val="fr-CA"/>
        </w:rPr>
        <w:t>Rideout</w:t>
      </w:r>
      <w:proofErr w:type="spellEnd"/>
      <w:r w:rsidRPr="0043768A">
        <w:rPr>
          <w:rStyle w:val="SCCCounselPartyRoleChar"/>
          <w:sz w:val="20"/>
          <w:lang w:val="fr-CA"/>
        </w:rPr>
        <w:t>, pour l’intimée.</w:t>
      </w:r>
    </w:p>
    <w:p w:rsidR="0043768A" w:rsidRPr="0043768A" w:rsidRDefault="0043768A" w:rsidP="0043768A">
      <w:pPr>
        <w:pStyle w:val="SCCNormalDoubleSpacing"/>
        <w:spacing w:line="240" w:lineRule="auto"/>
        <w:rPr>
          <w:sz w:val="20"/>
          <w:lang w:val="fr-CA"/>
        </w:rPr>
      </w:pPr>
    </w:p>
    <w:p w:rsidR="0043768A" w:rsidRDefault="0043768A" w:rsidP="0043768A">
      <w:pPr>
        <w:pStyle w:val="SCCNormalDoubleSpacing"/>
        <w:spacing w:line="240" w:lineRule="auto"/>
        <w:rPr>
          <w:rStyle w:val="SCCCounselPartyRoleChar"/>
          <w:sz w:val="20"/>
          <w:lang w:val="fr-CA"/>
        </w:rPr>
      </w:pPr>
      <w:r w:rsidRPr="0043768A">
        <w:rPr>
          <w:rStyle w:val="SCCCounselNameChar"/>
          <w:sz w:val="20"/>
          <w:lang w:val="fr-CA"/>
        </w:rPr>
        <w:tab/>
        <w:t xml:space="preserve">Michal </w:t>
      </w:r>
      <w:proofErr w:type="spellStart"/>
      <w:r w:rsidRPr="0043768A">
        <w:rPr>
          <w:rStyle w:val="SCCCounselNameChar"/>
          <w:sz w:val="20"/>
          <w:lang w:val="fr-CA"/>
        </w:rPr>
        <w:t>Fairburn</w:t>
      </w:r>
      <w:proofErr w:type="spellEnd"/>
      <w:r w:rsidRPr="0043768A">
        <w:rPr>
          <w:rStyle w:val="SCCCounselSeparatorChar"/>
          <w:sz w:val="20"/>
        </w:rPr>
        <w:t xml:space="preserve"> et </w:t>
      </w:r>
      <w:r w:rsidRPr="0043768A">
        <w:rPr>
          <w:rStyle w:val="SCCCounselNameChar"/>
          <w:sz w:val="20"/>
          <w:lang w:val="fr-CA"/>
        </w:rPr>
        <w:t>Frank Au</w:t>
      </w:r>
      <w:r w:rsidRPr="0043768A">
        <w:rPr>
          <w:rStyle w:val="SCCCounselPartyRoleChar"/>
          <w:sz w:val="20"/>
          <w:lang w:val="fr-CA"/>
        </w:rPr>
        <w:t>, pour l’intervenant le procureur général de l’Ontario.</w:t>
      </w:r>
    </w:p>
    <w:p w:rsidR="0043768A" w:rsidRPr="0043768A" w:rsidRDefault="0043768A" w:rsidP="0043768A">
      <w:pPr>
        <w:pStyle w:val="SCCNormalDoubleSpacing"/>
        <w:spacing w:line="240" w:lineRule="auto"/>
        <w:rPr>
          <w:sz w:val="20"/>
          <w:lang w:val="fr-CA"/>
        </w:rPr>
      </w:pPr>
    </w:p>
    <w:p w:rsidR="0043768A" w:rsidRDefault="0043768A" w:rsidP="0043768A">
      <w:pPr>
        <w:pStyle w:val="SCCNormalDoubleSpacing"/>
        <w:spacing w:line="240" w:lineRule="auto"/>
        <w:rPr>
          <w:rStyle w:val="SCCCounselPartyRoleChar"/>
          <w:sz w:val="20"/>
          <w:lang w:val="fr-CA"/>
        </w:rPr>
      </w:pPr>
      <w:r w:rsidRPr="0043768A">
        <w:rPr>
          <w:rStyle w:val="SCCCounselNameChar"/>
          <w:sz w:val="20"/>
          <w:lang w:val="fr-CA"/>
        </w:rPr>
        <w:tab/>
        <w:t xml:space="preserve">Ami </w:t>
      </w:r>
      <w:proofErr w:type="spellStart"/>
      <w:r w:rsidRPr="0043768A">
        <w:rPr>
          <w:rStyle w:val="SCCCounselNameChar"/>
          <w:sz w:val="20"/>
          <w:lang w:val="fr-CA"/>
        </w:rPr>
        <w:t>Kotler</w:t>
      </w:r>
      <w:proofErr w:type="spellEnd"/>
      <w:r w:rsidRPr="0043768A">
        <w:rPr>
          <w:rStyle w:val="SCCCounselPartyRoleChar"/>
          <w:sz w:val="20"/>
          <w:lang w:val="fr-CA"/>
        </w:rPr>
        <w:t>, pour l’intervenant le procureur général du Manitoba.</w:t>
      </w:r>
    </w:p>
    <w:p w:rsidR="0043768A" w:rsidRPr="0043768A" w:rsidRDefault="0043768A" w:rsidP="0043768A">
      <w:pPr>
        <w:pStyle w:val="SCCNormalDoubleSpacing"/>
        <w:spacing w:line="240" w:lineRule="auto"/>
        <w:rPr>
          <w:rStyle w:val="SCCCounselPartyRoleChar"/>
          <w:sz w:val="20"/>
          <w:lang w:val="fr-CA"/>
        </w:rPr>
      </w:pPr>
    </w:p>
    <w:p w:rsidR="0043768A" w:rsidRDefault="0043768A" w:rsidP="0043768A">
      <w:pPr>
        <w:pStyle w:val="SCCNormalDoubleSpacing"/>
        <w:spacing w:line="240" w:lineRule="auto"/>
        <w:rPr>
          <w:rStyle w:val="SCCCounselPartyRoleChar"/>
          <w:sz w:val="20"/>
          <w:lang w:val="fr-CA"/>
        </w:rPr>
      </w:pPr>
      <w:r w:rsidRPr="0043768A">
        <w:rPr>
          <w:rStyle w:val="SCCCounselNameChar"/>
          <w:sz w:val="20"/>
          <w:lang w:val="fr-CA"/>
        </w:rPr>
        <w:tab/>
        <w:t xml:space="preserve">M. Joyce </w:t>
      </w:r>
      <w:proofErr w:type="spellStart"/>
      <w:r w:rsidRPr="0043768A">
        <w:rPr>
          <w:rStyle w:val="SCCCounselNameChar"/>
          <w:sz w:val="20"/>
          <w:lang w:val="fr-CA"/>
        </w:rPr>
        <w:t>DeWitt</w:t>
      </w:r>
      <w:r w:rsidRPr="0043768A">
        <w:rPr>
          <w:rStyle w:val="SCCCounselNameChar"/>
          <w:sz w:val="20"/>
          <w:lang w:val="fr-CA"/>
        </w:rPr>
        <w:noBreakHyphen/>
        <w:t>Van</w:t>
      </w:r>
      <w:proofErr w:type="spellEnd"/>
      <w:r w:rsidRPr="0043768A">
        <w:rPr>
          <w:rStyle w:val="SCCCounselNameChar"/>
          <w:sz w:val="20"/>
          <w:lang w:val="fr-CA"/>
        </w:rPr>
        <w:t xml:space="preserve"> </w:t>
      </w:r>
      <w:proofErr w:type="spellStart"/>
      <w:r w:rsidRPr="0043768A">
        <w:rPr>
          <w:rStyle w:val="SCCCounselNameChar"/>
          <w:sz w:val="20"/>
          <w:lang w:val="fr-CA"/>
        </w:rPr>
        <w:t>Oosten</w:t>
      </w:r>
      <w:proofErr w:type="spellEnd"/>
      <w:r w:rsidRPr="0043768A">
        <w:rPr>
          <w:rStyle w:val="SCCCounselPartyRoleChar"/>
          <w:sz w:val="20"/>
          <w:lang w:val="fr-CA"/>
        </w:rPr>
        <w:t xml:space="preserve">, </w:t>
      </w:r>
      <w:proofErr w:type="gramStart"/>
      <w:r w:rsidRPr="0043768A">
        <w:rPr>
          <w:rStyle w:val="SCCCounselPartyRoleChar"/>
          <w:i/>
          <w:sz w:val="20"/>
          <w:lang w:val="fr-CA"/>
        </w:rPr>
        <w:t>c.r.</w:t>
      </w:r>
      <w:r w:rsidRPr="0043768A">
        <w:rPr>
          <w:rStyle w:val="SCCCounselPartyRoleChar"/>
          <w:sz w:val="20"/>
          <w:lang w:val="fr-CA"/>
        </w:rPr>
        <w:t>,</w:t>
      </w:r>
      <w:proofErr w:type="gramEnd"/>
      <w:r w:rsidRPr="0043768A">
        <w:rPr>
          <w:rStyle w:val="SCCCounselPartyRoleChar"/>
          <w:sz w:val="20"/>
          <w:lang w:val="fr-CA"/>
        </w:rPr>
        <w:t xml:space="preserve"> pour l’intervenant le procureur général de la </w:t>
      </w:r>
      <w:proofErr w:type="spellStart"/>
      <w:r w:rsidRPr="0043768A">
        <w:rPr>
          <w:rStyle w:val="SCCCounselPartyRoleChar"/>
          <w:sz w:val="20"/>
          <w:lang w:val="fr-CA"/>
        </w:rPr>
        <w:t>Colombie</w:t>
      </w:r>
      <w:r w:rsidRPr="0043768A">
        <w:rPr>
          <w:rStyle w:val="SCCCounselPartyRoleChar"/>
          <w:sz w:val="20"/>
          <w:lang w:val="fr-CA"/>
        </w:rPr>
        <w:noBreakHyphen/>
        <w:t>Britannique</w:t>
      </w:r>
      <w:proofErr w:type="spellEnd"/>
      <w:r w:rsidRPr="0043768A">
        <w:rPr>
          <w:rStyle w:val="SCCCounselPartyRoleChar"/>
          <w:sz w:val="20"/>
          <w:lang w:val="fr-CA"/>
        </w:rPr>
        <w:t>.</w:t>
      </w:r>
    </w:p>
    <w:p w:rsidR="0043768A" w:rsidRPr="0043768A" w:rsidRDefault="0043768A" w:rsidP="0043768A">
      <w:pPr>
        <w:pStyle w:val="SCCNormalDoubleSpacing"/>
        <w:spacing w:line="240" w:lineRule="auto"/>
        <w:rPr>
          <w:sz w:val="20"/>
          <w:lang w:val="fr-CA"/>
        </w:rPr>
      </w:pPr>
    </w:p>
    <w:p w:rsidR="0043768A" w:rsidRDefault="0043768A" w:rsidP="0043768A">
      <w:pPr>
        <w:pStyle w:val="SCCNormalDoubleSpacing"/>
        <w:spacing w:line="240" w:lineRule="auto"/>
        <w:rPr>
          <w:rStyle w:val="SCCCounselPartyRoleChar"/>
          <w:sz w:val="20"/>
          <w:lang w:val="fr-CA"/>
        </w:rPr>
      </w:pPr>
      <w:r w:rsidRPr="0043768A">
        <w:rPr>
          <w:rStyle w:val="SCCCounselNameChar"/>
          <w:sz w:val="20"/>
          <w:lang w:val="fr-CA"/>
        </w:rPr>
        <w:tab/>
        <w:t>D’</w:t>
      </w:r>
      <w:proofErr w:type="spellStart"/>
      <w:r w:rsidRPr="0043768A">
        <w:rPr>
          <w:rStyle w:val="SCCCounselNameChar"/>
          <w:sz w:val="20"/>
          <w:lang w:val="fr-CA"/>
        </w:rPr>
        <w:t>Arcy</w:t>
      </w:r>
      <w:proofErr w:type="spellEnd"/>
      <w:r w:rsidRPr="0043768A">
        <w:rPr>
          <w:rStyle w:val="SCCCounselNameChar"/>
          <w:sz w:val="20"/>
          <w:lang w:val="fr-CA"/>
        </w:rPr>
        <w:t xml:space="preserve"> </w:t>
      </w:r>
      <w:proofErr w:type="spellStart"/>
      <w:r w:rsidRPr="0043768A">
        <w:rPr>
          <w:rStyle w:val="SCCCounselNameChar"/>
          <w:sz w:val="20"/>
          <w:lang w:val="fr-CA"/>
        </w:rPr>
        <w:t>DePoe</w:t>
      </w:r>
      <w:proofErr w:type="spellEnd"/>
      <w:r w:rsidRPr="0043768A">
        <w:rPr>
          <w:rStyle w:val="SCCCounselPartyRoleChar"/>
          <w:sz w:val="20"/>
          <w:lang w:val="fr-CA"/>
        </w:rPr>
        <w:t xml:space="preserve">, pour l’intervenante </w:t>
      </w:r>
      <w:proofErr w:type="spellStart"/>
      <w:r w:rsidRPr="0043768A">
        <w:rPr>
          <w:rStyle w:val="SCCCounselPartyRoleChar"/>
          <w:sz w:val="20"/>
          <w:lang w:val="fr-CA"/>
        </w:rPr>
        <w:t>Criminal</w:t>
      </w:r>
      <w:proofErr w:type="spellEnd"/>
      <w:r w:rsidRPr="0043768A">
        <w:rPr>
          <w:rStyle w:val="SCCCounselPartyRoleChar"/>
          <w:sz w:val="20"/>
          <w:lang w:val="fr-CA"/>
        </w:rPr>
        <w:t xml:space="preserve"> Trial </w:t>
      </w:r>
      <w:proofErr w:type="spellStart"/>
      <w:r w:rsidRPr="0043768A">
        <w:rPr>
          <w:rStyle w:val="SCCCounselPartyRoleChar"/>
          <w:sz w:val="20"/>
          <w:lang w:val="fr-CA"/>
        </w:rPr>
        <w:t>Lawyers</w:t>
      </w:r>
      <w:proofErr w:type="spellEnd"/>
      <w:r w:rsidRPr="0043768A">
        <w:rPr>
          <w:rStyle w:val="SCCCounselPartyRoleChar"/>
          <w:sz w:val="20"/>
          <w:lang w:val="fr-CA"/>
        </w:rPr>
        <w:t>’ Association.</w:t>
      </w:r>
    </w:p>
    <w:p w:rsidR="0043768A" w:rsidRPr="0043768A" w:rsidRDefault="0043768A" w:rsidP="0043768A">
      <w:pPr>
        <w:pStyle w:val="SCCNormalDoubleSpacing"/>
        <w:spacing w:line="240" w:lineRule="auto"/>
        <w:rPr>
          <w:sz w:val="20"/>
          <w:lang w:val="fr-CA"/>
        </w:rPr>
      </w:pPr>
    </w:p>
    <w:p w:rsidR="0043768A" w:rsidRPr="0043768A" w:rsidRDefault="0043768A" w:rsidP="0043768A">
      <w:pPr>
        <w:pStyle w:val="SCCNormalDoubleSpacing"/>
        <w:spacing w:line="240" w:lineRule="auto"/>
        <w:rPr>
          <w:sz w:val="20"/>
          <w:lang w:val="fr-CA"/>
        </w:rPr>
      </w:pPr>
      <w:r w:rsidRPr="0043768A">
        <w:rPr>
          <w:rStyle w:val="SCCCounselNameChar"/>
          <w:sz w:val="20"/>
          <w:lang w:val="fr-CA"/>
        </w:rPr>
        <w:tab/>
        <w:t xml:space="preserve">Marie </w:t>
      </w:r>
      <w:proofErr w:type="spellStart"/>
      <w:r w:rsidRPr="0043768A">
        <w:rPr>
          <w:rStyle w:val="SCCCounselNameChar"/>
          <w:sz w:val="20"/>
          <w:lang w:val="fr-CA"/>
        </w:rPr>
        <w:t>Henein</w:t>
      </w:r>
      <w:proofErr w:type="spellEnd"/>
      <w:r w:rsidRPr="0043768A">
        <w:rPr>
          <w:rStyle w:val="SCCCounselPartyRoleChar"/>
          <w:sz w:val="20"/>
          <w:lang w:val="fr-CA"/>
        </w:rPr>
        <w:t xml:space="preserve">, </w:t>
      </w:r>
      <w:r w:rsidRPr="0043768A">
        <w:rPr>
          <w:rStyle w:val="SCCCounselPartyRoleChar"/>
          <w:i/>
          <w:sz w:val="20"/>
          <w:lang w:val="fr-CA"/>
        </w:rPr>
        <w:t xml:space="preserve">Matthew </w:t>
      </w:r>
      <w:proofErr w:type="spellStart"/>
      <w:r w:rsidRPr="0043768A">
        <w:rPr>
          <w:rStyle w:val="SCCCounselPartyRoleChar"/>
          <w:i/>
          <w:sz w:val="20"/>
          <w:lang w:val="fr-CA"/>
        </w:rPr>
        <w:t>Gourlay</w:t>
      </w:r>
      <w:proofErr w:type="spellEnd"/>
      <w:r w:rsidRPr="0043768A">
        <w:rPr>
          <w:rStyle w:val="SCCCounselPartyRoleChar"/>
          <w:sz w:val="20"/>
          <w:lang w:val="fr-CA"/>
        </w:rPr>
        <w:t xml:space="preserve"> et </w:t>
      </w:r>
      <w:r w:rsidRPr="0043768A">
        <w:rPr>
          <w:rStyle w:val="SCCCounselPartyRoleChar"/>
          <w:i/>
          <w:sz w:val="20"/>
          <w:lang w:val="fr-CA"/>
        </w:rPr>
        <w:t xml:space="preserve">Lou </w:t>
      </w:r>
      <w:proofErr w:type="spellStart"/>
      <w:r w:rsidRPr="0043768A">
        <w:rPr>
          <w:rStyle w:val="SCCCounselPartyRoleChar"/>
          <w:i/>
          <w:sz w:val="20"/>
          <w:lang w:val="fr-CA"/>
        </w:rPr>
        <w:t>Strezos</w:t>
      </w:r>
      <w:proofErr w:type="spellEnd"/>
      <w:r w:rsidRPr="0043768A">
        <w:rPr>
          <w:rStyle w:val="SCCCounselPartyRoleChar"/>
          <w:sz w:val="20"/>
          <w:lang w:val="fr-CA"/>
        </w:rPr>
        <w:t xml:space="preserve">, pour l’intervenante </w:t>
      </w:r>
      <w:proofErr w:type="spellStart"/>
      <w:r w:rsidRPr="0043768A">
        <w:rPr>
          <w:rStyle w:val="SCCCounselPartyRoleChar"/>
          <w:sz w:val="20"/>
          <w:lang w:val="fr-CA"/>
        </w:rPr>
        <w:t>Criminal</w:t>
      </w:r>
      <w:proofErr w:type="spellEnd"/>
      <w:r w:rsidRPr="0043768A">
        <w:rPr>
          <w:rStyle w:val="SCCCounselPartyRoleChar"/>
          <w:sz w:val="20"/>
          <w:lang w:val="fr-CA"/>
        </w:rPr>
        <w:t xml:space="preserve"> </w:t>
      </w:r>
      <w:proofErr w:type="spellStart"/>
      <w:r w:rsidRPr="0043768A">
        <w:rPr>
          <w:rStyle w:val="SCCCounselPartyRoleChar"/>
          <w:sz w:val="20"/>
          <w:lang w:val="fr-CA"/>
        </w:rPr>
        <w:t>Lawyers</w:t>
      </w:r>
      <w:proofErr w:type="spellEnd"/>
      <w:r w:rsidRPr="0043768A">
        <w:rPr>
          <w:rStyle w:val="SCCCounselPartyRoleChar"/>
          <w:sz w:val="20"/>
          <w:lang w:val="fr-CA"/>
        </w:rPr>
        <w:t>’ Association (Ontario).</w:t>
      </w:r>
    </w:p>
    <w:p w:rsidR="00C319EC" w:rsidRPr="0043768A" w:rsidRDefault="00C319EC" w:rsidP="0010199C">
      <w:pPr>
        <w:rPr>
          <w:rFonts w:cs="Times New Roman"/>
          <w:sz w:val="20"/>
          <w:szCs w:val="20"/>
          <w:lang w:val="fr-CA"/>
        </w:rPr>
      </w:pPr>
    </w:p>
    <w:p w:rsidR="005C6840" w:rsidRPr="003B3977" w:rsidRDefault="00547297" w:rsidP="005C6840">
      <w:pPr>
        <w:rPr>
          <w:sz w:val="20"/>
          <w:szCs w:val="20"/>
          <w:lang w:val="fr-CA"/>
        </w:rPr>
      </w:pPr>
      <w:r w:rsidRPr="00547297">
        <w:rPr>
          <w:rFonts w:cs="Times New Roman"/>
          <w:sz w:val="20"/>
          <w:szCs w:val="20"/>
          <w:lang w:val="fr-CA"/>
        </w:rPr>
        <w:pict>
          <v:rect id="_x0000_i1080" style="width:144.3pt;height:1pt" o:hrpct="300" o:hralign="center" o:hrstd="t" o:hrnoshade="t" o:hr="t" fillcolor="black [3213]" stroked="f"/>
        </w:pict>
      </w:r>
    </w:p>
    <w:p w:rsidR="005C6840" w:rsidRPr="003B3977" w:rsidRDefault="005C6840" w:rsidP="005C6840">
      <w:pPr>
        <w:spacing w:line="0" w:lineRule="atLeast"/>
        <w:rPr>
          <w:sz w:val="20"/>
          <w:szCs w:val="20"/>
          <w:lang w:val="fr-CA"/>
        </w:rPr>
      </w:pPr>
    </w:p>
    <w:p w:rsidR="00102926" w:rsidRPr="0010199C" w:rsidRDefault="00102926" w:rsidP="00782AE4">
      <w:pPr>
        <w:jc w:val="both"/>
        <w:rPr>
          <w:sz w:val="20"/>
          <w:szCs w:val="20"/>
          <w:lang w:val="fr-CA"/>
        </w:rPr>
        <w:sectPr w:rsidR="00102926" w:rsidRPr="0010199C" w:rsidSect="00782AE4">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576" w:footer="960" w:gutter="0"/>
          <w:cols w:space="720"/>
          <w:titlePg/>
          <w:docGrid w:linePitch="272"/>
        </w:sectPr>
      </w:pPr>
    </w:p>
    <w:bookmarkStart w:id="2" w:name="QuickMark"/>
    <w:bookmarkEnd w:id="2"/>
    <w:p w:rsidR="00924065" w:rsidRPr="00DE5525" w:rsidRDefault="00547297"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 xml:space="preserve">Séances de la </w:t>
            </w:r>
            <w:proofErr w:type="spellStart"/>
            <w:r w:rsidRPr="00267AE0">
              <w:rPr>
                <w:rFonts w:ascii="Arial" w:hAnsi="Arial" w:cs="Arial"/>
                <w:sz w:val="16"/>
              </w:rPr>
              <w:t>cour</w:t>
            </w:r>
            <w:proofErr w:type="spellEnd"/>
            <w:r w:rsidRPr="00267AE0">
              <w:rPr>
                <w:rFonts w:ascii="Arial" w:hAnsi="Arial" w:cs="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 xml:space="preserve">18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weeks</w:t>
            </w:r>
            <w:proofErr w:type="spellEnd"/>
            <w:r w:rsidRPr="00267AE0">
              <w:rPr>
                <w:rFonts w:ascii="Arial" w:hAnsi="Arial" w:cs="Arial"/>
                <w:b/>
                <w:sz w:val="16"/>
                <w:lang w:val="fr-CA"/>
              </w:rPr>
              <w:t>/semaines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87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9  motion and </w:t>
            </w:r>
            <w:proofErr w:type="spellStart"/>
            <w:r w:rsidRPr="00267AE0">
              <w:rPr>
                <w:rFonts w:ascii="Arial" w:hAnsi="Arial" w:cs="Arial"/>
                <w:b/>
                <w:sz w:val="16"/>
                <w:lang w:val="fr-CA"/>
              </w:rPr>
              <w:t>conference</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 xml:space="preserve">3  holidays during sitting days/ </w:t>
            </w:r>
            <w:proofErr w:type="spellStart"/>
            <w:r w:rsidRPr="00267AE0">
              <w:rPr>
                <w:rFonts w:ascii="Arial" w:hAnsi="Arial" w:cs="Arial"/>
                <w:b/>
                <w:sz w:val="16"/>
              </w:rPr>
              <w:t>jours</w:t>
            </w:r>
            <w:proofErr w:type="spellEnd"/>
            <w:r w:rsidRPr="00267AE0">
              <w:rPr>
                <w:rFonts w:ascii="Arial" w:hAnsi="Arial" w:cs="Arial"/>
                <w:b/>
                <w:sz w:val="16"/>
              </w:rPr>
              <w:t xml:space="preserve"> </w:t>
            </w:r>
            <w:proofErr w:type="spellStart"/>
            <w:r w:rsidRPr="00267AE0">
              <w:rPr>
                <w:rFonts w:ascii="Arial" w:hAnsi="Arial" w:cs="Arial"/>
                <w:b/>
                <w:sz w:val="16"/>
              </w:rPr>
              <w:t>fériés</w:t>
            </w:r>
            <w:proofErr w:type="spellEnd"/>
            <w:r w:rsidRPr="00267AE0">
              <w:rPr>
                <w:rFonts w:ascii="Arial" w:hAnsi="Arial" w:cs="Arial"/>
                <w:b/>
                <w:sz w:val="16"/>
              </w:rPr>
              <w:t xml:space="preserve"> </w:t>
            </w:r>
            <w:proofErr w:type="spellStart"/>
            <w:r w:rsidRPr="00267AE0">
              <w:rPr>
                <w:rFonts w:ascii="Arial" w:hAnsi="Arial" w:cs="Arial"/>
                <w:b/>
                <w:sz w:val="16"/>
              </w:rPr>
              <w:t>durant</w:t>
            </w:r>
            <w:proofErr w:type="spellEnd"/>
            <w:r w:rsidRPr="00267AE0">
              <w:rPr>
                <w:rFonts w:ascii="Arial" w:hAnsi="Arial" w:cs="Arial"/>
                <w:b/>
                <w:sz w:val="16"/>
              </w:rPr>
              <w:t xml:space="preserve">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roofErr w:type="spellStart"/>
            <w:r w:rsidRPr="00267AE0">
              <w:rPr>
                <w:rFonts w:ascii="Arial" w:hAnsi="Arial" w:cs="Arial"/>
                <w:sz w:val="16"/>
              </w:rPr>
              <w:t>Requêtes</w:t>
            </w:r>
            <w:proofErr w:type="spellEnd"/>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58"/>
      <w:footerReference w:type="default" r:id="rId59"/>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7AD" w:rsidRDefault="007477AD" w:rsidP="00A87207">
      <w:r>
        <w:separator/>
      </w:r>
    </w:p>
  </w:endnote>
  <w:endnote w:type="continuationSeparator" w:id="0">
    <w:p w:rsidR="007477AD" w:rsidRDefault="007477AD"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547297">
    <w:pPr>
      <w:pStyle w:val="Footer"/>
      <w:rPr>
        <w:lang w:val="fr-CA"/>
      </w:rPr>
    </w:pPr>
    <w:r w:rsidRPr="00547297">
      <w:rPr>
        <w:lang w:val="fr-CA"/>
      </w:rPr>
      <w:pict>
        <v:rect id="_x0000_i1056" style="width:480.95pt;height:1pt" o:hralign="center" o:hrstd="t" o:hrnoshade="t" o:hr="t" fillcolor="black [3213]" stroked="f"/>
      </w:pict>
    </w:r>
  </w:p>
  <w:p w:rsidR="007477AD" w:rsidRDefault="007477AD" w:rsidP="00245129">
    <w:pPr>
      <w:tabs>
        <w:tab w:val="center" w:pos="4680"/>
      </w:tabs>
    </w:pPr>
    <w:r>
      <w:tab/>
    </w:r>
    <w:r w:rsidRPr="0009648D">
      <w:t xml:space="preserve">- </w:t>
    </w:r>
    <w:fldSimple w:instr=" PAGE   \* MERGEFORMAT ">
      <w:r w:rsidR="002D1834">
        <w:rPr>
          <w:noProof/>
        </w:rPr>
        <w:t>969</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477AD"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477AD" w:rsidRDefault="007477AD">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547297" w:rsidP="00EB2B90">
    <w:pPr>
      <w:tabs>
        <w:tab w:val="center" w:pos="4680"/>
      </w:tabs>
    </w:pPr>
    <w:r>
      <w:pict>
        <v:rect id="_x0000_i1058" style="width:480.95pt;height:1pt" o:hralign="center" o:hrstd="t" o:hrnoshade="t" o:hr="t" fillcolor="black" stroked="f"/>
      </w:pict>
    </w:r>
  </w:p>
  <w:p w:rsidR="007477AD" w:rsidRPr="002864CC" w:rsidRDefault="007477AD" w:rsidP="00EB2B90">
    <w:pPr>
      <w:tabs>
        <w:tab w:val="center" w:pos="4680"/>
      </w:tabs>
    </w:pPr>
    <w:r w:rsidRPr="002864CC">
      <w:tab/>
      <w:t xml:space="preserve">- </w:t>
    </w:r>
    <w:fldSimple w:instr=" PAGE   \* MERGEFORMAT ">
      <w:r w:rsidR="002D1834">
        <w:rPr>
          <w:noProof/>
        </w:rPr>
        <w:t>980</w:t>
      </w:r>
    </w:fldSimple>
    <w:r w:rsidRPr="002864CC">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547297">
    <w:pPr>
      <w:pStyle w:val="Footer"/>
    </w:pPr>
    <w:r>
      <w:pict>
        <v:rect id="_x0000_i1059" style="width:480.95pt;height:1pt" o:hralign="center" o:hrstd="t" o:hrnoshade="t" o:hr="t" fillcolor="black" stroked="f"/>
      </w:pict>
    </w:r>
  </w:p>
  <w:p w:rsidR="007477AD" w:rsidRPr="002864CC" w:rsidRDefault="007477AD" w:rsidP="00EB2B90">
    <w:pPr>
      <w:tabs>
        <w:tab w:val="center" w:pos="4680"/>
      </w:tabs>
    </w:pPr>
    <w:r>
      <w:tab/>
      <w:t xml:space="preserve">- </w:t>
    </w:r>
    <w:fldSimple w:instr=" PAGE   \* MERGEFORMAT ">
      <w:r w:rsidR="002D1834">
        <w:rPr>
          <w:noProof/>
        </w:rPr>
        <w:t>978</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477AD"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477AD" w:rsidRDefault="007477AD">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547297" w:rsidP="00755F22">
    <w:pPr>
      <w:tabs>
        <w:tab w:val="left" w:pos="-1440"/>
        <w:tab w:val="left" w:pos="-720"/>
      </w:tabs>
    </w:pPr>
    <w:r>
      <w:pict>
        <v:rect id="_x0000_i1067" style="width:480.95pt;height:1pt" o:hralign="center" o:hrstd="t" o:hrnoshade="t" o:hr="t" fillcolor="black [3213]" stroked="f"/>
      </w:pict>
    </w:r>
  </w:p>
  <w:p w:rsidR="007477AD" w:rsidRDefault="007477AD" w:rsidP="00EB2B90">
    <w:pPr>
      <w:tabs>
        <w:tab w:val="center" w:pos="4680"/>
      </w:tabs>
    </w:pPr>
    <w:r>
      <w:tab/>
      <w:t xml:space="preserve">- </w:t>
    </w:r>
    <w:fldSimple w:instr=" PAGE   \* MERGEFORMAT ">
      <w:r w:rsidR="002D1834">
        <w:rPr>
          <w:noProof/>
        </w:rPr>
        <w:t>987</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547297" w:rsidP="00EB2B90">
    <w:pPr>
      <w:tabs>
        <w:tab w:val="center" w:pos="4680"/>
      </w:tabs>
    </w:pPr>
    <w:r>
      <w:pict>
        <v:rect id="_x0000_i1068" style="width:480.95pt;height:1pt" o:hralign="center" o:hrstd="t" o:hrnoshade="t" o:hr="t" fillcolor="black [3213]" stroked="f"/>
      </w:pict>
    </w:r>
  </w:p>
  <w:p w:rsidR="007477AD" w:rsidRPr="0031432F" w:rsidRDefault="007477AD" w:rsidP="00EB2B90">
    <w:pPr>
      <w:tabs>
        <w:tab w:val="center" w:pos="4680"/>
      </w:tabs>
    </w:pPr>
    <w:r>
      <w:tab/>
      <w:t xml:space="preserve">- </w:t>
    </w:r>
    <w:fldSimple w:instr=" PAGE   \* MERGEFORMAT ">
      <w:r w:rsidR="002D1834">
        <w:rPr>
          <w:noProof/>
        </w:rPr>
        <w:t>981</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477AD"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477AD" w:rsidRDefault="007477AD">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547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47297">
      <w:rPr>
        <w:lang w:val="fr-CA"/>
      </w:rPr>
      <w:pict>
        <v:rect id="_x0000_i1071" style="width:480.95pt;height:1pt" o:hralign="center" o:hrstd="t" o:hrnoshade="t" o:hr="t" fillcolor="black [3213]" stroked="f"/>
      </w:pict>
    </w:r>
  </w:p>
  <w:p w:rsidR="007477AD" w:rsidRDefault="007477AD" w:rsidP="00EB2B90">
    <w:pPr>
      <w:tabs>
        <w:tab w:val="center" w:pos="4680"/>
      </w:tabs>
    </w:pPr>
    <w:r>
      <w:tab/>
      <w:t xml:space="preserve">- </w:t>
    </w:r>
    <w:fldSimple w:instr=" PAGE   \* MERGEFORMAT ">
      <w:r>
        <w:rPr>
          <w:noProof/>
        </w:rPr>
        <w:t>986</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547297">
    <w:pPr>
      <w:pStyle w:val="Footer"/>
      <w:rPr>
        <w:lang w:val="fr-CA"/>
      </w:rPr>
    </w:pPr>
    <w:r w:rsidRPr="00547297">
      <w:rPr>
        <w:lang w:val="fr-CA"/>
      </w:rPr>
      <w:pict>
        <v:rect id="_x0000_i1072" style="width:480.95pt;height:1pt" o:hralign="center" o:hrstd="t" o:hrnoshade="t" o:hr="t" fillcolor="black [3213]" stroked="f"/>
      </w:pict>
    </w:r>
  </w:p>
  <w:p w:rsidR="007477AD" w:rsidRDefault="007477AD" w:rsidP="00EB2B90">
    <w:pPr>
      <w:tabs>
        <w:tab w:val="center" w:pos="4680"/>
      </w:tabs>
    </w:pPr>
    <w:r>
      <w:tab/>
      <w:t xml:space="preserve">- </w:t>
    </w:r>
    <w:fldSimple w:instr=" PAGE   \* MERGEFORMAT ">
      <w:r w:rsidR="002D1834">
        <w:rPr>
          <w:noProof/>
        </w:rPr>
        <w:t>988</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477AD"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477AD" w:rsidRDefault="007477AD">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547297" w:rsidP="00732DB7">
    <w:r>
      <w:pict>
        <v:rect id="_x0000_i1075" style="width:480.95pt;height:1pt" o:hralign="center" o:hrstd="t" o:hrnoshade="t" o:hr="t" fillcolor="black" stroked="f"/>
      </w:pict>
    </w:r>
  </w:p>
  <w:p w:rsidR="007477AD" w:rsidRDefault="007477AD">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547297">
    <w:pPr>
      <w:pStyle w:val="Footer"/>
    </w:pPr>
    <w:r>
      <w:pict>
        <v:rect id="_x0000_i1076" style="width:480.95pt;height:1pt" o:hralign="center" o:hrstd="t" o:hrnoshade="t" o:hr="t" fillcolor="black [3213]" stroked="f"/>
      </w:pict>
    </w:r>
  </w:p>
  <w:p w:rsidR="007477AD" w:rsidRPr="003C2C0F" w:rsidRDefault="007477AD" w:rsidP="00697C62">
    <w:pPr>
      <w:tabs>
        <w:tab w:val="center" w:pos="4680"/>
      </w:tabs>
    </w:pPr>
    <w:r>
      <w:tab/>
      <w:t xml:space="preserve">- </w:t>
    </w:r>
    <w:fldSimple w:instr=" PAGE   \* MERGEFORMAT ">
      <w:r w:rsidR="002D1834">
        <w:rPr>
          <w:noProof/>
        </w:rPr>
        <w:t>989</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477AD"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477AD" w:rsidRDefault="007477AD">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477AD" w:rsidRDefault="00547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1" style="width:480.95pt;height:1pt" o:hralign="center" o:hrstd="t" o:hrnoshade="t" o:hr="t" fillcolor="black [3213]" stroked="f"/>
      </w:pict>
    </w:r>
  </w:p>
  <w:p w:rsidR="007477AD" w:rsidRDefault="007477AD" w:rsidP="00782AE4">
    <w:pPr>
      <w:tabs>
        <w:tab w:val="center" w:pos="4680"/>
      </w:tabs>
    </w:pPr>
    <w:r>
      <w:tab/>
      <w:t xml:space="preserve">- </w:t>
    </w:r>
    <w:r w:rsidR="00547297" w:rsidRPr="001775C1">
      <w:rPr>
        <w:szCs w:val="24"/>
      </w:rPr>
      <w:fldChar w:fldCharType="begin"/>
    </w:r>
    <w:r w:rsidRPr="001775C1">
      <w:rPr>
        <w:szCs w:val="24"/>
      </w:rPr>
      <w:instrText xml:space="preserve"> PAGE   \* MERGEFORMAT </w:instrText>
    </w:r>
    <w:r w:rsidR="00547297" w:rsidRPr="001775C1">
      <w:rPr>
        <w:szCs w:val="24"/>
      </w:rPr>
      <w:fldChar w:fldCharType="separate"/>
    </w:r>
    <w:r w:rsidR="002D1834">
      <w:rPr>
        <w:noProof/>
        <w:szCs w:val="24"/>
      </w:rPr>
      <w:t>997</w:t>
    </w:r>
    <w:r w:rsidR="00547297"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547297" w:rsidP="00782AE4">
    <w:pPr>
      <w:tabs>
        <w:tab w:val="center" w:pos="4680"/>
      </w:tabs>
    </w:pPr>
    <w:r>
      <w:pict>
        <v:rect id="_x0000_i1082" style="width:480.95pt;height:1pt" o:hralign="center" o:hrstd="t" o:hrnoshade="t" o:hr="t" fillcolor="black [3213]" stroked="f"/>
      </w:pict>
    </w:r>
  </w:p>
  <w:p w:rsidR="007477AD" w:rsidRDefault="007477AD" w:rsidP="00782AE4">
    <w:pPr>
      <w:tabs>
        <w:tab w:val="center" w:pos="4680"/>
      </w:tabs>
    </w:pPr>
    <w:r>
      <w:tab/>
      <w:t xml:space="preserve">- </w:t>
    </w:r>
    <w:r w:rsidR="00547297" w:rsidRPr="001775C1">
      <w:rPr>
        <w:szCs w:val="24"/>
      </w:rPr>
      <w:fldChar w:fldCharType="begin"/>
    </w:r>
    <w:r w:rsidRPr="001775C1">
      <w:rPr>
        <w:szCs w:val="24"/>
      </w:rPr>
      <w:instrText xml:space="preserve"> PAGE   \* MERGEFORMAT </w:instrText>
    </w:r>
    <w:r w:rsidR="00547297" w:rsidRPr="001775C1">
      <w:rPr>
        <w:szCs w:val="24"/>
      </w:rPr>
      <w:fldChar w:fldCharType="separate"/>
    </w:r>
    <w:r w:rsidR="002D1834">
      <w:rPr>
        <w:noProof/>
        <w:szCs w:val="24"/>
      </w:rPr>
      <w:t>990</w:t>
    </w:r>
    <w:r w:rsidR="00547297"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Pr="00924065" w:rsidRDefault="007477AD"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547297" w:rsidP="00A87207">
    <w:pPr>
      <w:pStyle w:val="Footer"/>
    </w:pPr>
    <w:r>
      <w:pict>
        <v:rect id="_x0000_i1038" style="width:480.95pt;height:1pt" o:hralign="center" o:hrstd="t" o:hrnoshade="t" o:hr="t" fillcolor="black [3213]" stroked="f"/>
      </w:pict>
    </w:r>
  </w:p>
  <w:p w:rsidR="007477AD" w:rsidRPr="00B7374B" w:rsidRDefault="007477AD" w:rsidP="00B7374B">
    <w:pPr>
      <w:tabs>
        <w:tab w:val="center" w:pos="4680"/>
      </w:tabs>
      <w:rPr>
        <w:szCs w:val="24"/>
      </w:rPr>
    </w:pPr>
    <w:r w:rsidRPr="00954D22">
      <w:rPr>
        <w:szCs w:val="24"/>
      </w:rPr>
      <w:tab/>
      <w:t xml:space="preserve">- </w:t>
    </w:r>
    <w:r w:rsidR="00547297" w:rsidRPr="00954D22">
      <w:rPr>
        <w:szCs w:val="24"/>
      </w:rPr>
      <w:fldChar w:fldCharType="begin"/>
    </w:r>
    <w:r w:rsidRPr="00954D22">
      <w:rPr>
        <w:szCs w:val="24"/>
      </w:rPr>
      <w:instrText xml:space="preserve"> PAGE   \* MERGEFORMAT </w:instrText>
    </w:r>
    <w:r w:rsidR="00547297" w:rsidRPr="00954D22">
      <w:rPr>
        <w:szCs w:val="24"/>
      </w:rPr>
      <w:fldChar w:fldCharType="separate"/>
    </w:r>
    <w:r w:rsidR="002D1834">
      <w:rPr>
        <w:noProof/>
        <w:szCs w:val="24"/>
      </w:rPr>
      <w:t>967</w:t>
    </w:r>
    <w:r w:rsidR="00547297"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547297" w:rsidP="00755F22">
    <w:pPr>
      <w:tabs>
        <w:tab w:val="left" w:pos="-1440"/>
        <w:tab w:val="left" w:pos="-720"/>
      </w:tabs>
    </w:pPr>
    <w:r>
      <w:pict>
        <v:rect id="_x0000_i1039" style="width:480.95pt;height:1pt" o:hralign="center" o:hrstd="t" o:hrnoshade="t" o:hr="t" fillcolor="black [3213]" stroked="f"/>
      </w:pict>
    </w:r>
  </w:p>
  <w:p w:rsidR="007477AD" w:rsidRPr="00954D22" w:rsidRDefault="007477AD" w:rsidP="00B7374B">
    <w:pPr>
      <w:tabs>
        <w:tab w:val="center" w:pos="4680"/>
      </w:tabs>
      <w:rPr>
        <w:szCs w:val="24"/>
      </w:rPr>
    </w:pPr>
    <w:r w:rsidRPr="00954D22">
      <w:rPr>
        <w:szCs w:val="24"/>
      </w:rPr>
      <w:tab/>
      <w:t xml:space="preserve">- </w:t>
    </w:r>
    <w:r w:rsidR="00547297">
      <w:rPr>
        <w:szCs w:val="24"/>
      </w:rPr>
      <w:fldChar w:fldCharType="begin"/>
    </w:r>
    <w:r>
      <w:rPr>
        <w:szCs w:val="24"/>
      </w:rPr>
      <w:instrText xml:space="preserve"> PAGE   \* MERGEFORMAT </w:instrText>
    </w:r>
    <w:r w:rsidR="00547297">
      <w:rPr>
        <w:szCs w:val="24"/>
      </w:rPr>
      <w:fldChar w:fldCharType="separate"/>
    </w:r>
    <w:r w:rsidR="002D1834">
      <w:rPr>
        <w:noProof/>
        <w:szCs w:val="24"/>
      </w:rPr>
      <w:t>966</w:t>
    </w:r>
    <w:r w:rsidR="00547297">
      <w:rPr>
        <w:szCs w:val="24"/>
      </w:rPr>
      <w:fldChar w:fldCharType="end"/>
    </w:r>
    <w:r w:rsidRPr="00954D22">
      <w:rPr>
        <w:szCs w:val="24"/>
      </w:rPr>
      <w:t xml:space="preserve"> -</w:t>
    </w:r>
  </w:p>
  <w:p w:rsidR="007477AD" w:rsidRDefault="007477A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547297" w:rsidP="00A87207">
    <w:pPr>
      <w:pStyle w:val="Footer"/>
    </w:pPr>
    <w:r>
      <w:pict>
        <v:rect id="_x0000_i1041" style="width:480.95pt;height:1pt" o:hralign="center" o:hrstd="t" o:hrnoshade="t" o:hr="t" fillcolor="black [3213]" stroked="f"/>
      </w:pict>
    </w:r>
  </w:p>
  <w:p w:rsidR="007477AD" w:rsidRPr="00B7374B" w:rsidRDefault="007477AD" w:rsidP="00B7374B">
    <w:pPr>
      <w:tabs>
        <w:tab w:val="center" w:pos="4680"/>
      </w:tabs>
      <w:rPr>
        <w:szCs w:val="24"/>
      </w:rPr>
    </w:pPr>
    <w:r w:rsidRPr="00954D22">
      <w:rPr>
        <w:szCs w:val="24"/>
      </w:rPr>
      <w:tab/>
      <w:t xml:space="preserve">- </w:t>
    </w:r>
    <w:r w:rsidR="00547297" w:rsidRPr="00954D22">
      <w:rPr>
        <w:szCs w:val="24"/>
      </w:rPr>
      <w:fldChar w:fldCharType="begin"/>
    </w:r>
    <w:r w:rsidRPr="00954D22">
      <w:rPr>
        <w:szCs w:val="24"/>
      </w:rPr>
      <w:instrText xml:space="preserve"> PAGE   \* MERGEFORMAT </w:instrText>
    </w:r>
    <w:r w:rsidR="00547297" w:rsidRPr="00954D22">
      <w:rPr>
        <w:szCs w:val="24"/>
      </w:rPr>
      <w:fldChar w:fldCharType="separate"/>
    </w:r>
    <w:r>
      <w:rPr>
        <w:noProof/>
        <w:szCs w:val="24"/>
      </w:rPr>
      <w:t>969</w:t>
    </w:r>
    <w:r w:rsidR="00547297"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54729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7477AD" w:rsidRPr="00954D22" w:rsidRDefault="007477AD" w:rsidP="00B7374B">
    <w:pPr>
      <w:tabs>
        <w:tab w:val="center" w:pos="4680"/>
      </w:tabs>
      <w:rPr>
        <w:szCs w:val="24"/>
      </w:rPr>
    </w:pPr>
    <w:r w:rsidRPr="00954D22">
      <w:rPr>
        <w:szCs w:val="24"/>
      </w:rPr>
      <w:tab/>
      <w:t xml:space="preserve">- </w:t>
    </w:r>
    <w:r w:rsidR="00547297" w:rsidRPr="00954D22">
      <w:rPr>
        <w:szCs w:val="24"/>
      </w:rPr>
      <w:fldChar w:fldCharType="begin"/>
    </w:r>
    <w:r w:rsidRPr="00954D22">
      <w:rPr>
        <w:szCs w:val="24"/>
      </w:rPr>
      <w:instrText xml:space="preserve"> PAGE   \* MERGEFORMAT </w:instrText>
    </w:r>
    <w:r w:rsidR="00547297" w:rsidRPr="00954D22">
      <w:rPr>
        <w:szCs w:val="24"/>
      </w:rPr>
      <w:fldChar w:fldCharType="separate"/>
    </w:r>
    <w:r w:rsidR="002D1834">
      <w:rPr>
        <w:noProof/>
        <w:szCs w:val="24"/>
      </w:rPr>
      <w:t>968</w:t>
    </w:r>
    <w:r w:rsidR="00547297"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477AD"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477AD" w:rsidRDefault="007477AD">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5472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47297">
      <w:rPr>
        <w:lang w:val="fr-CA"/>
      </w:rPr>
      <w:pict>
        <v:rect id="_x0000_i1055" style="width:480.95pt;height:1pt" o:hralign="center" o:hrstd="t" o:hrnoshade="t" o:hr="t" fillcolor="black [3213]" stroked="f"/>
      </w:pict>
    </w:r>
  </w:p>
  <w:p w:rsidR="007477AD" w:rsidRPr="0009648D" w:rsidRDefault="007477AD" w:rsidP="00ED7E83">
    <w:pPr>
      <w:tabs>
        <w:tab w:val="center" w:pos="4680"/>
      </w:tabs>
    </w:pPr>
    <w:r>
      <w:tab/>
    </w:r>
    <w:r w:rsidRPr="0009648D">
      <w:t xml:space="preserve">- </w:t>
    </w:r>
    <w:fldSimple w:instr=" PAGE   \* MERGEFORMAT ">
      <w:r w:rsidR="002D1834">
        <w:rPr>
          <w:noProof/>
        </w:rPr>
        <w:t>977</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7AD" w:rsidRDefault="007477AD" w:rsidP="00A87207">
      <w:r>
        <w:separator/>
      </w:r>
    </w:p>
  </w:footnote>
  <w:footnote w:type="continuationSeparator" w:id="0">
    <w:p w:rsidR="007477AD" w:rsidRDefault="007477AD"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477AD" w:rsidRPr="00672656">
      <w:tc>
        <w:tcPr>
          <w:tcW w:w="4200" w:type="dxa"/>
          <w:tcMar>
            <w:left w:w="0" w:type="dxa"/>
            <w:right w:w="0" w:type="dxa"/>
          </w:tcMar>
        </w:tcPr>
        <w:p w:rsidR="007477AD" w:rsidRDefault="00747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477AD" w:rsidRDefault="00747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477AD" w:rsidRDefault="00747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477AD" w:rsidRPr="000204A4" w:rsidRDefault="007477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0204A4">
            <w:rPr>
              <w:rFonts w:ascii="Times New" w:hAnsi="Times New"/>
              <w:lang w:val="fr-CA"/>
            </w:rPr>
            <w:t>JUGEMENTS RENDUS SUR LES APPELS EN DÉLIBÉRÉ</w:t>
          </w:r>
        </w:p>
        <w:p w:rsidR="007477AD" w:rsidRPr="000204A4"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477AD" w:rsidRPr="000204A4"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477AD" w:rsidRPr="00890FEB" w:rsidTr="00245129">
      <w:tc>
        <w:tcPr>
          <w:tcW w:w="4200" w:type="dxa"/>
          <w:tcMar>
            <w:left w:w="0" w:type="dxa"/>
            <w:right w:w="0" w:type="dxa"/>
          </w:tcMar>
        </w:tcPr>
        <w:p w:rsidR="007477AD" w:rsidRPr="00890FEB" w:rsidRDefault="007477AD" w:rsidP="00EB2B90">
          <w:pPr>
            <w:rPr>
              <w:sz w:val="20"/>
              <w:szCs w:val="20"/>
            </w:rPr>
          </w:pPr>
          <w:r w:rsidRPr="00890FEB">
            <w:rPr>
              <w:sz w:val="20"/>
              <w:szCs w:val="20"/>
            </w:rPr>
            <w:t>JUDGEMENT ON MOTION</w:t>
          </w:r>
        </w:p>
      </w:tc>
      <w:tc>
        <w:tcPr>
          <w:tcW w:w="1200" w:type="dxa"/>
          <w:tcMar>
            <w:left w:w="0" w:type="dxa"/>
            <w:right w:w="0" w:type="dxa"/>
          </w:tcMar>
        </w:tcPr>
        <w:p w:rsidR="007477AD" w:rsidRPr="00890FEB" w:rsidRDefault="007477AD" w:rsidP="00890FEB">
          <w:pPr>
            <w:jc w:val="center"/>
            <w:rPr>
              <w:sz w:val="20"/>
              <w:szCs w:val="20"/>
            </w:rPr>
          </w:pPr>
        </w:p>
        <w:p w:rsidR="007477AD" w:rsidRPr="00890FEB" w:rsidRDefault="007477AD" w:rsidP="00890FEB">
          <w:pPr>
            <w:jc w:val="center"/>
            <w:rPr>
              <w:sz w:val="20"/>
              <w:szCs w:val="20"/>
            </w:rPr>
          </w:pPr>
        </w:p>
      </w:tc>
      <w:tc>
        <w:tcPr>
          <w:tcW w:w="4080" w:type="dxa"/>
          <w:tcMar>
            <w:left w:w="0" w:type="dxa"/>
            <w:right w:w="0" w:type="dxa"/>
          </w:tcMar>
        </w:tcPr>
        <w:p w:rsidR="007477AD" w:rsidRPr="00890FEB" w:rsidRDefault="007477AD" w:rsidP="00890FEB">
          <w:pPr>
            <w:rPr>
              <w:sz w:val="20"/>
              <w:szCs w:val="20"/>
              <w:lang w:val="fr-CA"/>
            </w:rPr>
          </w:pPr>
          <w:r w:rsidRPr="00890FEB">
            <w:rPr>
              <w:sz w:val="20"/>
              <w:szCs w:val="20"/>
              <w:lang w:val="fr-CA"/>
            </w:rPr>
            <w:t>JUGEMENTS SUR REQUÊTES</w:t>
          </w:r>
        </w:p>
      </w:tc>
    </w:tr>
  </w:tbl>
  <w:p w:rsidR="007477AD" w:rsidRPr="002864CC" w:rsidRDefault="007477AD" w:rsidP="00EB2B90">
    <w:pPr>
      <w:rPr>
        <w:lang w:val="fr-CA"/>
      </w:rPr>
    </w:pPr>
  </w:p>
  <w:p w:rsidR="007477AD" w:rsidRPr="000204A4" w:rsidRDefault="007477AD" w:rsidP="00EB2B90">
    <w:pPr>
      <w:spacing w:line="-19" w:lineRule="auto"/>
      <w:rPr>
        <w:rFonts w:ascii="Times New" w:hAnsi="Times New"/>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477AD">
      <w:tc>
        <w:tcPr>
          <w:tcW w:w="4230" w:type="dxa"/>
          <w:tcMar>
            <w:left w:w="0" w:type="dxa"/>
            <w:right w:w="0" w:type="dxa"/>
          </w:tcMar>
        </w:tcPr>
        <w:p w:rsidR="007477AD" w:rsidRDefault="00747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477AD" w:rsidRDefault="007477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477AD" w:rsidRDefault="007477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477AD">
      <w:trPr>
        <w:gridAfter w:val="2"/>
        <w:wAfter w:w="5250" w:type="dxa"/>
      </w:trPr>
      <w:tc>
        <w:tcPr>
          <w:tcW w:w="4230" w:type="dxa"/>
          <w:tcMar>
            <w:left w:w="0" w:type="dxa"/>
            <w:right w:w="0" w:type="dxa"/>
          </w:tcMar>
        </w:tcPr>
        <w:p w:rsidR="007477AD"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477AD"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477AD" w:rsidRPr="00755F22" w:rsidTr="00245129">
      <w:tc>
        <w:tcPr>
          <w:tcW w:w="4230" w:type="dxa"/>
          <w:tcMar>
            <w:left w:w="0" w:type="dxa"/>
            <w:right w:w="0" w:type="dxa"/>
          </w:tcMar>
        </w:tcPr>
        <w:p w:rsidR="007477AD" w:rsidRPr="00755F22" w:rsidRDefault="007477AD" w:rsidP="00831CA9">
          <w:pPr>
            <w:keepNext/>
            <w:keepLines/>
            <w:rPr>
              <w:sz w:val="20"/>
              <w:szCs w:val="20"/>
            </w:rPr>
          </w:pPr>
          <w:r w:rsidRPr="00755F22">
            <w:rPr>
              <w:sz w:val="20"/>
              <w:szCs w:val="20"/>
            </w:rPr>
            <w:t>MOTIONS</w:t>
          </w:r>
        </w:p>
      </w:tc>
      <w:tc>
        <w:tcPr>
          <w:tcW w:w="1170" w:type="dxa"/>
          <w:tcMar>
            <w:left w:w="0" w:type="dxa"/>
            <w:right w:w="0" w:type="dxa"/>
          </w:tcMar>
        </w:tcPr>
        <w:p w:rsidR="007477AD" w:rsidRPr="00755F22" w:rsidRDefault="007477AD" w:rsidP="00831CA9">
          <w:pPr>
            <w:keepLines/>
            <w:jc w:val="center"/>
            <w:rPr>
              <w:sz w:val="20"/>
              <w:szCs w:val="20"/>
            </w:rPr>
          </w:pPr>
        </w:p>
        <w:p w:rsidR="007477AD" w:rsidRPr="00755F22" w:rsidRDefault="007477AD" w:rsidP="00831CA9">
          <w:pPr>
            <w:keepLines/>
            <w:tabs>
              <w:tab w:val="left" w:pos="-1440"/>
              <w:tab w:val="left" w:pos="-720"/>
            </w:tabs>
            <w:jc w:val="center"/>
            <w:rPr>
              <w:sz w:val="20"/>
              <w:szCs w:val="20"/>
            </w:rPr>
          </w:pPr>
        </w:p>
      </w:tc>
      <w:tc>
        <w:tcPr>
          <w:tcW w:w="4080" w:type="dxa"/>
          <w:tcMar>
            <w:left w:w="0" w:type="dxa"/>
            <w:right w:w="0" w:type="dxa"/>
          </w:tcMar>
        </w:tcPr>
        <w:p w:rsidR="007477AD" w:rsidRPr="00BA6468" w:rsidRDefault="007477AD" w:rsidP="00BA6468">
          <w:pPr>
            <w:keepLines/>
            <w:rPr>
              <w:sz w:val="20"/>
              <w:szCs w:val="20"/>
              <w:lang w:val="fr-CA"/>
            </w:rPr>
          </w:pPr>
          <w:r w:rsidRPr="00BA6468">
            <w:rPr>
              <w:sz w:val="20"/>
              <w:szCs w:val="20"/>
              <w:lang w:val="fr-CA"/>
            </w:rPr>
            <w:t>REQUÊTES</w:t>
          </w:r>
        </w:p>
      </w:tc>
    </w:tr>
  </w:tbl>
  <w:p w:rsidR="007477AD" w:rsidRDefault="007477AD" w:rsidP="00831CA9">
    <w:pPr>
      <w:jc w:val="both"/>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477AD" w:rsidRPr="00672656">
      <w:tc>
        <w:tcPr>
          <w:tcW w:w="4200" w:type="dxa"/>
          <w:tcMar>
            <w:left w:w="0" w:type="dxa"/>
            <w:right w:w="0" w:type="dxa"/>
          </w:tcMar>
        </w:tcPr>
        <w:p w:rsidR="007477AD" w:rsidRDefault="00747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477AD" w:rsidRDefault="00747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477AD" w:rsidRPr="00B01A03" w:rsidRDefault="007477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477AD" w:rsidRPr="00B01A03"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477AD" w:rsidRPr="00B01A03"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7477AD" w:rsidRPr="00672656" w:rsidTr="00245129">
      <w:tc>
        <w:tcPr>
          <w:tcW w:w="4200" w:type="dxa"/>
          <w:tcMar>
            <w:left w:w="0" w:type="dxa"/>
            <w:right w:w="0" w:type="dxa"/>
          </w:tcMar>
        </w:tcPr>
        <w:p w:rsidR="007477AD" w:rsidRPr="00F40249" w:rsidRDefault="007477A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477AD" w:rsidRDefault="007477AD" w:rsidP="00102926">
          <w:pPr>
            <w:keepNext/>
            <w:keepLines/>
            <w:tabs>
              <w:tab w:val="left" w:pos="-1440"/>
              <w:tab w:val="left" w:pos="-720"/>
            </w:tabs>
            <w:jc w:val="center"/>
            <w:rPr>
              <w:sz w:val="20"/>
              <w:szCs w:val="20"/>
            </w:rPr>
          </w:pPr>
        </w:p>
        <w:p w:rsidR="007477AD" w:rsidRDefault="007477AD" w:rsidP="00102926">
          <w:pPr>
            <w:keepNext/>
            <w:keepLines/>
            <w:tabs>
              <w:tab w:val="left" w:pos="-1440"/>
              <w:tab w:val="left" w:pos="-720"/>
            </w:tabs>
            <w:jc w:val="center"/>
            <w:rPr>
              <w:sz w:val="20"/>
              <w:szCs w:val="20"/>
            </w:rPr>
          </w:pPr>
        </w:p>
        <w:p w:rsidR="007477AD" w:rsidRPr="00F40249" w:rsidRDefault="007477AD" w:rsidP="00102926">
          <w:pPr>
            <w:keepNext/>
            <w:keepLines/>
            <w:tabs>
              <w:tab w:val="left" w:pos="-1440"/>
              <w:tab w:val="left" w:pos="-720"/>
            </w:tabs>
            <w:jc w:val="center"/>
            <w:rPr>
              <w:sz w:val="20"/>
              <w:szCs w:val="20"/>
            </w:rPr>
          </w:pPr>
        </w:p>
      </w:tc>
      <w:tc>
        <w:tcPr>
          <w:tcW w:w="4230" w:type="dxa"/>
          <w:tcMar>
            <w:left w:w="0" w:type="dxa"/>
            <w:right w:w="0" w:type="dxa"/>
          </w:tcMar>
        </w:tcPr>
        <w:p w:rsidR="007477AD" w:rsidRPr="00F40249" w:rsidRDefault="007477A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477AD" w:rsidRPr="00B01A03" w:rsidRDefault="007477A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477AD" w:rsidRPr="00672656">
      <w:tc>
        <w:tcPr>
          <w:tcW w:w="4200" w:type="dxa"/>
          <w:tcMar>
            <w:left w:w="0" w:type="dxa"/>
            <w:right w:w="0" w:type="dxa"/>
          </w:tcMar>
        </w:tcPr>
        <w:p w:rsidR="007477AD" w:rsidRDefault="00747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477AD" w:rsidRDefault="00747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477AD" w:rsidRDefault="00747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477AD" w:rsidRPr="003C2C0F" w:rsidRDefault="007477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477AD" w:rsidRPr="003C2C0F"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477AD" w:rsidRPr="003C2C0F"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477AD" w:rsidRPr="00672656" w:rsidTr="00245129">
      <w:tc>
        <w:tcPr>
          <w:tcW w:w="4200" w:type="dxa"/>
          <w:tcMar>
            <w:left w:w="0" w:type="dxa"/>
            <w:right w:w="0" w:type="dxa"/>
          </w:tcMar>
        </w:tcPr>
        <w:p w:rsidR="007477AD" w:rsidRPr="00FF6EEC" w:rsidRDefault="007477AD" w:rsidP="00FF6EEC">
          <w:pPr>
            <w:rPr>
              <w:sz w:val="20"/>
              <w:szCs w:val="20"/>
            </w:rPr>
          </w:pPr>
          <w:r w:rsidRPr="00FF6EEC">
            <w:rPr>
              <w:sz w:val="20"/>
              <w:szCs w:val="20"/>
            </w:rPr>
            <w:t>PRONOUNCEMENTS OF APPEALS RESERVED</w:t>
          </w:r>
        </w:p>
      </w:tc>
      <w:tc>
        <w:tcPr>
          <w:tcW w:w="1200" w:type="dxa"/>
          <w:tcMar>
            <w:left w:w="0" w:type="dxa"/>
            <w:right w:w="0" w:type="dxa"/>
          </w:tcMar>
        </w:tcPr>
        <w:p w:rsidR="007477AD" w:rsidRPr="00FF6EEC" w:rsidRDefault="007477AD" w:rsidP="00FF6EEC">
          <w:pPr>
            <w:jc w:val="center"/>
            <w:rPr>
              <w:sz w:val="20"/>
              <w:szCs w:val="20"/>
            </w:rPr>
          </w:pPr>
        </w:p>
        <w:p w:rsidR="007477AD" w:rsidRPr="00FF6EEC" w:rsidRDefault="007477AD" w:rsidP="00FF6EEC">
          <w:pPr>
            <w:jc w:val="center"/>
            <w:rPr>
              <w:sz w:val="20"/>
              <w:szCs w:val="20"/>
            </w:rPr>
          </w:pPr>
        </w:p>
        <w:p w:rsidR="007477AD" w:rsidRPr="00FF6EEC" w:rsidRDefault="007477AD" w:rsidP="00FF6EEC">
          <w:pPr>
            <w:jc w:val="center"/>
            <w:rPr>
              <w:sz w:val="20"/>
              <w:szCs w:val="20"/>
            </w:rPr>
          </w:pPr>
        </w:p>
      </w:tc>
      <w:tc>
        <w:tcPr>
          <w:tcW w:w="4080" w:type="dxa"/>
          <w:tcMar>
            <w:left w:w="0" w:type="dxa"/>
            <w:right w:w="0" w:type="dxa"/>
          </w:tcMar>
        </w:tcPr>
        <w:p w:rsidR="007477AD" w:rsidRPr="00FF6EEC" w:rsidRDefault="007477AD" w:rsidP="00FF6EEC">
          <w:pPr>
            <w:rPr>
              <w:sz w:val="20"/>
              <w:szCs w:val="20"/>
              <w:lang w:val="fr-CA"/>
            </w:rPr>
          </w:pPr>
          <w:r w:rsidRPr="00FF6EEC">
            <w:rPr>
              <w:sz w:val="20"/>
              <w:szCs w:val="20"/>
              <w:lang w:val="fr-CA"/>
            </w:rPr>
            <w:t>JUGEMENTS RENDUS SUR LES APPELS EN DÉLIBÉRÉ</w:t>
          </w:r>
        </w:p>
      </w:tc>
    </w:tr>
  </w:tbl>
  <w:p w:rsidR="007477AD" w:rsidRPr="003C2C0F" w:rsidRDefault="007477AD"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477AD">
      <w:tc>
        <w:tcPr>
          <w:tcW w:w="4230" w:type="dxa"/>
          <w:tcMar>
            <w:left w:w="0" w:type="dxa"/>
            <w:right w:w="0" w:type="dxa"/>
          </w:tcMar>
        </w:tcPr>
        <w:p w:rsidR="007477AD" w:rsidRDefault="00747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477AD" w:rsidRDefault="00747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477AD" w:rsidRDefault="00747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477AD" w:rsidRDefault="00747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477AD" w:rsidRDefault="00747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477AD" w:rsidRDefault="007477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477AD"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477AD"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477AD" w:rsidRPr="00782AE4" w:rsidTr="00245129">
      <w:tc>
        <w:tcPr>
          <w:tcW w:w="4230" w:type="dxa"/>
          <w:tcMar>
            <w:left w:w="0" w:type="dxa"/>
            <w:right w:w="0" w:type="dxa"/>
          </w:tcMar>
        </w:tcPr>
        <w:p w:rsidR="007477AD" w:rsidRPr="00782AE4" w:rsidRDefault="007477AD" w:rsidP="00102926">
          <w:pPr>
            <w:keepNext/>
            <w:keepLines/>
            <w:tabs>
              <w:tab w:val="left" w:pos="-1440"/>
              <w:tab w:val="left" w:pos="-720"/>
            </w:tabs>
            <w:rPr>
              <w:sz w:val="20"/>
              <w:szCs w:val="20"/>
            </w:rPr>
          </w:pPr>
          <w:r w:rsidRPr="00782AE4">
            <w:rPr>
              <w:sz w:val="20"/>
              <w:szCs w:val="20"/>
            </w:rPr>
            <w:t xml:space="preserve">HEADNOTES OF RECENT </w:t>
          </w:r>
        </w:p>
        <w:p w:rsidR="007477AD" w:rsidRPr="00782AE4" w:rsidRDefault="00747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477AD" w:rsidRDefault="007477AD" w:rsidP="00102926">
          <w:pPr>
            <w:keepNext/>
            <w:keepLines/>
            <w:tabs>
              <w:tab w:val="left" w:pos="-1440"/>
              <w:tab w:val="left" w:pos="-720"/>
            </w:tabs>
            <w:jc w:val="center"/>
            <w:rPr>
              <w:sz w:val="20"/>
              <w:szCs w:val="20"/>
            </w:rPr>
          </w:pPr>
        </w:p>
        <w:p w:rsidR="007477AD" w:rsidRDefault="007477AD" w:rsidP="00102926">
          <w:pPr>
            <w:keepNext/>
            <w:keepLines/>
            <w:tabs>
              <w:tab w:val="left" w:pos="-1440"/>
              <w:tab w:val="left" w:pos="-720"/>
            </w:tabs>
            <w:jc w:val="center"/>
            <w:rPr>
              <w:sz w:val="20"/>
              <w:szCs w:val="20"/>
            </w:rPr>
          </w:pPr>
        </w:p>
        <w:p w:rsidR="007477AD" w:rsidRPr="00782AE4" w:rsidRDefault="007477AD" w:rsidP="00102926">
          <w:pPr>
            <w:keepNext/>
            <w:keepLines/>
            <w:tabs>
              <w:tab w:val="left" w:pos="-1440"/>
              <w:tab w:val="left" w:pos="-720"/>
            </w:tabs>
            <w:jc w:val="center"/>
            <w:rPr>
              <w:sz w:val="20"/>
              <w:szCs w:val="20"/>
            </w:rPr>
          </w:pPr>
        </w:p>
      </w:tc>
      <w:tc>
        <w:tcPr>
          <w:tcW w:w="4080" w:type="dxa"/>
          <w:tcMar>
            <w:left w:w="0" w:type="dxa"/>
            <w:right w:w="0" w:type="dxa"/>
          </w:tcMar>
        </w:tcPr>
        <w:p w:rsidR="007477AD" w:rsidRPr="00102926" w:rsidRDefault="00747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477AD" w:rsidRPr="00782AE4" w:rsidRDefault="007477AD" w:rsidP="00102926">
          <w:pPr>
            <w:keepLines/>
            <w:tabs>
              <w:tab w:val="left" w:pos="-1440"/>
              <w:tab w:val="left" w:pos="-720"/>
            </w:tabs>
            <w:rPr>
              <w:sz w:val="20"/>
              <w:szCs w:val="20"/>
            </w:rPr>
          </w:pPr>
          <w:r w:rsidRPr="00102926">
            <w:rPr>
              <w:sz w:val="20"/>
              <w:szCs w:val="20"/>
              <w:lang w:val="fr-CA"/>
            </w:rPr>
            <w:t>RÉCENTS</w:t>
          </w:r>
        </w:p>
      </w:tc>
    </w:tr>
  </w:tbl>
  <w:p w:rsidR="007477AD" w:rsidRDefault="007477A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7477AD" w:rsidRPr="0044776A" w:rsidTr="00245129">
      <w:tc>
        <w:tcPr>
          <w:tcW w:w="4290" w:type="dxa"/>
          <w:tcMar>
            <w:left w:w="0" w:type="dxa"/>
            <w:right w:w="0" w:type="dxa"/>
          </w:tcMar>
        </w:tcPr>
        <w:p w:rsidR="007477AD" w:rsidRPr="0044776A" w:rsidRDefault="007477A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477AD" w:rsidRPr="0044776A" w:rsidRDefault="007477AD" w:rsidP="002E2327">
          <w:pPr>
            <w:keepNext/>
            <w:keepLines/>
            <w:tabs>
              <w:tab w:val="left" w:pos="-1440"/>
              <w:tab w:val="left" w:pos="-720"/>
            </w:tabs>
            <w:jc w:val="center"/>
            <w:rPr>
              <w:sz w:val="20"/>
              <w:szCs w:val="20"/>
            </w:rPr>
          </w:pPr>
        </w:p>
        <w:p w:rsidR="007477AD" w:rsidRPr="0044776A" w:rsidRDefault="007477AD" w:rsidP="002E2327">
          <w:pPr>
            <w:keepNext/>
            <w:keepLines/>
            <w:tabs>
              <w:tab w:val="left" w:pos="-1440"/>
              <w:tab w:val="left" w:pos="-720"/>
            </w:tabs>
            <w:jc w:val="center"/>
            <w:rPr>
              <w:sz w:val="20"/>
              <w:szCs w:val="20"/>
            </w:rPr>
          </w:pPr>
        </w:p>
        <w:p w:rsidR="007477AD" w:rsidRPr="0044776A" w:rsidRDefault="007477AD" w:rsidP="002E2327">
          <w:pPr>
            <w:keepNext/>
            <w:keepLines/>
            <w:tabs>
              <w:tab w:val="left" w:pos="-1440"/>
              <w:tab w:val="left" w:pos="-720"/>
            </w:tabs>
            <w:jc w:val="center"/>
            <w:rPr>
              <w:sz w:val="20"/>
              <w:szCs w:val="20"/>
            </w:rPr>
          </w:pPr>
        </w:p>
      </w:tc>
      <w:tc>
        <w:tcPr>
          <w:tcW w:w="4320" w:type="dxa"/>
          <w:tcMar>
            <w:left w:w="0" w:type="dxa"/>
            <w:right w:w="0" w:type="dxa"/>
          </w:tcMar>
        </w:tcPr>
        <w:p w:rsidR="007477AD" w:rsidRPr="0044776A" w:rsidRDefault="007477AD" w:rsidP="002E2327">
          <w:pPr>
            <w:keepLines/>
            <w:rPr>
              <w:sz w:val="20"/>
              <w:szCs w:val="20"/>
              <w:lang w:val="fr-CA"/>
            </w:rPr>
          </w:pPr>
          <w:r w:rsidRPr="0044776A">
            <w:rPr>
              <w:sz w:val="20"/>
              <w:szCs w:val="20"/>
              <w:lang w:val="fr-CA"/>
            </w:rPr>
            <w:t>DEMANDES D'AUTORISATION D'APPEL DÉPOSÉES</w:t>
          </w:r>
        </w:p>
      </w:tc>
    </w:tr>
  </w:tbl>
  <w:p w:rsidR="007477AD" w:rsidRDefault="007477A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477AD" w:rsidRPr="00672656" w:rsidTr="00245129">
      <w:tc>
        <w:tcPr>
          <w:tcW w:w="4200" w:type="dxa"/>
          <w:tcMar>
            <w:left w:w="0" w:type="dxa"/>
            <w:right w:w="0" w:type="dxa"/>
          </w:tcMar>
        </w:tcPr>
        <w:p w:rsidR="007477AD" w:rsidRPr="0044776A" w:rsidRDefault="007477AD" w:rsidP="0044776A">
          <w:pPr>
            <w:keepNext/>
            <w:keepLines/>
            <w:widowControl w:val="0"/>
            <w:rPr>
              <w:sz w:val="20"/>
              <w:szCs w:val="20"/>
            </w:rPr>
          </w:pPr>
          <w:r>
            <w:rPr>
              <w:sz w:val="20"/>
              <w:szCs w:val="20"/>
            </w:rPr>
            <w:t>APPLICATIONS FOR LEAVE</w:t>
          </w:r>
        </w:p>
        <w:p w:rsidR="007477AD" w:rsidRPr="0044776A" w:rsidRDefault="007477A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477AD" w:rsidRPr="0044776A" w:rsidRDefault="007477AD" w:rsidP="0044776A">
          <w:pPr>
            <w:keepNext/>
            <w:keepLines/>
            <w:widowControl w:val="0"/>
            <w:jc w:val="center"/>
            <w:rPr>
              <w:sz w:val="20"/>
              <w:szCs w:val="20"/>
            </w:rPr>
          </w:pPr>
        </w:p>
        <w:p w:rsidR="007477AD" w:rsidRPr="0044776A" w:rsidRDefault="007477AD" w:rsidP="0044776A">
          <w:pPr>
            <w:keepNext/>
            <w:keepLines/>
            <w:widowControl w:val="0"/>
            <w:jc w:val="center"/>
            <w:rPr>
              <w:sz w:val="20"/>
              <w:szCs w:val="20"/>
            </w:rPr>
          </w:pPr>
        </w:p>
        <w:p w:rsidR="007477AD" w:rsidRPr="0044776A" w:rsidRDefault="007477AD" w:rsidP="0044776A">
          <w:pPr>
            <w:keepNext/>
            <w:keepLines/>
            <w:widowControl w:val="0"/>
            <w:jc w:val="center"/>
            <w:rPr>
              <w:sz w:val="20"/>
              <w:szCs w:val="20"/>
            </w:rPr>
          </w:pPr>
        </w:p>
      </w:tc>
      <w:tc>
        <w:tcPr>
          <w:tcW w:w="4080" w:type="dxa"/>
          <w:tcMar>
            <w:left w:w="0" w:type="dxa"/>
            <w:right w:w="0" w:type="dxa"/>
          </w:tcMar>
        </w:tcPr>
        <w:p w:rsidR="007477AD" w:rsidRPr="0044776A" w:rsidRDefault="007477AD" w:rsidP="0044776A">
          <w:pPr>
            <w:keepLines/>
            <w:widowControl w:val="0"/>
            <w:rPr>
              <w:sz w:val="20"/>
              <w:szCs w:val="20"/>
              <w:lang w:val="fr-CA"/>
            </w:rPr>
          </w:pPr>
          <w:r w:rsidRPr="0044776A">
            <w:rPr>
              <w:sz w:val="20"/>
              <w:szCs w:val="20"/>
              <w:lang w:val="fr-CA"/>
            </w:rPr>
            <w:t>DEMANDES SOUMISES À LA COUR DEPUIS LA DERNIÈRE PARUTION</w:t>
          </w:r>
        </w:p>
        <w:p w:rsidR="007477AD" w:rsidRPr="0044776A" w:rsidRDefault="007477AD" w:rsidP="0044776A">
          <w:pPr>
            <w:widowControl w:val="0"/>
            <w:rPr>
              <w:sz w:val="20"/>
              <w:szCs w:val="20"/>
              <w:lang w:val="fr-CA"/>
            </w:rPr>
          </w:pPr>
        </w:p>
      </w:tc>
    </w:tr>
  </w:tbl>
  <w:p w:rsidR="007477AD" w:rsidRPr="002E2327" w:rsidRDefault="007477AD">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AD" w:rsidRDefault="007477A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477AD" w:rsidRPr="00672656">
      <w:tc>
        <w:tcPr>
          <w:tcW w:w="4200" w:type="dxa"/>
          <w:tcMar>
            <w:left w:w="0" w:type="dxa"/>
            <w:right w:w="0" w:type="dxa"/>
          </w:tcMar>
        </w:tcPr>
        <w:p w:rsidR="007477AD" w:rsidRDefault="00747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477AD" w:rsidRDefault="00747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477AD" w:rsidRDefault="007477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477AD" w:rsidRPr="00FF6BA5" w:rsidRDefault="007477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477AD" w:rsidRPr="00FF6BA5"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477AD" w:rsidRPr="00FF6BA5"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477AD" w:rsidRPr="00FF6BA5" w:rsidRDefault="00747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477AD" w:rsidRPr="00672656" w:rsidTr="00245129">
      <w:tc>
        <w:tcPr>
          <w:tcW w:w="4200" w:type="dxa"/>
          <w:tcMar>
            <w:left w:w="0" w:type="dxa"/>
            <w:right w:w="0" w:type="dxa"/>
          </w:tcMar>
        </w:tcPr>
        <w:p w:rsidR="007477AD" w:rsidRPr="00755F22" w:rsidRDefault="00747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477AD" w:rsidRPr="00755F22" w:rsidRDefault="007477A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477AD" w:rsidRPr="00755F22" w:rsidRDefault="007477A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477AD" w:rsidRPr="00755F22" w:rsidRDefault="007477A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477AD" w:rsidRPr="00755F22" w:rsidRDefault="007477A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477AD" w:rsidRPr="00755F22" w:rsidRDefault="007477A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477AD" w:rsidRPr="00FF6BA5" w:rsidRDefault="007477AD"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751140F"/>
    <w:multiLevelType w:val="hybridMultilevel"/>
    <w:tmpl w:val="7D58312A"/>
    <w:lvl w:ilvl="0" w:tplc="711CB7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7665"/>
  </w:hdrShapeDefaults>
  <w:footnotePr>
    <w:footnote w:id="-1"/>
    <w:footnote w:id="0"/>
  </w:footnotePr>
  <w:endnotePr>
    <w:endnote w:id="-1"/>
    <w:endnote w:id="0"/>
  </w:endnotePr>
  <w:compat/>
  <w:rsids>
    <w:rsidRoot w:val="00B44C85"/>
    <w:rsid w:val="00002471"/>
    <w:rsid w:val="000301A5"/>
    <w:rsid w:val="0003223B"/>
    <w:rsid w:val="000327B2"/>
    <w:rsid w:val="000430C4"/>
    <w:rsid w:val="000515D0"/>
    <w:rsid w:val="0005766D"/>
    <w:rsid w:val="000618B9"/>
    <w:rsid w:val="00082042"/>
    <w:rsid w:val="00096BD9"/>
    <w:rsid w:val="000B3BFF"/>
    <w:rsid w:val="000B3C9A"/>
    <w:rsid w:val="000B40A2"/>
    <w:rsid w:val="000C0ACD"/>
    <w:rsid w:val="000C5D6A"/>
    <w:rsid w:val="0010199C"/>
    <w:rsid w:val="00102926"/>
    <w:rsid w:val="0010587F"/>
    <w:rsid w:val="00111C6B"/>
    <w:rsid w:val="001310BB"/>
    <w:rsid w:val="0013369E"/>
    <w:rsid w:val="00154B9C"/>
    <w:rsid w:val="00164E6D"/>
    <w:rsid w:val="001B5C23"/>
    <w:rsid w:val="001D0D5F"/>
    <w:rsid w:val="001D6B8C"/>
    <w:rsid w:val="001F1F83"/>
    <w:rsid w:val="001F299A"/>
    <w:rsid w:val="002021A9"/>
    <w:rsid w:val="0020352D"/>
    <w:rsid w:val="002139A7"/>
    <w:rsid w:val="00215F7C"/>
    <w:rsid w:val="00221A32"/>
    <w:rsid w:val="0022323B"/>
    <w:rsid w:val="002360D6"/>
    <w:rsid w:val="002410B8"/>
    <w:rsid w:val="00242AEE"/>
    <w:rsid w:val="00245129"/>
    <w:rsid w:val="00245879"/>
    <w:rsid w:val="00267FD5"/>
    <w:rsid w:val="002868D0"/>
    <w:rsid w:val="002B4618"/>
    <w:rsid w:val="002B516C"/>
    <w:rsid w:val="002D1834"/>
    <w:rsid w:val="002D72EB"/>
    <w:rsid w:val="002E2327"/>
    <w:rsid w:val="002E3583"/>
    <w:rsid w:val="002E5576"/>
    <w:rsid w:val="002F44FC"/>
    <w:rsid w:val="00330183"/>
    <w:rsid w:val="00331B52"/>
    <w:rsid w:val="003359D3"/>
    <w:rsid w:val="00355967"/>
    <w:rsid w:val="00361C1F"/>
    <w:rsid w:val="00376BDE"/>
    <w:rsid w:val="00382C47"/>
    <w:rsid w:val="00383F5B"/>
    <w:rsid w:val="00384384"/>
    <w:rsid w:val="00384D4D"/>
    <w:rsid w:val="0039690F"/>
    <w:rsid w:val="003A42D6"/>
    <w:rsid w:val="003B3977"/>
    <w:rsid w:val="003E5FDC"/>
    <w:rsid w:val="00432989"/>
    <w:rsid w:val="0043768A"/>
    <w:rsid w:val="00440E24"/>
    <w:rsid w:val="0044776A"/>
    <w:rsid w:val="00460AFC"/>
    <w:rsid w:val="004703EA"/>
    <w:rsid w:val="0047471F"/>
    <w:rsid w:val="00495EEA"/>
    <w:rsid w:val="004B6034"/>
    <w:rsid w:val="004B66B4"/>
    <w:rsid w:val="004C1AAC"/>
    <w:rsid w:val="004F090E"/>
    <w:rsid w:val="00527CC7"/>
    <w:rsid w:val="00547297"/>
    <w:rsid w:val="00567DDC"/>
    <w:rsid w:val="00571CA4"/>
    <w:rsid w:val="005756A5"/>
    <w:rsid w:val="00582136"/>
    <w:rsid w:val="00587E6C"/>
    <w:rsid w:val="005A1232"/>
    <w:rsid w:val="005C008C"/>
    <w:rsid w:val="005C6840"/>
    <w:rsid w:val="005F00E4"/>
    <w:rsid w:val="005F263E"/>
    <w:rsid w:val="005F71E1"/>
    <w:rsid w:val="00600252"/>
    <w:rsid w:val="00612A40"/>
    <w:rsid w:val="00626651"/>
    <w:rsid w:val="00660CA6"/>
    <w:rsid w:val="00672656"/>
    <w:rsid w:val="00675479"/>
    <w:rsid w:val="006921D8"/>
    <w:rsid w:val="00697C62"/>
    <w:rsid w:val="006A329B"/>
    <w:rsid w:val="006A7EB8"/>
    <w:rsid w:val="006B6926"/>
    <w:rsid w:val="006C3BEE"/>
    <w:rsid w:val="006C3F47"/>
    <w:rsid w:val="006C5F7A"/>
    <w:rsid w:val="006D3E81"/>
    <w:rsid w:val="006D6E15"/>
    <w:rsid w:val="006E06AF"/>
    <w:rsid w:val="006F350F"/>
    <w:rsid w:val="007006D7"/>
    <w:rsid w:val="0070151D"/>
    <w:rsid w:val="007120BE"/>
    <w:rsid w:val="00732DB7"/>
    <w:rsid w:val="007477AD"/>
    <w:rsid w:val="00754CFA"/>
    <w:rsid w:val="00755F22"/>
    <w:rsid w:val="00766E4A"/>
    <w:rsid w:val="00771544"/>
    <w:rsid w:val="007820CE"/>
    <w:rsid w:val="00782AE4"/>
    <w:rsid w:val="00784706"/>
    <w:rsid w:val="0079724F"/>
    <w:rsid w:val="007A3EAE"/>
    <w:rsid w:val="007B4896"/>
    <w:rsid w:val="007C04FC"/>
    <w:rsid w:val="007C0DF1"/>
    <w:rsid w:val="007C6E46"/>
    <w:rsid w:val="007D3E0F"/>
    <w:rsid w:val="007F2048"/>
    <w:rsid w:val="007F387B"/>
    <w:rsid w:val="00802863"/>
    <w:rsid w:val="00813D1C"/>
    <w:rsid w:val="00815B3C"/>
    <w:rsid w:val="008254D1"/>
    <w:rsid w:val="0082783A"/>
    <w:rsid w:val="00831CA9"/>
    <w:rsid w:val="00850E1F"/>
    <w:rsid w:val="0085476B"/>
    <w:rsid w:val="00865F75"/>
    <w:rsid w:val="00877479"/>
    <w:rsid w:val="00884812"/>
    <w:rsid w:val="00890FEB"/>
    <w:rsid w:val="0089587F"/>
    <w:rsid w:val="008B1B34"/>
    <w:rsid w:val="008D292F"/>
    <w:rsid w:val="008E03DC"/>
    <w:rsid w:val="00900073"/>
    <w:rsid w:val="00914E9D"/>
    <w:rsid w:val="0091510C"/>
    <w:rsid w:val="00924065"/>
    <w:rsid w:val="0092530F"/>
    <w:rsid w:val="00930D68"/>
    <w:rsid w:val="00932DB4"/>
    <w:rsid w:val="00946242"/>
    <w:rsid w:val="0095096B"/>
    <w:rsid w:val="0096076B"/>
    <w:rsid w:val="00970CD3"/>
    <w:rsid w:val="009723FA"/>
    <w:rsid w:val="009840BB"/>
    <w:rsid w:val="00984546"/>
    <w:rsid w:val="00996510"/>
    <w:rsid w:val="009C57D0"/>
    <w:rsid w:val="009D1F15"/>
    <w:rsid w:val="009D555E"/>
    <w:rsid w:val="00A0355E"/>
    <w:rsid w:val="00A362D6"/>
    <w:rsid w:val="00A375D1"/>
    <w:rsid w:val="00A51D10"/>
    <w:rsid w:val="00A52A83"/>
    <w:rsid w:val="00A52AF7"/>
    <w:rsid w:val="00A55395"/>
    <w:rsid w:val="00A64A9F"/>
    <w:rsid w:val="00A80F8A"/>
    <w:rsid w:val="00A87207"/>
    <w:rsid w:val="00A935AA"/>
    <w:rsid w:val="00AB2201"/>
    <w:rsid w:val="00AC7239"/>
    <w:rsid w:val="00AE2056"/>
    <w:rsid w:val="00AF1715"/>
    <w:rsid w:val="00AF3904"/>
    <w:rsid w:val="00B010C0"/>
    <w:rsid w:val="00B13A2C"/>
    <w:rsid w:val="00B4407C"/>
    <w:rsid w:val="00B44C85"/>
    <w:rsid w:val="00B4740D"/>
    <w:rsid w:val="00B55C93"/>
    <w:rsid w:val="00B61629"/>
    <w:rsid w:val="00B7374B"/>
    <w:rsid w:val="00B8620C"/>
    <w:rsid w:val="00B90DC0"/>
    <w:rsid w:val="00BA116A"/>
    <w:rsid w:val="00BA5582"/>
    <w:rsid w:val="00BA6468"/>
    <w:rsid w:val="00BB5793"/>
    <w:rsid w:val="00BB76E0"/>
    <w:rsid w:val="00BC2689"/>
    <w:rsid w:val="00BD06DA"/>
    <w:rsid w:val="00BD4217"/>
    <w:rsid w:val="00BE06A8"/>
    <w:rsid w:val="00BF25F3"/>
    <w:rsid w:val="00C1697B"/>
    <w:rsid w:val="00C3118F"/>
    <w:rsid w:val="00C319EC"/>
    <w:rsid w:val="00C449F3"/>
    <w:rsid w:val="00C50A5C"/>
    <w:rsid w:val="00C50FDF"/>
    <w:rsid w:val="00C55FD7"/>
    <w:rsid w:val="00C73E1B"/>
    <w:rsid w:val="00C759B4"/>
    <w:rsid w:val="00C77713"/>
    <w:rsid w:val="00CB43D5"/>
    <w:rsid w:val="00CB628C"/>
    <w:rsid w:val="00CC4D84"/>
    <w:rsid w:val="00D040D8"/>
    <w:rsid w:val="00D64901"/>
    <w:rsid w:val="00D76BDF"/>
    <w:rsid w:val="00D862C1"/>
    <w:rsid w:val="00D93B50"/>
    <w:rsid w:val="00D94670"/>
    <w:rsid w:val="00DA46F6"/>
    <w:rsid w:val="00DB4353"/>
    <w:rsid w:val="00DD0B49"/>
    <w:rsid w:val="00E06DFA"/>
    <w:rsid w:val="00E15791"/>
    <w:rsid w:val="00E32566"/>
    <w:rsid w:val="00E356C7"/>
    <w:rsid w:val="00E64FA7"/>
    <w:rsid w:val="00E75BC6"/>
    <w:rsid w:val="00E770CB"/>
    <w:rsid w:val="00E940EB"/>
    <w:rsid w:val="00EB2B90"/>
    <w:rsid w:val="00ED7E83"/>
    <w:rsid w:val="00EF4B63"/>
    <w:rsid w:val="00F0068D"/>
    <w:rsid w:val="00F0576D"/>
    <w:rsid w:val="00F15EA8"/>
    <w:rsid w:val="00F16C8D"/>
    <w:rsid w:val="00F26C61"/>
    <w:rsid w:val="00F33CCE"/>
    <w:rsid w:val="00F40249"/>
    <w:rsid w:val="00F43F5F"/>
    <w:rsid w:val="00F526C8"/>
    <w:rsid w:val="00F550EE"/>
    <w:rsid w:val="00F644EC"/>
    <w:rsid w:val="00F74E76"/>
    <w:rsid w:val="00F9518C"/>
    <w:rsid w:val="00FA316E"/>
    <w:rsid w:val="00FA59EF"/>
    <w:rsid w:val="00FB19A2"/>
    <w:rsid w:val="00FE2DFB"/>
    <w:rsid w:val="00FF0756"/>
    <w:rsid w:val="00FF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AppellantInfoAppellantInfo">
    <w:name w:val="SCC.AppellantInfo.AppellantInfo"/>
    <w:basedOn w:val="Normal"/>
    <w:next w:val="Normal"/>
    <w:link w:val="SCCAppellantInfoAppellantInfoChar"/>
    <w:rsid w:val="00AE2056"/>
    <w:rPr>
      <w:szCs w:val="24"/>
    </w:rPr>
  </w:style>
  <w:style w:type="character" w:customStyle="1" w:styleId="SCCAppellantInfoAppellantInfoChar">
    <w:name w:val="SCC.AppellantInfo.AppellantInfo Char"/>
    <w:basedOn w:val="DefaultParagraphFont"/>
    <w:link w:val="SCCAppellantInfoAppellantInfo"/>
    <w:rsid w:val="00AE2056"/>
    <w:rPr>
      <w:szCs w:val="24"/>
      <w:lang w:val="en-CA"/>
    </w:rPr>
  </w:style>
  <w:style w:type="table" w:customStyle="1" w:styleId="TableGrid1">
    <w:name w:val="Table Grid1"/>
    <w:basedOn w:val="TableNormal"/>
    <w:next w:val="TableGrid"/>
    <w:uiPriority w:val="59"/>
    <w:rsid w:val="00E75BC6"/>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FileNumber">
    <w:name w:val="SCC.FileNumber"/>
    <w:basedOn w:val="Normal"/>
    <w:next w:val="Normal"/>
    <w:link w:val="SCCFileNumberChar"/>
    <w:rsid w:val="00A52AF7"/>
    <w:pPr>
      <w:jc w:val="center"/>
    </w:pPr>
    <w:rPr>
      <w:b/>
      <w:szCs w:val="24"/>
      <w:lang w:val="fr-CA"/>
    </w:rPr>
  </w:style>
  <w:style w:type="character" w:customStyle="1" w:styleId="SCCFileNumberChar">
    <w:name w:val="SCC.FileNumber Char"/>
    <w:basedOn w:val="DefaultParagraphFont"/>
    <w:link w:val="SCCFileNumber"/>
    <w:rsid w:val="00A52AF7"/>
    <w:rPr>
      <w:b/>
      <w:szCs w:val="24"/>
      <w:lang w:val="fr-CA"/>
    </w:rPr>
  </w:style>
  <w:style w:type="paragraph" w:customStyle="1" w:styleId="SCCLsoc">
    <w:name w:val="SCC.Lsoc"/>
    <w:basedOn w:val="Normal"/>
    <w:next w:val="Normal"/>
    <w:link w:val="SCCLsocChar"/>
    <w:rsid w:val="00A52AF7"/>
    <w:pPr>
      <w:jc w:val="center"/>
    </w:pPr>
    <w:rPr>
      <w:b/>
      <w:szCs w:val="24"/>
      <w:u w:val="single"/>
      <w:lang w:val="fr-CA"/>
    </w:rPr>
  </w:style>
  <w:style w:type="character" w:customStyle="1" w:styleId="SCCLsocChar">
    <w:name w:val="SCC.Lsoc Char"/>
    <w:basedOn w:val="DefaultParagraphFont"/>
    <w:link w:val="SCCLsoc"/>
    <w:rsid w:val="00A52AF7"/>
    <w:rPr>
      <w:b/>
      <w:szCs w:val="24"/>
      <w:u w:val="single"/>
      <w:lang w:val="fr-CA"/>
    </w:rPr>
  </w:style>
  <w:style w:type="paragraph" w:customStyle="1" w:styleId="SCCCoram">
    <w:name w:val="SCC.Coram"/>
    <w:basedOn w:val="Normal"/>
    <w:next w:val="Normal"/>
    <w:link w:val="SCCCoramChar"/>
    <w:rsid w:val="00A52AF7"/>
    <w:pPr>
      <w:jc w:val="center"/>
    </w:pPr>
    <w:rPr>
      <w:szCs w:val="24"/>
      <w:u w:val="single"/>
      <w:lang w:val="fr-CA"/>
    </w:rPr>
  </w:style>
  <w:style w:type="character" w:customStyle="1" w:styleId="SCCCoramChar">
    <w:name w:val="SCC.Coram Char"/>
    <w:basedOn w:val="DefaultParagraphFont"/>
    <w:link w:val="SCCCoram"/>
    <w:rsid w:val="00A52AF7"/>
    <w:rPr>
      <w:szCs w:val="24"/>
      <w:u w:val="single"/>
      <w:lang w:val="fr-CA"/>
    </w:rPr>
  </w:style>
  <w:style w:type="paragraph" w:customStyle="1" w:styleId="SCCShortJudgment">
    <w:name w:val="SCC.ShortJudgment"/>
    <w:basedOn w:val="Normal"/>
    <w:qFormat/>
    <w:rsid w:val="00A52AF7"/>
    <w:pPr>
      <w:ind w:firstLine="720"/>
      <w:jc w:val="both"/>
    </w:pPr>
    <w:rPr>
      <w:sz w:val="20"/>
      <w:szCs w:val="24"/>
    </w:rPr>
  </w:style>
  <w:style w:type="table" w:customStyle="1" w:styleId="TableGrid2">
    <w:name w:val="Table Grid2"/>
    <w:basedOn w:val="TableNormal"/>
    <w:next w:val="TableGrid"/>
    <w:uiPriority w:val="59"/>
    <w:rsid w:val="00A52AF7"/>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52AF7"/>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52AF7"/>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52AF7"/>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52AF7"/>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C319E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C319EC"/>
    <w:rPr>
      <w:rFonts w:eastAsia="Times New Roman" w:cs="Times New Roman"/>
      <w:i/>
      <w:iCs/>
      <w:color w:val="000000" w:themeColor="text1"/>
      <w:szCs w:val="20"/>
      <w:lang w:val="en-CA" w:eastAsia="en-CA"/>
    </w:rPr>
  </w:style>
  <w:style w:type="character" w:customStyle="1" w:styleId="c03">
    <w:name w:val="c03"/>
    <w:basedOn w:val="DefaultParagraphFont"/>
    <w:rsid w:val="0043768A"/>
    <w:rPr>
      <w:color w:val="880000"/>
    </w:rPr>
  </w:style>
  <w:style w:type="paragraph" w:styleId="BalloonText">
    <w:name w:val="Balloon Text"/>
    <w:basedOn w:val="Normal"/>
    <w:link w:val="BalloonTextChar"/>
    <w:uiPriority w:val="99"/>
    <w:semiHidden/>
    <w:unhideWhenUsed/>
    <w:rsid w:val="001310BB"/>
    <w:rPr>
      <w:rFonts w:ascii="Tahoma" w:hAnsi="Tahoma" w:cs="Tahoma"/>
      <w:sz w:val="16"/>
      <w:szCs w:val="16"/>
    </w:rPr>
  </w:style>
  <w:style w:type="character" w:customStyle="1" w:styleId="BalloonTextChar">
    <w:name w:val="Balloon Text Char"/>
    <w:basedOn w:val="DefaultParagraphFont"/>
    <w:link w:val="BalloonText"/>
    <w:uiPriority w:val="99"/>
    <w:semiHidden/>
    <w:rsid w:val="001310BB"/>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divs>
    <w:div w:id="427894564">
      <w:bodyDiv w:val="1"/>
      <w:marLeft w:val="0"/>
      <w:marRight w:val="0"/>
      <w:marTop w:val="0"/>
      <w:marBottom w:val="0"/>
      <w:divBdr>
        <w:top w:val="none" w:sz="0" w:space="0" w:color="auto"/>
        <w:left w:val="none" w:sz="0" w:space="0" w:color="auto"/>
        <w:bottom w:val="none" w:sz="0" w:space="0" w:color="auto"/>
        <w:right w:val="none" w:sz="0" w:space="0" w:color="auto"/>
      </w:divBdr>
    </w:div>
    <w:div w:id="675380762">
      <w:bodyDiv w:val="1"/>
      <w:marLeft w:val="0"/>
      <w:marRight w:val="0"/>
      <w:marTop w:val="0"/>
      <w:marBottom w:val="0"/>
      <w:divBdr>
        <w:top w:val="none" w:sz="0" w:space="0" w:color="auto"/>
        <w:left w:val="none" w:sz="0" w:space="0" w:color="auto"/>
        <w:bottom w:val="none" w:sz="0" w:space="0" w:color="auto"/>
        <w:right w:val="none" w:sz="0" w:space="0" w:color="auto"/>
      </w:divBdr>
    </w:div>
    <w:div w:id="819808734">
      <w:bodyDiv w:val="1"/>
      <w:marLeft w:val="0"/>
      <w:marRight w:val="0"/>
      <w:marTop w:val="0"/>
      <w:marBottom w:val="0"/>
      <w:divBdr>
        <w:top w:val="none" w:sz="0" w:space="0" w:color="auto"/>
        <w:left w:val="none" w:sz="0" w:space="0" w:color="auto"/>
        <w:bottom w:val="none" w:sz="0" w:space="0" w:color="auto"/>
        <w:right w:val="none" w:sz="0" w:space="0" w:color="auto"/>
      </w:divBdr>
    </w:div>
    <w:div w:id="21427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footer" Target="footer24.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13692</Words>
  <Characters>78050</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2011-12-20T18:12:00Z</dcterms:created>
  <dcterms:modified xsi:type="dcterms:W3CDTF">2011-12-20T18:12:00Z</dcterms:modified>
</cp:coreProperties>
</file>