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536F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536F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536F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0536F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536FB" w:rsidTr="002E5576">
        <w:tc>
          <w:tcPr>
            <w:tcW w:w="4518" w:type="dxa"/>
          </w:tcPr>
          <w:p w:rsidR="00BF25F3" w:rsidRPr="002E2327" w:rsidRDefault="009E364E"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9E364E"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6B0F6A" w:rsidP="00F0068D">
      <w:pPr>
        <w:pBdr>
          <w:bottom w:val="single" w:sz="6" w:space="1" w:color="auto"/>
        </w:pBdr>
        <w:tabs>
          <w:tab w:val="center" w:pos="4680"/>
          <w:tab w:val="right" w:pos="9360"/>
        </w:tabs>
        <w:rPr>
          <w:lang w:val="fr-CA"/>
        </w:rPr>
      </w:pPr>
      <w:r>
        <w:rPr>
          <w:lang w:val="fr-CA"/>
        </w:rPr>
        <w:t>July 8</w:t>
      </w:r>
      <w:r w:rsidR="00440E24" w:rsidRPr="00675479">
        <w:rPr>
          <w:lang w:val="fr-CA"/>
        </w:rPr>
        <w:t>, 201</w:t>
      </w:r>
      <w:r w:rsidR="003359D3">
        <w:rPr>
          <w:lang w:val="fr-CA"/>
        </w:rPr>
        <w:t>1</w:t>
      </w:r>
      <w:r w:rsidR="00F0068D" w:rsidRPr="00675479">
        <w:rPr>
          <w:lang w:val="fr-CA"/>
        </w:rPr>
        <w:tab/>
        <w:t>1</w:t>
      </w:r>
      <w:r>
        <w:rPr>
          <w:lang w:val="fr-CA"/>
        </w:rPr>
        <w:t>040</w:t>
      </w:r>
      <w:r w:rsidR="00F0068D" w:rsidRPr="00675479">
        <w:rPr>
          <w:lang w:val="fr-CA"/>
        </w:rPr>
        <w:t xml:space="preserve"> - </w:t>
      </w:r>
      <w:r w:rsidR="00A26742">
        <w:rPr>
          <w:lang w:val="fr-CA"/>
        </w:rPr>
        <w:t>1062</w:t>
      </w:r>
      <w:r w:rsidR="00440E24" w:rsidRPr="00675479">
        <w:rPr>
          <w:lang w:val="fr-CA"/>
        </w:rPr>
        <w:tab/>
      </w:r>
      <w:r w:rsidR="00440E24" w:rsidRPr="002E2327">
        <w:rPr>
          <w:lang w:val="fr-CA"/>
        </w:rPr>
        <w:t xml:space="preserve">Le </w:t>
      </w:r>
      <w:r>
        <w:rPr>
          <w:lang w:val="fr-CA"/>
        </w:rPr>
        <w:t>8 ju</w:t>
      </w:r>
      <w:r w:rsidR="00440E24" w:rsidRPr="002E2327">
        <w:rPr>
          <w:lang w:val="fr-CA"/>
        </w:rPr>
        <w:t>il</w:t>
      </w:r>
      <w:r>
        <w:rPr>
          <w:lang w:val="fr-CA"/>
        </w:rPr>
        <w:t>let</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A87207" w:rsidRPr="002E2327" w:rsidRDefault="00A87207" w:rsidP="00E44A63">
            <w:pPr>
              <w:tabs>
                <w:tab w:val="right" w:pos="9360"/>
              </w:tabs>
              <w:rPr>
                <w:rFonts w:cs="Times New Roman"/>
                <w:sz w:val="20"/>
                <w:szCs w:val="20"/>
              </w:rPr>
            </w:pPr>
          </w:p>
        </w:tc>
        <w:tc>
          <w:tcPr>
            <w:tcW w:w="1980" w:type="dxa"/>
          </w:tcPr>
          <w:p w:rsidR="0095096B" w:rsidRPr="002E2327" w:rsidRDefault="005A1D7B" w:rsidP="0095096B">
            <w:pPr>
              <w:jc w:val="center"/>
              <w:rPr>
                <w:rFonts w:cs="Times New Roman"/>
                <w:sz w:val="20"/>
                <w:szCs w:val="20"/>
              </w:rPr>
            </w:pPr>
            <w:r>
              <w:rPr>
                <w:rFonts w:cs="Times New Roman"/>
                <w:sz w:val="20"/>
                <w:szCs w:val="20"/>
              </w:rPr>
              <w:t>1040</w:t>
            </w:r>
            <w:r w:rsidR="009E364E" w:rsidRPr="002E2327">
              <w:rPr>
                <w:rFonts w:cs="Times New Roman"/>
                <w:sz w:val="20"/>
                <w:szCs w:val="20"/>
              </w:rPr>
              <w:fldChar w:fldCharType="begin"/>
            </w:r>
            <w:r w:rsidR="0095096B" w:rsidRPr="002E2327">
              <w:rPr>
                <w:rFonts w:cs="Times New Roman"/>
                <w:sz w:val="20"/>
                <w:szCs w:val="20"/>
              </w:rPr>
              <w:instrText xml:space="preserve"> SEQ CHAPTER \h \r 1</w:instrText>
            </w:r>
            <w:r w:rsidR="009E364E"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44A63" w:rsidP="0095096B">
            <w:pPr>
              <w:jc w:val="center"/>
              <w:rPr>
                <w:rFonts w:cs="Times New Roman"/>
                <w:sz w:val="20"/>
                <w:szCs w:val="20"/>
              </w:rPr>
            </w:pPr>
            <w:r>
              <w:rPr>
                <w:rFonts w:cs="Times New Roman"/>
                <w:sz w:val="20"/>
                <w:szCs w:val="20"/>
              </w:rPr>
              <w:t>1041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47F3C" w:rsidP="0095096B">
            <w:pPr>
              <w:jc w:val="center"/>
              <w:rPr>
                <w:rFonts w:cs="Times New Roman"/>
                <w:sz w:val="20"/>
                <w:szCs w:val="20"/>
              </w:rPr>
            </w:pPr>
            <w:r>
              <w:rPr>
                <w:rFonts w:cs="Times New Roman"/>
                <w:sz w:val="20"/>
                <w:szCs w:val="20"/>
              </w:rPr>
              <w:t xml:space="preserve">1042 </w:t>
            </w:r>
            <w:r w:rsidR="0095096B" w:rsidRPr="002E2327">
              <w:rPr>
                <w:rFonts w:cs="Times New Roman"/>
                <w:sz w:val="20"/>
                <w:szCs w:val="20"/>
              </w:rPr>
              <w:t>-</w:t>
            </w:r>
            <w:r w:rsidR="00A26742">
              <w:rPr>
                <w:rFonts w:cs="Times New Roman"/>
                <w:sz w:val="20"/>
                <w:szCs w:val="20"/>
              </w:rPr>
              <w:t xml:space="preserve"> 1060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26742" w:rsidP="0095096B">
            <w:pPr>
              <w:jc w:val="center"/>
              <w:rPr>
                <w:rFonts w:cs="Times New Roman"/>
                <w:sz w:val="20"/>
                <w:szCs w:val="20"/>
              </w:rPr>
            </w:pPr>
            <w:r>
              <w:rPr>
                <w:rFonts w:cs="Times New Roman"/>
                <w:sz w:val="20"/>
                <w:szCs w:val="20"/>
              </w:rPr>
              <w:t>1061</w:t>
            </w:r>
          </w:p>
          <w:p w:rsidR="0095096B" w:rsidRPr="002E2327" w:rsidRDefault="0095096B" w:rsidP="0095096B">
            <w:pPr>
              <w:jc w:val="center"/>
              <w:rPr>
                <w:rFonts w:cs="Times New Roman"/>
                <w:sz w:val="20"/>
                <w:szCs w:val="20"/>
              </w:rPr>
            </w:pPr>
          </w:p>
          <w:p w:rsidR="0095096B" w:rsidRPr="002E2327" w:rsidRDefault="00A26742" w:rsidP="0095096B">
            <w:pPr>
              <w:jc w:val="center"/>
              <w:rPr>
                <w:rFonts w:cs="Times New Roman"/>
                <w:sz w:val="20"/>
                <w:szCs w:val="20"/>
              </w:rPr>
            </w:pPr>
            <w:r>
              <w:rPr>
                <w:rFonts w:cs="Times New Roman"/>
                <w:sz w:val="20"/>
                <w:szCs w:val="20"/>
              </w:rPr>
              <w:t>1062</w:t>
            </w:r>
          </w:p>
          <w:p w:rsidR="0095096B" w:rsidRPr="002E2327" w:rsidRDefault="0095096B" w:rsidP="0095096B">
            <w:pPr>
              <w:jc w:val="center"/>
              <w:rPr>
                <w:rFonts w:cs="Times New Roman"/>
                <w:sz w:val="20"/>
                <w:szCs w:val="20"/>
              </w:rPr>
            </w:pPr>
          </w:p>
          <w:p w:rsidR="00A87207" w:rsidRPr="002E2327" w:rsidRDefault="00A87207" w:rsidP="00E44A63">
            <w:pPr>
              <w:tabs>
                <w:tab w:val="right" w:pos="9360"/>
              </w:tabs>
              <w:jc w:val="center"/>
              <w:rPr>
                <w:rFonts w:cs="Times New Roman"/>
                <w:sz w:val="20"/>
                <w:szCs w:val="20"/>
              </w:rPr>
            </w:pPr>
          </w:p>
        </w:tc>
        <w:tc>
          <w:tcPr>
            <w:tcW w:w="3888" w:type="dxa"/>
          </w:tcPr>
          <w:p w:rsidR="0095096B" w:rsidRPr="002E2327" w:rsidRDefault="009E364E"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A87207" w:rsidRPr="002E2327" w:rsidRDefault="00A87207" w:rsidP="00E44A63">
            <w:pPr>
              <w:tabs>
                <w:tab w:val="right" w:pos="9360"/>
              </w:tabs>
              <w:rPr>
                <w:rFonts w:cs="Times New Roman"/>
                <w:sz w:val="20"/>
                <w:szCs w:val="20"/>
                <w:lang w:val="fr-CA"/>
              </w:rPr>
            </w:pPr>
          </w:p>
        </w:tc>
      </w:tr>
    </w:tbl>
    <w:p w:rsidR="0095096B" w:rsidRDefault="0095096B" w:rsidP="0095096B">
      <w:pPr>
        <w:tabs>
          <w:tab w:val="right" w:pos="9360"/>
        </w:tabs>
      </w:pPr>
    </w:p>
    <w:p w:rsidR="00E44A63" w:rsidRDefault="00E44A63" w:rsidP="0095096B">
      <w:pPr>
        <w:tabs>
          <w:tab w:val="right" w:pos="9360"/>
        </w:tabs>
      </w:pPr>
    </w:p>
    <w:p w:rsidR="00E44A63" w:rsidRDefault="00E44A63" w:rsidP="0095096B">
      <w:pPr>
        <w:tabs>
          <w:tab w:val="right" w:pos="9360"/>
        </w:tabs>
      </w:pPr>
    </w:p>
    <w:p w:rsidR="00E44A63" w:rsidRDefault="00E44A63" w:rsidP="0095096B">
      <w:pPr>
        <w:tabs>
          <w:tab w:val="right" w:pos="9360"/>
        </w:tabs>
      </w:pPr>
    </w:p>
    <w:p w:rsidR="00E44A63" w:rsidRDefault="00E44A63" w:rsidP="0095096B">
      <w:pPr>
        <w:tabs>
          <w:tab w:val="right" w:pos="9360"/>
        </w:tabs>
      </w:pPr>
    </w:p>
    <w:p w:rsidR="00E44A63" w:rsidRPr="002E2327" w:rsidRDefault="00E44A63" w:rsidP="0095096B">
      <w:pPr>
        <w:tabs>
          <w:tab w:val="right" w:pos="9360"/>
        </w:tabs>
      </w:pPr>
    </w:p>
    <w:tbl>
      <w:tblPr>
        <w:tblStyle w:val="TableGrid"/>
        <w:tblW w:w="0" w:type="auto"/>
        <w:tblLook w:val="04A0"/>
      </w:tblPr>
      <w:tblGrid>
        <w:gridCol w:w="9576"/>
      </w:tblGrid>
      <w:tr w:rsidR="0079724F" w:rsidRPr="000536FB"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506A73" w:rsidP="003B3977">
            <w:pPr>
              <w:rPr>
                <w:b/>
                <w:sz w:val="20"/>
                <w:szCs w:val="20"/>
              </w:rPr>
            </w:pPr>
            <w:r>
              <w:rPr>
                <w:b/>
                <w:sz w:val="20"/>
                <w:szCs w:val="20"/>
              </w:rPr>
              <w:t>David Kevin Lindsay</w:t>
            </w:r>
          </w:p>
          <w:p w:rsidR="00242AEE" w:rsidRPr="00A935AA" w:rsidRDefault="00242AEE" w:rsidP="003B3977">
            <w:pPr>
              <w:tabs>
                <w:tab w:val="left" w:pos="-1440"/>
                <w:tab w:val="left" w:pos="-720"/>
              </w:tabs>
              <w:rPr>
                <w:sz w:val="20"/>
                <w:szCs w:val="20"/>
              </w:rPr>
            </w:pPr>
            <w:r w:rsidRPr="00A935AA">
              <w:rPr>
                <w:sz w:val="20"/>
                <w:szCs w:val="20"/>
              </w:rPr>
              <w:tab/>
            </w:r>
            <w:r w:rsidR="00506A73">
              <w:rPr>
                <w:sz w:val="20"/>
                <w:szCs w:val="20"/>
              </w:rPr>
              <w:t>David Kevin Lindsay</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177474">
              <w:rPr>
                <w:sz w:val="20"/>
                <w:szCs w:val="20"/>
              </w:rPr>
              <w:t>4</w:t>
            </w:r>
            <w:r w:rsidR="00506A73">
              <w:rPr>
                <w:sz w:val="20"/>
                <w:szCs w:val="20"/>
              </w:rPr>
              <w:t>331</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0536FB" w:rsidP="003B3977">
            <w:pPr>
              <w:tabs>
                <w:tab w:val="left" w:pos="-1440"/>
                <w:tab w:val="left" w:pos="-720"/>
              </w:tabs>
              <w:rPr>
                <w:b/>
                <w:sz w:val="20"/>
                <w:szCs w:val="20"/>
              </w:rPr>
            </w:pPr>
            <w:r>
              <w:rPr>
                <w:b/>
                <w:sz w:val="20"/>
                <w:szCs w:val="20"/>
              </w:rPr>
              <w:t>Her Majesty the Queen</w:t>
            </w:r>
            <w:r w:rsidR="00506A73">
              <w:rPr>
                <w:b/>
                <w:sz w:val="20"/>
                <w:szCs w:val="20"/>
              </w:rPr>
              <w:t xml:space="preserve"> </w:t>
            </w:r>
            <w:r w:rsidR="00242AEE" w:rsidRPr="00A935AA">
              <w:rPr>
                <w:b/>
                <w:sz w:val="20"/>
                <w:szCs w:val="20"/>
              </w:rPr>
              <w:t>(B.C.)</w:t>
            </w:r>
          </w:p>
          <w:p w:rsidR="00242AEE" w:rsidRPr="00A935AA" w:rsidRDefault="00242AEE" w:rsidP="003B3977">
            <w:pPr>
              <w:tabs>
                <w:tab w:val="left" w:pos="-1440"/>
                <w:tab w:val="left" w:pos="-720"/>
              </w:tabs>
              <w:rPr>
                <w:sz w:val="20"/>
                <w:szCs w:val="20"/>
              </w:rPr>
            </w:pPr>
            <w:r w:rsidRPr="00A935AA">
              <w:rPr>
                <w:sz w:val="20"/>
                <w:szCs w:val="20"/>
              </w:rPr>
              <w:tab/>
            </w:r>
            <w:r w:rsidR="00506A73">
              <w:rPr>
                <w:sz w:val="20"/>
                <w:szCs w:val="20"/>
              </w:rPr>
              <w:t>Janna A. Hyman</w:t>
            </w:r>
          </w:p>
          <w:p w:rsidR="00242AEE" w:rsidRPr="00A935AA" w:rsidRDefault="00242AEE" w:rsidP="003B3977">
            <w:pPr>
              <w:tabs>
                <w:tab w:val="left" w:pos="-1440"/>
                <w:tab w:val="left" w:pos="-720"/>
              </w:tabs>
              <w:rPr>
                <w:sz w:val="20"/>
                <w:szCs w:val="20"/>
              </w:rPr>
            </w:pPr>
            <w:r w:rsidRPr="00A935AA">
              <w:rPr>
                <w:sz w:val="20"/>
                <w:szCs w:val="20"/>
              </w:rPr>
              <w:tab/>
            </w:r>
            <w:r w:rsidR="00506A73">
              <w:rPr>
                <w:sz w:val="20"/>
                <w:szCs w:val="20"/>
              </w:rPr>
              <w:t>Public Prosecution Service of Canada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FILING DATE: 27.0</w:t>
            </w:r>
            <w:r w:rsidR="00506A73">
              <w:rPr>
                <w:sz w:val="20"/>
                <w:szCs w:val="20"/>
              </w:rPr>
              <w:t>4</w:t>
            </w:r>
            <w:r w:rsidRPr="00A935AA">
              <w:rPr>
                <w:sz w:val="20"/>
                <w:szCs w:val="20"/>
              </w:rPr>
              <w:t>.201</w:t>
            </w:r>
            <w:r w:rsidR="00177474">
              <w:rPr>
                <w:sz w:val="20"/>
                <w:szCs w:val="20"/>
              </w:rPr>
              <w:t>1</w:t>
            </w:r>
          </w:p>
          <w:p w:rsidR="00242AEE" w:rsidRPr="00A935AA" w:rsidRDefault="009E364E" w:rsidP="003B3977">
            <w:pPr>
              <w:rPr>
                <w:sz w:val="20"/>
                <w:szCs w:val="20"/>
              </w:rPr>
            </w:pPr>
            <w:r w:rsidRPr="009E364E">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506A73" w:rsidP="003B3977">
            <w:pPr>
              <w:keepNext/>
              <w:keepLines/>
              <w:tabs>
                <w:tab w:val="left" w:pos="-1440"/>
                <w:tab w:val="left" w:pos="-720"/>
              </w:tabs>
              <w:rPr>
                <w:b/>
                <w:sz w:val="20"/>
                <w:szCs w:val="20"/>
              </w:rPr>
            </w:pPr>
            <w:r>
              <w:rPr>
                <w:b/>
                <w:sz w:val="20"/>
                <w:szCs w:val="20"/>
              </w:rPr>
              <w:t>David Pearlman</w:t>
            </w:r>
          </w:p>
          <w:p w:rsidR="00242AEE" w:rsidRPr="00A935AA" w:rsidRDefault="00242AEE" w:rsidP="003B3977">
            <w:pPr>
              <w:keepNext/>
              <w:keepLines/>
              <w:tabs>
                <w:tab w:val="left" w:pos="-1440"/>
                <w:tab w:val="left" w:pos="-720"/>
              </w:tabs>
              <w:rPr>
                <w:sz w:val="20"/>
                <w:szCs w:val="20"/>
              </w:rPr>
            </w:pPr>
            <w:r w:rsidRPr="00A935AA">
              <w:rPr>
                <w:sz w:val="20"/>
                <w:szCs w:val="20"/>
              </w:rPr>
              <w:tab/>
            </w:r>
            <w:r w:rsidR="00506A73">
              <w:rPr>
                <w:sz w:val="20"/>
                <w:szCs w:val="20"/>
              </w:rPr>
              <w:t>David Pearlman</w:t>
            </w:r>
          </w:p>
          <w:p w:rsidR="00242AEE" w:rsidRPr="00A935AA" w:rsidRDefault="00242AEE" w:rsidP="003B3977">
            <w:pPr>
              <w:keepNext/>
              <w:keepLines/>
              <w:tabs>
                <w:tab w:val="left" w:pos="-1440"/>
                <w:tab w:val="left" w:pos="-720"/>
              </w:tabs>
              <w:rPr>
                <w:sz w:val="20"/>
                <w:szCs w:val="20"/>
              </w:rPr>
            </w:pPr>
          </w:p>
          <w:p w:rsidR="00242AEE" w:rsidRPr="00506A73" w:rsidRDefault="00242AEE" w:rsidP="003B3977">
            <w:pPr>
              <w:keepNext/>
              <w:keepLines/>
              <w:tabs>
                <w:tab w:val="left" w:pos="-1440"/>
                <w:tab w:val="left" w:pos="-720"/>
              </w:tabs>
              <w:rPr>
                <w:sz w:val="20"/>
                <w:szCs w:val="20"/>
              </w:rPr>
            </w:pPr>
            <w:r w:rsidRPr="00A935AA">
              <w:rPr>
                <w:sz w:val="20"/>
                <w:szCs w:val="20"/>
              </w:rPr>
              <w:tab/>
            </w:r>
            <w:r w:rsidRPr="00506A73">
              <w:rPr>
                <w:sz w:val="20"/>
                <w:szCs w:val="20"/>
              </w:rPr>
              <w:t>v. (3</w:t>
            </w:r>
            <w:r w:rsidR="00506A73" w:rsidRPr="00506A73">
              <w:rPr>
                <w:sz w:val="20"/>
                <w:szCs w:val="20"/>
              </w:rPr>
              <w:t>3691</w:t>
            </w:r>
            <w:r w:rsidRPr="00506A73">
              <w:rPr>
                <w:sz w:val="20"/>
                <w:szCs w:val="20"/>
              </w:rPr>
              <w:t>)</w:t>
            </w:r>
          </w:p>
          <w:p w:rsidR="00242AEE" w:rsidRPr="00506A73" w:rsidRDefault="00242AEE" w:rsidP="003B3977">
            <w:pPr>
              <w:keepNext/>
              <w:keepLines/>
              <w:tabs>
                <w:tab w:val="left" w:pos="-1440"/>
                <w:tab w:val="left" w:pos="-720"/>
              </w:tabs>
              <w:rPr>
                <w:sz w:val="20"/>
                <w:szCs w:val="20"/>
              </w:rPr>
            </w:pPr>
          </w:p>
          <w:p w:rsidR="00242AEE" w:rsidRPr="00506A73" w:rsidRDefault="00506A73" w:rsidP="003B3977">
            <w:pPr>
              <w:keepNext/>
              <w:keepLines/>
              <w:tabs>
                <w:tab w:val="left" w:pos="-1440"/>
                <w:tab w:val="left" w:pos="-720"/>
              </w:tabs>
              <w:rPr>
                <w:b/>
                <w:sz w:val="20"/>
                <w:szCs w:val="20"/>
              </w:rPr>
            </w:pPr>
            <w:r w:rsidRPr="00506A73">
              <w:rPr>
                <w:b/>
                <w:sz w:val="20"/>
                <w:szCs w:val="20"/>
              </w:rPr>
              <w:t>Atlantic Trading Company Ltd.</w:t>
            </w:r>
            <w:r>
              <w:rPr>
                <w:b/>
                <w:sz w:val="20"/>
                <w:szCs w:val="20"/>
              </w:rPr>
              <w:t xml:space="preserve"> et al. </w:t>
            </w:r>
            <w:r w:rsidR="00242AEE" w:rsidRPr="00506A73">
              <w:rPr>
                <w:b/>
                <w:sz w:val="20"/>
                <w:szCs w:val="20"/>
              </w:rPr>
              <w:t>(</w:t>
            </w:r>
            <w:r>
              <w:rPr>
                <w:b/>
                <w:sz w:val="20"/>
                <w:szCs w:val="20"/>
              </w:rPr>
              <w:t>B</w:t>
            </w:r>
            <w:r w:rsidR="00242AEE" w:rsidRPr="00506A73">
              <w:rPr>
                <w:b/>
                <w:sz w:val="20"/>
                <w:szCs w:val="20"/>
              </w:rPr>
              <w:t>.</w:t>
            </w:r>
            <w:r>
              <w:rPr>
                <w:b/>
                <w:sz w:val="20"/>
                <w:szCs w:val="20"/>
              </w:rPr>
              <w:t>C.</w:t>
            </w:r>
            <w:r w:rsidR="00242AEE" w:rsidRPr="00506A73">
              <w:rPr>
                <w:b/>
                <w:sz w:val="20"/>
                <w:szCs w:val="20"/>
              </w:rPr>
              <w:t>)</w:t>
            </w:r>
          </w:p>
          <w:p w:rsidR="00242AEE" w:rsidRPr="00506A73" w:rsidRDefault="00242AEE" w:rsidP="003B3977">
            <w:pPr>
              <w:keepNext/>
              <w:keepLines/>
              <w:tabs>
                <w:tab w:val="left" w:pos="-1440"/>
                <w:tab w:val="left" w:pos="-720"/>
              </w:tabs>
              <w:rPr>
                <w:sz w:val="20"/>
                <w:szCs w:val="20"/>
              </w:rPr>
            </w:pPr>
            <w:r w:rsidRPr="00506A73">
              <w:rPr>
                <w:sz w:val="20"/>
                <w:szCs w:val="20"/>
              </w:rPr>
              <w:tab/>
            </w:r>
            <w:r w:rsidR="00506A73">
              <w:rPr>
                <w:sz w:val="20"/>
                <w:szCs w:val="20"/>
              </w:rPr>
              <w:t xml:space="preserve">Vince G. </w:t>
            </w:r>
            <w:proofErr w:type="spellStart"/>
            <w:r w:rsidR="00506A73">
              <w:rPr>
                <w:sz w:val="20"/>
                <w:szCs w:val="20"/>
              </w:rPr>
              <w:t>Critchley</w:t>
            </w:r>
            <w:proofErr w:type="spellEnd"/>
          </w:p>
          <w:p w:rsidR="00242AEE" w:rsidRPr="00506A73" w:rsidRDefault="00242AEE" w:rsidP="003B3977">
            <w:pPr>
              <w:keepNext/>
              <w:keepLines/>
              <w:tabs>
                <w:tab w:val="left" w:pos="-1440"/>
                <w:tab w:val="left" w:pos="-720"/>
              </w:tabs>
              <w:rPr>
                <w:sz w:val="20"/>
                <w:szCs w:val="20"/>
              </w:rPr>
            </w:pPr>
            <w:r w:rsidRPr="00506A73">
              <w:rPr>
                <w:sz w:val="20"/>
                <w:szCs w:val="20"/>
              </w:rPr>
              <w:tab/>
            </w:r>
            <w:r w:rsidR="00506A73">
              <w:rPr>
                <w:sz w:val="20"/>
                <w:szCs w:val="20"/>
              </w:rPr>
              <w:t xml:space="preserve">Quinlan </w:t>
            </w:r>
            <w:proofErr w:type="spellStart"/>
            <w:r w:rsidR="00506A73">
              <w:rPr>
                <w:sz w:val="20"/>
                <w:szCs w:val="20"/>
              </w:rPr>
              <w:t>Abrioux</w:t>
            </w:r>
            <w:proofErr w:type="spellEnd"/>
          </w:p>
          <w:p w:rsidR="00242AEE" w:rsidRPr="00506A73" w:rsidRDefault="00242AEE" w:rsidP="003B3977">
            <w:pPr>
              <w:keepNext/>
              <w:keepLines/>
              <w:tabs>
                <w:tab w:val="left" w:pos="-1440"/>
                <w:tab w:val="left" w:pos="-720"/>
              </w:tabs>
              <w:rPr>
                <w:sz w:val="20"/>
                <w:szCs w:val="20"/>
              </w:rPr>
            </w:pPr>
          </w:p>
          <w:p w:rsidR="00242AEE" w:rsidRPr="00A935AA" w:rsidRDefault="00242AEE" w:rsidP="00506A73">
            <w:pPr>
              <w:rPr>
                <w:sz w:val="20"/>
                <w:szCs w:val="20"/>
              </w:rPr>
            </w:pPr>
            <w:r w:rsidRPr="00A935AA">
              <w:rPr>
                <w:sz w:val="20"/>
                <w:szCs w:val="20"/>
              </w:rPr>
              <w:t>FILING DATE: 2</w:t>
            </w:r>
            <w:r w:rsidR="00506A73">
              <w:rPr>
                <w:sz w:val="20"/>
                <w:szCs w:val="20"/>
              </w:rPr>
              <w:t>4</w:t>
            </w:r>
            <w:r w:rsidRPr="00A935AA">
              <w:rPr>
                <w:sz w:val="20"/>
                <w:szCs w:val="20"/>
              </w:rPr>
              <w:t>.0</w:t>
            </w:r>
            <w:r w:rsidR="00506A73">
              <w:rPr>
                <w:sz w:val="20"/>
                <w:szCs w:val="20"/>
              </w:rPr>
              <w:t>5</w:t>
            </w:r>
            <w:r w:rsidRPr="00A935AA">
              <w:rPr>
                <w:sz w:val="20"/>
                <w:szCs w:val="20"/>
              </w:rPr>
              <w:t>.201</w:t>
            </w:r>
            <w:r w:rsidR="00177474">
              <w:rPr>
                <w:sz w:val="20"/>
                <w:szCs w:val="20"/>
              </w:rPr>
              <w:t>1</w:t>
            </w:r>
            <w:r w:rsidR="009E364E" w:rsidRPr="009E364E">
              <w:rPr>
                <w:sz w:val="20"/>
                <w:szCs w:val="20"/>
                <w:lang w:val="fr-CA"/>
              </w:rPr>
              <w:pict>
                <v:rect id="_x0000_i1026" style="width:108pt;height:1pt" o:hrpct="0" o:hralign="center" o:hrstd="t" o:hrnoshade="t" o:hr="t" fillcolor="black [3213]" stroked="f"/>
              </w:pict>
            </w:r>
          </w:p>
        </w:tc>
      </w:tr>
      <w:tr w:rsidR="00177474" w:rsidRPr="00A935AA" w:rsidTr="003B3977">
        <w:tc>
          <w:tcPr>
            <w:tcW w:w="4320" w:type="dxa"/>
            <w:shd w:val="clear" w:color="auto" w:fill="auto"/>
          </w:tcPr>
          <w:p w:rsidR="00177474" w:rsidRPr="00506A73" w:rsidRDefault="00506A73" w:rsidP="00506A73">
            <w:pPr>
              <w:rPr>
                <w:b/>
                <w:sz w:val="20"/>
                <w:szCs w:val="20"/>
                <w:lang w:val="fr-CA"/>
              </w:rPr>
            </w:pPr>
            <w:r w:rsidRPr="00506A73">
              <w:rPr>
                <w:b/>
                <w:sz w:val="20"/>
                <w:szCs w:val="20"/>
                <w:lang w:val="fr-CA"/>
              </w:rPr>
              <w:t>Guylaine Gauthier et autre</w:t>
            </w:r>
          </w:p>
          <w:p w:rsidR="00177474" w:rsidRPr="00506A73" w:rsidRDefault="00177474" w:rsidP="00506A73">
            <w:pPr>
              <w:tabs>
                <w:tab w:val="left" w:pos="-1440"/>
                <w:tab w:val="left" w:pos="-720"/>
              </w:tabs>
              <w:rPr>
                <w:sz w:val="20"/>
                <w:szCs w:val="20"/>
                <w:lang w:val="fr-CA"/>
              </w:rPr>
            </w:pPr>
            <w:r w:rsidRPr="00506A73">
              <w:rPr>
                <w:sz w:val="20"/>
                <w:szCs w:val="20"/>
                <w:lang w:val="fr-CA"/>
              </w:rPr>
              <w:tab/>
            </w:r>
            <w:r w:rsidR="00506A73" w:rsidRPr="00506A73">
              <w:rPr>
                <w:sz w:val="20"/>
                <w:szCs w:val="20"/>
                <w:lang w:val="fr-CA"/>
              </w:rPr>
              <w:t>Guylaine Gauthier</w:t>
            </w:r>
          </w:p>
          <w:p w:rsidR="00177474" w:rsidRPr="00506A73" w:rsidRDefault="00177474" w:rsidP="00506A73">
            <w:pPr>
              <w:tabs>
                <w:tab w:val="left" w:pos="-1440"/>
                <w:tab w:val="left" w:pos="-720"/>
              </w:tabs>
              <w:rPr>
                <w:sz w:val="20"/>
                <w:szCs w:val="20"/>
                <w:lang w:val="fr-CA"/>
              </w:rPr>
            </w:pPr>
          </w:p>
          <w:p w:rsidR="00177474" w:rsidRPr="00506A73" w:rsidRDefault="00177474" w:rsidP="00506A73">
            <w:pPr>
              <w:tabs>
                <w:tab w:val="left" w:pos="-1440"/>
                <w:tab w:val="left" w:pos="-720"/>
              </w:tabs>
              <w:rPr>
                <w:sz w:val="20"/>
                <w:szCs w:val="20"/>
                <w:lang w:val="fr-CA"/>
              </w:rPr>
            </w:pPr>
            <w:r w:rsidRPr="00506A73">
              <w:rPr>
                <w:sz w:val="20"/>
                <w:szCs w:val="20"/>
                <w:lang w:val="fr-CA"/>
              </w:rPr>
              <w:tab/>
            </w:r>
            <w:r w:rsidR="00506A73">
              <w:rPr>
                <w:sz w:val="20"/>
                <w:szCs w:val="20"/>
                <w:lang w:val="fr-CA"/>
              </w:rPr>
              <w:t>c</w:t>
            </w:r>
            <w:r w:rsidRPr="00506A73">
              <w:rPr>
                <w:sz w:val="20"/>
                <w:szCs w:val="20"/>
                <w:lang w:val="fr-CA"/>
              </w:rPr>
              <w:t>. (34</w:t>
            </w:r>
            <w:r w:rsidR="00506A73" w:rsidRPr="00506A73">
              <w:rPr>
                <w:sz w:val="20"/>
                <w:szCs w:val="20"/>
                <w:lang w:val="fr-CA"/>
              </w:rPr>
              <w:t>307</w:t>
            </w:r>
            <w:r w:rsidRPr="00506A73">
              <w:rPr>
                <w:sz w:val="20"/>
                <w:szCs w:val="20"/>
                <w:lang w:val="fr-CA"/>
              </w:rPr>
              <w:t>)</w:t>
            </w:r>
          </w:p>
          <w:p w:rsidR="00177474" w:rsidRPr="00506A73" w:rsidRDefault="00177474" w:rsidP="00506A73">
            <w:pPr>
              <w:tabs>
                <w:tab w:val="left" w:pos="-1440"/>
                <w:tab w:val="left" w:pos="-720"/>
              </w:tabs>
              <w:rPr>
                <w:sz w:val="20"/>
                <w:szCs w:val="20"/>
                <w:lang w:val="fr-CA"/>
              </w:rPr>
            </w:pPr>
          </w:p>
          <w:p w:rsidR="00177474" w:rsidRPr="00506A73" w:rsidRDefault="00506A73" w:rsidP="00506A73">
            <w:pPr>
              <w:tabs>
                <w:tab w:val="left" w:pos="-1440"/>
                <w:tab w:val="left" w:pos="-720"/>
              </w:tabs>
              <w:rPr>
                <w:b/>
                <w:sz w:val="20"/>
                <w:szCs w:val="20"/>
                <w:lang w:val="fr-CA"/>
              </w:rPr>
            </w:pPr>
            <w:r w:rsidRPr="00506A73">
              <w:rPr>
                <w:b/>
                <w:sz w:val="20"/>
                <w:szCs w:val="20"/>
                <w:lang w:val="fr-CA"/>
              </w:rPr>
              <w:t>Claude G. L</w:t>
            </w:r>
            <w:r>
              <w:rPr>
                <w:b/>
                <w:sz w:val="20"/>
                <w:szCs w:val="20"/>
                <w:lang w:val="fr-CA"/>
              </w:rPr>
              <w:t xml:space="preserve">educ ès </w:t>
            </w:r>
            <w:proofErr w:type="spellStart"/>
            <w:r>
              <w:rPr>
                <w:b/>
                <w:sz w:val="20"/>
                <w:szCs w:val="20"/>
                <w:lang w:val="fr-CA"/>
              </w:rPr>
              <w:t>qualitès</w:t>
            </w:r>
            <w:proofErr w:type="spellEnd"/>
            <w:r>
              <w:rPr>
                <w:b/>
                <w:sz w:val="20"/>
                <w:szCs w:val="20"/>
                <w:lang w:val="fr-CA"/>
              </w:rPr>
              <w:t xml:space="preserve"> de syndic ad hoc du Barreau du Québec </w:t>
            </w:r>
            <w:r w:rsidR="00177474" w:rsidRPr="00506A73">
              <w:rPr>
                <w:b/>
                <w:sz w:val="20"/>
                <w:szCs w:val="20"/>
                <w:lang w:val="fr-CA"/>
              </w:rPr>
              <w:t>(</w:t>
            </w:r>
            <w:proofErr w:type="spellStart"/>
            <w:r>
              <w:rPr>
                <w:b/>
                <w:sz w:val="20"/>
                <w:szCs w:val="20"/>
                <w:lang w:val="fr-CA"/>
              </w:rPr>
              <w:t>Qc</w:t>
            </w:r>
            <w:proofErr w:type="spellEnd"/>
            <w:r w:rsidR="00177474" w:rsidRPr="00506A73">
              <w:rPr>
                <w:b/>
                <w:sz w:val="20"/>
                <w:szCs w:val="20"/>
                <w:lang w:val="fr-CA"/>
              </w:rPr>
              <w:t>)</w:t>
            </w:r>
          </w:p>
          <w:p w:rsidR="00177474" w:rsidRPr="00506A73" w:rsidRDefault="00177474" w:rsidP="00506A73">
            <w:pPr>
              <w:tabs>
                <w:tab w:val="left" w:pos="-1440"/>
                <w:tab w:val="left" w:pos="-720"/>
              </w:tabs>
              <w:rPr>
                <w:sz w:val="20"/>
                <w:szCs w:val="20"/>
                <w:lang w:val="fr-CA"/>
              </w:rPr>
            </w:pPr>
            <w:r w:rsidRPr="00506A73">
              <w:rPr>
                <w:sz w:val="20"/>
                <w:szCs w:val="20"/>
                <w:lang w:val="fr-CA"/>
              </w:rPr>
              <w:tab/>
            </w:r>
            <w:r w:rsidR="00506A73">
              <w:rPr>
                <w:sz w:val="20"/>
                <w:szCs w:val="20"/>
                <w:lang w:val="fr-CA"/>
              </w:rPr>
              <w:t xml:space="preserve">Jean-François De </w:t>
            </w:r>
            <w:proofErr w:type="spellStart"/>
            <w:r w:rsidR="00506A73">
              <w:rPr>
                <w:sz w:val="20"/>
                <w:szCs w:val="20"/>
                <w:lang w:val="fr-CA"/>
              </w:rPr>
              <w:t>Rico</w:t>
            </w:r>
            <w:proofErr w:type="spellEnd"/>
          </w:p>
          <w:p w:rsidR="00177474" w:rsidRPr="00506A73" w:rsidRDefault="00177474" w:rsidP="00506A73">
            <w:pPr>
              <w:tabs>
                <w:tab w:val="left" w:pos="-1440"/>
                <w:tab w:val="left" w:pos="-720"/>
              </w:tabs>
              <w:rPr>
                <w:sz w:val="20"/>
                <w:szCs w:val="20"/>
                <w:lang w:val="fr-CA"/>
              </w:rPr>
            </w:pPr>
            <w:r w:rsidRPr="00506A73">
              <w:rPr>
                <w:sz w:val="20"/>
                <w:szCs w:val="20"/>
                <w:lang w:val="fr-CA"/>
              </w:rPr>
              <w:tab/>
            </w:r>
            <w:r w:rsidR="00506A73">
              <w:rPr>
                <w:sz w:val="20"/>
                <w:szCs w:val="20"/>
                <w:lang w:val="fr-CA"/>
              </w:rPr>
              <w:t xml:space="preserve">Langlois </w:t>
            </w:r>
            <w:proofErr w:type="spellStart"/>
            <w:r w:rsidR="00506A73">
              <w:rPr>
                <w:sz w:val="20"/>
                <w:szCs w:val="20"/>
                <w:lang w:val="fr-CA"/>
              </w:rPr>
              <w:t>Kronström</w:t>
            </w:r>
            <w:proofErr w:type="spellEnd"/>
            <w:r w:rsidR="00506A73">
              <w:rPr>
                <w:sz w:val="20"/>
                <w:szCs w:val="20"/>
                <w:lang w:val="fr-CA"/>
              </w:rPr>
              <w:t xml:space="preserve"> Desjardins</w:t>
            </w:r>
          </w:p>
          <w:p w:rsidR="00177474" w:rsidRPr="00506A73" w:rsidRDefault="00177474" w:rsidP="00506A73">
            <w:pPr>
              <w:tabs>
                <w:tab w:val="left" w:pos="-1440"/>
                <w:tab w:val="left" w:pos="-720"/>
              </w:tabs>
              <w:rPr>
                <w:sz w:val="20"/>
                <w:szCs w:val="20"/>
                <w:lang w:val="fr-CA"/>
              </w:rPr>
            </w:pPr>
          </w:p>
          <w:p w:rsidR="00177474" w:rsidRPr="00506A73" w:rsidRDefault="00177474" w:rsidP="00506A73">
            <w:pPr>
              <w:rPr>
                <w:sz w:val="20"/>
                <w:szCs w:val="20"/>
                <w:lang w:val="fr-CA"/>
              </w:rPr>
            </w:pPr>
            <w:r w:rsidRPr="00506A73">
              <w:rPr>
                <w:sz w:val="20"/>
                <w:szCs w:val="20"/>
                <w:lang w:val="fr-CA"/>
              </w:rPr>
              <w:t>DATE</w:t>
            </w:r>
            <w:r w:rsidR="00506A73" w:rsidRPr="00506A73">
              <w:rPr>
                <w:sz w:val="20"/>
                <w:szCs w:val="20"/>
                <w:lang w:val="fr-CA"/>
              </w:rPr>
              <w:t xml:space="preserve"> DE PRODUCTION </w:t>
            </w:r>
            <w:r w:rsidRPr="00506A73">
              <w:rPr>
                <w:sz w:val="20"/>
                <w:szCs w:val="20"/>
                <w:lang w:val="fr-CA"/>
              </w:rPr>
              <w:t xml:space="preserve">: </w:t>
            </w:r>
            <w:r w:rsidR="00506A73" w:rsidRPr="00506A73">
              <w:rPr>
                <w:sz w:val="20"/>
                <w:szCs w:val="20"/>
                <w:lang w:val="fr-CA"/>
              </w:rPr>
              <w:t>13</w:t>
            </w:r>
            <w:r w:rsidRPr="00506A73">
              <w:rPr>
                <w:sz w:val="20"/>
                <w:szCs w:val="20"/>
                <w:lang w:val="fr-CA"/>
              </w:rPr>
              <w:t>.06.2011</w:t>
            </w:r>
          </w:p>
          <w:p w:rsidR="00177474" w:rsidRPr="00A935AA" w:rsidRDefault="009E364E" w:rsidP="00506A73">
            <w:pPr>
              <w:rPr>
                <w:sz w:val="20"/>
                <w:szCs w:val="20"/>
              </w:rPr>
            </w:pPr>
            <w:r w:rsidRPr="009E364E">
              <w:rPr>
                <w:sz w:val="20"/>
                <w:szCs w:val="20"/>
                <w:lang w:val="fr-CA"/>
              </w:rPr>
              <w:pict>
                <v:rect id="_x0000_i1027" style="width:108pt;height:1pt" o:hrpct="0" o:hralign="center" o:hrstd="t" o:hrnoshade="t" o:hr="t" fillcolor="black [3213]" stroked="f"/>
              </w:pict>
            </w:r>
          </w:p>
        </w:tc>
        <w:tc>
          <w:tcPr>
            <w:tcW w:w="1181" w:type="dxa"/>
            <w:shd w:val="clear" w:color="auto" w:fill="auto"/>
          </w:tcPr>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tc>
        <w:tc>
          <w:tcPr>
            <w:tcW w:w="4320" w:type="dxa"/>
            <w:shd w:val="clear" w:color="auto" w:fill="auto"/>
          </w:tcPr>
          <w:p w:rsidR="00177474" w:rsidRPr="00A935AA" w:rsidRDefault="00506A73" w:rsidP="00506A73">
            <w:pPr>
              <w:keepNext/>
              <w:keepLines/>
              <w:tabs>
                <w:tab w:val="left" w:pos="-1440"/>
                <w:tab w:val="left" w:pos="-720"/>
              </w:tabs>
              <w:rPr>
                <w:b/>
                <w:sz w:val="20"/>
                <w:szCs w:val="20"/>
              </w:rPr>
            </w:pPr>
            <w:r>
              <w:rPr>
                <w:b/>
                <w:sz w:val="20"/>
                <w:szCs w:val="20"/>
              </w:rPr>
              <w:t>C.B. Powell Ltd.</w:t>
            </w:r>
          </w:p>
          <w:p w:rsidR="00177474" w:rsidRPr="00A935AA" w:rsidRDefault="00177474" w:rsidP="00506A73">
            <w:pPr>
              <w:keepNext/>
              <w:keepLines/>
              <w:tabs>
                <w:tab w:val="left" w:pos="-1440"/>
                <w:tab w:val="left" w:pos="-720"/>
              </w:tabs>
              <w:rPr>
                <w:sz w:val="20"/>
                <w:szCs w:val="20"/>
              </w:rPr>
            </w:pPr>
            <w:r w:rsidRPr="00A935AA">
              <w:rPr>
                <w:sz w:val="20"/>
                <w:szCs w:val="20"/>
              </w:rPr>
              <w:tab/>
            </w:r>
            <w:r w:rsidR="00506A73">
              <w:rPr>
                <w:sz w:val="20"/>
                <w:szCs w:val="20"/>
              </w:rPr>
              <w:t xml:space="preserve">Michael </w:t>
            </w:r>
            <w:proofErr w:type="spellStart"/>
            <w:r w:rsidR="00506A73">
              <w:rPr>
                <w:sz w:val="20"/>
                <w:szCs w:val="20"/>
              </w:rPr>
              <w:t>Kaylor</w:t>
            </w:r>
            <w:proofErr w:type="spellEnd"/>
          </w:p>
          <w:p w:rsidR="00177474" w:rsidRPr="00506A73" w:rsidRDefault="00177474" w:rsidP="00506A73">
            <w:pPr>
              <w:keepNext/>
              <w:keepLines/>
              <w:tabs>
                <w:tab w:val="left" w:pos="-1440"/>
                <w:tab w:val="left" w:pos="-720"/>
              </w:tabs>
              <w:rPr>
                <w:sz w:val="20"/>
                <w:szCs w:val="20"/>
                <w:lang w:val="fr-CA"/>
              </w:rPr>
            </w:pPr>
            <w:r w:rsidRPr="00A935AA">
              <w:rPr>
                <w:sz w:val="20"/>
                <w:szCs w:val="20"/>
              </w:rPr>
              <w:tab/>
            </w:r>
            <w:r w:rsidR="00506A73" w:rsidRPr="00506A73">
              <w:rPr>
                <w:sz w:val="20"/>
                <w:szCs w:val="20"/>
                <w:lang w:val="fr-CA"/>
              </w:rPr>
              <w:t xml:space="preserve">Lapointe </w:t>
            </w:r>
            <w:proofErr w:type="spellStart"/>
            <w:r w:rsidR="00506A73" w:rsidRPr="00506A73">
              <w:rPr>
                <w:sz w:val="20"/>
                <w:szCs w:val="20"/>
                <w:lang w:val="fr-CA"/>
              </w:rPr>
              <w:t>Rosenstein</w:t>
            </w:r>
            <w:proofErr w:type="spellEnd"/>
            <w:r w:rsidR="00506A73" w:rsidRPr="00506A73">
              <w:rPr>
                <w:sz w:val="20"/>
                <w:szCs w:val="20"/>
                <w:lang w:val="fr-CA"/>
              </w:rPr>
              <w:t xml:space="preserve"> Marchand </w:t>
            </w:r>
            <w:proofErr w:type="spellStart"/>
            <w:r w:rsidR="00506A73" w:rsidRPr="00506A73">
              <w:rPr>
                <w:sz w:val="20"/>
                <w:szCs w:val="20"/>
                <w:lang w:val="fr-CA"/>
              </w:rPr>
              <w:t>Mélançon</w:t>
            </w:r>
            <w:proofErr w:type="spellEnd"/>
          </w:p>
          <w:p w:rsidR="00177474" w:rsidRPr="00506A73" w:rsidRDefault="00177474" w:rsidP="00506A73">
            <w:pPr>
              <w:keepNext/>
              <w:keepLines/>
              <w:tabs>
                <w:tab w:val="left" w:pos="-1440"/>
                <w:tab w:val="left" w:pos="-720"/>
              </w:tabs>
              <w:rPr>
                <w:sz w:val="20"/>
                <w:szCs w:val="20"/>
                <w:lang w:val="fr-CA"/>
              </w:rPr>
            </w:pPr>
          </w:p>
          <w:p w:rsidR="00177474" w:rsidRPr="00506A73" w:rsidRDefault="00177474" w:rsidP="00506A73">
            <w:pPr>
              <w:keepNext/>
              <w:keepLines/>
              <w:tabs>
                <w:tab w:val="left" w:pos="-1440"/>
                <w:tab w:val="left" w:pos="-720"/>
              </w:tabs>
              <w:rPr>
                <w:sz w:val="20"/>
                <w:szCs w:val="20"/>
                <w:lang w:val="fr-CA"/>
              </w:rPr>
            </w:pPr>
            <w:r w:rsidRPr="00506A73">
              <w:rPr>
                <w:sz w:val="20"/>
                <w:szCs w:val="20"/>
                <w:lang w:val="fr-CA"/>
              </w:rPr>
              <w:tab/>
              <w:t>v. (34</w:t>
            </w:r>
            <w:r w:rsidR="00506A73" w:rsidRPr="00506A73">
              <w:rPr>
                <w:sz w:val="20"/>
                <w:szCs w:val="20"/>
                <w:lang w:val="fr-CA"/>
              </w:rPr>
              <w:t>311</w:t>
            </w:r>
            <w:r w:rsidRPr="00506A73">
              <w:rPr>
                <w:sz w:val="20"/>
                <w:szCs w:val="20"/>
                <w:lang w:val="fr-CA"/>
              </w:rPr>
              <w:t>)</w:t>
            </w:r>
          </w:p>
          <w:p w:rsidR="00177474" w:rsidRPr="00506A73" w:rsidRDefault="00177474" w:rsidP="00506A73">
            <w:pPr>
              <w:keepNext/>
              <w:keepLines/>
              <w:tabs>
                <w:tab w:val="left" w:pos="-1440"/>
                <w:tab w:val="left" w:pos="-720"/>
              </w:tabs>
              <w:rPr>
                <w:sz w:val="20"/>
                <w:szCs w:val="20"/>
                <w:lang w:val="fr-CA"/>
              </w:rPr>
            </w:pPr>
          </w:p>
          <w:p w:rsidR="00177474" w:rsidRPr="00506A73" w:rsidRDefault="00506A73" w:rsidP="00506A73">
            <w:pPr>
              <w:keepNext/>
              <w:keepLines/>
              <w:tabs>
                <w:tab w:val="left" w:pos="-1440"/>
                <w:tab w:val="left" w:pos="-720"/>
              </w:tabs>
              <w:rPr>
                <w:b/>
                <w:sz w:val="20"/>
                <w:szCs w:val="20"/>
              </w:rPr>
            </w:pPr>
            <w:r>
              <w:rPr>
                <w:b/>
                <w:sz w:val="20"/>
                <w:szCs w:val="20"/>
              </w:rPr>
              <w:t xml:space="preserve">President of the Canada Border Services Agency </w:t>
            </w:r>
            <w:r w:rsidR="00177474" w:rsidRPr="00506A73">
              <w:rPr>
                <w:b/>
                <w:sz w:val="20"/>
                <w:szCs w:val="20"/>
              </w:rPr>
              <w:t>(</w:t>
            </w:r>
            <w:r>
              <w:rPr>
                <w:b/>
                <w:sz w:val="20"/>
                <w:szCs w:val="20"/>
              </w:rPr>
              <w:t>F</w:t>
            </w:r>
            <w:r w:rsidR="00177474" w:rsidRPr="00506A73">
              <w:rPr>
                <w:b/>
                <w:sz w:val="20"/>
                <w:szCs w:val="20"/>
              </w:rPr>
              <w:t>.</w:t>
            </w:r>
            <w:r>
              <w:rPr>
                <w:b/>
                <w:sz w:val="20"/>
                <w:szCs w:val="20"/>
              </w:rPr>
              <w:t>C.</w:t>
            </w:r>
            <w:r w:rsidR="00177474" w:rsidRPr="00506A73">
              <w:rPr>
                <w:b/>
                <w:sz w:val="20"/>
                <w:szCs w:val="20"/>
              </w:rPr>
              <w:t>)</w:t>
            </w:r>
          </w:p>
          <w:p w:rsidR="00177474" w:rsidRPr="00506A73" w:rsidRDefault="00177474" w:rsidP="00506A73">
            <w:pPr>
              <w:keepNext/>
              <w:keepLines/>
              <w:tabs>
                <w:tab w:val="left" w:pos="-1440"/>
                <w:tab w:val="left" w:pos="-720"/>
              </w:tabs>
              <w:rPr>
                <w:sz w:val="20"/>
                <w:szCs w:val="20"/>
              </w:rPr>
            </w:pPr>
            <w:r w:rsidRPr="00506A73">
              <w:rPr>
                <w:sz w:val="20"/>
                <w:szCs w:val="20"/>
              </w:rPr>
              <w:tab/>
            </w:r>
            <w:r w:rsidR="00506A73">
              <w:rPr>
                <w:sz w:val="20"/>
                <w:szCs w:val="20"/>
              </w:rPr>
              <w:t xml:space="preserve">Miles J. </w:t>
            </w:r>
            <w:proofErr w:type="spellStart"/>
            <w:r w:rsidR="00506A73">
              <w:rPr>
                <w:sz w:val="20"/>
                <w:szCs w:val="20"/>
              </w:rPr>
              <w:t>Kirvan</w:t>
            </w:r>
            <w:proofErr w:type="spellEnd"/>
          </w:p>
          <w:p w:rsidR="00177474" w:rsidRPr="00506A73" w:rsidRDefault="00177474" w:rsidP="00506A73">
            <w:pPr>
              <w:keepNext/>
              <w:keepLines/>
              <w:tabs>
                <w:tab w:val="left" w:pos="-1440"/>
                <w:tab w:val="left" w:pos="-720"/>
              </w:tabs>
              <w:rPr>
                <w:sz w:val="20"/>
                <w:szCs w:val="20"/>
              </w:rPr>
            </w:pPr>
            <w:r w:rsidRPr="00506A73">
              <w:rPr>
                <w:sz w:val="20"/>
                <w:szCs w:val="20"/>
              </w:rPr>
              <w:tab/>
            </w:r>
            <w:r w:rsidR="00506A73">
              <w:rPr>
                <w:sz w:val="20"/>
                <w:szCs w:val="20"/>
              </w:rPr>
              <w:t>A.G. of Canada</w:t>
            </w:r>
          </w:p>
          <w:p w:rsidR="00177474" w:rsidRPr="00506A73" w:rsidRDefault="00177474" w:rsidP="00506A73">
            <w:pPr>
              <w:keepNext/>
              <w:keepLines/>
              <w:tabs>
                <w:tab w:val="left" w:pos="-1440"/>
                <w:tab w:val="left" w:pos="-720"/>
              </w:tabs>
              <w:rPr>
                <w:sz w:val="20"/>
                <w:szCs w:val="20"/>
              </w:rPr>
            </w:pPr>
          </w:p>
          <w:p w:rsidR="00177474" w:rsidRPr="00A935AA" w:rsidRDefault="00177474" w:rsidP="00506A73">
            <w:pPr>
              <w:rPr>
                <w:sz w:val="20"/>
                <w:szCs w:val="20"/>
              </w:rPr>
            </w:pPr>
            <w:r w:rsidRPr="00A935AA">
              <w:rPr>
                <w:sz w:val="20"/>
                <w:szCs w:val="20"/>
              </w:rPr>
              <w:t xml:space="preserve">FILING DATE: </w:t>
            </w:r>
            <w:r w:rsidR="00506A73">
              <w:rPr>
                <w:sz w:val="20"/>
                <w:szCs w:val="20"/>
              </w:rPr>
              <w:t>14</w:t>
            </w:r>
            <w:r w:rsidRPr="00A935AA">
              <w:rPr>
                <w:sz w:val="20"/>
                <w:szCs w:val="20"/>
              </w:rPr>
              <w:t>.0</w:t>
            </w:r>
            <w:r>
              <w:rPr>
                <w:sz w:val="20"/>
                <w:szCs w:val="20"/>
              </w:rPr>
              <w:t>6</w:t>
            </w:r>
            <w:r w:rsidRPr="00A935AA">
              <w:rPr>
                <w:sz w:val="20"/>
                <w:szCs w:val="20"/>
              </w:rPr>
              <w:t>.201</w:t>
            </w:r>
            <w:r>
              <w:rPr>
                <w:sz w:val="20"/>
                <w:szCs w:val="20"/>
              </w:rPr>
              <w:t>1</w:t>
            </w:r>
            <w:r w:rsidR="009E364E" w:rsidRPr="009E364E">
              <w:rPr>
                <w:sz w:val="20"/>
                <w:szCs w:val="20"/>
                <w:lang w:val="fr-CA"/>
              </w:rPr>
              <w:pict>
                <v:rect id="_x0000_i1028" style="width:108pt;height:1pt" o:hrpct="0" o:hralign="center" o:hrstd="t" o:hrnoshade="t" o:hr="t" fillcolor="black [3213]" stroked="f"/>
              </w:pict>
            </w:r>
          </w:p>
        </w:tc>
      </w:tr>
      <w:tr w:rsidR="00177474" w:rsidRPr="00560AD3" w:rsidTr="003B3977">
        <w:tc>
          <w:tcPr>
            <w:tcW w:w="4320" w:type="dxa"/>
            <w:shd w:val="clear" w:color="auto" w:fill="auto"/>
          </w:tcPr>
          <w:p w:rsidR="00177474" w:rsidRPr="00A935AA" w:rsidRDefault="00FE7EB1" w:rsidP="00506A73">
            <w:pPr>
              <w:rPr>
                <w:b/>
                <w:sz w:val="20"/>
                <w:szCs w:val="20"/>
              </w:rPr>
            </w:pPr>
            <w:proofErr w:type="spellStart"/>
            <w:r>
              <w:rPr>
                <w:b/>
                <w:sz w:val="20"/>
                <w:szCs w:val="20"/>
              </w:rPr>
              <w:t>Vivek</w:t>
            </w:r>
            <w:proofErr w:type="spellEnd"/>
            <w:r>
              <w:rPr>
                <w:b/>
                <w:sz w:val="20"/>
                <w:szCs w:val="20"/>
              </w:rPr>
              <w:t xml:space="preserve"> Gupta</w:t>
            </w:r>
          </w:p>
          <w:p w:rsidR="00177474" w:rsidRPr="00A935AA" w:rsidRDefault="00177474" w:rsidP="00506A73">
            <w:pPr>
              <w:tabs>
                <w:tab w:val="left" w:pos="-1440"/>
                <w:tab w:val="left" w:pos="-720"/>
              </w:tabs>
              <w:rPr>
                <w:sz w:val="20"/>
                <w:szCs w:val="20"/>
              </w:rPr>
            </w:pPr>
            <w:r w:rsidRPr="00A935AA">
              <w:rPr>
                <w:sz w:val="20"/>
                <w:szCs w:val="20"/>
              </w:rPr>
              <w:tab/>
            </w:r>
            <w:proofErr w:type="spellStart"/>
            <w:r w:rsidR="00560AD3">
              <w:rPr>
                <w:sz w:val="20"/>
                <w:szCs w:val="20"/>
              </w:rPr>
              <w:t>Vivek</w:t>
            </w:r>
            <w:proofErr w:type="spellEnd"/>
            <w:r w:rsidR="00560AD3">
              <w:rPr>
                <w:sz w:val="20"/>
                <w:szCs w:val="20"/>
              </w:rPr>
              <w:t xml:space="preserve"> Gupta</w:t>
            </w:r>
          </w:p>
          <w:p w:rsidR="00177474" w:rsidRPr="00A935AA" w:rsidRDefault="00177474" w:rsidP="00506A73">
            <w:pPr>
              <w:tabs>
                <w:tab w:val="left" w:pos="-1440"/>
                <w:tab w:val="left" w:pos="-720"/>
              </w:tabs>
              <w:rPr>
                <w:sz w:val="20"/>
                <w:szCs w:val="20"/>
              </w:rPr>
            </w:pPr>
          </w:p>
          <w:p w:rsidR="00177474" w:rsidRPr="00A935AA" w:rsidRDefault="00177474" w:rsidP="00506A73">
            <w:pPr>
              <w:tabs>
                <w:tab w:val="left" w:pos="-1440"/>
                <w:tab w:val="left" w:pos="-720"/>
              </w:tabs>
              <w:rPr>
                <w:sz w:val="20"/>
                <w:szCs w:val="20"/>
              </w:rPr>
            </w:pPr>
            <w:r w:rsidRPr="00A935AA">
              <w:rPr>
                <w:sz w:val="20"/>
                <w:szCs w:val="20"/>
              </w:rPr>
              <w:tab/>
              <w:t>v. (3</w:t>
            </w:r>
            <w:r>
              <w:rPr>
                <w:sz w:val="20"/>
                <w:szCs w:val="20"/>
              </w:rPr>
              <w:t>4</w:t>
            </w:r>
            <w:r w:rsidR="00560AD3">
              <w:rPr>
                <w:sz w:val="20"/>
                <w:szCs w:val="20"/>
              </w:rPr>
              <w:t>313</w:t>
            </w:r>
            <w:r w:rsidRPr="00A935AA">
              <w:rPr>
                <w:sz w:val="20"/>
                <w:szCs w:val="20"/>
              </w:rPr>
              <w:t>)</w:t>
            </w:r>
          </w:p>
          <w:p w:rsidR="00177474" w:rsidRPr="00A935AA" w:rsidRDefault="00177474" w:rsidP="00506A73">
            <w:pPr>
              <w:tabs>
                <w:tab w:val="left" w:pos="-1440"/>
                <w:tab w:val="left" w:pos="-720"/>
              </w:tabs>
              <w:rPr>
                <w:sz w:val="20"/>
                <w:szCs w:val="20"/>
              </w:rPr>
            </w:pPr>
          </w:p>
          <w:p w:rsidR="00177474" w:rsidRPr="00A935AA" w:rsidRDefault="00560AD3" w:rsidP="00506A73">
            <w:pPr>
              <w:tabs>
                <w:tab w:val="left" w:pos="-1440"/>
                <w:tab w:val="left" w:pos="-720"/>
              </w:tabs>
              <w:rPr>
                <w:b/>
                <w:sz w:val="20"/>
                <w:szCs w:val="20"/>
              </w:rPr>
            </w:pPr>
            <w:r>
              <w:rPr>
                <w:b/>
                <w:sz w:val="20"/>
                <w:szCs w:val="20"/>
              </w:rPr>
              <w:t xml:space="preserve">Her Majesty the Queen </w:t>
            </w:r>
            <w:r w:rsidR="00177474" w:rsidRPr="00A935AA">
              <w:rPr>
                <w:b/>
                <w:sz w:val="20"/>
                <w:szCs w:val="20"/>
              </w:rPr>
              <w:t>(</w:t>
            </w:r>
            <w:r>
              <w:rPr>
                <w:b/>
                <w:sz w:val="20"/>
                <w:szCs w:val="20"/>
              </w:rPr>
              <w:t>Ont.</w:t>
            </w:r>
            <w:r w:rsidR="00177474" w:rsidRPr="00A935AA">
              <w:rPr>
                <w:b/>
                <w:sz w:val="20"/>
                <w:szCs w:val="20"/>
              </w:rPr>
              <w:t>)</w:t>
            </w:r>
          </w:p>
          <w:p w:rsidR="00177474" w:rsidRPr="00A935AA" w:rsidRDefault="00177474" w:rsidP="00506A73">
            <w:pPr>
              <w:tabs>
                <w:tab w:val="left" w:pos="-1440"/>
                <w:tab w:val="left" w:pos="-720"/>
              </w:tabs>
              <w:rPr>
                <w:sz w:val="20"/>
                <w:szCs w:val="20"/>
              </w:rPr>
            </w:pPr>
            <w:r w:rsidRPr="00A935AA">
              <w:rPr>
                <w:sz w:val="20"/>
                <w:szCs w:val="20"/>
              </w:rPr>
              <w:tab/>
            </w:r>
            <w:r w:rsidR="00560AD3">
              <w:rPr>
                <w:sz w:val="20"/>
                <w:szCs w:val="20"/>
              </w:rPr>
              <w:t xml:space="preserve">Grace </w:t>
            </w:r>
            <w:proofErr w:type="spellStart"/>
            <w:r w:rsidR="00560AD3">
              <w:rPr>
                <w:sz w:val="20"/>
                <w:szCs w:val="20"/>
              </w:rPr>
              <w:t>Choi</w:t>
            </w:r>
            <w:proofErr w:type="spellEnd"/>
          </w:p>
          <w:p w:rsidR="00177474" w:rsidRPr="00A935AA" w:rsidRDefault="00177474" w:rsidP="00506A73">
            <w:pPr>
              <w:tabs>
                <w:tab w:val="left" w:pos="-1440"/>
                <w:tab w:val="left" w:pos="-720"/>
              </w:tabs>
              <w:rPr>
                <w:sz w:val="20"/>
                <w:szCs w:val="20"/>
              </w:rPr>
            </w:pPr>
            <w:r w:rsidRPr="00A935AA">
              <w:rPr>
                <w:sz w:val="20"/>
                <w:szCs w:val="20"/>
              </w:rPr>
              <w:tab/>
            </w:r>
            <w:r w:rsidR="00560AD3">
              <w:rPr>
                <w:sz w:val="20"/>
                <w:szCs w:val="20"/>
              </w:rPr>
              <w:t>A.G. of Ontario</w:t>
            </w:r>
          </w:p>
          <w:p w:rsidR="00177474" w:rsidRPr="00A935AA" w:rsidRDefault="00177474" w:rsidP="00506A73">
            <w:pPr>
              <w:tabs>
                <w:tab w:val="left" w:pos="-1440"/>
                <w:tab w:val="left" w:pos="-720"/>
              </w:tabs>
              <w:rPr>
                <w:sz w:val="20"/>
                <w:szCs w:val="20"/>
              </w:rPr>
            </w:pPr>
          </w:p>
          <w:p w:rsidR="00177474" w:rsidRPr="00A935AA" w:rsidRDefault="00177474" w:rsidP="00506A73">
            <w:pPr>
              <w:rPr>
                <w:sz w:val="20"/>
                <w:szCs w:val="20"/>
              </w:rPr>
            </w:pPr>
            <w:r w:rsidRPr="00A935AA">
              <w:rPr>
                <w:sz w:val="20"/>
                <w:szCs w:val="20"/>
              </w:rPr>
              <w:t xml:space="preserve">FILING DATE: </w:t>
            </w:r>
            <w:r w:rsidR="00560AD3">
              <w:rPr>
                <w:sz w:val="20"/>
                <w:szCs w:val="20"/>
              </w:rPr>
              <w:t>14</w:t>
            </w:r>
            <w:r w:rsidRPr="00A935AA">
              <w:rPr>
                <w:sz w:val="20"/>
                <w:szCs w:val="20"/>
              </w:rPr>
              <w:t>.0</w:t>
            </w:r>
            <w:r>
              <w:rPr>
                <w:sz w:val="20"/>
                <w:szCs w:val="20"/>
              </w:rPr>
              <w:t>6</w:t>
            </w:r>
            <w:r w:rsidRPr="00A935AA">
              <w:rPr>
                <w:sz w:val="20"/>
                <w:szCs w:val="20"/>
              </w:rPr>
              <w:t>.201</w:t>
            </w:r>
            <w:r>
              <w:rPr>
                <w:sz w:val="20"/>
                <w:szCs w:val="20"/>
              </w:rPr>
              <w:t>1</w:t>
            </w:r>
          </w:p>
          <w:p w:rsidR="00177474" w:rsidRPr="00A935AA" w:rsidRDefault="009E364E" w:rsidP="00506A73">
            <w:pPr>
              <w:rPr>
                <w:sz w:val="20"/>
                <w:szCs w:val="20"/>
              </w:rPr>
            </w:pPr>
            <w:r w:rsidRPr="009E364E">
              <w:rPr>
                <w:sz w:val="20"/>
                <w:szCs w:val="20"/>
                <w:lang w:val="fr-CA"/>
              </w:rPr>
              <w:pict>
                <v:rect id="_x0000_i1029" style="width:108pt;height:1pt" o:hrpct="0" o:hralign="center" o:hrstd="t" o:hrnoshade="t" o:hr="t" fillcolor="black [3213]" stroked="f"/>
              </w:pict>
            </w:r>
          </w:p>
        </w:tc>
        <w:tc>
          <w:tcPr>
            <w:tcW w:w="1181" w:type="dxa"/>
            <w:shd w:val="clear" w:color="auto" w:fill="auto"/>
          </w:tcPr>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Default="00177474" w:rsidP="00242AEE">
            <w:pPr>
              <w:jc w:val="center"/>
              <w:rPr>
                <w:sz w:val="20"/>
                <w:szCs w:val="20"/>
              </w:rPr>
            </w:pPr>
          </w:p>
          <w:p w:rsidR="00177474" w:rsidRPr="00A935AA" w:rsidRDefault="00177474" w:rsidP="00242AEE">
            <w:pPr>
              <w:jc w:val="center"/>
              <w:rPr>
                <w:sz w:val="20"/>
                <w:szCs w:val="20"/>
              </w:rPr>
            </w:pPr>
          </w:p>
        </w:tc>
        <w:tc>
          <w:tcPr>
            <w:tcW w:w="4320" w:type="dxa"/>
            <w:shd w:val="clear" w:color="auto" w:fill="auto"/>
          </w:tcPr>
          <w:p w:rsidR="00177474" w:rsidRDefault="00177474" w:rsidP="00506A73">
            <w:pPr>
              <w:keepNext/>
              <w:keepLines/>
              <w:tabs>
                <w:tab w:val="left" w:pos="-1440"/>
                <w:tab w:val="left" w:pos="-720"/>
              </w:tabs>
              <w:rPr>
                <w:b/>
                <w:sz w:val="20"/>
                <w:szCs w:val="20"/>
              </w:rPr>
            </w:pPr>
          </w:p>
          <w:p w:rsidR="00560AD3" w:rsidRPr="00A935AA" w:rsidRDefault="00560AD3" w:rsidP="00506A73">
            <w:pPr>
              <w:keepNext/>
              <w:keepLines/>
              <w:tabs>
                <w:tab w:val="left" w:pos="-1440"/>
                <w:tab w:val="left" w:pos="-720"/>
              </w:tabs>
              <w:rPr>
                <w:b/>
                <w:sz w:val="20"/>
                <w:szCs w:val="20"/>
              </w:rPr>
            </w:pPr>
            <w:proofErr w:type="spellStart"/>
            <w:r>
              <w:rPr>
                <w:b/>
                <w:sz w:val="20"/>
                <w:szCs w:val="20"/>
              </w:rPr>
              <w:t>Saïda</w:t>
            </w:r>
            <w:proofErr w:type="spellEnd"/>
            <w:r>
              <w:rPr>
                <w:b/>
                <w:sz w:val="20"/>
                <w:szCs w:val="20"/>
              </w:rPr>
              <w:t xml:space="preserve"> </w:t>
            </w:r>
            <w:proofErr w:type="spellStart"/>
            <w:r>
              <w:rPr>
                <w:b/>
                <w:sz w:val="20"/>
                <w:szCs w:val="20"/>
              </w:rPr>
              <w:t>Fezzani</w:t>
            </w:r>
            <w:proofErr w:type="spellEnd"/>
          </w:p>
          <w:p w:rsidR="00177474" w:rsidRPr="00A935AA" w:rsidRDefault="00177474" w:rsidP="00506A73">
            <w:pPr>
              <w:keepNext/>
              <w:keepLines/>
              <w:tabs>
                <w:tab w:val="left" w:pos="-1440"/>
                <w:tab w:val="left" w:pos="-720"/>
              </w:tabs>
              <w:rPr>
                <w:sz w:val="20"/>
                <w:szCs w:val="20"/>
              </w:rPr>
            </w:pPr>
            <w:r w:rsidRPr="00A935AA">
              <w:rPr>
                <w:sz w:val="20"/>
                <w:szCs w:val="20"/>
              </w:rPr>
              <w:tab/>
            </w:r>
            <w:proofErr w:type="spellStart"/>
            <w:r w:rsidR="00560AD3">
              <w:rPr>
                <w:sz w:val="20"/>
                <w:szCs w:val="20"/>
              </w:rPr>
              <w:t>Saïda</w:t>
            </w:r>
            <w:proofErr w:type="spellEnd"/>
            <w:r w:rsidR="00560AD3">
              <w:rPr>
                <w:sz w:val="20"/>
                <w:szCs w:val="20"/>
              </w:rPr>
              <w:t xml:space="preserve"> </w:t>
            </w:r>
            <w:proofErr w:type="spellStart"/>
            <w:r w:rsidR="00560AD3">
              <w:rPr>
                <w:sz w:val="20"/>
                <w:szCs w:val="20"/>
              </w:rPr>
              <w:t>Fezzani</w:t>
            </w:r>
            <w:proofErr w:type="spellEnd"/>
          </w:p>
          <w:p w:rsidR="00177474" w:rsidRPr="00A935AA" w:rsidRDefault="00177474" w:rsidP="00506A73">
            <w:pPr>
              <w:keepNext/>
              <w:keepLines/>
              <w:tabs>
                <w:tab w:val="left" w:pos="-1440"/>
                <w:tab w:val="left" w:pos="-720"/>
              </w:tabs>
              <w:rPr>
                <w:sz w:val="20"/>
                <w:szCs w:val="20"/>
              </w:rPr>
            </w:pPr>
          </w:p>
          <w:p w:rsidR="00177474" w:rsidRPr="002C528E" w:rsidRDefault="00177474" w:rsidP="00506A73">
            <w:pPr>
              <w:keepNext/>
              <w:keepLines/>
              <w:tabs>
                <w:tab w:val="left" w:pos="-1440"/>
                <w:tab w:val="left" w:pos="-720"/>
              </w:tabs>
              <w:rPr>
                <w:sz w:val="20"/>
                <w:szCs w:val="20"/>
              </w:rPr>
            </w:pPr>
            <w:r w:rsidRPr="00A935AA">
              <w:rPr>
                <w:sz w:val="20"/>
                <w:szCs w:val="20"/>
              </w:rPr>
              <w:tab/>
            </w:r>
            <w:r w:rsidR="00560AD3" w:rsidRPr="002C528E">
              <w:rPr>
                <w:sz w:val="20"/>
                <w:szCs w:val="20"/>
              </w:rPr>
              <w:t>c</w:t>
            </w:r>
            <w:r w:rsidRPr="002C528E">
              <w:rPr>
                <w:sz w:val="20"/>
                <w:szCs w:val="20"/>
              </w:rPr>
              <w:t>. (34</w:t>
            </w:r>
            <w:r w:rsidR="00560AD3" w:rsidRPr="002C528E">
              <w:rPr>
                <w:sz w:val="20"/>
                <w:szCs w:val="20"/>
              </w:rPr>
              <w:t>315</w:t>
            </w:r>
            <w:r w:rsidRPr="002C528E">
              <w:rPr>
                <w:sz w:val="20"/>
                <w:szCs w:val="20"/>
              </w:rPr>
              <w:t>)</w:t>
            </w:r>
          </w:p>
          <w:p w:rsidR="00177474" w:rsidRPr="002C528E" w:rsidRDefault="00177474" w:rsidP="00506A73">
            <w:pPr>
              <w:keepNext/>
              <w:keepLines/>
              <w:tabs>
                <w:tab w:val="left" w:pos="-1440"/>
                <w:tab w:val="left" w:pos="-720"/>
              </w:tabs>
              <w:rPr>
                <w:sz w:val="20"/>
                <w:szCs w:val="20"/>
              </w:rPr>
            </w:pPr>
          </w:p>
          <w:p w:rsidR="00177474" w:rsidRPr="00A935AA" w:rsidRDefault="00560AD3" w:rsidP="00506A73">
            <w:pPr>
              <w:keepNext/>
              <w:keepLines/>
              <w:tabs>
                <w:tab w:val="left" w:pos="-1440"/>
                <w:tab w:val="left" w:pos="-720"/>
              </w:tabs>
              <w:rPr>
                <w:b/>
                <w:sz w:val="20"/>
                <w:szCs w:val="20"/>
                <w:lang w:val="fr-CA"/>
              </w:rPr>
            </w:pPr>
            <w:r>
              <w:rPr>
                <w:b/>
                <w:sz w:val="20"/>
                <w:szCs w:val="20"/>
                <w:lang w:val="fr-CA"/>
              </w:rPr>
              <w:t xml:space="preserve">Place Versailles Inc. et autre </w:t>
            </w:r>
            <w:r w:rsidR="00177474" w:rsidRPr="00A935AA">
              <w:rPr>
                <w:b/>
                <w:sz w:val="20"/>
                <w:szCs w:val="20"/>
                <w:lang w:val="fr-CA"/>
              </w:rPr>
              <w:t>(</w:t>
            </w:r>
            <w:proofErr w:type="spellStart"/>
            <w:r>
              <w:rPr>
                <w:b/>
                <w:sz w:val="20"/>
                <w:szCs w:val="20"/>
                <w:lang w:val="fr-CA"/>
              </w:rPr>
              <w:t>Qc</w:t>
            </w:r>
            <w:proofErr w:type="spellEnd"/>
            <w:r w:rsidR="00177474" w:rsidRPr="00A935AA">
              <w:rPr>
                <w:b/>
                <w:sz w:val="20"/>
                <w:szCs w:val="20"/>
                <w:lang w:val="fr-CA"/>
              </w:rPr>
              <w:t>)</w:t>
            </w:r>
          </w:p>
          <w:p w:rsidR="00177474" w:rsidRPr="00A935AA" w:rsidRDefault="00177474" w:rsidP="00506A73">
            <w:pPr>
              <w:keepNext/>
              <w:keepLines/>
              <w:tabs>
                <w:tab w:val="left" w:pos="-1440"/>
                <w:tab w:val="left" w:pos="-720"/>
              </w:tabs>
              <w:rPr>
                <w:sz w:val="20"/>
                <w:szCs w:val="20"/>
                <w:lang w:val="fr-CA"/>
              </w:rPr>
            </w:pPr>
            <w:r w:rsidRPr="00A935AA">
              <w:rPr>
                <w:sz w:val="20"/>
                <w:szCs w:val="20"/>
                <w:lang w:val="fr-CA"/>
              </w:rPr>
              <w:tab/>
            </w:r>
            <w:r w:rsidR="00560AD3">
              <w:rPr>
                <w:sz w:val="20"/>
                <w:szCs w:val="20"/>
                <w:lang w:val="fr-CA"/>
              </w:rPr>
              <w:t xml:space="preserve">Jérôme Choquette, </w:t>
            </w:r>
            <w:proofErr w:type="spellStart"/>
            <w:r w:rsidR="00560AD3">
              <w:rPr>
                <w:sz w:val="20"/>
                <w:szCs w:val="20"/>
                <w:lang w:val="fr-CA"/>
              </w:rPr>
              <w:t>c.r</w:t>
            </w:r>
            <w:proofErr w:type="spellEnd"/>
            <w:r w:rsidR="00560AD3">
              <w:rPr>
                <w:sz w:val="20"/>
                <w:szCs w:val="20"/>
                <w:lang w:val="fr-CA"/>
              </w:rPr>
              <w:t>.</w:t>
            </w:r>
          </w:p>
          <w:p w:rsidR="00177474" w:rsidRPr="00A935AA" w:rsidRDefault="00177474" w:rsidP="00506A73">
            <w:pPr>
              <w:keepNext/>
              <w:keepLines/>
              <w:tabs>
                <w:tab w:val="left" w:pos="-1440"/>
                <w:tab w:val="left" w:pos="-720"/>
              </w:tabs>
              <w:rPr>
                <w:sz w:val="20"/>
                <w:szCs w:val="20"/>
                <w:lang w:val="fr-CA"/>
              </w:rPr>
            </w:pPr>
            <w:r w:rsidRPr="00A935AA">
              <w:rPr>
                <w:sz w:val="20"/>
                <w:szCs w:val="20"/>
                <w:lang w:val="fr-CA"/>
              </w:rPr>
              <w:tab/>
            </w:r>
            <w:r w:rsidR="00560AD3">
              <w:rPr>
                <w:sz w:val="20"/>
                <w:szCs w:val="20"/>
                <w:lang w:val="fr-CA"/>
              </w:rPr>
              <w:t xml:space="preserve">Choquette Beaupré </w:t>
            </w:r>
            <w:proofErr w:type="spellStart"/>
            <w:r w:rsidR="00560AD3">
              <w:rPr>
                <w:sz w:val="20"/>
                <w:szCs w:val="20"/>
                <w:lang w:val="fr-CA"/>
              </w:rPr>
              <w:t>Rhéaume</w:t>
            </w:r>
            <w:proofErr w:type="spellEnd"/>
          </w:p>
          <w:p w:rsidR="00177474" w:rsidRPr="00A935AA" w:rsidRDefault="00177474" w:rsidP="00506A73">
            <w:pPr>
              <w:keepNext/>
              <w:keepLines/>
              <w:tabs>
                <w:tab w:val="left" w:pos="-1440"/>
                <w:tab w:val="left" w:pos="-720"/>
              </w:tabs>
              <w:rPr>
                <w:sz w:val="20"/>
                <w:szCs w:val="20"/>
                <w:lang w:val="fr-CA"/>
              </w:rPr>
            </w:pPr>
          </w:p>
          <w:p w:rsidR="00177474" w:rsidRPr="00560AD3" w:rsidRDefault="00177474" w:rsidP="00560AD3">
            <w:pPr>
              <w:rPr>
                <w:sz w:val="20"/>
                <w:szCs w:val="20"/>
                <w:lang w:val="fr-CA"/>
              </w:rPr>
            </w:pPr>
            <w:r w:rsidRPr="00560AD3">
              <w:rPr>
                <w:sz w:val="20"/>
                <w:szCs w:val="20"/>
                <w:lang w:val="fr-CA"/>
              </w:rPr>
              <w:t>DATE</w:t>
            </w:r>
            <w:r w:rsidR="00560AD3">
              <w:rPr>
                <w:sz w:val="20"/>
                <w:szCs w:val="20"/>
                <w:lang w:val="fr-CA"/>
              </w:rPr>
              <w:t xml:space="preserve"> DE PRODUCTION</w:t>
            </w:r>
            <w:r w:rsidRPr="00560AD3">
              <w:rPr>
                <w:sz w:val="20"/>
                <w:szCs w:val="20"/>
                <w:lang w:val="fr-CA"/>
              </w:rPr>
              <w:t xml:space="preserve">: </w:t>
            </w:r>
            <w:r w:rsidR="00560AD3">
              <w:rPr>
                <w:sz w:val="20"/>
                <w:szCs w:val="20"/>
                <w:lang w:val="fr-CA"/>
              </w:rPr>
              <w:t>14</w:t>
            </w:r>
            <w:r w:rsidRPr="00560AD3">
              <w:rPr>
                <w:sz w:val="20"/>
                <w:szCs w:val="20"/>
                <w:lang w:val="fr-CA"/>
              </w:rPr>
              <w:t>.06.2011</w:t>
            </w:r>
            <w:r w:rsidR="009E364E" w:rsidRPr="009E364E">
              <w:rPr>
                <w:sz w:val="20"/>
                <w:szCs w:val="20"/>
                <w:lang w:val="fr-CA"/>
              </w:rPr>
              <w:pict>
                <v:rect id="_x0000_i1030" style="width:108pt;height:1pt" o:hrpct="0" o:hralign="center" o:hrstd="t" o:hrnoshade="t" o:hr="t" fillcolor="black [3213]" stroked="f"/>
              </w:pict>
            </w:r>
          </w:p>
        </w:tc>
      </w:tr>
      <w:tr w:rsidR="00177474" w:rsidRPr="00A935AA" w:rsidTr="003B3977">
        <w:trPr>
          <w:cantSplit/>
        </w:trPr>
        <w:tc>
          <w:tcPr>
            <w:tcW w:w="4320" w:type="dxa"/>
            <w:shd w:val="clear" w:color="auto" w:fill="auto"/>
          </w:tcPr>
          <w:p w:rsidR="00177474" w:rsidRPr="00560AD3" w:rsidRDefault="00560AD3" w:rsidP="00506A73">
            <w:pPr>
              <w:rPr>
                <w:b/>
                <w:sz w:val="20"/>
                <w:szCs w:val="20"/>
              </w:rPr>
            </w:pPr>
            <w:r w:rsidRPr="00560AD3">
              <w:rPr>
                <w:b/>
                <w:sz w:val="20"/>
                <w:szCs w:val="20"/>
              </w:rPr>
              <w:t>J</w:t>
            </w:r>
            <w:r>
              <w:rPr>
                <w:b/>
                <w:sz w:val="20"/>
                <w:szCs w:val="20"/>
              </w:rPr>
              <w:t xml:space="preserve">ason </w:t>
            </w:r>
            <w:proofErr w:type="spellStart"/>
            <w:r>
              <w:rPr>
                <w:b/>
                <w:sz w:val="20"/>
                <w:szCs w:val="20"/>
              </w:rPr>
              <w:t>Shand</w:t>
            </w:r>
            <w:proofErr w:type="spellEnd"/>
          </w:p>
          <w:p w:rsidR="00177474" w:rsidRPr="00560AD3" w:rsidRDefault="00177474" w:rsidP="00506A73">
            <w:pPr>
              <w:tabs>
                <w:tab w:val="left" w:pos="-1440"/>
                <w:tab w:val="left" w:pos="-720"/>
              </w:tabs>
              <w:rPr>
                <w:sz w:val="20"/>
                <w:szCs w:val="20"/>
              </w:rPr>
            </w:pPr>
            <w:r w:rsidRPr="00560AD3">
              <w:rPr>
                <w:sz w:val="20"/>
                <w:szCs w:val="20"/>
              </w:rPr>
              <w:tab/>
            </w:r>
            <w:r w:rsidR="00560AD3">
              <w:rPr>
                <w:sz w:val="20"/>
                <w:szCs w:val="20"/>
              </w:rPr>
              <w:t xml:space="preserve">James </w:t>
            </w:r>
            <w:proofErr w:type="spellStart"/>
            <w:r w:rsidR="00560AD3">
              <w:rPr>
                <w:sz w:val="20"/>
                <w:szCs w:val="20"/>
              </w:rPr>
              <w:t>Lockyer</w:t>
            </w:r>
            <w:proofErr w:type="spellEnd"/>
          </w:p>
          <w:p w:rsidR="00177474" w:rsidRPr="00560AD3" w:rsidRDefault="00177474" w:rsidP="00506A73">
            <w:pPr>
              <w:tabs>
                <w:tab w:val="left" w:pos="-1440"/>
                <w:tab w:val="left" w:pos="-720"/>
              </w:tabs>
              <w:rPr>
                <w:sz w:val="20"/>
                <w:szCs w:val="20"/>
              </w:rPr>
            </w:pPr>
            <w:r w:rsidRPr="00560AD3">
              <w:rPr>
                <w:sz w:val="20"/>
                <w:szCs w:val="20"/>
              </w:rPr>
              <w:tab/>
            </w:r>
            <w:proofErr w:type="spellStart"/>
            <w:r w:rsidR="00560AD3">
              <w:rPr>
                <w:sz w:val="20"/>
                <w:szCs w:val="20"/>
              </w:rPr>
              <w:t>Lockyer</w:t>
            </w:r>
            <w:proofErr w:type="spellEnd"/>
            <w:r w:rsidR="00560AD3">
              <w:rPr>
                <w:sz w:val="20"/>
                <w:szCs w:val="20"/>
              </w:rPr>
              <w:t xml:space="preserve"> Campbell Posner</w:t>
            </w:r>
          </w:p>
          <w:p w:rsidR="00177474" w:rsidRPr="00560AD3" w:rsidRDefault="00177474" w:rsidP="00506A73">
            <w:pPr>
              <w:tabs>
                <w:tab w:val="left" w:pos="-1440"/>
                <w:tab w:val="left" w:pos="-720"/>
              </w:tabs>
              <w:rPr>
                <w:sz w:val="20"/>
                <w:szCs w:val="20"/>
              </w:rPr>
            </w:pPr>
          </w:p>
          <w:p w:rsidR="00177474" w:rsidRPr="00A935AA" w:rsidRDefault="00177474" w:rsidP="00506A73">
            <w:pPr>
              <w:tabs>
                <w:tab w:val="left" w:pos="-1440"/>
                <w:tab w:val="left" w:pos="-720"/>
              </w:tabs>
              <w:rPr>
                <w:sz w:val="20"/>
                <w:szCs w:val="20"/>
              </w:rPr>
            </w:pPr>
            <w:r w:rsidRPr="00560AD3">
              <w:rPr>
                <w:sz w:val="20"/>
                <w:szCs w:val="20"/>
              </w:rPr>
              <w:tab/>
            </w:r>
            <w:r w:rsidRPr="00A935AA">
              <w:rPr>
                <w:sz w:val="20"/>
                <w:szCs w:val="20"/>
              </w:rPr>
              <w:t>v. (3</w:t>
            </w:r>
            <w:r>
              <w:rPr>
                <w:sz w:val="20"/>
                <w:szCs w:val="20"/>
              </w:rPr>
              <w:t>4</w:t>
            </w:r>
            <w:r w:rsidR="00560AD3">
              <w:rPr>
                <w:sz w:val="20"/>
                <w:szCs w:val="20"/>
              </w:rPr>
              <w:t>319</w:t>
            </w:r>
            <w:r w:rsidRPr="00A935AA">
              <w:rPr>
                <w:sz w:val="20"/>
                <w:szCs w:val="20"/>
              </w:rPr>
              <w:t>)</w:t>
            </w:r>
          </w:p>
          <w:p w:rsidR="00177474" w:rsidRPr="00A935AA" w:rsidRDefault="00177474" w:rsidP="00506A73">
            <w:pPr>
              <w:tabs>
                <w:tab w:val="left" w:pos="-1440"/>
                <w:tab w:val="left" w:pos="-720"/>
              </w:tabs>
              <w:rPr>
                <w:sz w:val="20"/>
                <w:szCs w:val="20"/>
              </w:rPr>
            </w:pPr>
          </w:p>
          <w:p w:rsidR="00177474" w:rsidRPr="00A935AA" w:rsidRDefault="00560AD3" w:rsidP="00506A73">
            <w:pPr>
              <w:tabs>
                <w:tab w:val="left" w:pos="-1440"/>
                <w:tab w:val="left" w:pos="-720"/>
              </w:tabs>
              <w:rPr>
                <w:b/>
                <w:sz w:val="20"/>
                <w:szCs w:val="20"/>
              </w:rPr>
            </w:pPr>
            <w:r>
              <w:rPr>
                <w:b/>
                <w:sz w:val="20"/>
                <w:szCs w:val="20"/>
              </w:rPr>
              <w:t xml:space="preserve">Her Majesty the Queen </w:t>
            </w:r>
            <w:r w:rsidR="00177474" w:rsidRPr="00A935AA">
              <w:rPr>
                <w:b/>
                <w:sz w:val="20"/>
                <w:szCs w:val="20"/>
              </w:rPr>
              <w:t>(</w:t>
            </w:r>
            <w:r>
              <w:rPr>
                <w:b/>
                <w:sz w:val="20"/>
                <w:szCs w:val="20"/>
              </w:rPr>
              <w:t>Ont.</w:t>
            </w:r>
            <w:r w:rsidR="00177474" w:rsidRPr="00A935AA">
              <w:rPr>
                <w:b/>
                <w:sz w:val="20"/>
                <w:szCs w:val="20"/>
              </w:rPr>
              <w:t>)</w:t>
            </w:r>
          </w:p>
          <w:p w:rsidR="00177474" w:rsidRPr="00A935AA" w:rsidRDefault="00177474" w:rsidP="00506A73">
            <w:pPr>
              <w:tabs>
                <w:tab w:val="left" w:pos="-1440"/>
                <w:tab w:val="left" w:pos="-720"/>
              </w:tabs>
              <w:rPr>
                <w:sz w:val="20"/>
                <w:szCs w:val="20"/>
              </w:rPr>
            </w:pPr>
            <w:r w:rsidRPr="00A935AA">
              <w:rPr>
                <w:sz w:val="20"/>
                <w:szCs w:val="20"/>
              </w:rPr>
              <w:tab/>
            </w:r>
            <w:r w:rsidR="00560AD3">
              <w:rPr>
                <w:sz w:val="20"/>
                <w:szCs w:val="20"/>
              </w:rPr>
              <w:t>Alison Wheeler</w:t>
            </w:r>
          </w:p>
          <w:p w:rsidR="00177474" w:rsidRPr="00A935AA" w:rsidRDefault="00177474" w:rsidP="00506A73">
            <w:pPr>
              <w:tabs>
                <w:tab w:val="left" w:pos="-1440"/>
                <w:tab w:val="left" w:pos="-720"/>
              </w:tabs>
              <w:rPr>
                <w:sz w:val="20"/>
                <w:szCs w:val="20"/>
              </w:rPr>
            </w:pPr>
            <w:r w:rsidRPr="00A935AA">
              <w:rPr>
                <w:sz w:val="20"/>
                <w:szCs w:val="20"/>
              </w:rPr>
              <w:tab/>
            </w:r>
            <w:r w:rsidR="00560AD3">
              <w:rPr>
                <w:sz w:val="20"/>
                <w:szCs w:val="20"/>
              </w:rPr>
              <w:t>A.G. of Ontario</w:t>
            </w:r>
          </w:p>
          <w:p w:rsidR="00177474" w:rsidRPr="00A935AA" w:rsidRDefault="00177474" w:rsidP="00506A73">
            <w:pPr>
              <w:tabs>
                <w:tab w:val="left" w:pos="-1440"/>
                <w:tab w:val="left" w:pos="-720"/>
              </w:tabs>
              <w:rPr>
                <w:sz w:val="20"/>
                <w:szCs w:val="20"/>
              </w:rPr>
            </w:pPr>
          </w:p>
          <w:p w:rsidR="00177474" w:rsidRPr="00A935AA" w:rsidRDefault="00177474" w:rsidP="00506A73">
            <w:pPr>
              <w:rPr>
                <w:sz w:val="20"/>
                <w:szCs w:val="20"/>
              </w:rPr>
            </w:pPr>
            <w:r w:rsidRPr="00A935AA">
              <w:rPr>
                <w:sz w:val="20"/>
                <w:szCs w:val="20"/>
              </w:rPr>
              <w:t xml:space="preserve">FILING DATE: </w:t>
            </w:r>
            <w:r w:rsidR="00560AD3">
              <w:rPr>
                <w:sz w:val="20"/>
                <w:szCs w:val="20"/>
              </w:rPr>
              <w:t>16</w:t>
            </w:r>
            <w:r w:rsidRPr="00A935AA">
              <w:rPr>
                <w:sz w:val="20"/>
                <w:szCs w:val="20"/>
              </w:rPr>
              <w:t>.0</w:t>
            </w:r>
            <w:r>
              <w:rPr>
                <w:sz w:val="20"/>
                <w:szCs w:val="20"/>
              </w:rPr>
              <w:t>6</w:t>
            </w:r>
            <w:r w:rsidRPr="00A935AA">
              <w:rPr>
                <w:sz w:val="20"/>
                <w:szCs w:val="20"/>
              </w:rPr>
              <w:t>.201</w:t>
            </w:r>
            <w:r>
              <w:rPr>
                <w:sz w:val="20"/>
                <w:szCs w:val="20"/>
              </w:rPr>
              <w:t>1</w:t>
            </w:r>
          </w:p>
          <w:p w:rsidR="00177474" w:rsidRPr="00A935AA" w:rsidRDefault="009E364E" w:rsidP="00506A73">
            <w:pPr>
              <w:rPr>
                <w:sz w:val="20"/>
                <w:szCs w:val="20"/>
              </w:rPr>
            </w:pPr>
            <w:r w:rsidRPr="009E364E">
              <w:rPr>
                <w:sz w:val="20"/>
                <w:szCs w:val="20"/>
                <w:lang w:val="fr-CA"/>
              </w:rPr>
              <w:pict>
                <v:rect id="_x0000_i1031" style="width:108pt;height:1pt" o:hrpct="0" o:hralign="center" o:hrstd="t" o:hrnoshade="t" o:hr="t" fillcolor="black [3213]" stroked="f"/>
              </w:pict>
            </w:r>
          </w:p>
        </w:tc>
        <w:tc>
          <w:tcPr>
            <w:tcW w:w="1181" w:type="dxa"/>
            <w:shd w:val="clear" w:color="auto" w:fill="auto"/>
          </w:tcPr>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p w:rsidR="00177474" w:rsidRPr="00A935AA" w:rsidRDefault="00177474" w:rsidP="00242AEE">
            <w:pPr>
              <w:jc w:val="center"/>
              <w:rPr>
                <w:sz w:val="20"/>
                <w:szCs w:val="20"/>
              </w:rPr>
            </w:pPr>
          </w:p>
        </w:tc>
        <w:tc>
          <w:tcPr>
            <w:tcW w:w="4320" w:type="dxa"/>
            <w:shd w:val="clear" w:color="auto" w:fill="auto"/>
          </w:tcPr>
          <w:p w:rsidR="00560AD3" w:rsidRDefault="00560AD3" w:rsidP="00506A73">
            <w:pPr>
              <w:keepNext/>
              <w:keepLines/>
              <w:tabs>
                <w:tab w:val="left" w:pos="-1440"/>
                <w:tab w:val="left" w:pos="-720"/>
              </w:tabs>
              <w:rPr>
                <w:b/>
                <w:sz w:val="20"/>
                <w:szCs w:val="20"/>
                <w:lang w:val="fr-CA"/>
              </w:rPr>
            </w:pPr>
          </w:p>
          <w:p w:rsidR="00177474" w:rsidRPr="00560AD3" w:rsidRDefault="00560AD3" w:rsidP="00506A73">
            <w:pPr>
              <w:keepNext/>
              <w:keepLines/>
              <w:tabs>
                <w:tab w:val="left" w:pos="-1440"/>
                <w:tab w:val="left" w:pos="-720"/>
              </w:tabs>
              <w:rPr>
                <w:b/>
                <w:sz w:val="20"/>
                <w:szCs w:val="20"/>
                <w:lang w:val="fr-CA"/>
              </w:rPr>
            </w:pPr>
            <w:r w:rsidRPr="00560AD3">
              <w:rPr>
                <w:b/>
                <w:sz w:val="20"/>
                <w:szCs w:val="20"/>
                <w:lang w:val="fr-CA"/>
              </w:rPr>
              <w:t>James Joseph Lukezic et al.</w:t>
            </w:r>
          </w:p>
          <w:p w:rsidR="00177474" w:rsidRPr="002C528E" w:rsidRDefault="00177474" w:rsidP="00506A73">
            <w:pPr>
              <w:keepNext/>
              <w:keepLines/>
              <w:tabs>
                <w:tab w:val="left" w:pos="-1440"/>
                <w:tab w:val="left" w:pos="-720"/>
              </w:tabs>
              <w:rPr>
                <w:sz w:val="20"/>
                <w:szCs w:val="20"/>
              </w:rPr>
            </w:pPr>
            <w:r w:rsidRPr="00560AD3">
              <w:rPr>
                <w:sz w:val="20"/>
                <w:szCs w:val="20"/>
                <w:lang w:val="fr-CA"/>
              </w:rPr>
              <w:tab/>
            </w:r>
            <w:r w:rsidR="00560AD3" w:rsidRPr="002C528E">
              <w:rPr>
                <w:sz w:val="20"/>
                <w:szCs w:val="20"/>
              </w:rPr>
              <w:t xml:space="preserve">James Joseph </w:t>
            </w:r>
            <w:proofErr w:type="spellStart"/>
            <w:r w:rsidR="00560AD3" w:rsidRPr="002C528E">
              <w:rPr>
                <w:sz w:val="20"/>
                <w:szCs w:val="20"/>
              </w:rPr>
              <w:t>Lukezic</w:t>
            </w:r>
            <w:proofErr w:type="spellEnd"/>
          </w:p>
          <w:p w:rsidR="00177474" w:rsidRPr="002C528E" w:rsidRDefault="00177474" w:rsidP="00506A73">
            <w:pPr>
              <w:keepNext/>
              <w:keepLines/>
              <w:tabs>
                <w:tab w:val="left" w:pos="-1440"/>
                <w:tab w:val="left" w:pos="-720"/>
              </w:tabs>
              <w:rPr>
                <w:sz w:val="20"/>
                <w:szCs w:val="20"/>
              </w:rPr>
            </w:pPr>
          </w:p>
          <w:p w:rsidR="00177474" w:rsidRPr="00560AD3" w:rsidRDefault="00177474" w:rsidP="00506A73">
            <w:pPr>
              <w:keepNext/>
              <w:keepLines/>
              <w:tabs>
                <w:tab w:val="left" w:pos="-1440"/>
                <w:tab w:val="left" w:pos="-720"/>
              </w:tabs>
              <w:rPr>
                <w:sz w:val="20"/>
                <w:szCs w:val="20"/>
              </w:rPr>
            </w:pPr>
            <w:r w:rsidRPr="002C528E">
              <w:rPr>
                <w:sz w:val="20"/>
                <w:szCs w:val="20"/>
              </w:rPr>
              <w:tab/>
            </w:r>
            <w:r w:rsidRPr="00560AD3">
              <w:rPr>
                <w:sz w:val="20"/>
                <w:szCs w:val="20"/>
              </w:rPr>
              <w:t>v. (34</w:t>
            </w:r>
            <w:r w:rsidR="00560AD3" w:rsidRPr="00560AD3">
              <w:rPr>
                <w:sz w:val="20"/>
                <w:szCs w:val="20"/>
              </w:rPr>
              <w:t>332</w:t>
            </w:r>
            <w:r w:rsidRPr="00560AD3">
              <w:rPr>
                <w:sz w:val="20"/>
                <w:szCs w:val="20"/>
              </w:rPr>
              <w:t>)</w:t>
            </w:r>
          </w:p>
          <w:p w:rsidR="00177474" w:rsidRPr="00560AD3" w:rsidRDefault="00177474" w:rsidP="00506A73">
            <w:pPr>
              <w:keepNext/>
              <w:keepLines/>
              <w:tabs>
                <w:tab w:val="left" w:pos="-1440"/>
                <w:tab w:val="left" w:pos="-720"/>
              </w:tabs>
              <w:rPr>
                <w:sz w:val="20"/>
                <w:szCs w:val="20"/>
              </w:rPr>
            </w:pPr>
          </w:p>
          <w:p w:rsidR="00177474" w:rsidRPr="00560AD3" w:rsidRDefault="00560AD3" w:rsidP="00506A73">
            <w:pPr>
              <w:keepNext/>
              <w:keepLines/>
              <w:tabs>
                <w:tab w:val="left" w:pos="-1440"/>
                <w:tab w:val="left" w:pos="-720"/>
              </w:tabs>
              <w:rPr>
                <w:b/>
                <w:sz w:val="20"/>
                <w:szCs w:val="20"/>
              </w:rPr>
            </w:pPr>
            <w:r w:rsidRPr="00560AD3">
              <w:rPr>
                <w:b/>
                <w:sz w:val="20"/>
                <w:szCs w:val="20"/>
              </w:rPr>
              <w:t xml:space="preserve">Royal Bank of Canada </w:t>
            </w:r>
            <w:r w:rsidR="00177474" w:rsidRPr="00560AD3">
              <w:rPr>
                <w:b/>
                <w:sz w:val="20"/>
                <w:szCs w:val="20"/>
              </w:rPr>
              <w:t>(Ont.)</w:t>
            </w:r>
          </w:p>
          <w:p w:rsidR="00177474" w:rsidRPr="00560AD3" w:rsidRDefault="00177474" w:rsidP="00506A73">
            <w:pPr>
              <w:keepNext/>
              <w:keepLines/>
              <w:tabs>
                <w:tab w:val="left" w:pos="-1440"/>
                <w:tab w:val="left" w:pos="-720"/>
              </w:tabs>
              <w:rPr>
                <w:sz w:val="20"/>
                <w:szCs w:val="20"/>
              </w:rPr>
            </w:pPr>
            <w:r w:rsidRPr="00560AD3">
              <w:rPr>
                <w:sz w:val="20"/>
                <w:szCs w:val="20"/>
              </w:rPr>
              <w:tab/>
            </w:r>
            <w:r w:rsidR="00560AD3">
              <w:rPr>
                <w:sz w:val="20"/>
                <w:szCs w:val="20"/>
              </w:rPr>
              <w:t>Milton A. Davis</w:t>
            </w:r>
          </w:p>
          <w:p w:rsidR="00177474" w:rsidRPr="00560AD3" w:rsidRDefault="00177474" w:rsidP="00506A73">
            <w:pPr>
              <w:keepNext/>
              <w:keepLines/>
              <w:tabs>
                <w:tab w:val="left" w:pos="-1440"/>
                <w:tab w:val="left" w:pos="-720"/>
              </w:tabs>
              <w:rPr>
                <w:sz w:val="20"/>
                <w:szCs w:val="20"/>
              </w:rPr>
            </w:pPr>
            <w:r w:rsidRPr="00560AD3">
              <w:rPr>
                <w:sz w:val="20"/>
                <w:szCs w:val="20"/>
              </w:rPr>
              <w:tab/>
            </w:r>
            <w:r w:rsidR="00560AD3">
              <w:rPr>
                <w:sz w:val="20"/>
                <w:szCs w:val="20"/>
              </w:rPr>
              <w:t xml:space="preserve">Davis </w:t>
            </w:r>
            <w:proofErr w:type="spellStart"/>
            <w:r w:rsidR="00560AD3">
              <w:rPr>
                <w:sz w:val="20"/>
                <w:szCs w:val="20"/>
              </w:rPr>
              <w:t>Moldaver</w:t>
            </w:r>
            <w:proofErr w:type="spellEnd"/>
            <w:r w:rsidR="00560AD3">
              <w:rPr>
                <w:sz w:val="20"/>
                <w:szCs w:val="20"/>
              </w:rPr>
              <w:t xml:space="preserve"> LLP</w:t>
            </w:r>
          </w:p>
          <w:p w:rsidR="00177474" w:rsidRPr="00560AD3" w:rsidRDefault="00177474" w:rsidP="00506A73">
            <w:pPr>
              <w:keepNext/>
              <w:keepLines/>
              <w:tabs>
                <w:tab w:val="left" w:pos="-1440"/>
                <w:tab w:val="left" w:pos="-720"/>
              </w:tabs>
              <w:rPr>
                <w:sz w:val="20"/>
                <w:szCs w:val="20"/>
              </w:rPr>
            </w:pPr>
          </w:p>
          <w:p w:rsidR="00177474" w:rsidRPr="00A935AA" w:rsidRDefault="00177474" w:rsidP="00560AD3">
            <w:pPr>
              <w:rPr>
                <w:sz w:val="20"/>
                <w:szCs w:val="20"/>
              </w:rPr>
            </w:pPr>
            <w:r w:rsidRPr="00A935AA">
              <w:rPr>
                <w:sz w:val="20"/>
                <w:szCs w:val="20"/>
              </w:rPr>
              <w:t xml:space="preserve">FILING DATE: </w:t>
            </w:r>
            <w:r w:rsidR="00560AD3">
              <w:rPr>
                <w:sz w:val="20"/>
                <w:szCs w:val="20"/>
              </w:rPr>
              <w:t>14</w:t>
            </w:r>
            <w:r w:rsidRPr="00A935AA">
              <w:rPr>
                <w:sz w:val="20"/>
                <w:szCs w:val="20"/>
              </w:rPr>
              <w:t>.0</w:t>
            </w:r>
            <w:r>
              <w:rPr>
                <w:sz w:val="20"/>
                <w:szCs w:val="20"/>
              </w:rPr>
              <w:t>6</w:t>
            </w:r>
            <w:r w:rsidRPr="00A935AA">
              <w:rPr>
                <w:sz w:val="20"/>
                <w:szCs w:val="20"/>
              </w:rPr>
              <w:t>.201</w:t>
            </w:r>
            <w:r>
              <w:rPr>
                <w:sz w:val="20"/>
                <w:szCs w:val="20"/>
              </w:rPr>
              <w:t>1</w:t>
            </w:r>
            <w:r w:rsidR="009E364E" w:rsidRPr="009E364E">
              <w:rPr>
                <w:sz w:val="20"/>
                <w:szCs w:val="20"/>
                <w:lang w:val="fr-CA"/>
              </w:rPr>
              <w:pict>
                <v:rect id="_x0000_i1032"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5A1D7B">
          <w:headerReference w:type="default" r:id="rId14"/>
          <w:footerReference w:type="default" r:id="rId15"/>
          <w:headerReference w:type="first" r:id="rId16"/>
          <w:footerReference w:type="first" r:id="rId17"/>
          <w:pgSz w:w="12240" w:h="15840"/>
          <w:pgMar w:top="720" w:right="965" w:bottom="1080" w:left="1656" w:header="706" w:footer="706" w:gutter="0"/>
          <w:pgNumType w:start="104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0536FB"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3359D3" w:rsidRPr="00C50A5C" w:rsidRDefault="00177474" w:rsidP="003359D3">
      <w:pPr>
        <w:widowControl w:val="0"/>
        <w:rPr>
          <w:b/>
          <w:sz w:val="20"/>
          <w:szCs w:val="20"/>
        </w:rPr>
      </w:pPr>
      <w:r>
        <w:rPr>
          <w:b/>
          <w:sz w:val="20"/>
          <w:szCs w:val="20"/>
        </w:rPr>
        <w:t>JU</w:t>
      </w:r>
      <w:r w:rsidR="003359D3">
        <w:rPr>
          <w:b/>
          <w:sz w:val="20"/>
          <w:szCs w:val="20"/>
        </w:rPr>
        <w:t>L</w:t>
      </w:r>
      <w:r>
        <w:rPr>
          <w:b/>
          <w:sz w:val="20"/>
          <w:szCs w:val="20"/>
        </w:rPr>
        <w:t>Y</w:t>
      </w:r>
      <w:r w:rsidR="003359D3" w:rsidRPr="00C50A5C">
        <w:rPr>
          <w:b/>
          <w:sz w:val="20"/>
          <w:szCs w:val="20"/>
        </w:rPr>
        <w:t xml:space="preserve"> </w:t>
      </w:r>
      <w:r>
        <w:rPr>
          <w:b/>
          <w:sz w:val="20"/>
          <w:szCs w:val="20"/>
        </w:rPr>
        <w:t>4</w:t>
      </w:r>
      <w:r w:rsidR="003359D3" w:rsidRPr="00C50A5C">
        <w:rPr>
          <w:b/>
          <w:sz w:val="20"/>
          <w:szCs w:val="20"/>
        </w:rPr>
        <w:t>, 201</w:t>
      </w:r>
      <w:r w:rsidR="003359D3">
        <w:rPr>
          <w:b/>
          <w:sz w:val="20"/>
          <w:szCs w:val="20"/>
        </w:rPr>
        <w:t>1</w:t>
      </w:r>
      <w:r w:rsidR="003359D3" w:rsidRPr="00C50A5C">
        <w:rPr>
          <w:b/>
          <w:sz w:val="20"/>
          <w:szCs w:val="20"/>
        </w:rPr>
        <w:t xml:space="preserve"> / LE </w:t>
      </w:r>
      <w:r>
        <w:rPr>
          <w:b/>
          <w:sz w:val="20"/>
          <w:szCs w:val="20"/>
        </w:rPr>
        <w:t>4 JUI</w:t>
      </w:r>
      <w:r w:rsidR="003359D3">
        <w:rPr>
          <w:b/>
          <w:sz w:val="20"/>
          <w:szCs w:val="20"/>
        </w:rPr>
        <w:t>L</w:t>
      </w:r>
      <w:r>
        <w:rPr>
          <w:b/>
          <w:sz w:val="20"/>
          <w:szCs w:val="20"/>
        </w:rPr>
        <w:t>LET</w:t>
      </w:r>
      <w:r w:rsidR="003359D3" w:rsidRPr="00C50A5C">
        <w:rPr>
          <w:b/>
          <w:sz w:val="20"/>
          <w:szCs w:val="20"/>
        </w:rPr>
        <w:t xml:space="preserve"> 201</w:t>
      </w:r>
      <w:r w:rsidR="003359D3">
        <w:rPr>
          <w:b/>
          <w:sz w:val="20"/>
          <w:szCs w:val="20"/>
        </w:rPr>
        <w:t>1</w:t>
      </w:r>
    </w:p>
    <w:p w:rsidR="003359D3" w:rsidRPr="00C50A5C" w:rsidRDefault="003359D3" w:rsidP="003359D3">
      <w:pPr>
        <w:widowControl w:val="0"/>
        <w:rPr>
          <w:b/>
          <w:sz w:val="20"/>
          <w:szCs w:val="20"/>
        </w:rPr>
      </w:pPr>
    </w:p>
    <w:p w:rsidR="003359D3" w:rsidRPr="00C50A5C" w:rsidRDefault="003359D3" w:rsidP="003359D3">
      <w:pPr>
        <w:widowControl w:val="0"/>
        <w:jc w:val="center"/>
        <w:rPr>
          <w:b/>
          <w:sz w:val="20"/>
          <w:szCs w:val="20"/>
        </w:rPr>
      </w:pPr>
      <w:r w:rsidRPr="00C50A5C">
        <w:rPr>
          <w:b/>
          <w:sz w:val="20"/>
          <w:szCs w:val="20"/>
        </w:rPr>
        <w:t xml:space="preserve">CORAM:  Chief Justice McLachlin and </w:t>
      </w:r>
      <w:r>
        <w:rPr>
          <w:b/>
          <w:sz w:val="20"/>
          <w:szCs w:val="20"/>
        </w:rPr>
        <w:t>Deschamps</w:t>
      </w:r>
      <w:r w:rsidRPr="00C50A5C">
        <w:rPr>
          <w:b/>
          <w:sz w:val="20"/>
          <w:szCs w:val="20"/>
        </w:rPr>
        <w:t xml:space="preserve"> and C</w:t>
      </w:r>
      <w:r>
        <w:rPr>
          <w:b/>
          <w:sz w:val="20"/>
          <w:szCs w:val="20"/>
        </w:rPr>
        <w:t>har</w:t>
      </w:r>
      <w:r w:rsidRPr="00C50A5C">
        <w:rPr>
          <w:b/>
          <w:sz w:val="20"/>
          <w:szCs w:val="20"/>
        </w:rPr>
        <w:t>ro</w:t>
      </w:r>
      <w:r>
        <w:rPr>
          <w:b/>
          <w:sz w:val="20"/>
          <w:szCs w:val="20"/>
        </w:rPr>
        <w:t>n</w:t>
      </w:r>
      <w:r w:rsidRPr="00C50A5C">
        <w:rPr>
          <w:b/>
          <w:sz w:val="20"/>
          <w:szCs w:val="20"/>
        </w:rPr>
        <w:t xml:space="preserve"> JJ.</w:t>
      </w:r>
    </w:p>
    <w:p w:rsidR="003359D3" w:rsidRPr="00C50A5C" w:rsidRDefault="003359D3" w:rsidP="003359D3">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 C</w:t>
      </w:r>
      <w:r>
        <w:rPr>
          <w:b/>
          <w:sz w:val="20"/>
          <w:szCs w:val="20"/>
          <w:lang w:val="fr-CA"/>
        </w:rPr>
        <w:t>har</w:t>
      </w:r>
      <w:r w:rsidRPr="00C50A5C">
        <w:rPr>
          <w:b/>
          <w:sz w:val="20"/>
          <w:szCs w:val="20"/>
          <w:lang w:val="fr-CA"/>
        </w:rPr>
        <w:t>ro</w:t>
      </w:r>
      <w:r>
        <w:rPr>
          <w:b/>
          <w:sz w:val="20"/>
          <w:szCs w:val="20"/>
          <w:lang w:val="fr-CA"/>
        </w:rPr>
        <w:t>n</w:t>
      </w:r>
    </w:p>
    <w:p w:rsidR="003359D3" w:rsidRPr="00C50A5C" w:rsidRDefault="003359D3" w:rsidP="003359D3">
      <w:pPr>
        <w:widowControl w:val="0"/>
        <w:rPr>
          <w:sz w:val="20"/>
          <w:szCs w:val="20"/>
          <w:lang w:val="fr-CA"/>
        </w:rPr>
      </w:pPr>
    </w:p>
    <w:p w:rsidR="003359D3" w:rsidRPr="00C50A5C" w:rsidRDefault="00A23544" w:rsidP="003359D3">
      <w:pPr>
        <w:pStyle w:val="ListParagraph"/>
        <w:widowControl w:val="0"/>
        <w:numPr>
          <w:ilvl w:val="0"/>
          <w:numId w:val="1"/>
        </w:numPr>
        <w:ind w:hanging="720"/>
        <w:jc w:val="both"/>
        <w:rPr>
          <w:sz w:val="20"/>
          <w:szCs w:val="20"/>
        </w:rPr>
      </w:pPr>
      <w:r w:rsidRPr="00A23544">
        <w:rPr>
          <w:i/>
          <w:sz w:val="20"/>
          <w:szCs w:val="20"/>
        </w:rPr>
        <w:t xml:space="preserve">Carlos Albert </w:t>
      </w:r>
      <w:proofErr w:type="spellStart"/>
      <w:r w:rsidRPr="00A23544">
        <w:rPr>
          <w:i/>
          <w:sz w:val="20"/>
          <w:szCs w:val="20"/>
        </w:rPr>
        <w:t>Fragoso</w:t>
      </w:r>
      <w:proofErr w:type="spellEnd"/>
      <w:r w:rsidRPr="00A23544">
        <w:rPr>
          <w:i/>
          <w:sz w:val="20"/>
          <w:szCs w:val="20"/>
        </w:rPr>
        <w:t xml:space="preserve"> v. Her Majesty the Queen</w:t>
      </w:r>
      <w:r w:rsidRPr="00A23544">
        <w:rPr>
          <w:sz w:val="20"/>
          <w:szCs w:val="20"/>
        </w:rPr>
        <w:t xml:space="preserve"> (Ont.) </w:t>
      </w:r>
      <w:r w:rsidRPr="00A439A3">
        <w:rPr>
          <w:sz w:val="20"/>
          <w:szCs w:val="20"/>
          <w:lang w:val="fr-CA"/>
        </w:rPr>
        <w:t>(</w:t>
      </w:r>
      <w:proofErr w:type="spellStart"/>
      <w:r w:rsidRPr="00A439A3">
        <w:rPr>
          <w:sz w:val="20"/>
          <w:szCs w:val="20"/>
          <w:lang w:val="fr-CA"/>
        </w:rPr>
        <w:t>Crim</w:t>
      </w:r>
      <w:proofErr w:type="spellEnd"/>
      <w:r w:rsidRPr="00A439A3">
        <w:rPr>
          <w:sz w:val="20"/>
          <w:szCs w:val="20"/>
          <w:lang w:val="fr-CA"/>
        </w:rPr>
        <w:t xml:space="preserve">.) </w:t>
      </w:r>
      <w:r w:rsidRPr="00A439A3">
        <w:rPr>
          <w:sz w:val="20"/>
          <w:szCs w:val="20"/>
        </w:rPr>
        <w:t>(By Leave)</w:t>
      </w:r>
      <w:r w:rsidRPr="00C50A5C">
        <w:rPr>
          <w:sz w:val="20"/>
          <w:szCs w:val="20"/>
        </w:rPr>
        <w:t xml:space="preserve"> </w:t>
      </w:r>
      <w:r w:rsidR="003359D3" w:rsidRPr="00C50A5C">
        <w:rPr>
          <w:sz w:val="20"/>
          <w:szCs w:val="20"/>
        </w:rPr>
        <w:t>(3</w:t>
      </w:r>
      <w:r w:rsidR="003359D3">
        <w:rPr>
          <w:sz w:val="20"/>
          <w:szCs w:val="20"/>
        </w:rPr>
        <w:t>42</w:t>
      </w:r>
      <w:r>
        <w:rPr>
          <w:sz w:val="20"/>
          <w:szCs w:val="20"/>
        </w:rPr>
        <w:t>55</w:t>
      </w:r>
      <w:r w:rsidR="003359D3" w:rsidRPr="00C50A5C">
        <w:rPr>
          <w:sz w:val="20"/>
          <w:szCs w:val="20"/>
        </w:rPr>
        <w:t>)</w:t>
      </w:r>
    </w:p>
    <w:p w:rsidR="003359D3" w:rsidRPr="00C50A5C" w:rsidRDefault="003359D3" w:rsidP="003359D3">
      <w:pPr>
        <w:widowControl w:val="0"/>
        <w:jc w:val="both"/>
        <w:rPr>
          <w:sz w:val="20"/>
          <w:szCs w:val="20"/>
        </w:rPr>
      </w:pPr>
    </w:p>
    <w:p w:rsidR="003359D3" w:rsidRPr="000D3B6E" w:rsidRDefault="00A439A3" w:rsidP="003359D3">
      <w:pPr>
        <w:pStyle w:val="ListParagraph"/>
        <w:widowControl w:val="0"/>
        <w:numPr>
          <w:ilvl w:val="0"/>
          <w:numId w:val="1"/>
        </w:numPr>
        <w:ind w:hanging="720"/>
        <w:jc w:val="both"/>
        <w:rPr>
          <w:sz w:val="20"/>
          <w:szCs w:val="20"/>
          <w:lang w:val="fr-CA"/>
        </w:rPr>
      </w:pPr>
      <w:r w:rsidRPr="00A23544">
        <w:rPr>
          <w:i/>
          <w:sz w:val="20"/>
          <w:szCs w:val="20"/>
        </w:rPr>
        <w:t xml:space="preserve">Her Majesty the Queen in Right of the Province of British Columbia </w:t>
      </w:r>
      <w:r w:rsidR="00A23544" w:rsidRPr="00A23544">
        <w:rPr>
          <w:i/>
          <w:sz w:val="20"/>
          <w:szCs w:val="20"/>
        </w:rPr>
        <w:t>v. River Wind Ventures Ltd.</w:t>
      </w:r>
      <w:r w:rsidR="00A23544" w:rsidRPr="00A439A3">
        <w:rPr>
          <w:sz w:val="20"/>
          <w:szCs w:val="20"/>
        </w:rPr>
        <w:t xml:space="preserve"> </w:t>
      </w:r>
      <w:r w:rsidRPr="00A439A3">
        <w:rPr>
          <w:sz w:val="20"/>
          <w:szCs w:val="20"/>
        </w:rPr>
        <w:t>(B.C.) (Civil) (By Leave)</w:t>
      </w:r>
      <w:r>
        <w:rPr>
          <w:sz w:val="20"/>
          <w:szCs w:val="20"/>
          <w:lang w:val="fr-CA"/>
        </w:rPr>
        <w:t xml:space="preserve"> </w:t>
      </w:r>
      <w:r w:rsidR="00177474">
        <w:rPr>
          <w:sz w:val="20"/>
          <w:szCs w:val="20"/>
          <w:lang w:val="fr-CA"/>
        </w:rPr>
        <w:t>(34</w:t>
      </w:r>
      <w:r w:rsidR="00A23544">
        <w:rPr>
          <w:sz w:val="20"/>
          <w:szCs w:val="20"/>
          <w:lang w:val="fr-CA"/>
        </w:rPr>
        <w:t>212</w:t>
      </w:r>
      <w:r w:rsidR="00177474">
        <w:rPr>
          <w:sz w:val="20"/>
          <w:szCs w:val="20"/>
          <w:lang w:val="fr-CA"/>
        </w:rPr>
        <w:t>)</w:t>
      </w:r>
    </w:p>
    <w:p w:rsidR="003359D3" w:rsidRDefault="003359D3" w:rsidP="003359D3">
      <w:pPr>
        <w:widowControl w:val="0"/>
        <w:jc w:val="both"/>
        <w:rPr>
          <w:sz w:val="20"/>
          <w:szCs w:val="20"/>
          <w:lang w:val="fr-CA"/>
        </w:rPr>
      </w:pPr>
    </w:p>
    <w:p w:rsidR="00A439A3" w:rsidRDefault="00A439A3" w:rsidP="003359D3">
      <w:pPr>
        <w:widowControl w:val="0"/>
        <w:jc w:val="both"/>
        <w:rPr>
          <w:sz w:val="20"/>
          <w:szCs w:val="20"/>
          <w:lang w:val="fr-CA"/>
        </w:rPr>
      </w:pPr>
    </w:p>
    <w:p w:rsidR="00A439A3" w:rsidRPr="00C50A5C" w:rsidRDefault="00A439A3" w:rsidP="00A439A3">
      <w:pPr>
        <w:widowControl w:val="0"/>
        <w:jc w:val="center"/>
        <w:rPr>
          <w:b/>
          <w:sz w:val="20"/>
          <w:szCs w:val="20"/>
        </w:rPr>
      </w:pPr>
      <w:r w:rsidRPr="00C50A5C">
        <w:rPr>
          <w:b/>
          <w:sz w:val="20"/>
          <w:szCs w:val="20"/>
        </w:rPr>
        <w:t xml:space="preserve">CORAM: </w:t>
      </w:r>
      <w:proofErr w:type="spellStart"/>
      <w:r w:rsidRPr="00C50A5C">
        <w:rPr>
          <w:b/>
          <w:sz w:val="20"/>
          <w:szCs w:val="20"/>
        </w:rPr>
        <w:t>Binnie</w:t>
      </w:r>
      <w:proofErr w:type="spellEnd"/>
      <w:r w:rsidRPr="00C50A5C">
        <w:rPr>
          <w:b/>
          <w:sz w:val="20"/>
          <w:szCs w:val="20"/>
        </w:rPr>
        <w:t xml:space="preserve">, </w:t>
      </w:r>
      <w:proofErr w:type="spellStart"/>
      <w:r>
        <w:rPr>
          <w:b/>
          <w:sz w:val="20"/>
          <w:szCs w:val="20"/>
        </w:rPr>
        <w:t>Abella</w:t>
      </w:r>
      <w:proofErr w:type="spellEnd"/>
      <w:r w:rsidRPr="00C50A5C">
        <w:rPr>
          <w:b/>
          <w:sz w:val="20"/>
          <w:szCs w:val="20"/>
        </w:rPr>
        <w:t xml:space="preserve"> and Rothstein JJ.</w:t>
      </w:r>
    </w:p>
    <w:p w:rsidR="00A439A3" w:rsidRPr="00C50A5C" w:rsidRDefault="00A439A3" w:rsidP="00A439A3">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Binnie</w:t>
      </w:r>
      <w:proofErr w:type="spellEnd"/>
      <w:r w:rsidRPr="00C50A5C">
        <w:rPr>
          <w:b/>
          <w:sz w:val="20"/>
          <w:szCs w:val="20"/>
          <w:lang w:val="fr-CA"/>
        </w:rPr>
        <w:t xml:space="preserve">, </w:t>
      </w:r>
      <w:r>
        <w:rPr>
          <w:b/>
          <w:sz w:val="20"/>
          <w:szCs w:val="20"/>
          <w:lang w:val="fr-CA"/>
        </w:rPr>
        <w:t>Abella</w:t>
      </w:r>
      <w:r w:rsidRPr="00C50A5C">
        <w:rPr>
          <w:b/>
          <w:sz w:val="20"/>
          <w:szCs w:val="20"/>
          <w:lang w:val="fr-CA"/>
        </w:rPr>
        <w:t xml:space="preserve"> et </w:t>
      </w:r>
      <w:proofErr w:type="spellStart"/>
      <w:r w:rsidRPr="00C50A5C">
        <w:rPr>
          <w:b/>
          <w:sz w:val="20"/>
          <w:szCs w:val="20"/>
          <w:lang w:val="fr-CA"/>
        </w:rPr>
        <w:t>Rothstein</w:t>
      </w:r>
      <w:proofErr w:type="spellEnd"/>
    </w:p>
    <w:p w:rsidR="00A439A3" w:rsidRPr="000D3B6E" w:rsidRDefault="00A439A3" w:rsidP="003359D3">
      <w:pPr>
        <w:widowControl w:val="0"/>
        <w:jc w:val="both"/>
        <w:rPr>
          <w:sz w:val="20"/>
          <w:szCs w:val="20"/>
          <w:lang w:val="fr-CA"/>
        </w:rPr>
      </w:pPr>
    </w:p>
    <w:p w:rsidR="003359D3" w:rsidRPr="00C50A5C" w:rsidRDefault="00A23544" w:rsidP="003359D3">
      <w:pPr>
        <w:pStyle w:val="ListParagraph"/>
        <w:widowControl w:val="0"/>
        <w:numPr>
          <w:ilvl w:val="0"/>
          <w:numId w:val="1"/>
        </w:numPr>
        <w:ind w:hanging="720"/>
        <w:jc w:val="both"/>
        <w:rPr>
          <w:sz w:val="20"/>
          <w:szCs w:val="20"/>
        </w:rPr>
      </w:pPr>
      <w:r w:rsidRPr="00A23544">
        <w:rPr>
          <w:i/>
          <w:sz w:val="20"/>
          <w:szCs w:val="20"/>
        </w:rPr>
        <w:t xml:space="preserve">Cobalt Pharmaceuticals Inc. v. </w:t>
      </w:r>
      <w:proofErr w:type="spellStart"/>
      <w:r w:rsidRPr="00A23544">
        <w:rPr>
          <w:i/>
          <w:sz w:val="20"/>
          <w:szCs w:val="20"/>
        </w:rPr>
        <w:t>Lundbeck</w:t>
      </w:r>
      <w:proofErr w:type="spellEnd"/>
      <w:r w:rsidRPr="00A23544">
        <w:rPr>
          <w:i/>
          <w:sz w:val="20"/>
          <w:szCs w:val="20"/>
        </w:rPr>
        <w:t xml:space="preserve"> Canada Inc. et al. </w:t>
      </w:r>
      <w:r w:rsidRPr="00A439A3">
        <w:rPr>
          <w:sz w:val="20"/>
          <w:szCs w:val="20"/>
        </w:rPr>
        <w:t>(F</w:t>
      </w:r>
      <w:r>
        <w:rPr>
          <w:sz w:val="20"/>
          <w:szCs w:val="20"/>
        </w:rPr>
        <w:t>.</w:t>
      </w:r>
      <w:r w:rsidRPr="00A439A3">
        <w:rPr>
          <w:sz w:val="20"/>
          <w:szCs w:val="20"/>
        </w:rPr>
        <w:t>C</w:t>
      </w:r>
      <w:r>
        <w:rPr>
          <w:sz w:val="20"/>
          <w:szCs w:val="20"/>
        </w:rPr>
        <w:t>.</w:t>
      </w:r>
      <w:r w:rsidRPr="00A439A3">
        <w:rPr>
          <w:sz w:val="20"/>
          <w:szCs w:val="20"/>
        </w:rPr>
        <w:t>) (Civil) (By Leave)</w:t>
      </w:r>
      <w:r>
        <w:rPr>
          <w:sz w:val="20"/>
          <w:szCs w:val="20"/>
        </w:rPr>
        <w:t xml:space="preserve"> </w:t>
      </w:r>
      <w:r w:rsidR="00177474">
        <w:rPr>
          <w:sz w:val="20"/>
          <w:szCs w:val="20"/>
        </w:rPr>
        <w:t>(340</w:t>
      </w:r>
      <w:r>
        <w:rPr>
          <w:sz w:val="20"/>
          <w:szCs w:val="20"/>
        </w:rPr>
        <w:t>66</w:t>
      </w:r>
      <w:r w:rsidR="00177474">
        <w:rPr>
          <w:sz w:val="20"/>
          <w:szCs w:val="20"/>
        </w:rPr>
        <w:t>)</w:t>
      </w:r>
    </w:p>
    <w:p w:rsidR="003359D3" w:rsidRPr="00C50A5C" w:rsidRDefault="003359D3" w:rsidP="003359D3">
      <w:pPr>
        <w:widowControl w:val="0"/>
        <w:rPr>
          <w:sz w:val="20"/>
          <w:szCs w:val="20"/>
        </w:rPr>
      </w:pPr>
    </w:p>
    <w:p w:rsidR="003359D3" w:rsidRPr="00C50A5C" w:rsidRDefault="00A23544" w:rsidP="003359D3">
      <w:pPr>
        <w:pStyle w:val="ListParagraph"/>
        <w:widowControl w:val="0"/>
        <w:numPr>
          <w:ilvl w:val="0"/>
          <w:numId w:val="1"/>
        </w:numPr>
        <w:ind w:hanging="720"/>
        <w:jc w:val="both"/>
        <w:rPr>
          <w:sz w:val="20"/>
          <w:szCs w:val="20"/>
        </w:rPr>
      </w:pPr>
      <w:proofErr w:type="spellStart"/>
      <w:r w:rsidRPr="00A23544">
        <w:rPr>
          <w:i/>
          <w:sz w:val="20"/>
          <w:szCs w:val="20"/>
        </w:rPr>
        <w:t>Apotex</w:t>
      </w:r>
      <w:proofErr w:type="spellEnd"/>
      <w:r w:rsidRPr="00A23544">
        <w:rPr>
          <w:i/>
          <w:sz w:val="20"/>
          <w:szCs w:val="20"/>
        </w:rPr>
        <w:t xml:space="preserve"> Inc. v. </w:t>
      </w:r>
      <w:proofErr w:type="spellStart"/>
      <w:r w:rsidRPr="00A23544">
        <w:rPr>
          <w:i/>
          <w:sz w:val="20"/>
          <w:szCs w:val="20"/>
        </w:rPr>
        <w:t>Lundbeck</w:t>
      </w:r>
      <w:proofErr w:type="spellEnd"/>
      <w:r w:rsidRPr="00A23544">
        <w:rPr>
          <w:i/>
          <w:sz w:val="20"/>
          <w:szCs w:val="20"/>
        </w:rPr>
        <w:t xml:space="preserve"> Canada Inc. et al.</w:t>
      </w:r>
      <w:r w:rsidRPr="00A439A3">
        <w:rPr>
          <w:sz w:val="20"/>
          <w:szCs w:val="20"/>
        </w:rPr>
        <w:t xml:space="preserve"> (F</w:t>
      </w:r>
      <w:r>
        <w:rPr>
          <w:sz w:val="20"/>
          <w:szCs w:val="20"/>
        </w:rPr>
        <w:t>.</w:t>
      </w:r>
      <w:r w:rsidRPr="00A439A3">
        <w:rPr>
          <w:sz w:val="20"/>
          <w:szCs w:val="20"/>
        </w:rPr>
        <w:t>C</w:t>
      </w:r>
      <w:r>
        <w:rPr>
          <w:sz w:val="20"/>
          <w:szCs w:val="20"/>
        </w:rPr>
        <w:t>.</w:t>
      </w:r>
      <w:r w:rsidRPr="00A439A3">
        <w:rPr>
          <w:sz w:val="20"/>
          <w:szCs w:val="20"/>
        </w:rPr>
        <w:t>) (Civil) (By Leave)</w:t>
      </w:r>
      <w:r w:rsidRPr="00C50A5C">
        <w:rPr>
          <w:sz w:val="20"/>
          <w:szCs w:val="20"/>
        </w:rPr>
        <w:t xml:space="preserve"> </w:t>
      </w:r>
      <w:r w:rsidR="003359D3" w:rsidRPr="00C50A5C">
        <w:rPr>
          <w:sz w:val="20"/>
          <w:szCs w:val="20"/>
        </w:rPr>
        <w:t>(3</w:t>
      </w:r>
      <w:r w:rsidR="003359D3">
        <w:rPr>
          <w:sz w:val="20"/>
          <w:szCs w:val="20"/>
        </w:rPr>
        <w:t>40</w:t>
      </w:r>
      <w:r>
        <w:rPr>
          <w:sz w:val="20"/>
          <w:szCs w:val="20"/>
        </w:rPr>
        <w:t>67</w:t>
      </w:r>
      <w:r w:rsidR="003359D3" w:rsidRPr="00C50A5C">
        <w:rPr>
          <w:sz w:val="20"/>
          <w:szCs w:val="20"/>
        </w:rPr>
        <w:t>)</w:t>
      </w:r>
    </w:p>
    <w:p w:rsidR="003359D3" w:rsidRPr="00A23544" w:rsidRDefault="003359D3" w:rsidP="003359D3">
      <w:pPr>
        <w:widowControl w:val="0"/>
        <w:jc w:val="both"/>
        <w:rPr>
          <w:sz w:val="20"/>
          <w:szCs w:val="20"/>
        </w:rPr>
      </w:pPr>
    </w:p>
    <w:p w:rsidR="003359D3" w:rsidRPr="00C50A5C" w:rsidRDefault="00A23544" w:rsidP="003359D3">
      <w:pPr>
        <w:pStyle w:val="ListParagraph"/>
        <w:widowControl w:val="0"/>
        <w:numPr>
          <w:ilvl w:val="0"/>
          <w:numId w:val="1"/>
        </w:numPr>
        <w:ind w:hanging="720"/>
        <w:jc w:val="both"/>
        <w:rPr>
          <w:sz w:val="20"/>
          <w:szCs w:val="20"/>
        </w:rPr>
      </w:pPr>
      <w:proofErr w:type="spellStart"/>
      <w:r w:rsidRPr="00A23544">
        <w:rPr>
          <w:i/>
          <w:sz w:val="20"/>
          <w:szCs w:val="20"/>
        </w:rPr>
        <w:t>Mylan</w:t>
      </w:r>
      <w:proofErr w:type="spellEnd"/>
      <w:r w:rsidRPr="00A23544">
        <w:rPr>
          <w:i/>
          <w:sz w:val="20"/>
          <w:szCs w:val="20"/>
        </w:rPr>
        <w:t xml:space="preserve"> Pharmaceuticals ULC (formerly </w:t>
      </w:r>
      <w:proofErr w:type="spellStart"/>
      <w:r w:rsidRPr="00A23544">
        <w:rPr>
          <w:i/>
          <w:sz w:val="20"/>
          <w:szCs w:val="20"/>
        </w:rPr>
        <w:t>Genpharm</w:t>
      </w:r>
      <w:proofErr w:type="spellEnd"/>
      <w:r w:rsidRPr="00A23544">
        <w:rPr>
          <w:i/>
          <w:sz w:val="20"/>
          <w:szCs w:val="20"/>
        </w:rPr>
        <w:t xml:space="preserve"> ULC) v. </w:t>
      </w:r>
      <w:proofErr w:type="spellStart"/>
      <w:r w:rsidRPr="00A23544">
        <w:rPr>
          <w:i/>
          <w:sz w:val="20"/>
          <w:szCs w:val="20"/>
        </w:rPr>
        <w:t>Lundbeck</w:t>
      </w:r>
      <w:proofErr w:type="spellEnd"/>
      <w:r w:rsidRPr="00A23544">
        <w:rPr>
          <w:i/>
          <w:sz w:val="20"/>
          <w:szCs w:val="20"/>
        </w:rPr>
        <w:t xml:space="preserve"> Canada Inc. et al.</w:t>
      </w:r>
      <w:r w:rsidRPr="00A439A3">
        <w:rPr>
          <w:sz w:val="20"/>
          <w:szCs w:val="20"/>
        </w:rPr>
        <w:t xml:space="preserve"> (F</w:t>
      </w:r>
      <w:r>
        <w:rPr>
          <w:sz w:val="20"/>
          <w:szCs w:val="20"/>
        </w:rPr>
        <w:t>.</w:t>
      </w:r>
      <w:r w:rsidRPr="00A439A3">
        <w:rPr>
          <w:sz w:val="20"/>
          <w:szCs w:val="20"/>
        </w:rPr>
        <w:t>C</w:t>
      </w:r>
      <w:r>
        <w:rPr>
          <w:sz w:val="20"/>
          <w:szCs w:val="20"/>
        </w:rPr>
        <w:t>.</w:t>
      </w:r>
      <w:r w:rsidRPr="00A439A3">
        <w:rPr>
          <w:sz w:val="20"/>
          <w:szCs w:val="20"/>
        </w:rPr>
        <w:t>) (Civil) (By Leave)</w:t>
      </w:r>
      <w:r w:rsidRPr="00C50A5C">
        <w:rPr>
          <w:sz w:val="20"/>
          <w:szCs w:val="20"/>
        </w:rPr>
        <w:t xml:space="preserve"> </w:t>
      </w:r>
      <w:r w:rsidR="003359D3" w:rsidRPr="00C50A5C">
        <w:rPr>
          <w:sz w:val="20"/>
          <w:szCs w:val="20"/>
        </w:rPr>
        <w:t>(34</w:t>
      </w:r>
      <w:r w:rsidR="003359D3">
        <w:rPr>
          <w:sz w:val="20"/>
          <w:szCs w:val="20"/>
        </w:rPr>
        <w:t>0</w:t>
      </w:r>
      <w:r>
        <w:rPr>
          <w:sz w:val="20"/>
          <w:szCs w:val="20"/>
        </w:rPr>
        <w:t>68</w:t>
      </w:r>
      <w:r w:rsidR="003359D3" w:rsidRPr="00C50A5C">
        <w:rPr>
          <w:sz w:val="20"/>
          <w:szCs w:val="20"/>
        </w:rPr>
        <w:t>)</w:t>
      </w:r>
    </w:p>
    <w:p w:rsidR="003359D3" w:rsidRDefault="003359D3" w:rsidP="003359D3">
      <w:pPr>
        <w:widowControl w:val="0"/>
        <w:rPr>
          <w:sz w:val="20"/>
          <w:szCs w:val="20"/>
        </w:rPr>
      </w:pPr>
    </w:p>
    <w:p w:rsidR="00A439A3" w:rsidRDefault="00A439A3" w:rsidP="003359D3">
      <w:pPr>
        <w:widowControl w:val="0"/>
        <w:rPr>
          <w:sz w:val="20"/>
          <w:szCs w:val="20"/>
        </w:rPr>
      </w:pPr>
    </w:p>
    <w:p w:rsidR="00A439A3" w:rsidRPr="00C50A5C" w:rsidRDefault="00A439A3" w:rsidP="00A439A3">
      <w:pPr>
        <w:widowControl w:val="0"/>
        <w:jc w:val="center"/>
        <w:rPr>
          <w:b/>
          <w:sz w:val="20"/>
          <w:szCs w:val="20"/>
        </w:rPr>
      </w:pPr>
      <w:r w:rsidRPr="00C50A5C">
        <w:rPr>
          <w:b/>
          <w:sz w:val="20"/>
          <w:szCs w:val="20"/>
        </w:rPr>
        <w:t xml:space="preserve">CORAM: </w:t>
      </w:r>
      <w:proofErr w:type="spellStart"/>
      <w:r w:rsidRPr="00C50A5C">
        <w:rPr>
          <w:b/>
          <w:sz w:val="20"/>
          <w:szCs w:val="20"/>
        </w:rPr>
        <w:t>LeBel</w:t>
      </w:r>
      <w:proofErr w:type="spellEnd"/>
      <w:r w:rsidRPr="00C50A5C">
        <w:rPr>
          <w:b/>
          <w:sz w:val="20"/>
          <w:szCs w:val="20"/>
        </w:rPr>
        <w:t xml:space="preserve">,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A439A3" w:rsidRPr="00C50A5C" w:rsidRDefault="00A439A3" w:rsidP="00A439A3">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LeBel</w:t>
      </w:r>
      <w:proofErr w:type="spellEnd"/>
      <w:r w:rsidRPr="00C50A5C">
        <w:rPr>
          <w:b/>
          <w:sz w:val="20"/>
          <w:szCs w:val="20"/>
          <w:lang w:val="fr-CA"/>
        </w:rPr>
        <w:t xml:space="preserve">, </w:t>
      </w:r>
      <w:r>
        <w:rPr>
          <w:b/>
          <w:sz w:val="20"/>
          <w:szCs w:val="20"/>
          <w:lang w:val="fr-CA"/>
        </w:rPr>
        <w:t>Fish</w:t>
      </w:r>
      <w:r w:rsidRPr="00C50A5C">
        <w:rPr>
          <w:b/>
          <w:sz w:val="20"/>
          <w:szCs w:val="20"/>
          <w:lang w:val="fr-CA"/>
        </w:rPr>
        <w:t xml:space="preserve"> et Cro</w:t>
      </w:r>
      <w:r>
        <w:rPr>
          <w:b/>
          <w:sz w:val="20"/>
          <w:szCs w:val="20"/>
          <w:lang w:val="fr-CA"/>
        </w:rPr>
        <w:t>mwell</w:t>
      </w:r>
    </w:p>
    <w:p w:rsidR="00A439A3" w:rsidRPr="00A439A3" w:rsidRDefault="00A439A3" w:rsidP="003359D3">
      <w:pPr>
        <w:widowControl w:val="0"/>
        <w:rPr>
          <w:sz w:val="20"/>
          <w:szCs w:val="20"/>
          <w:lang w:val="fr-CA"/>
        </w:rPr>
      </w:pPr>
    </w:p>
    <w:p w:rsidR="003359D3" w:rsidRPr="00A23544" w:rsidRDefault="00A23544" w:rsidP="003359D3">
      <w:pPr>
        <w:pStyle w:val="ListParagraph"/>
        <w:widowControl w:val="0"/>
        <w:numPr>
          <w:ilvl w:val="0"/>
          <w:numId w:val="1"/>
        </w:numPr>
        <w:ind w:hanging="720"/>
        <w:jc w:val="both"/>
        <w:rPr>
          <w:sz w:val="20"/>
          <w:szCs w:val="20"/>
          <w:lang w:val="fr-CA"/>
        </w:rPr>
      </w:pPr>
      <w:r w:rsidRPr="00A23544">
        <w:rPr>
          <w:i/>
          <w:sz w:val="20"/>
          <w:szCs w:val="20"/>
          <w:lang w:val="fr-CA"/>
        </w:rPr>
        <w:t xml:space="preserve">Syndicat des employés d'entretien de la société de transport de la Rive-Sud de Montréal </w:t>
      </w:r>
      <w:r w:rsidR="003C5612" w:rsidRPr="00A439A3">
        <w:rPr>
          <w:sz w:val="20"/>
          <w:szCs w:val="20"/>
          <w:lang w:val="fr-CA"/>
        </w:rPr>
        <w:t>(CSN)</w:t>
      </w:r>
      <w:r w:rsidR="003C5612">
        <w:rPr>
          <w:sz w:val="20"/>
          <w:szCs w:val="20"/>
          <w:lang w:val="fr-CA"/>
        </w:rPr>
        <w:t xml:space="preserve"> </w:t>
      </w:r>
      <w:r w:rsidRPr="00A23544">
        <w:rPr>
          <w:i/>
          <w:sz w:val="20"/>
          <w:szCs w:val="20"/>
          <w:lang w:val="fr-CA"/>
        </w:rPr>
        <w:t>c. Réseau de transport de Longueuil</w:t>
      </w:r>
      <w:r w:rsidRPr="00A439A3">
        <w:rPr>
          <w:sz w:val="20"/>
          <w:szCs w:val="20"/>
          <w:lang w:val="fr-CA"/>
        </w:rPr>
        <w:t xml:space="preserve"> (</w:t>
      </w:r>
      <w:proofErr w:type="spellStart"/>
      <w:r w:rsidRPr="00A439A3">
        <w:rPr>
          <w:sz w:val="20"/>
          <w:szCs w:val="20"/>
          <w:lang w:val="fr-CA"/>
        </w:rPr>
        <w:t>Qc</w:t>
      </w:r>
      <w:proofErr w:type="spellEnd"/>
      <w:r w:rsidRPr="00A439A3">
        <w:rPr>
          <w:sz w:val="20"/>
          <w:szCs w:val="20"/>
          <w:lang w:val="fr-CA"/>
        </w:rPr>
        <w:t>) (Civile) (Autorisation)</w:t>
      </w:r>
      <w:r w:rsidRPr="00A23544">
        <w:rPr>
          <w:sz w:val="20"/>
          <w:szCs w:val="20"/>
          <w:lang w:val="fr-CA"/>
        </w:rPr>
        <w:t xml:space="preserve"> </w:t>
      </w:r>
      <w:r w:rsidR="003359D3" w:rsidRPr="00A23544">
        <w:rPr>
          <w:sz w:val="20"/>
          <w:szCs w:val="20"/>
          <w:lang w:val="fr-CA"/>
        </w:rPr>
        <w:t>(34</w:t>
      </w:r>
      <w:r w:rsidRPr="00A23544">
        <w:rPr>
          <w:sz w:val="20"/>
          <w:szCs w:val="20"/>
          <w:lang w:val="fr-CA"/>
        </w:rPr>
        <w:t>1</w:t>
      </w:r>
      <w:r w:rsidR="003359D3" w:rsidRPr="00A23544">
        <w:rPr>
          <w:sz w:val="20"/>
          <w:szCs w:val="20"/>
          <w:lang w:val="fr-CA"/>
        </w:rPr>
        <w:t>6</w:t>
      </w:r>
      <w:r w:rsidRPr="00A23544">
        <w:rPr>
          <w:sz w:val="20"/>
          <w:szCs w:val="20"/>
          <w:lang w:val="fr-CA"/>
        </w:rPr>
        <w:t>8</w:t>
      </w:r>
      <w:r w:rsidR="003359D3" w:rsidRPr="00A23544">
        <w:rPr>
          <w:sz w:val="20"/>
          <w:szCs w:val="20"/>
          <w:lang w:val="fr-CA"/>
        </w:rPr>
        <w:t>)</w:t>
      </w:r>
    </w:p>
    <w:p w:rsidR="00A439A3" w:rsidRDefault="00A439A3" w:rsidP="002E2327">
      <w:pPr>
        <w:widowControl w:val="0"/>
        <w:rPr>
          <w:sz w:val="20"/>
          <w:szCs w:val="20"/>
          <w:lang w:val="fr-CA"/>
        </w:rPr>
      </w:pPr>
    </w:p>
    <w:p w:rsidR="002E2327" w:rsidRPr="00C50A5C" w:rsidRDefault="009E364E" w:rsidP="002E2327">
      <w:pPr>
        <w:widowControl w:val="0"/>
        <w:rPr>
          <w:sz w:val="20"/>
          <w:szCs w:val="20"/>
        </w:rPr>
      </w:pPr>
      <w:r w:rsidRPr="009E364E">
        <w:rPr>
          <w:sz w:val="20"/>
          <w:szCs w:val="20"/>
        </w:rPr>
        <w:pict>
          <v:rect id="_x0000_i1035"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0536FB"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177474" w:rsidP="008D292F">
      <w:pPr>
        <w:rPr>
          <w:b/>
          <w:sz w:val="20"/>
          <w:szCs w:val="20"/>
        </w:rPr>
      </w:pPr>
      <w:r>
        <w:rPr>
          <w:b/>
          <w:sz w:val="20"/>
          <w:szCs w:val="20"/>
        </w:rPr>
        <w:t>JU</w:t>
      </w:r>
      <w:r w:rsidR="008D292F" w:rsidRPr="00C50A5C">
        <w:rPr>
          <w:b/>
          <w:sz w:val="20"/>
          <w:szCs w:val="20"/>
        </w:rPr>
        <w:t>L</w:t>
      </w:r>
      <w:r>
        <w:rPr>
          <w:b/>
          <w:sz w:val="20"/>
          <w:szCs w:val="20"/>
        </w:rPr>
        <w:t>Y</w:t>
      </w:r>
      <w:r w:rsidR="008D292F" w:rsidRPr="00C50A5C">
        <w:rPr>
          <w:b/>
          <w:sz w:val="20"/>
          <w:szCs w:val="20"/>
        </w:rPr>
        <w:t xml:space="preserve"> </w:t>
      </w:r>
      <w:r>
        <w:rPr>
          <w:b/>
          <w:sz w:val="20"/>
          <w:szCs w:val="20"/>
        </w:rPr>
        <w:t>7</w:t>
      </w:r>
      <w:r w:rsidR="008D292F" w:rsidRPr="00C50A5C">
        <w:rPr>
          <w:b/>
          <w:sz w:val="20"/>
          <w:szCs w:val="20"/>
        </w:rPr>
        <w:t>, 201</w:t>
      </w:r>
      <w:r>
        <w:rPr>
          <w:b/>
          <w:sz w:val="20"/>
          <w:szCs w:val="20"/>
        </w:rPr>
        <w:t>1</w:t>
      </w:r>
      <w:r w:rsidR="008D292F" w:rsidRPr="00C50A5C">
        <w:rPr>
          <w:b/>
          <w:sz w:val="20"/>
          <w:szCs w:val="20"/>
        </w:rPr>
        <w:t xml:space="preserve"> / LE </w:t>
      </w:r>
      <w:r>
        <w:rPr>
          <w:b/>
          <w:sz w:val="20"/>
          <w:szCs w:val="20"/>
        </w:rPr>
        <w:t>7 JUILLET</w:t>
      </w:r>
      <w:r w:rsidR="008D292F" w:rsidRPr="00C50A5C">
        <w:rPr>
          <w:b/>
          <w:sz w:val="20"/>
          <w:szCs w:val="20"/>
        </w:rPr>
        <w:t xml:space="preserve"> 201</w:t>
      </w:r>
      <w:r>
        <w:rPr>
          <w:b/>
          <w:sz w:val="20"/>
          <w:szCs w:val="20"/>
        </w:rPr>
        <w:t>1</w:t>
      </w:r>
    </w:p>
    <w:p w:rsidR="008D292F" w:rsidRDefault="008D292F" w:rsidP="008D292F">
      <w:pPr>
        <w:rPr>
          <w:sz w:val="20"/>
          <w:szCs w:val="20"/>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D7417" w:rsidRPr="009D7417" w:rsidTr="00E06292">
        <w:trPr>
          <w:cantSplit/>
        </w:trPr>
        <w:tc>
          <w:tcPr>
            <w:tcW w:w="1458" w:type="dxa"/>
          </w:tcPr>
          <w:p w:rsidR="009D7417" w:rsidRPr="009D7417" w:rsidRDefault="009D7417" w:rsidP="009D7417">
            <w:pPr>
              <w:rPr>
                <w:rFonts w:cs="Times New Roman"/>
                <w:sz w:val="20"/>
                <w:szCs w:val="20"/>
              </w:rPr>
            </w:pPr>
            <w:r w:rsidRPr="009D7417">
              <w:rPr>
                <w:rFonts w:cs="Times New Roman"/>
                <w:b/>
                <w:sz w:val="20"/>
                <w:lang w:val="fr-CA"/>
              </w:rPr>
              <w:t>34062</w:t>
            </w:r>
          </w:p>
          <w:p w:rsidR="009D7417" w:rsidRPr="009D7417" w:rsidRDefault="009D7417" w:rsidP="009D7417">
            <w:pPr>
              <w:rPr>
                <w:rFonts w:cs="Times New Roman"/>
                <w:b/>
                <w:sz w:val="20"/>
                <w:szCs w:val="20"/>
                <w:lang w:val="fr-CA"/>
              </w:rPr>
            </w:pPr>
          </w:p>
        </w:tc>
        <w:tc>
          <w:tcPr>
            <w:tcW w:w="8118" w:type="dxa"/>
          </w:tcPr>
          <w:p w:rsidR="009D7417" w:rsidRPr="009D7417" w:rsidRDefault="00675A20" w:rsidP="009D7417">
            <w:pPr>
              <w:rPr>
                <w:rFonts w:cs="Times New Roman"/>
                <w:sz w:val="20"/>
                <w:szCs w:val="20"/>
              </w:rPr>
            </w:pPr>
            <w:r>
              <w:rPr>
                <w:rFonts w:cs="Times New Roman"/>
                <w:b/>
                <w:sz w:val="20"/>
                <w:u w:val="single"/>
              </w:rPr>
              <w:t>Yen Thai and</w:t>
            </w:r>
            <w:r w:rsidR="009D7417" w:rsidRPr="009D7417">
              <w:rPr>
                <w:rFonts w:cs="Times New Roman"/>
                <w:b/>
                <w:sz w:val="20"/>
                <w:u w:val="single"/>
              </w:rPr>
              <w:t xml:space="preserve"> 794321 AB. Ltd. v. Doug </w:t>
            </w:r>
            <w:proofErr w:type="spellStart"/>
            <w:r w:rsidR="009D7417" w:rsidRPr="009D7417">
              <w:rPr>
                <w:rFonts w:cs="Times New Roman"/>
                <w:b/>
                <w:sz w:val="20"/>
                <w:u w:val="single"/>
              </w:rPr>
              <w:t>Poffenroth</w:t>
            </w:r>
            <w:proofErr w:type="spellEnd"/>
            <w:r w:rsidR="009D7417">
              <w:rPr>
                <w:rFonts w:cs="Times New Roman"/>
                <w:b/>
                <w:sz w:val="20"/>
                <w:u w:val="single"/>
              </w:rPr>
              <w:t xml:space="preserve"> and</w:t>
            </w:r>
            <w:r w:rsidR="009D7417" w:rsidRPr="009D7417">
              <w:rPr>
                <w:rFonts w:cs="Times New Roman"/>
                <w:b/>
                <w:sz w:val="20"/>
                <w:u w:val="single"/>
              </w:rPr>
              <w:t xml:space="preserve"> John Cush</w:t>
            </w:r>
            <w:r w:rsidR="009D7417" w:rsidRPr="009D7417">
              <w:rPr>
                <w:rFonts w:cs="Times New Roman"/>
                <w:sz w:val="20"/>
                <w:szCs w:val="20"/>
              </w:rPr>
              <w:t xml:space="preserve"> (Alta.) (Civil) (By Leave)</w:t>
            </w:r>
          </w:p>
          <w:p w:rsidR="009D7417" w:rsidRPr="009D7417" w:rsidRDefault="009D7417" w:rsidP="009D7417">
            <w:pPr>
              <w:rPr>
                <w:rFonts w:cs="Times New Roman"/>
                <w:sz w:val="20"/>
                <w:szCs w:val="20"/>
              </w:rPr>
            </w:pPr>
          </w:p>
        </w:tc>
      </w:tr>
      <w:tr w:rsidR="009D7417" w:rsidRPr="009D7417" w:rsidTr="00E06292">
        <w:trPr>
          <w:cantSplit/>
        </w:trPr>
        <w:tc>
          <w:tcPr>
            <w:tcW w:w="1458" w:type="dxa"/>
          </w:tcPr>
          <w:p w:rsidR="009D7417" w:rsidRPr="009D7417" w:rsidRDefault="009D7417" w:rsidP="009D7417">
            <w:pPr>
              <w:rPr>
                <w:rFonts w:cs="Times New Roman"/>
                <w:sz w:val="20"/>
                <w:szCs w:val="20"/>
              </w:rPr>
            </w:pPr>
            <w:r w:rsidRPr="009D7417">
              <w:rPr>
                <w:rFonts w:cs="Times New Roman"/>
                <w:sz w:val="20"/>
                <w:szCs w:val="20"/>
              </w:rPr>
              <w:t>Coram :</w:t>
            </w:r>
          </w:p>
        </w:tc>
        <w:tc>
          <w:tcPr>
            <w:tcW w:w="8118" w:type="dxa"/>
          </w:tcPr>
          <w:p w:rsidR="009D7417" w:rsidRPr="009D7417" w:rsidRDefault="009D7417" w:rsidP="009D7417">
            <w:pPr>
              <w:rPr>
                <w:rFonts w:cs="Times New Roman"/>
                <w:sz w:val="20"/>
                <w:szCs w:val="20"/>
              </w:rPr>
            </w:pPr>
            <w:proofErr w:type="spellStart"/>
            <w:r w:rsidRPr="009D7417">
              <w:rPr>
                <w:rFonts w:cs="Times New Roman"/>
                <w:sz w:val="20"/>
                <w:u w:val="single"/>
              </w:rPr>
              <w:t>Binnie</w:t>
            </w:r>
            <w:proofErr w:type="spellEnd"/>
            <w:r w:rsidRPr="009D7417">
              <w:rPr>
                <w:rFonts w:cs="Times New Roman"/>
                <w:sz w:val="20"/>
                <w:u w:val="single"/>
              </w:rPr>
              <w:t xml:space="preserve">, </w:t>
            </w:r>
            <w:proofErr w:type="spellStart"/>
            <w:r w:rsidRPr="009D7417">
              <w:rPr>
                <w:rFonts w:cs="Times New Roman"/>
                <w:sz w:val="20"/>
                <w:u w:val="single"/>
              </w:rPr>
              <w:t>Abella</w:t>
            </w:r>
            <w:proofErr w:type="spellEnd"/>
            <w:r w:rsidRPr="009D7417">
              <w:rPr>
                <w:rFonts w:cs="Times New Roman"/>
                <w:sz w:val="20"/>
                <w:u w:val="single"/>
              </w:rPr>
              <w:t xml:space="preserve"> and Rothstein JJ.</w:t>
            </w:r>
          </w:p>
          <w:p w:rsidR="009D7417" w:rsidRPr="009D7417" w:rsidRDefault="009D7417" w:rsidP="009D7417">
            <w:pPr>
              <w:rPr>
                <w:rFonts w:cs="Times New Roman"/>
                <w:sz w:val="20"/>
                <w:szCs w:val="20"/>
                <w:u w:val="single"/>
              </w:rPr>
            </w:pPr>
          </w:p>
        </w:tc>
      </w:tr>
      <w:tr w:rsidR="009D7417" w:rsidRPr="009D7417" w:rsidTr="00E06292">
        <w:trPr>
          <w:cantSplit/>
        </w:trPr>
        <w:tc>
          <w:tcPr>
            <w:tcW w:w="9576" w:type="dxa"/>
            <w:gridSpan w:val="2"/>
          </w:tcPr>
          <w:p w:rsidR="009D7417" w:rsidRPr="009D7417" w:rsidRDefault="009D7417" w:rsidP="009D7417">
            <w:pPr>
              <w:ind w:firstLine="720"/>
              <w:jc w:val="both"/>
              <w:rPr>
                <w:rFonts w:cs="Times New Roman"/>
                <w:sz w:val="20"/>
                <w:szCs w:val="20"/>
              </w:rPr>
            </w:pPr>
            <w:r w:rsidRPr="009D7417">
              <w:rPr>
                <w:rFonts w:cs="Times New Roman"/>
                <w:sz w:val="20"/>
                <w:szCs w:val="20"/>
              </w:rPr>
              <w:t>The application for leave to appeal from the judgment of the Court of Appeal of Alberta (Calgary), Number 1001-0060-AC, 2010 ABCA 347, dated November 18, 2010, is dismissed with costs.</w:t>
            </w:r>
          </w:p>
          <w:p w:rsidR="009D7417" w:rsidRPr="009D7417" w:rsidRDefault="009D7417" w:rsidP="009D7417">
            <w:pPr>
              <w:jc w:val="both"/>
              <w:rPr>
                <w:rFonts w:cs="Times New Roman"/>
                <w:sz w:val="20"/>
                <w:szCs w:val="20"/>
              </w:rPr>
            </w:pPr>
          </w:p>
          <w:p w:rsidR="009D7417" w:rsidRPr="009D7417" w:rsidRDefault="009D7417" w:rsidP="009D7417">
            <w:pPr>
              <w:ind w:firstLine="720"/>
              <w:jc w:val="both"/>
              <w:rPr>
                <w:rFonts w:cs="Times New Roman"/>
                <w:sz w:val="20"/>
                <w:szCs w:val="20"/>
                <w:lang w:val="fr-CA"/>
              </w:rPr>
            </w:pPr>
            <w:r w:rsidRPr="009D7417">
              <w:rPr>
                <w:rFonts w:cs="Times New Roman"/>
                <w:sz w:val="20"/>
                <w:szCs w:val="20"/>
                <w:lang w:val="fr-CA"/>
              </w:rPr>
              <w:t>La demande d’autorisation d’appel de l’arrêt de la Cour d'appel de l’Alberta (Calgary), numéro 1001-0060-AC, 2010 ABCA 347, daté du 18 novembre 2010, est rejetée avec dépens.</w:t>
            </w:r>
          </w:p>
        </w:tc>
      </w:tr>
    </w:tbl>
    <w:p w:rsidR="00177474" w:rsidRPr="009D7417" w:rsidRDefault="00177474" w:rsidP="008D292F">
      <w:pPr>
        <w:rPr>
          <w:sz w:val="20"/>
          <w:szCs w:val="20"/>
          <w:lang w:val="fr-CA"/>
        </w:rPr>
      </w:pPr>
    </w:p>
    <w:p w:rsidR="00177474" w:rsidRPr="00177474" w:rsidRDefault="00177474" w:rsidP="008D292F">
      <w:pPr>
        <w:rPr>
          <w:sz w:val="20"/>
          <w:szCs w:val="20"/>
        </w:rPr>
      </w:pPr>
      <w:r>
        <w:rPr>
          <w:sz w:val="20"/>
          <w:szCs w:val="20"/>
          <w:u w:val="single"/>
        </w:rPr>
        <w:t>CASE SUMMARY</w:t>
      </w:r>
    </w:p>
    <w:p w:rsidR="00177474" w:rsidRDefault="00177474"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E5158" w:rsidRPr="00273521" w:rsidTr="00366F6C">
        <w:tc>
          <w:tcPr>
            <w:tcW w:w="5000" w:type="pct"/>
            <w:gridSpan w:val="3"/>
          </w:tcPr>
          <w:p w:rsidR="00EE5158" w:rsidRDefault="00EE5158" w:rsidP="00366F6C">
            <w:pPr>
              <w:jc w:val="both"/>
              <w:rPr>
                <w:sz w:val="20"/>
              </w:rPr>
            </w:pPr>
            <w:r w:rsidRPr="00273521">
              <w:rPr>
                <w:sz w:val="20"/>
              </w:rPr>
              <w:t xml:space="preserve">Charter of Rights — Property — Condominiums — Civil procedure — Injunctions — Companies belonging to owners/board members providing maintenance and repair services to condominium corporation — Other owner/board member alleging conflict of interest and requesting injunction — Whether chambers judge erred in presetting unnecessary tripartite test of irreparable harm and balance of inconvenience which are not required under the Alberta </w:t>
            </w:r>
            <w:r w:rsidRPr="00273521">
              <w:rPr>
                <w:i/>
                <w:sz w:val="20"/>
              </w:rPr>
              <w:t xml:space="preserve">Condominium Property Act </w:t>
            </w:r>
            <w:r w:rsidRPr="00273521">
              <w:rPr>
                <w:sz w:val="20"/>
              </w:rPr>
              <w:t xml:space="preserve">— Whether Court of Appeal erred in law when they failed to overturn decision of chambers judge — Whether s. 15 </w:t>
            </w:r>
            <w:r w:rsidRPr="00273521">
              <w:rPr>
                <w:i/>
                <w:sz w:val="20"/>
              </w:rPr>
              <w:t xml:space="preserve">Charter </w:t>
            </w:r>
            <w:r w:rsidRPr="00273521">
              <w:rPr>
                <w:sz w:val="20"/>
              </w:rPr>
              <w:t xml:space="preserve">rights to be equal before and under the law, to have equal protection and benefit from the law, namely the Alberta </w:t>
            </w:r>
            <w:r w:rsidRPr="00273521">
              <w:rPr>
                <w:i/>
                <w:sz w:val="20"/>
              </w:rPr>
              <w:t>Condominium Property Act</w:t>
            </w:r>
            <w:r w:rsidRPr="00273521">
              <w:rPr>
                <w:sz w:val="20"/>
              </w:rPr>
              <w:t>, were infringed.</w:t>
            </w:r>
          </w:p>
          <w:p w:rsidR="00EE5158" w:rsidRPr="00273521" w:rsidRDefault="00EE5158" w:rsidP="00366F6C">
            <w:pPr>
              <w:jc w:val="both"/>
              <w:rPr>
                <w:sz w:val="20"/>
              </w:rPr>
            </w:pPr>
          </w:p>
        </w:tc>
      </w:tr>
      <w:tr w:rsidR="00EE5158" w:rsidRPr="00273521" w:rsidTr="00366F6C">
        <w:tc>
          <w:tcPr>
            <w:tcW w:w="5000" w:type="pct"/>
            <w:gridSpan w:val="3"/>
          </w:tcPr>
          <w:p w:rsidR="00EE5158" w:rsidRPr="00273521" w:rsidRDefault="00EE5158" w:rsidP="00366F6C">
            <w:pPr>
              <w:jc w:val="both"/>
              <w:rPr>
                <w:sz w:val="20"/>
              </w:rPr>
            </w:pPr>
            <w:r w:rsidRPr="00273521">
              <w:rPr>
                <w:sz w:val="20"/>
              </w:rPr>
              <w:t>The Applicants own two units in a Calgary condominium and the Respondents own the remaining six units.  The Respondents also own companies which provided the condominium with maintenance and repairs services.  All of the units were rental properties.  From 2005 to late 2009, all the parties were directors of the condominium board.  Disagreements arose between the Applicants and Respondents and the Applicants stopped paying condominium fees, alleged a conflict of interest between the Respondents and their companies, and eventually brought an application seeking various remedies, including an injunction restraining the Respondents from issuing cheques from the condominium account to their companies; prohibiting the Respondents from illegal voting; directing that a property manager be hired, and; directing an order for restitution of funds paid to the Respondents' companies.</w:t>
            </w:r>
          </w:p>
          <w:p w:rsidR="00EE5158" w:rsidRPr="00273521" w:rsidRDefault="00EE5158" w:rsidP="00366F6C">
            <w:pPr>
              <w:jc w:val="both"/>
              <w:rPr>
                <w:sz w:val="20"/>
              </w:rPr>
            </w:pPr>
          </w:p>
          <w:p w:rsidR="00EE5158" w:rsidRPr="00273521" w:rsidRDefault="00EE5158" w:rsidP="00366F6C">
            <w:pPr>
              <w:jc w:val="both"/>
              <w:rPr>
                <w:sz w:val="20"/>
              </w:rPr>
            </w:pPr>
            <w:r w:rsidRPr="00273521">
              <w:rPr>
                <w:sz w:val="20"/>
              </w:rPr>
              <w:t>The Alberta Court of Queen’s Bench dismissed the Applicants’ application and ordered costs against them, finding the requirements for an injunction had not been met.  The Alberta Court of Appeal dismissed the Applicants’ appeal.</w:t>
            </w:r>
          </w:p>
          <w:p w:rsidR="00EE5158" w:rsidRPr="00273521" w:rsidRDefault="00EE5158" w:rsidP="00366F6C">
            <w:pPr>
              <w:rPr>
                <w:sz w:val="20"/>
              </w:rPr>
            </w:pPr>
          </w:p>
        </w:tc>
      </w:tr>
      <w:tr w:rsidR="00EE5158" w:rsidRPr="00273521" w:rsidTr="00366F6C">
        <w:tc>
          <w:tcPr>
            <w:tcW w:w="2427" w:type="pct"/>
          </w:tcPr>
          <w:p w:rsidR="00EE5158" w:rsidRPr="00273521" w:rsidRDefault="00EE5158" w:rsidP="00366F6C">
            <w:pPr>
              <w:rPr>
                <w:sz w:val="20"/>
              </w:rPr>
            </w:pPr>
            <w:r w:rsidRPr="00273521">
              <w:rPr>
                <w:sz w:val="20"/>
              </w:rPr>
              <w:t>December 15, 2009</w:t>
            </w:r>
          </w:p>
          <w:p w:rsidR="00EE5158" w:rsidRPr="00273521" w:rsidRDefault="00EE5158" w:rsidP="00366F6C">
            <w:pPr>
              <w:rPr>
                <w:sz w:val="20"/>
              </w:rPr>
            </w:pPr>
            <w:r w:rsidRPr="00273521">
              <w:rPr>
                <w:sz w:val="20"/>
              </w:rPr>
              <w:t>Court of Queen’s Bench of Alberta</w:t>
            </w:r>
          </w:p>
          <w:p w:rsidR="00EE5158" w:rsidRPr="00273521" w:rsidRDefault="00EE5158" w:rsidP="00366F6C">
            <w:pPr>
              <w:rPr>
                <w:sz w:val="20"/>
              </w:rPr>
            </w:pPr>
            <w:r w:rsidRPr="00273521">
              <w:rPr>
                <w:sz w:val="20"/>
              </w:rPr>
              <w:t>(Horner J.)</w:t>
            </w:r>
          </w:p>
          <w:p w:rsidR="00EE5158" w:rsidRPr="00273521" w:rsidRDefault="00EE5158" w:rsidP="00366F6C">
            <w:pPr>
              <w:rPr>
                <w:sz w:val="20"/>
              </w:rPr>
            </w:pPr>
          </w:p>
        </w:tc>
        <w:tc>
          <w:tcPr>
            <w:tcW w:w="243" w:type="pct"/>
          </w:tcPr>
          <w:p w:rsidR="00EE5158" w:rsidRPr="00273521" w:rsidRDefault="00EE5158" w:rsidP="00366F6C">
            <w:pPr>
              <w:rPr>
                <w:sz w:val="20"/>
              </w:rPr>
            </w:pPr>
          </w:p>
        </w:tc>
        <w:tc>
          <w:tcPr>
            <w:tcW w:w="2330" w:type="pct"/>
          </w:tcPr>
          <w:p w:rsidR="00EE5158" w:rsidRPr="00273521" w:rsidRDefault="00EE5158" w:rsidP="00366F6C">
            <w:pPr>
              <w:rPr>
                <w:sz w:val="20"/>
              </w:rPr>
            </w:pPr>
            <w:r w:rsidRPr="00273521">
              <w:rPr>
                <w:sz w:val="20"/>
              </w:rPr>
              <w:t>Applicants’ application for injunction, dismissed.</w:t>
            </w:r>
          </w:p>
          <w:p w:rsidR="00EE5158" w:rsidRPr="00273521" w:rsidRDefault="00EE5158" w:rsidP="00366F6C">
            <w:pPr>
              <w:rPr>
                <w:sz w:val="20"/>
              </w:rPr>
            </w:pPr>
          </w:p>
        </w:tc>
      </w:tr>
      <w:tr w:rsidR="00EE5158" w:rsidRPr="00273521" w:rsidTr="00366F6C">
        <w:tc>
          <w:tcPr>
            <w:tcW w:w="2427" w:type="pct"/>
          </w:tcPr>
          <w:p w:rsidR="00EE5158" w:rsidRPr="00273521" w:rsidRDefault="00EE5158" w:rsidP="00366F6C">
            <w:pPr>
              <w:rPr>
                <w:sz w:val="20"/>
              </w:rPr>
            </w:pPr>
            <w:r w:rsidRPr="00273521">
              <w:rPr>
                <w:sz w:val="20"/>
              </w:rPr>
              <w:t>November 18, 2010</w:t>
            </w:r>
          </w:p>
          <w:p w:rsidR="00EE5158" w:rsidRPr="00273521" w:rsidRDefault="00EE5158" w:rsidP="00366F6C">
            <w:pPr>
              <w:rPr>
                <w:sz w:val="20"/>
              </w:rPr>
            </w:pPr>
            <w:r w:rsidRPr="00273521">
              <w:rPr>
                <w:sz w:val="20"/>
              </w:rPr>
              <w:t>Court of Appeal of Alberta (Calgary)</w:t>
            </w:r>
          </w:p>
          <w:p w:rsidR="00EE5158" w:rsidRPr="00273521" w:rsidRDefault="00EE5158" w:rsidP="00366F6C">
            <w:pPr>
              <w:rPr>
                <w:sz w:val="20"/>
              </w:rPr>
            </w:pPr>
            <w:r w:rsidRPr="00273521">
              <w:rPr>
                <w:sz w:val="20"/>
              </w:rPr>
              <w:t xml:space="preserve">(Hunt, </w:t>
            </w:r>
            <w:proofErr w:type="spellStart"/>
            <w:r w:rsidRPr="00273521">
              <w:rPr>
                <w:sz w:val="20"/>
              </w:rPr>
              <w:t>Paperny</w:t>
            </w:r>
            <w:proofErr w:type="spellEnd"/>
            <w:r w:rsidRPr="00273521">
              <w:rPr>
                <w:sz w:val="20"/>
              </w:rPr>
              <w:t xml:space="preserve"> and O'Brien JJ.A.)</w:t>
            </w:r>
          </w:p>
          <w:p w:rsidR="00EE5158" w:rsidRPr="00273521" w:rsidRDefault="00EE5158" w:rsidP="00366F6C">
            <w:pPr>
              <w:rPr>
                <w:sz w:val="20"/>
              </w:rPr>
            </w:pPr>
            <w:r w:rsidRPr="00273521">
              <w:rPr>
                <w:sz w:val="20"/>
              </w:rPr>
              <w:t>Neutral citation: 2010 ABCA 347</w:t>
            </w:r>
          </w:p>
          <w:p w:rsidR="00EE5158" w:rsidRPr="00273521" w:rsidRDefault="00EE5158" w:rsidP="00366F6C">
            <w:pPr>
              <w:rPr>
                <w:sz w:val="20"/>
              </w:rPr>
            </w:pPr>
          </w:p>
        </w:tc>
        <w:tc>
          <w:tcPr>
            <w:tcW w:w="243" w:type="pct"/>
          </w:tcPr>
          <w:p w:rsidR="00EE5158" w:rsidRPr="00273521" w:rsidRDefault="00EE5158" w:rsidP="00366F6C">
            <w:pPr>
              <w:rPr>
                <w:sz w:val="20"/>
              </w:rPr>
            </w:pPr>
          </w:p>
        </w:tc>
        <w:tc>
          <w:tcPr>
            <w:tcW w:w="2330" w:type="pct"/>
          </w:tcPr>
          <w:p w:rsidR="00EE5158" w:rsidRPr="00273521" w:rsidRDefault="00EE5158" w:rsidP="00366F6C">
            <w:pPr>
              <w:rPr>
                <w:sz w:val="20"/>
              </w:rPr>
            </w:pPr>
            <w:r w:rsidRPr="00273521">
              <w:rPr>
                <w:sz w:val="20"/>
              </w:rPr>
              <w:t>Applicants’ appeal, dismissed.</w:t>
            </w:r>
          </w:p>
          <w:p w:rsidR="00EE5158" w:rsidRPr="00273521" w:rsidRDefault="00EE5158" w:rsidP="00366F6C">
            <w:pPr>
              <w:rPr>
                <w:sz w:val="20"/>
              </w:rPr>
            </w:pPr>
          </w:p>
        </w:tc>
      </w:tr>
      <w:tr w:rsidR="00EE5158" w:rsidRPr="00273521" w:rsidTr="00366F6C">
        <w:tc>
          <w:tcPr>
            <w:tcW w:w="2427" w:type="pct"/>
          </w:tcPr>
          <w:p w:rsidR="00EE5158" w:rsidRPr="00273521" w:rsidRDefault="00EE5158" w:rsidP="00366F6C">
            <w:pPr>
              <w:rPr>
                <w:sz w:val="20"/>
              </w:rPr>
            </w:pPr>
            <w:r w:rsidRPr="00273521">
              <w:rPr>
                <w:sz w:val="20"/>
              </w:rPr>
              <w:t>January 14, 2011</w:t>
            </w:r>
          </w:p>
          <w:p w:rsidR="00EE5158" w:rsidRPr="00273521" w:rsidRDefault="00EE5158" w:rsidP="00366F6C">
            <w:pPr>
              <w:rPr>
                <w:sz w:val="20"/>
              </w:rPr>
            </w:pPr>
            <w:r w:rsidRPr="00273521">
              <w:rPr>
                <w:sz w:val="20"/>
              </w:rPr>
              <w:t>Supreme Court of Canada</w:t>
            </w:r>
          </w:p>
        </w:tc>
        <w:tc>
          <w:tcPr>
            <w:tcW w:w="243" w:type="pct"/>
          </w:tcPr>
          <w:p w:rsidR="00EE5158" w:rsidRPr="00273521" w:rsidRDefault="00EE5158" w:rsidP="00366F6C">
            <w:pPr>
              <w:rPr>
                <w:sz w:val="20"/>
              </w:rPr>
            </w:pPr>
          </w:p>
        </w:tc>
        <w:tc>
          <w:tcPr>
            <w:tcW w:w="2330" w:type="pct"/>
          </w:tcPr>
          <w:p w:rsidR="00EE5158" w:rsidRPr="00273521" w:rsidRDefault="00EE5158" w:rsidP="00366F6C">
            <w:pPr>
              <w:rPr>
                <w:sz w:val="20"/>
              </w:rPr>
            </w:pPr>
            <w:r w:rsidRPr="00273521">
              <w:rPr>
                <w:sz w:val="20"/>
              </w:rPr>
              <w:t>Application for leave to appeal, filed</w:t>
            </w:r>
          </w:p>
          <w:p w:rsidR="00EE5158" w:rsidRPr="00273521" w:rsidRDefault="00EE5158" w:rsidP="00366F6C">
            <w:pPr>
              <w:rPr>
                <w:sz w:val="20"/>
              </w:rPr>
            </w:pPr>
          </w:p>
        </w:tc>
      </w:tr>
    </w:tbl>
    <w:p w:rsidR="00177474" w:rsidRDefault="00177474" w:rsidP="008D292F">
      <w:pPr>
        <w:rPr>
          <w:sz w:val="20"/>
          <w:szCs w:val="20"/>
        </w:rPr>
      </w:pPr>
    </w:p>
    <w:p w:rsidR="00177474" w:rsidRDefault="009E364E" w:rsidP="008D292F">
      <w:pPr>
        <w:rPr>
          <w:sz w:val="20"/>
          <w:szCs w:val="20"/>
          <w:lang w:val="fr-CA"/>
        </w:rPr>
      </w:pPr>
      <w:r w:rsidRPr="009E364E">
        <w:rPr>
          <w:sz w:val="20"/>
          <w:szCs w:val="20"/>
          <w:lang w:val="fr-CA"/>
        </w:rPr>
        <w:pict>
          <v:rect id="_x0000_i1038" style="width:2in;height:1pt" o:hrpct="0" o:hralign="center" o:hrstd="t" o:hrnoshade="t" o:hr="t" fillcolor="black [3213]" stroked="f"/>
        </w:pict>
      </w:r>
    </w:p>
    <w:p w:rsidR="00D74243" w:rsidRDefault="00D74243">
      <w:pPr>
        <w:rPr>
          <w:sz w:val="20"/>
          <w:szCs w:val="20"/>
        </w:rPr>
      </w:pPr>
    </w:p>
    <w:p w:rsidR="00D74243" w:rsidRDefault="00D74243">
      <w:pPr>
        <w:rPr>
          <w:sz w:val="20"/>
          <w:szCs w:val="20"/>
        </w:rPr>
      </w:pPr>
      <w:r>
        <w:rPr>
          <w:sz w:val="20"/>
          <w:szCs w:val="20"/>
        </w:rPr>
        <w:br w:type="page"/>
      </w:r>
    </w:p>
    <w:p w:rsidR="00177474" w:rsidRPr="00177474" w:rsidRDefault="00177474" w:rsidP="008D292F">
      <w:pPr>
        <w:rPr>
          <w:sz w:val="20"/>
          <w:szCs w:val="20"/>
        </w:rPr>
      </w:pPr>
      <w:r>
        <w:rPr>
          <w:sz w:val="20"/>
          <w:szCs w:val="20"/>
          <w:u w:val="single"/>
        </w:rPr>
        <w:lastRenderedPageBreak/>
        <w:t>RÉSUMÉ DE L’AFFAIRE</w:t>
      </w:r>
    </w:p>
    <w:p w:rsidR="00177474" w:rsidRDefault="00177474" w:rsidP="008D292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E5158" w:rsidRPr="000536FB" w:rsidTr="00366F6C">
        <w:tc>
          <w:tcPr>
            <w:tcW w:w="5000" w:type="pct"/>
            <w:gridSpan w:val="3"/>
          </w:tcPr>
          <w:p w:rsidR="00EE5158" w:rsidRDefault="00EE5158" w:rsidP="00366F6C">
            <w:pPr>
              <w:jc w:val="both"/>
              <w:rPr>
                <w:sz w:val="20"/>
                <w:lang w:val="fr-CA"/>
              </w:rPr>
            </w:pPr>
            <w:r w:rsidRPr="00273521">
              <w:rPr>
                <w:sz w:val="20"/>
                <w:lang w:val="fr-CA"/>
              </w:rPr>
              <w:t xml:space="preserve">Charte des droits — Biens — Condominiums — Procédure civile — Injonctions — Des sociétés appartenant à des propriétaires ou membres du conseil fournissent des services d’entretien et de réparation à la société </w:t>
            </w:r>
            <w:proofErr w:type="spellStart"/>
            <w:r w:rsidRPr="00273521">
              <w:rPr>
                <w:sz w:val="20"/>
                <w:lang w:val="fr-CA"/>
              </w:rPr>
              <w:t>condominiale</w:t>
            </w:r>
            <w:proofErr w:type="spellEnd"/>
            <w:r w:rsidRPr="00273521">
              <w:rPr>
                <w:sz w:val="20"/>
                <w:lang w:val="fr-CA"/>
              </w:rPr>
              <w:t xml:space="preserve"> — D’autres propriétaires ou membres du conseil allèguent un conflit d’intérêts et demandent une injonction — Le juge siégeant en cabinet </w:t>
            </w:r>
            <w:proofErr w:type="spellStart"/>
            <w:r w:rsidRPr="00273521">
              <w:rPr>
                <w:sz w:val="20"/>
                <w:lang w:val="fr-CA"/>
              </w:rPr>
              <w:t>a</w:t>
            </w:r>
            <w:r w:rsidRPr="00273521">
              <w:rPr>
                <w:sz w:val="20"/>
                <w:lang w:val="fr-CA"/>
              </w:rPr>
              <w:noBreakHyphen/>
              <w:t>t</w:t>
            </w:r>
            <w:r w:rsidRPr="00273521">
              <w:rPr>
                <w:sz w:val="20"/>
                <w:lang w:val="fr-CA"/>
              </w:rPr>
              <w:noBreakHyphen/>
              <w:t>il</w:t>
            </w:r>
            <w:proofErr w:type="spellEnd"/>
            <w:r w:rsidRPr="00273521">
              <w:rPr>
                <w:sz w:val="20"/>
                <w:lang w:val="fr-CA"/>
              </w:rPr>
              <w:t xml:space="preserve"> eu tort de prédéfinir une analyse inutile en trois étapes relatif au préjudice irréparable et à la prépondérance des inconvénients qui n’est pas prescrit aux termes de la </w:t>
            </w:r>
            <w:r w:rsidRPr="00273521">
              <w:rPr>
                <w:i/>
                <w:sz w:val="20"/>
                <w:lang w:val="fr-CA"/>
              </w:rPr>
              <w:t xml:space="preserve">Condominium </w:t>
            </w:r>
            <w:proofErr w:type="spellStart"/>
            <w:r w:rsidRPr="00273521">
              <w:rPr>
                <w:i/>
                <w:sz w:val="20"/>
                <w:lang w:val="fr-CA"/>
              </w:rPr>
              <w:t>Property</w:t>
            </w:r>
            <w:proofErr w:type="spellEnd"/>
            <w:r w:rsidRPr="00273521">
              <w:rPr>
                <w:i/>
                <w:sz w:val="20"/>
                <w:lang w:val="fr-CA"/>
              </w:rPr>
              <w:t xml:space="preserve"> </w:t>
            </w:r>
            <w:proofErr w:type="spellStart"/>
            <w:r w:rsidRPr="00273521">
              <w:rPr>
                <w:i/>
                <w:sz w:val="20"/>
                <w:lang w:val="fr-CA"/>
              </w:rPr>
              <w:t>Act</w:t>
            </w:r>
            <w:proofErr w:type="spellEnd"/>
            <w:r w:rsidRPr="00273521">
              <w:rPr>
                <w:i/>
                <w:sz w:val="20"/>
                <w:lang w:val="fr-CA"/>
              </w:rPr>
              <w:t xml:space="preserve"> </w:t>
            </w:r>
            <w:r w:rsidRPr="00273521">
              <w:rPr>
                <w:sz w:val="20"/>
                <w:lang w:val="fr-CA"/>
              </w:rPr>
              <w:t xml:space="preserve">de l’Alberta? — La Cour d’appel </w:t>
            </w:r>
            <w:proofErr w:type="spellStart"/>
            <w:r w:rsidRPr="00273521">
              <w:rPr>
                <w:sz w:val="20"/>
                <w:lang w:val="fr-CA"/>
              </w:rPr>
              <w:t>a</w:t>
            </w:r>
            <w:r w:rsidRPr="00273521">
              <w:rPr>
                <w:sz w:val="20"/>
                <w:lang w:val="fr-CA"/>
              </w:rPr>
              <w:noBreakHyphen/>
              <w:t>t</w:t>
            </w:r>
            <w:r w:rsidRPr="00273521">
              <w:rPr>
                <w:sz w:val="20"/>
                <w:lang w:val="fr-CA"/>
              </w:rPr>
              <w:noBreakHyphen/>
              <w:t>elle</w:t>
            </w:r>
            <w:proofErr w:type="spellEnd"/>
            <w:r w:rsidRPr="00273521">
              <w:rPr>
                <w:sz w:val="20"/>
                <w:lang w:val="fr-CA"/>
              </w:rPr>
              <w:t xml:space="preserve"> commis une erreur de droit en n’infirmant pas la décision du juge siégeant en cabinet? — Y </w:t>
            </w:r>
            <w:proofErr w:type="spellStart"/>
            <w:r w:rsidRPr="00273521">
              <w:rPr>
                <w:sz w:val="20"/>
                <w:lang w:val="fr-CA"/>
              </w:rPr>
              <w:t>a</w:t>
            </w:r>
            <w:r w:rsidRPr="00273521">
              <w:rPr>
                <w:sz w:val="20"/>
                <w:lang w:val="fr-CA"/>
              </w:rPr>
              <w:noBreakHyphen/>
              <w:t>t</w:t>
            </w:r>
            <w:r w:rsidRPr="00273521">
              <w:rPr>
                <w:sz w:val="20"/>
                <w:lang w:val="fr-CA"/>
              </w:rPr>
              <w:noBreakHyphen/>
              <w:t>il</w:t>
            </w:r>
            <w:proofErr w:type="spellEnd"/>
            <w:r w:rsidRPr="00273521">
              <w:rPr>
                <w:sz w:val="20"/>
                <w:lang w:val="fr-CA"/>
              </w:rPr>
              <w:t xml:space="preserve"> eu atteinte aux droits garantis par l’art. 15 de la </w:t>
            </w:r>
            <w:r w:rsidRPr="00273521">
              <w:rPr>
                <w:i/>
                <w:sz w:val="20"/>
                <w:lang w:val="fr-CA"/>
              </w:rPr>
              <w:t>Charte</w:t>
            </w:r>
            <w:r w:rsidRPr="00273521">
              <w:rPr>
                <w:sz w:val="20"/>
                <w:lang w:val="fr-CA"/>
              </w:rPr>
              <w:t xml:space="preserve">, soit l’égalité devant la loi, l’égalité de bénéfice et la protection égale de la loi, à savoir la </w:t>
            </w:r>
            <w:r w:rsidRPr="00273521">
              <w:rPr>
                <w:i/>
                <w:sz w:val="20"/>
                <w:lang w:val="fr-CA"/>
              </w:rPr>
              <w:t xml:space="preserve">Condominium </w:t>
            </w:r>
            <w:proofErr w:type="spellStart"/>
            <w:r w:rsidRPr="00273521">
              <w:rPr>
                <w:i/>
                <w:sz w:val="20"/>
                <w:lang w:val="fr-CA"/>
              </w:rPr>
              <w:t>Property</w:t>
            </w:r>
            <w:proofErr w:type="spellEnd"/>
            <w:r w:rsidRPr="00273521">
              <w:rPr>
                <w:i/>
                <w:sz w:val="20"/>
                <w:lang w:val="fr-CA"/>
              </w:rPr>
              <w:t xml:space="preserve"> </w:t>
            </w:r>
            <w:proofErr w:type="spellStart"/>
            <w:r w:rsidRPr="00273521">
              <w:rPr>
                <w:i/>
                <w:sz w:val="20"/>
                <w:lang w:val="fr-CA"/>
              </w:rPr>
              <w:t>Act</w:t>
            </w:r>
            <w:proofErr w:type="spellEnd"/>
            <w:r w:rsidRPr="00273521">
              <w:rPr>
                <w:sz w:val="20"/>
                <w:lang w:val="fr-CA"/>
              </w:rPr>
              <w:t xml:space="preserve"> de l’Alberta?</w:t>
            </w:r>
          </w:p>
          <w:p w:rsidR="00EE5158" w:rsidRPr="00273521" w:rsidRDefault="00EE5158" w:rsidP="00366F6C">
            <w:pPr>
              <w:jc w:val="both"/>
              <w:rPr>
                <w:sz w:val="20"/>
                <w:lang w:val="fr-CA"/>
              </w:rPr>
            </w:pPr>
          </w:p>
        </w:tc>
      </w:tr>
      <w:tr w:rsidR="00EE5158" w:rsidRPr="000536FB" w:rsidTr="00366F6C">
        <w:tc>
          <w:tcPr>
            <w:tcW w:w="5000" w:type="pct"/>
            <w:gridSpan w:val="3"/>
          </w:tcPr>
          <w:p w:rsidR="00EE5158" w:rsidRPr="00273521" w:rsidRDefault="00EE5158" w:rsidP="00366F6C">
            <w:pPr>
              <w:jc w:val="both"/>
              <w:rPr>
                <w:sz w:val="20"/>
                <w:lang w:val="fr-CA"/>
              </w:rPr>
            </w:pPr>
            <w:r w:rsidRPr="00273521">
              <w:rPr>
                <w:sz w:val="20"/>
                <w:lang w:val="fr-CA"/>
              </w:rPr>
              <w:t xml:space="preserve">Les demandeurs sont propriétaires de deux unités </w:t>
            </w:r>
            <w:proofErr w:type="spellStart"/>
            <w:r w:rsidRPr="00273521">
              <w:rPr>
                <w:sz w:val="20"/>
                <w:lang w:val="fr-CA"/>
              </w:rPr>
              <w:t>condominiales</w:t>
            </w:r>
            <w:proofErr w:type="spellEnd"/>
            <w:r w:rsidRPr="00273521">
              <w:rPr>
                <w:sz w:val="20"/>
                <w:lang w:val="fr-CA"/>
              </w:rPr>
              <w:t xml:space="preserve"> dans un condominium de Calgary et les intimés sont propriétaires des six autres unités.  Les intimés sont également propriétaires de sociétés qui fournissaient au condominium des services d’entretien et de réparation.  Toutes les unités étaient des biens locatifs.  De 2005 à la fin de 2009, toutes les parties étaient administrateurs du conseil du condominium.  Des différends sont survenus entre les demandeurs et les intimés et les demandeurs ont cessé de payer les charges </w:t>
            </w:r>
            <w:proofErr w:type="spellStart"/>
            <w:r w:rsidRPr="00273521">
              <w:rPr>
                <w:sz w:val="20"/>
                <w:lang w:val="fr-CA"/>
              </w:rPr>
              <w:t>condominiales</w:t>
            </w:r>
            <w:proofErr w:type="spellEnd"/>
            <w:r w:rsidRPr="00273521">
              <w:rPr>
                <w:sz w:val="20"/>
                <w:lang w:val="fr-CA"/>
              </w:rPr>
              <w:t>, alléguant un conflit d’intérêts entre les intimés et leurs sociétés; les demandeurs ont fini par présenter une demande pour obtenir diverses réparations, y compris une injonction empêchant les intimés d’émettre des chèques tirés sur le compte du condominium à leurs sociétés, interdisant aux intimés de voter illégalement, ordonnant l’embauche d’un gestionnaire immobilier et ordonnant la restitution des sommes d’argent payées aux sociétés des intimés.</w:t>
            </w:r>
          </w:p>
          <w:p w:rsidR="00EE5158" w:rsidRPr="00273521" w:rsidRDefault="00EE5158" w:rsidP="00366F6C">
            <w:pPr>
              <w:jc w:val="both"/>
              <w:rPr>
                <w:sz w:val="20"/>
                <w:lang w:val="fr-CA"/>
              </w:rPr>
            </w:pPr>
          </w:p>
          <w:p w:rsidR="00EE5158" w:rsidRPr="00273521" w:rsidRDefault="00EE5158" w:rsidP="00366F6C">
            <w:pPr>
              <w:jc w:val="both"/>
              <w:rPr>
                <w:sz w:val="20"/>
                <w:lang w:val="fr-CA"/>
              </w:rPr>
            </w:pPr>
            <w:r w:rsidRPr="00273521">
              <w:rPr>
                <w:sz w:val="20"/>
                <w:lang w:val="fr-CA"/>
              </w:rPr>
              <w:t>La Cour du Banc de la Reine de l’Alberta a rejeté la demande des demandeurs et les a condamnés aux dépens, concluant que les conditions de délivrance d’une injonction n’avaient pas été remplies.  La Cour d’appel de l’Alberta a rejeté l’appel des demandeurs.</w:t>
            </w:r>
          </w:p>
          <w:p w:rsidR="00EE5158" w:rsidRPr="00273521" w:rsidRDefault="00EE5158" w:rsidP="00366F6C">
            <w:pPr>
              <w:rPr>
                <w:sz w:val="20"/>
                <w:lang w:val="fr-CA"/>
              </w:rPr>
            </w:pPr>
          </w:p>
        </w:tc>
      </w:tr>
      <w:tr w:rsidR="00EE5158" w:rsidRPr="000536FB" w:rsidTr="00366F6C">
        <w:tc>
          <w:tcPr>
            <w:tcW w:w="2427" w:type="pct"/>
          </w:tcPr>
          <w:p w:rsidR="00EE5158" w:rsidRPr="00273521" w:rsidRDefault="00EE5158" w:rsidP="00366F6C">
            <w:pPr>
              <w:rPr>
                <w:sz w:val="20"/>
                <w:lang w:val="fr-CA"/>
              </w:rPr>
            </w:pPr>
            <w:r w:rsidRPr="00273521">
              <w:rPr>
                <w:sz w:val="20"/>
                <w:lang w:val="fr-CA"/>
              </w:rPr>
              <w:t>15 décembre 2009</w:t>
            </w:r>
          </w:p>
          <w:p w:rsidR="00EE5158" w:rsidRPr="00273521" w:rsidRDefault="00EE5158" w:rsidP="00366F6C">
            <w:pPr>
              <w:rPr>
                <w:sz w:val="20"/>
                <w:lang w:val="fr-CA"/>
              </w:rPr>
            </w:pPr>
            <w:r w:rsidRPr="00273521">
              <w:rPr>
                <w:sz w:val="20"/>
                <w:lang w:val="fr-CA"/>
              </w:rPr>
              <w:t xml:space="preserve">Cour du Banc de la Reine de l’Alberta </w:t>
            </w:r>
          </w:p>
          <w:p w:rsidR="00EE5158" w:rsidRDefault="00EE5158" w:rsidP="00366F6C">
            <w:pPr>
              <w:rPr>
                <w:sz w:val="20"/>
                <w:lang w:val="fr-CA"/>
              </w:rPr>
            </w:pPr>
            <w:r w:rsidRPr="00273521">
              <w:rPr>
                <w:sz w:val="20"/>
                <w:lang w:val="fr-CA"/>
              </w:rPr>
              <w:t xml:space="preserve">(Juge </w:t>
            </w:r>
            <w:proofErr w:type="spellStart"/>
            <w:r w:rsidRPr="00273521">
              <w:rPr>
                <w:sz w:val="20"/>
                <w:lang w:val="fr-CA"/>
              </w:rPr>
              <w:t>Horner</w:t>
            </w:r>
            <w:proofErr w:type="spellEnd"/>
            <w:r w:rsidRPr="00273521">
              <w:rPr>
                <w:sz w:val="20"/>
                <w:lang w:val="fr-CA"/>
              </w:rPr>
              <w:t>)</w:t>
            </w:r>
          </w:p>
          <w:p w:rsidR="00EE5158" w:rsidRPr="00273521" w:rsidRDefault="00EE5158" w:rsidP="00366F6C">
            <w:pPr>
              <w:rPr>
                <w:sz w:val="20"/>
                <w:lang w:val="fr-CA"/>
              </w:rPr>
            </w:pPr>
          </w:p>
        </w:tc>
        <w:tc>
          <w:tcPr>
            <w:tcW w:w="243" w:type="pct"/>
          </w:tcPr>
          <w:p w:rsidR="00EE5158" w:rsidRPr="00273521" w:rsidRDefault="00EE5158" w:rsidP="00366F6C">
            <w:pPr>
              <w:rPr>
                <w:sz w:val="20"/>
                <w:lang w:val="fr-CA"/>
              </w:rPr>
            </w:pPr>
          </w:p>
        </w:tc>
        <w:tc>
          <w:tcPr>
            <w:tcW w:w="2330" w:type="pct"/>
          </w:tcPr>
          <w:p w:rsidR="00EE5158" w:rsidRPr="00273521" w:rsidRDefault="00EE5158" w:rsidP="00366F6C">
            <w:pPr>
              <w:rPr>
                <w:sz w:val="20"/>
                <w:lang w:val="fr-CA"/>
              </w:rPr>
            </w:pPr>
            <w:r w:rsidRPr="00273521">
              <w:rPr>
                <w:sz w:val="20"/>
                <w:lang w:val="fr-CA"/>
              </w:rPr>
              <w:t>Demande d’injonction des demandeurs, rejetée.</w:t>
            </w:r>
          </w:p>
          <w:p w:rsidR="00EE5158" w:rsidRPr="00273521" w:rsidRDefault="00EE5158" w:rsidP="00366F6C">
            <w:pPr>
              <w:rPr>
                <w:sz w:val="20"/>
                <w:lang w:val="fr-CA"/>
              </w:rPr>
            </w:pPr>
          </w:p>
        </w:tc>
      </w:tr>
      <w:tr w:rsidR="00EE5158" w:rsidRPr="00273521" w:rsidTr="00366F6C">
        <w:tc>
          <w:tcPr>
            <w:tcW w:w="2427" w:type="pct"/>
          </w:tcPr>
          <w:p w:rsidR="00EE5158" w:rsidRPr="00273521" w:rsidRDefault="00EE5158" w:rsidP="00366F6C">
            <w:pPr>
              <w:rPr>
                <w:sz w:val="20"/>
                <w:lang w:val="fr-CA"/>
              </w:rPr>
            </w:pPr>
            <w:r w:rsidRPr="00273521">
              <w:rPr>
                <w:sz w:val="20"/>
                <w:lang w:val="fr-CA"/>
              </w:rPr>
              <w:t>18 novembre 2010</w:t>
            </w:r>
          </w:p>
          <w:p w:rsidR="00EE5158" w:rsidRPr="00273521" w:rsidRDefault="00EE5158" w:rsidP="00366F6C">
            <w:pPr>
              <w:rPr>
                <w:sz w:val="20"/>
                <w:lang w:val="fr-CA"/>
              </w:rPr>
            </w:pPr>
            <w:r w:rsidRPr="00273521">
              <w:rPr>
                <w:sz w:val="20"/>
                <w:lang w:val="fr-CA"/>
              </w:rPr>
              <w:t>Cour d’appel de l’Alberta (Calgary)</w:t>
            </w:r>
          </w:p>
          <w:p w:rsidR="00EE5158" w:rsidRPr="00273521" w:rsidRDefault="00EE5158" w:rsidP="00366F6C">
            <w:pPr>
              <w:rPr>
                <w:sz w:val="20"/>
                <w:lang w:val="fr-CA"/>
              </w:rPr>
            </w:pPr>
            <w:r w:rsidRPr="00273521">
              <w:rPr>
                <w:sz w:val="20"/>
                <w:lang w:val="fr-CA"/>
              </w:rPr>
              <w:t xml:space="preserve">(Juges Hunt, </w:t>
            </w:r>
            <w:proofErr w:type="spellStart"/>
            <w:r w:rsidRPr="00273521">
              <w:rPr>
                <w:sz w:val="20"/>
                <w:lang w:val="fr-CA"/>
              </w:rPr>
              <w:t>Paperny</w:t>
            </w:r>
            <w:proofErr w:type="spellEnd"/>
            <w:r w:rsidRPr="00273521">
              <w:rPr>
                <w:sz w:val="20"/>
                <w:lang w:val="fr-CA"/>
              </w:rPr>
              <w:t xml:space="preserve"> et O’Brien)</w:t>
            </w:r>
          </w:p>
          <w:p w:rsidR="00EE5158" w:rsidRPr="00273521" w:rsidRDefault="00EE5158" w:rsidP="00366F6C">
            <w:pPr>
              <w:rPr>
                <w:sz w:val="20"/>
                <w:lang w:val="fr-CA"/>
              </w:rPr>
            </w:pPr>
            <w:r w:rsidRPr="00273521">
              <w:rPr>
                <w:sz w:val="20"/>
                <w:lang w:val="fr-CA"/>
              </w:rPr>
              <w:t>Référence neutre : 2010 ABCA 347</w:t>
            </w:r>
          </w:p>
          <w:p w:rsidR="00EE5158" w:rsidRPr="00273521" w:rsidRDefault="00EE5158" w:rsidP="00366F6C">
            <w:pPr>
              <w:rPr>
                <w:sz w:val="20"/>
                <w:lang w:val="fr-CA"/>
              </w:rPr>
            </w:pPr>
          </w:p>
        </w:tc>
        <w:tc>
          <w:tcPr>
            <w:tcW w:w="243" w:type="pct"/>
          </w:tcPr>
          <w:p w:rsidR="00EE5158" w:rsidRPr="00273521" w:rsidRDefault="00EE5158" w:rsidP="00366F6C">
            <w:pPr>
              <w:rPr>
                <w:sz w:val="20"/>
                <w:lang w:val="fr-CA"/>
              </w:rPr>
            </w:pPr>
          </w:p>
        </w:tc>
        <w:tc>
          <w:tcPr>
            <w:tcW w:w="2330" w:type="pct"/>
          </w:tcPr>
          <w:p w:rsidR="00EE5158" w:rsidRPr="00273521" w:rsidRDefault="00EE5158" w:rsidP="00366F6C">
            <w:pPr>
              <w:rPr>
                <w:sz w:val="20"/>
                <w:lang w:val="fr-CA"/>
              </w:rPr>
            </w:pPr>
            <w:r w:rsidRPr="00273521">
              <w:rPr>
                <w:sz w:val="20"/>
                <w:lang w:val="fr-CA"/>
              </w:rPr>
              <w:t>Appel des demandeurs, rejeté.</w:t>
            </w:r>
          </w:p>
          <w:p w:rsidR="00EE5158" w:rsidRPr="00273521" w:rsidRDefault="00EE5158" w:rsidP="00366F6C">
            <w:pPr>
              <w:rPr>
                <w:sz w:val="20"/>
                <w:lang w:val="fr-CA"/>
              </w:rPr>
            </w:pPr>
          </w:p>
        </w:tc>
      </w:tr>
      <w:tr w:rsidR="00EE5158" w:rsidRPr="00273521" w:rsidTr="00366F6C">
        <w:tc>
          <w:tcPr>
            <w:tcW w:w="2427" w:type="pct"/>
          </w:tcPr>
          <w:p w:rsidR="00EE5158" w:rsidRPr="00273521" w:rsidRDefault="00EE5158" w:rsidP="00366F6C">
            <w:pPr>
              <w:rPr>
                <w:sz w:val="20"/>
                <w:lang w:val="fr-CA"/>
              </w:rPr>
            </w:pPr>
            <w:r w:rsidRPr="00273521">
              <w:rPr>
                <w:sz w:val="20"/>
                <w:lang w:val="fr-CA"/>
              </w:rPr>
              <w:t>14 janvier 2011</w:t>
            </w:r>
          </w:p>
          <w:p w:rsidR="00EE5158" w:rsidRPr="00273521" w:rsidRDefault="00EE5158" w:rsidP="00366F6C">
            <w:pPr>
              <w:rPr>
                <w:sz w:val="20"/>
                <w:lang w:val="fr-CA"/>
              </w:rPr>
            </w:pPr>
            <w:r w:rsidRPr="00273521">
              <w:rPr>
                <w:sz w:val="20"/>
                <w:lang w:val="fr-CA"/>
              </w:rPr>
              <w:t>Cour suprême du Canada</w:t>
            </w:r>
          </w:p>
        </w:tc>
        <w:tc>
          <w:tcPr>
            <w:tcW w:w="243" w:type="pct"/>
          </w:tcPr>
          <w:p w:rsidR="00EE5158" w:rsidRPr="00273521" w:rsidRDefault="00EE5158" w:rsidP="00366F6C">
            <w:pPr>
              <w:rPr>
                <w:sz w:val="20"/>
                <w:lang w:val="fr-CA"/>
              </w:rPr>
            </w:pPr>
          </w:p>
        </w:tc>
        <w:tc>
          <w:tcPr>
            <w:tcW w:w="2330" w:type="pct"/>
          </w:tcPr>
          <w:p w:rsidR="00EE5158" w:rsidRPr="00273521" w:rsidRDefault="00EE5158" w:rsidP="00366F6C">
            <w:pPr>
              <w:rPr>
                <w:sz w:val="20"/>
                <w:lang w:val="fr-CA"/>
              </w:rPr>
            </w:pPr>
            <w:r w:rsidRPr="00273521">
              <w:rPr>
                <w:sz w:val="20"/>
                <w:lang w:val="fr-CA"/>
              </w:rPr>
              <w:t>Demande d’autorisation d’appel, déposée</w:t>
            </w:r>
          </w:p>
          <w:p w:rsidR="00EE5158" w:rsidRPr="00273521" w:rsidRDefault="00EE5158" w:rsidP="00366F6C">
            <w:pPr>
              <w:rPr>
                <w:sz w:val="20"/>
                <w:lang w:val="fr-CA"/>
              </w:rPr>
            </w:pPr>
          </w:p>
        </w:tc>
      </w:tr>
    </w:tbl>
    <w:p w:rsidR="00177474" w:rsidRDefault="00177474" w:rsidP="008D292F">
      <w:pPr>
        <w:rPr>
          <w:sz w:val="20"/>
          <w:szCs w:val="20"/>
        </w:rPr>
      </w:pPr>
    </w:p>
    <w:p w:rsidR="00177474" w:rsidRDefault="009E364E" w:rsidP="008D292F">
      <w:pPr>
        <w:rPr>
          <w:sz w:val="20"/>
          <w:szCs w:val="20"/>
          <w:lang w:val="fr-CA"/>
        </w:rPr>
      </w:pPr>
      <w:r w:rsidRPr="009E364E">
        <w:rPr>
          <w:sz w:val="20"/>
          <w:szCs w:val="20"/>
          <w:lang w:val="fr-CA"/>
        </w:rPr>
        <w:pict>
          <v:rect id="_x0000_i1039" style="width:2in;height:1pt" o:hrpct="0" o:hralign="center" o:hrstd="t" o:hrnoshade="t" o:hr="t" fillcolor="black [3213]" stroked="f"/>
        </w:pict>
      </w:r>
    </w:p>
    <w:p w:rsidR="00177474" w:rsidRDefault="00177474" w:rsidP="008D292F">
      <w:pPr>
        <w:rPr>
          <w:sz w:val="20"/>
          <w:szCs w:val="20"/>
          <w:lang w:val="fr-CA"/>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74243" w:rsidRPr="00D74243" w:rsidTr="00E06292">
        <w:trPr>
          <w:cantSplit/>
        </w:trPr>
        <w:tc>
          <w:tcPr>
            <w:tcW w:w="1458" w:type="dxa"/>
          </w:tcPr>
          <w:p w:rsidR="00D74243" w:rsidRPr="00D74243" w:rsidRDefault="00D74243" w:rsidP="00D74243">
            <w:pPr>
              <w:rPr>
                <w:rFonts w:cs="Times New Roman"/>
                <w:sz w:val="20"/>
                <w:szCs w:val="20"/>
              </w:rPr>
            </w:pPr>
            <w:r w:rsidRPr="00D74243">
              <w:rPr>
                <w:rFonts w:cs="Times New Roman"/>
                <w:b/>
                <w:sz w:val="20"/>
                <w:lang w:val="fr-CA"/>
              </w:rPr>
              <w:t>34086</w:t>
            </w:r>
          </w:p>
          <w:p w:rsidR="00D74243" w:rsidRPr="00D74243" w:rsidRDefault="00D74243" w:rsidP="00D74243">
            <w:pPr>
              <w:rPr>
                <w:rFonts w:cs="Times New Roman"/>
                <w:b/>
                <w:sz w:val="20"/>
                <w:szCs w:val="20"/>
                <w:lang w:val="fr-CA"/>
              </w:rPr>
            </w:pPr>
          </w:p>
        </w:tc>
        <w:tc>
          <w:tcPr>
            <w:tcW w:w="8118" w:type="dxa"/>
          </w:tcPr>
          <w:p w:rsidR="00D74243" w:rsidRPr="00D74243" w:rsidRDefault="00D74243" w:rsidP="00D74243">
            <w:pPr>
              <w:jc w:val="both"/>
              <w:rPr>
                <w:rFonts w:cs="Times New Roman"/>
                <w:sz w:val="20"/>
                <w:szCs w:val="20"/>
              </w:rPr>
            </w:pPr>
            <w:r w:rsidRPr="00D74243">
              <w:rPr>
                <w:rFonts w:cs="Times New Roman"/>
                <w:b/>
                <w:sz w:val="20"/>
                <w:u w:val="single"/>
              </w:rPr>
              <w:t xml:space="preserve">Hershey Company, Hershey Canada Inc., Nestlé Canada Inc., Mars, Incorporated and Mars Canada Inc. v. David </w:t>
            </w:r>
            <w:proofErr w:type="spellStart"/>
            <w:r w:rsidRPr="00D74243">
              <w:rPr>
                <w:rFonts w:cs="Times New Roman"/>
                <w:b/>
                <w:sz w:val="20"/>
                <w:u w:val="single"/>
              </w:rPr>
              <w:t>Osmun</w:t>
            </w:r>
            <w:proofErr w:type="spellEnd"/>
            <w:r w:rsidRPr="00D74243">
              <w:rPr>
                <w:rFonts w:cs="Times New Roman"/>
                <w:b/>
                <w:sz w:val="20"/>
                <w:u w:val="single"/>
              </w:rPr>
              <w:t>, Metro (Windsor) Enterprises Inc., Kraft Canada Inc. (formerly known as Cadbury Adams Canada Inc.)</w:t>
            </w:r>
            <w:r>
              <w:rPr>
                <w:rFonts w:cs="Times New Roman"/>
                <w:b/>
                <w:sz w:val="20"/>
                <w:u w:val="single"/>
              </w:rPr>
              <w:t xml:space="preserve"> and</w:t>
            </w:r>
            <w:r w:rsidRPr="00D74243">
              <w:rPr>
                <w:rFonts w:cs="Times New Roman"/>
                <w:b/>
                <w:sz w:val="20"/>
                <w:u w:val="single"/>
              </w:rPr>
              <w:t xml:space="preserve"> </w:t>
            </w:r>
            <w:proofErr w:type="spellStart"/>
            <w:r w:rsidRPr="00D74243">
              <w:rPr>
                <w:rFonts w:cs="Times New Roman"/>
                <w:b/>
                <w:sz w:val="20"/>
                <w:u w:val="single"/>
              </w:rPr>
              <w:t>Itwal</w:t>
            </w:r>
            <w:proofErr w:type="spellEnd"/>
            <w:r w:rsidRPr="00D74243">
              <w:rPr>
                <w:rFonts w:cs="Times New Roman"/>
                <w:b/>
                <w:sz w:val="20"/>
                <w:u w:val="single"/>
              </w:rPr>
              <w:t xml:space="preserve"> Limited</w:t>
            </w:r>
            <w:r w:rsidRPr="00D74243">
              <w:rPr>
                <w:rFonts w:cs="Times New Roman"/>
                <w:sz w:val="20"/>
                <w:szCs w:val="20"/>
              </w:rPr>
              <w:t xml:space="preserve"> (Ont.) (Civil) (By Leave)</w:t>
            </w:r>
          </w:p>
          <w:p w:rsidR="00D74243" w:rsidRPr="00D74243" w:rsidRDefault="00D74243" w:rsidP="00D74243">
            <w:pPr>
              <w:rPr>
                <w:rFonts w:cs="Times New Roman"/>
                <w:sz w:val="20"/>
                <w:szCs w:val="20"/>
              </w:rPr>
            </w:pPr>
          </w:p>
        </w:tc>
      </w:tr>
      <w:tr w:rsidR="00D74243" w:rsidRPr="00D74243" w:rsidTr="00E06292">
        <w:trPr>
          <w:cantSplit/>
        </w:trPr>
        <w:tc>
          <w:tcPr>
            <w:tcW w:w="1458" w:type="dxa"/>
          </w:tcPr>
          <w:p w:rsidR="00D74243" w:rsidRPr="00D74243" w:rsidRDefault="00D74243" w:rsidP="00D74243">
            <w:pPr>
              <w:rPr>
                <w:rFonts w:cs="Times New Roman"/>
                <w:sz w:val="20"/>
                <w:szCs w:val="20"/>
              </w:rPr>
            </w:pPr>
            <w:r w:rsidRPr="00D74243">
              <w:rPr>
                <w:rFonts w:cs="Times New Roman"/>
                <w:sz w:val="20"/>
                <w:szCs w:val="20"/>
              </w:rPr>
              <w:t>Coram :</w:t>
            </w:r>
          </w:p>
        </w:tc>
        <w:tc>
          <w:tcPr>
            <w:tcW w:w="8118" w:type="dxa"/>
          </w:tcPr>
          <w:p w:rsidR="00D74243" w:rsidRPr="00D74243" w:rsidRDefault="00D74243" w:rsidP="00D74243">
            <w:pPr>
              <w:rPr>
                <w:rFonts w:cs="Times New Roman"/>
                <w:sz w:val="20"/>
                <w:szCs w:val="20"/>
              </w:rPr>
            </w:pPr>
            <w:proofErr w:type="spellStart"/>
            <w:r w:rsidRPr="00D74243">
              <w:rPr>
                <w:rFonts w:cs="Times New Roman"/>
                <w:sz w:val="20"/>
                <w:u w:val="single"/>
              </w:rPr>
              <w:t>LeBel</w:t>
            </w:r>
            <w:proofErr w:type="spellEnd"/>
            <w:r w:rsidRPr="00D74243">
              <w:rPr>
                <w:rFonts w:cs="Times New Roman"/>
                <w:sz w:val="20"/>
                <w:u w:val="single"/>
              </w:rPr>
              <w:t>, Fish and Cromwell JJ.</w:t>
            </w:r>
          </w:p>
          <w:p w:rsidR="00D74243" w:rsidRPr="00D74243" w:rsidRDefault="00D74243" w:rsidP="00D74243">
            <w:pPr>
              <w:rPr>
                <w:rFonts w:cs="Times New Roman"/>
                <w:sz w:val="20"/>
                <w:szCs w:val="20"/>
                <w:u w:val="single"/>
              </w:rPr>
            </w:pPr>
          </w:p>
        </w:tc>
      </w:tr>
      <w:tr w:rsidR="00D74243" w:rsidRPr="00D74243" w:rsidTr="00E06292">
        <w:trPr>
          <w:cantSplit/>
        </w:trPr>
        <w:tc>
          <w:tcPr>
            <w:tcW w:w="9576" w:type="dxa"/>
            <w:gridSpan w:val="2"/>
          </w:tcPr>
          <w:p w:rsidR="00D74243" w:rsidRPr="00D74243" w:rsidRDefault="00D74243" w:rsidP="00D74243">
            <w:pPr>
              <w:ind w:firstLine="720"/>
              <w:jc w:val="both"/>
              <w:rPr>
                <w:rFonts w:cs="Times New Roman"/>
                <w:sz w:val="20"/>
                <w:szCs w:val="20"/>
              </w:rPr>
            </w:pPr>
            <w:r w:rsidRPr="00D74243">
              <w:rPr>
                <w:rFonts w:cs="Times New Roman"/>
                <w:sz w:val="20"/>
                <w:szCs w:val="20"/>
              </w:rPr>
              <w:t>The application for leave to appeal from the judgment of the Court of Appeal for Ontario, Number C52131, 2010 ONCA 841, dated December 7, 2010, is dismissed with costs.</w:t>
            </w:r>
          </w:p>
          <w:p w:rsidR="00D74243" w:rsidRPr="00D74243" w:rsidRDefault="00D74243" w:rsidP="00D74243">
            <w:pPr>
              <w:jc w:val="both"/>
              <w:rPr>
                <w:rFonts w:cs="Times New Roman"/>
                <w:sz w:val="20"/>
                <w:szCs w:val="20"/>
              </w:rPr>
            </w:pPr>
          </w:p>
          <w:p w:rsidR="00D74243" w:rsidRPr="00D74243" w:rsidRDefault="00D74243" w:rsidP="00D74243">
            <w:pPr>
              <w:ind w:firstLine="720"/>
              <w:jc w:val="both"/>
              <w:rPr>
                <w:rFonts w:cs="Times New Roman"/>
                <w:sz w:val="20"/>
                <w:szCs w:val="20"/>
                <w:lang w:val="fr-CA"/>
              </w:rPr>
            </w:pPr>
            <w:r w:rsidRPr="00D74243">
              <w:rPr>
                <w:rFonts w:cs="Times New Roman"/>
                <w:sz w:val="20"/>
                <w:szCs w:val="20"/>
                <w:lang w:val="fr-CA"/>
              </w:rPr>
              <w:t>La demande d’autorisation d’appel de l’arrêt de la Cour d’appel de l’Ontario, numéro C52131, 2010 ONCA 841, daté du 7 décembre 2010, est rejetée avec dépens.</w:t>
            </w:r>
          </w:p>
        </w:tc>
      </w:tr>
    </w:tbl>
    <w:p w:rsidR="00177474" w:rsidRPr="00D74243" w:rsidRDefault="00177474" w:rsidP="00177474">
      <w:pPr>
        <w:rPr>
          <w:sz w:val="20"/>
          <w:szCs w:val="20"/>
          <w:lang w:val="fr-CA"/>
        </w:rPr>
      </w:pPr>
    </w:p>
    <w:p w:rsidR="00177474" w:rsidRPr="00177474" w:rsidRDefault="00177474" w:rsidP="00177474">
      <w:pPr>
        <w:rPr>
          <w:sz w:val="20"/>
          <w:szCs w:val="20"/>
        </w:rPr>
      </w:pPr>
      <w:r>
        <w:rPr>
          <w:sz w:val="20"/>
          <w:szCs w:val="20"/>
          <w:u w:val="single"/>
        </w:rPr>
        <w:lastRenderedPageBreak/>
        <w:t>CASE SUMMARY</w:t>
      </w:r>
    </w:p>
    <w:p w:rsidR="00177474" w:rsidRDefault="00177474" w:rsidP="001774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E5158" w:rsidRPr="00273521" w:rsidTr="00366F6C">
        <w:tc>
          <w:tcPr>
            <w:tcW w:w="5000" w:type="pct"/>
            <w:gridSpan w:val="3"/>
          </w:tcPr>
          <w:p w:rsidR="00EE5158" w:rsidRPr="00273521" w:rsidRDefault="00EE5158" w:rsidP="00366F6C">
            <w:pPr>
              <w:jc w:val="both"/>
              <w:rPr>
                <w:rFonts w:eastAsia="Calibri"/>
                <w:sz w:val="20"/>
              </w:rPr>
            </w:pPr>
            <w:r w:rsidRPr="00273521">
              <w:rPr>
                <w:rFonts w:eastAsia="Calibri"/>
                <w:sz w:val="20"/>
              </w:rPr>
              <w:t xml:space="preserve">Class actions — Partial settlement — Approval of settlement agreement — Bar Order — Whether contribution and indemnity is available to </w:t>
            </w:r>
            <w:proofErr w:type="spellStart"/>
            <w:r w:rsidRPr="00273521">
              <w:rPr>
                <w:rFonts w:eastAsia="Calibri"/>
                <w:sz w:val="20"/>
              </w:rPr>
              <w:t>co</w:t>
            </w:r>
            <w:r w:rsidRPr="00273521">
              <w:rPr>
                <w:rFonts w:eastAsia="Calibri"/>
                <w:sz w:val="20"/>
              </w:rPr>
              <w:noBreakHyphen/>
              <w:t>conspirators</w:t>
            </w:r>
            <w:proofErr w:type="spellEnd"/>
            <w:r w:rsidRPr="00273521">
              <w:rPr>
                <w:rFonts w:eastAsia="Calibri"/>
                <w:sz w:val="20"/>
              </w:rPr>
              <w:t xml:space="preserve"> in Canada — Bar order provides that, if the Court determines that there is a right of contribution and indemnity, the plaintiff class cannot claim or recover damages attributable to settling defendants from the </w:t>
            </w:r>
            <w:proofErr w:type="spellStart"/>
            <w:r w:rsidRPr="00273521">
              <w:rPr>
                <w:rFonts w:eastAsia="Calibri"/>
                <w:sz w:val="20"/>
              </w:rPr>
              <w:t>non</w:t>
            </w:r>
            <w:r w:rsidRPr="00273521">
              <w:rPr>
                <w:rFonts w:eastAsia="Calibri"/>
                <w:sz w:val="20"/>
              </w:rPr>
              <w:noBreakHyphen/>
              <w:t>settling</w:t>
            </w:r>
            <w:proofErr w:type="spellEnd"/>
            <w:r w:rsidRPr="00273521">
              <w:rPr>
                <w:rFonts w:eastAsia="Calibri"/>
                <w:sz w:val="20"/>
              </w:rPr>
              <w:t xml:space="preserve"> defendants — Validity and enforceability of </w:t>
            </w:r>
            <w:proofErr w:type="spellStart"/>
            <w:r w:rsidRPr="00273521">
              <w:rPr>
                <w:rFonts w:eastAsia="Calibri"/>
                <w:sz w:val="20"/>
              </w:rPr>
              <w:t>anti</w:t>
            </w:r>
            <w:r w:rsidRPr="00273521">
              <w:rPr>
                <w:rFonts w:eastAsia="Calibri"/>
                <w:sz w:val="20"/>
              </w:rPr>
              <w:noBreakHyphen/>
              <w:t>suit</w:t>
            </w:r>
            <w:proofErr w:type="spellEnd"/>
            <w:r w:rsidRPr="00273521">
              <w:rPr>
                <w:rFonts w:eastAsia="Calibri"/>
                <w:sz w:val="20"/>
              </w:rPr>
              <w:t xml:space="preserve"> injunctions issued under provincial class actions legislation, having regard to the principles of order and fairness established in </w:t>
            </w:r>
            <w:proofErr w:type="spellStart"/>
            <w:r w:rsidRPr="00273521">
              <w:rPr>
                <w:rFonts w:eastAsia="Calibri"/>
                <w:i/>
                <w:sz w:val="20"/>
              </w:rPr>
              <w:t>Amchem</w:t>
            </w:r>
            <w:proofErr w:type="spellEnd"/>
            <w:r w:rsidRPr="00273521">
              <w:rPr>
                <w:rFonts w:eastAsia="Calibri"/>
                <w:i/>
                <w:sz w:val="20"/>
              </w:rPr>
              <w:t xml:space="preserve"> Products Inc. v. British Columbia (Workers’ Compensation Board)</w:t>
            </w:r>
            <w:r w:rsidRPr="00273521">
              <w:rPr>
                <w:rFonts w:eastAsia="Calibri"/>
                <w:sz w:val="20"/>
              </w:rPr>
              <w:t xml:space="preserve">, [1993] 1 S.C.R. 897 — In what circumstances, if any, and under what guiding principles, should courts issue bar orders that affect the legal rights of parties and </w:t>
            </w:r>
            <w:proofErr w:type="spellStart"/>
            <w:r w:rsidRPr="00273521">
              <w:rPr>
                <w:rFonts w:eastAsia="Calibri"/>
                <w:sz w:val="20"/>
              </w:rPr>
              <w:t>non</w:t>
            </w:r>
            <w:r w:rsidRPr="00273521">
              <w:rPr>
                <w:rFonts w:eastAsia="Calibri"/>
                <w:sz w:val="20"/>
              </w:rPr>
              <w:noBreakHyphen/>
              <w:t>parties</w:t>
            </w:r>
            <w:proofErr w:type="spellEnd"/>
            <w:r w:rsidRPr="00273521">
              <w:rPr>
                <w:rFonts w:eastAsia="Calibri"/>
                <w:sz w:val="20"/>
              </w:rPr>
              <w:t xml:space="preserve"> in multi</w:t>
            </w:r>
            <w:r w:rsidRPr="00273521">
              <w:rPr>
                <w:rFonts w:eastAsia="Calibri"/>
                <w:sz w:val="20"/>
              </w:rPr>
              <w:noBreakHyphen/>
              <w:t>party or multi</w:t>
            </w:r>
            <w:r w:rsidRPr="00273521">
              <w:rPr>
                <w:rFonts w:eastAsia="Calibri"/>
                <w:sz w:val="20"/>
              </w:rPr>
              <w:noBreakHyphen/>
              <w:t>jurisdictional litigation — In what circumstances, if any, should courts permit one defendant to be sued for damages attributable to another defendant where the first defendant’s claim for contribution and indemnity against the second defendant has been prohibited by a bar order?</w:t>
            </w:r>
          </w:p>
        </w:tc>
      </w:tr>
      <w:tr w:rsidR="00EE5158" w:rsidRPr="00273521" w:rsidTr="00366F6C">
        <w:tc>
          <w:tcPr>
            <w:tcW w:w="5000" w:type="pct"/>
            <w:gridSpan w:val="3"/>
          </w:tcPr>
          <w:p w:rsidR="00EE5158" w:rsidRPr="00273521" w:rsidRDefault="00EE5158" w:rsidP="00366F6C">
            <w:pPr>
              <w:jc w:val="both"/>
              <w:rPr>
                <w:rFonts w:eastAsia="Calibri"/>
                <w:sz w:val="20"/>
              </w:rPr>
            </w:pPr>
          </w:p>
        </w:tc>
      </w:tr>
      <w:tr w:rsidR="00EE5158" w:rsidRPr="00273521" w:rsidTr="00366F6C">
        <w:tc>
          <w:tcPr>
            <w:tcW w:w="5000" w:type="pct"/>
            <w:gridSpan w:val="3"/>
          </w:tcPr>
          <w:p w:rsidR="00EE5158" w:rsidRPr="00273521" w:rsidRDefault="00EE5158" w:rsidP="00366F6C">
            <w:pPr>
              <w:jc w:val="both"/>
              <w:rPr>
                <w:rFonts w:eastAsia="Calibri"/>
                <w:sz w:val="20"/>
              </w:rPr>
            </w:pPr>
            <w:r w:rsidRPr="00273521">
              <w:rPr>
                <w:rFonts w:eastAsia="Calibri"/>
                <w:sz w:val="20"/>
              </w:rPr>
              <w:t>In a class action alleging that four chocolate manufacturers (Cadbury, Hershey, Mars and Nestle) conspired to fix, and did fix, maintain or stabilize prices of chocolate confectionary products in Canada and that a chocolate distributor (</w:t>
            </w:r>
            <w:proofErr w:type="spellStart"/>
            <w:r w:rsidRPr="00273521">
              <w:rPr>
                <w:rFonts w:eastAsia="Calibri"/>
                <w:sz w:val="20"/>
              </w:rPr>
              <w:t>Itwal</w:t>
            </w:r>
            <w:proofErr w:type="spellEnd"/>
            <w:r w:rsidRPr="00273521">
              <w:rPr>
                <w:rFonts w:eastAsia="Calibri"/>
                <w:sz w:val="20"/>
              </w:rPr>
              <w:t xml:space="preserve"> Limited) engaged in price maintenance.  The causes of action were the intentional torts of conspiracy and interference with economic relations, and a statutory claim for damages under s. 36 of the </w:t>
            </w:r>
            <w:r w:rsidRPr="00273521">
              <w:rPr>
                <w:rFonts w:eastAsia="Calibri"/>
                <w:i/>
                <w:sz w:val="20"/>
              </w:rPr>
              <w:t>Competition Act</w:t>
            </w:r>
            <w:r w:rsidRPr="00273521">
              <w:rPr>
                <w:rFonts w:eastAsia="Calibri"/>
                <w:sz w:val="20"/>
              </w:rPr>
              <w:t>, R.S.C. 1985, c. C</w:t>
            </w:r>
            <w:r w:rsidRPr="00273521">
              <w:rPr>
                <w:rFonts w:eastAsia="Calibri"/>
                <w:sz w:val="20"/>
              </w:rPr>
              <w:noBreakHyphen/>
              <w:t>34, for conduct contrary to Part VI of that Act.</w:t>
            </w:r>
          </w:p>
          <w:p w:rsidR="00EE5158" w:rsidRPr="00273521" w:rsidRDefault="00EE5158" w:rsidP="00366F6C">
            <w:pPr>
              <w:jc w:val="both"/>
              <w:rPr>
                <w:rFonts w:eastAsia="Calibri"/>
                <w:sz w:val="20"/>
              </w:rPr>
            </w:pPr>
          </w:p>
          <w:p w:rsidR="00EE5158" w:rsidRPr="00273521" w:rsidRDefault="00EE5158" w:rsidP="00366F6C">
            <w:pPr>
              <w:jc w:val="both"/>
              <w:rPr>
                <w:rFonts w:eastAsia="Calibri"/>
                <w:sz w:val="20"/>
              </w:rPr>
            </w:pPr>
            <w:r w:rsidRPr="00273521">
              <w:rPr>
                <w:rFonts w:eastAsia="Calibri"/>
                <w:sz w:val="20"/>
              </w:rPr>
              <w:t xml:space="preserve">Mr. </w:t>
            </w:r>
            <w:proofErr w:type="spellStart"/>
            <w:r w:rsidRPr="00273521">
              <w:rPr>
                <w:rFonts w:eastAsia="Calibri"/>
                <w:sz w:val="20"/>
              </w:rPr>
              <w:t>Osmun</w:t>
            </w:r>
            <w:proofErr w:type="spellEnd"/>
            <w:r w:rsidRPr="00273521">
              <w:rPr>
                <w:rFonts w:eastAsia="Calibri"/>
                <w:sz w:val="20"/>
              </w:rPr>
              <w:t xml:space="preserve"> settled with Cadbury and </w:t>
            </w:r>
            <w:proofErr w:type="spellStart"/>
            <w:r w:rsidRPr="00273521">
              <w:rPr>
                <w:rFonts w:eastAsia="Calibri"/>
                <w:sz w:val="20"/>
              </w:rPr>
              <w:t>Itwal</w:t>
            </w:r>
            <w:proofErr w:type="spellEnd"/>
            <w:r w:rsidRPr="00273521">
              <w:rPr>
                <w:rFonts w:eastAsia="Calibri"/>
                <w:sz w:val="20"/>
              </w:rPr>
              <w:t xml:space="preserve">.  The settlement agreements contained, </w:t>
            </w:r>
            <w:r w:rsidRPr="00273521">
              <w:rPr>
                <w:rFonts w:eastAsia="Calibri"/>
                <w:i/>
                <w:sz w:val="20"/>
              </w:rPr>
              <w:t>inter alia</w:t>
            </w:r>
            <w:r w:rsidRPr="00273521">
              <w:rPr>
                <w:rFonts w:eastAsia="Calibri"/>
                <w:sz w:val="20"/>
              </w:rPr>
              <w:t xml:space="preserve">, a “bar order” which protects the settling defendant from claims for contribution and indemnity from its </w:t>
            </w:r>
            <w:proofErr w:type="spellStart"/>
            <w:r w:rsidRPr="00273521">
              <w:rPr>
                <w:rFonts w:eastAsia="Calibri"/>
                <w:sz w:val="20"/>
              </w:rPr>
              <w:t>co</w:t>
            </w:r>
            <w:r w:rsidRPr="00273521">
              <w:rPr>
                <w:rFonts w:eastAsia="Calibri"/>
                <w:sz w:val="20"/>
              </w:rPr>
              <w:noBreakHyphen/>
              <w:t>defendants</w:t>
            </w:r>
            <w:proofErr w:type="spellEnd"/>
            <w:r w:rsidRPr="00273521">
              <w:rPr>
                <w:rFonts w:eastAsia="Calibri"/>
                <w:sz w:val="20"/>
              </w:rPr>
              <w:t xml:space="preserve"> and provides that, “If the Courts ultimately determine there is a right of contribution and indemnity between </w:t>
            </w:r>
            <w:proofErr w:type="spellStart"/>
            <w:r w:rsidRPr="00273521">
              <w:rPr>
                <w:rFonts w:eastAsia="Calibri"/>
                <w:sz w:val="20"/>
              </w:rPr>
              <w:t>co</w:t>
            </w:r>
            <w:r w:rsidRPr="00273521">
              <w:rPr>
                <w:rFonts w:eastAsia="Calibri"/>
                <w:sz w:val="20"/>
              </w:rPr>
              <w:noBreakHyphen/>
              <w:t>conspirators</w:t>
            </w:r>
            <w:proofErr w:type="spellEnd"/>
            <w:r w:rsidRPr="00273521">
              <w:rPr>
                <w:rFonts w:eastAsia="Calibri"/>
                <w:sz w:val="20"/>
              </w:rPr>
              <w:t xml:space="preserve">, the [plaintiffs] shall restrict their joint and several claims against the </w:t>
            </w:r>
            <w:proofErr w:type="spellStart"/>
            <w:r w:rsidRPr="00273521">
              <w:rPr>
                <w:rFonts w:eastAsia="Calibri"/>
                <w:sz w:val="20"/>
              </w:rPr>
              <w:t>Non</w:t>
            </w:r>
            <w:r w:rsidRPr="00273521">
              <w:rPr>
                <w:rFonts w:eastAsia="Calibri"/>
                <w:sz w:val="20"/>
              </w:rPr>
              <w:noBreakHyphen/>
              <w:t>Settling</w:t>
            </w:r>
            <w:proofErr w:type="spellEnd"/>
            <w:r w:rsidRPr="00273521">
              <w:rPr>
                <w:rFonts w:eastAsia="Calibri"/>
                <w:sz w:val="20"/>
              </w:rPr>
              <w:t xml:space="preserve"> Defendants such that the [plaintiffs] shall be entitled to claim and recover from the </w:t>
            </w:r>
            <w:proofErr w:type="spellStart"/>
            <w:r w:rsidRPr="00273521">
              <w:rPr>
                <w:rFonts w:eastAsia="Calibri"/>
                <w:sz w:val="20"/>
              </w:rPr>
              <w:t>Non</w:t>
            </w:r>
            <w:r w:rsidRPr="00273521">
              <w:rPr>
                <w:rFonts w:eastAsia="Calibri"/>
                <w:sz w:val="20"/>
              </w:rPr>
              <w:noBreakHyphen/>
              <w:t>Settling</w:t>
            </w:r>
            <w:proofErr w:type="spellEnd"/>
            <w:r w:rsidRPr="00273521">
              <w:rPr>
                <w:rFonts w:eastAsia="Calibri"/>
                <w:sz w:val="20"/>
              </w:rPr>
              <w:t xml:space="preserve"> Defendants on a joint and several basis, only those damages, if any, arising from and allocable to the conduct of and/or sales by the </w:t>
            </w:r>
            <w:proofErr w:type="spellStart"/>
            <w:r w:rsidRPr="00273521">
              <w:rPr>
                <w:rFonts w:eastAsia="Calibri"/>
                <w:sz w:val="20"/>
              </w:rPr>
              <w:t>Non</w:t>
            </w:r>
            <w:r w:rsidRPr="00273521">
              <w:rPr>
                <w:rFonts w:eastAsia="Calibri"/>
                <w:sz w:val="20"/>
              </w:rPr>
              <w:noBreakHyphen/>
              <w:t>Settling</w:t>
            </w:r>
            <w:proofErr w:type="spellEnd"/>
            <w:r w:rsidRPr="00273521">
              <w:rPr>
                <w:rFonts w:eastAsia="Calibri"/>
                <w:sz w:val="20"/>
              </w:rPr>
              <w:t xml:space="preserve"> Defendants”.  The </w:t>
            </w:r>
            <w:proofErr w:type="spellStart"/>
            <w:r w:rsidRPr="00273521">
              <w:rPr>
                <w:rFonts w:eastAsia="Calibri"/>
                <w:sz w:val="20"/>
              </w:rPr>
              <w:t>non</w:t>
            </w:r>
            <w:r w:rsidRPr="00273521">
              <w:rPr>
                <w:rFonts w:eastAsia="Calibri"/>
                <w:sz w:val="20"/>
              </w:rPr>
              <w:noBreakHyphen/>
              <w:t>settling</w:t>
            </w:r>
            <w:proofErr w:type="spellEnd"/>
            <w:r w:rsidRPr="00273521">
              <w:rPr>
                <w:rFonts w:eastAsia="Calibri"/>
                <w:sz w:val="20"/>
              </w:rPr>
              <w:t xml:space="preserve"> defendants objected to the bar orders as proposed.</w:t>
            </w:r>
          </w:p>
          <w:p w:rsidR="00EE5158" w:rsidRPr="00273521" w:rsidRDefault="00EE5158" w:rsidP="00366F6C">
            <w:pPr>
              <w:jc w:val="both"/>
              <w:rPr>
                <w:rFonts w:eastAsia="Calibri"/>
                <w:sz w:val="20"/>
              </w:rPr>
            </w:pPr>
          </w:p>
          <w:p w:rsidR="00EE5158" w:rsidRPr="00273521" w:rsidRDefault="00EE5158" w:rsidP="00366F6C">
            <w:pPr>
              <w:jc w:val="both"/>
              <w:rPr>
                <w:rFonts w:eastAsia="Calibri"/>
                <w:sz w:val="20"/>
              </w:rPr>
            </w:pPr>
            <w:r w:rsidRPr="00273521">
              <w:rPr>
                <w:rFonts w:eastAsia="Calibri"/>
                <w:sz w:val="20"/>
              </w:rPr>
              <w:t>The settlement agreements were approved, and the appeals were dismissed.</w:t>
            </w:r>
          </w:p>
          <w:p w:rsidR="00EE5158" w:rsidRPr="00273521" w:rsidRDefault="00EE5158" w:rsidP="00366F6C">
            <w:pPr>
              <w:jc w:val="both"/>
              <w:rPr>
                <w:rFonts w:eastAsia="Calibri"/>
                <w:sz w:val="20"/>
              </w:rPr>
            </w:pPr>
          </w:p>
        </w:tc>
      </w:tr>
      <w:tr w:rsidR="00EE5158" w:rsidRPr="00273521" w:rsidTr="00366F6C">
        <w:tc>
          <w:tcPr>
            <w:tcW w:w="2427" w:type="pct"/>
          </w:tcPr>
          <w:p w:rsidR="00EE5158" w:rsidRPr="00273521" w:rsidRDefault="00EE5158" w:rsidP="00366F6C">
            <w:pPr>
              <w:jc w:val="both"/>
              <w:rPr>
                <w:rFonts w:eastAsia="Calibri"/>
                <w:sz w:val="20"/>
              </w:rPr>
            </w:pPr>
            <w:r w:rsidRPr="00273521">
              <w:rPr>
                <w:rFonts w:eastAsia="Calibri"/>
                <w:sz w:val="20"/>
              </w:rPr>
              <w:t>May 5, 2010</w:t>
            </w:r>
          </w:p>
          <w:p w:rsidR="00EE5158" w:rsidRPr="00273521" w:rsidRDefault="00EE5158" w:rsidP="00366F6C">
            <w:pPr>
              <w:jc w:val="both"/>
              <w:rPr>
                <w:rFonts w:eastAsia="Calibri"/>
                <w:sz w:val="20"/>
              </w:rPr>
            </w:pPr>
            <w:r w:rsidRPr="00273521">
              <w:rPr>
                <w:rFonts w:eastAsia="Calibri"/>
                <w:sz w:val="20"/>
              </w:rPr>
              <w:t>Ontario Superior Court of Justice</w:t>
            </w:r>
          </w:p>
          <w:p w:rsidR="00EE5158" w:rsidRPr="00273521" w:rsidRDefault="00EE5158" w:rsidP="00366F6C">
            <w:pPr>
              <w:jc w:val="both"/>
              <w:rPr>
                <w:rFonts w:eastAsia="Calibri"/>
                <w:sz w:val="20"/>
              </w:rPr>
            </w:pPr>
            <w:r w:rsidRPr="00273521">
              <w:rPr>
                <w:rFonts w:eastAsia="Calibri"/>
                <w:sz w:val="20"/>
              </w:rPr>
              <w:t>(Strathy J.)</w:t>
            </w:r>
          </w:p>
          <w:p w:rsidR="00EE5158" w:rsidRPr="00273521" w:rsidRDefault="00EE5158" w:rsidP="00366F6C">
            <w:pPr>
              <w:jc w:val="both"/>
              <w:rPr>
                <w:rFonts w:eastAsia="Calibri"/>
                <w:sz w:val="20"/>
              </w:rPr>
            </w:pPr>
            <w:r w:rsidRPr="00273521">
              <w:rPr>
                <w:rFonts w:eastAsia="Calibri"/>
                <w:sz w:val="20"/>
              </w:rPr>
              <w:t>Neutral citation: 2010 ONSC 2643</w:t>
            </w:r>
          </w:p>
          <w:p w:rsidR="00EE5158" w:rsidRPr="00273521" w:rsidRDefault="00EE5158" w:rsidP="00366F6C">
            <w:pPr>
              <w:jc w:val="both"/>
              <w:rPr>
                <w:rFonts w:eastAsia="Calibri"/>
                <w:sz w:val="20"/>
              </w:rPr>
            </w:pPr>
          </w:p>
        </w:tc>
        <w:tc>
          <w:tcPr>
            <w:tcW w:w="243" w:type="pct"/>
          </w:tcPr>
          <w:p w:rsidR="00EE5158" w:rsidRPr="00273521" w:rsidRDefault="00EE5158" w:rsidP="00366F6C">
            <w:pPr>
              <w:jc w:val="both"/>
              <w:rPr>
                <w:rFonts w:eastAsia="Calibri"/>
                <w:sz w:val="20"/>
              </w:rPr>
            </w:pPr>
          </w:p>
        </w:tc>
        <w:tc>
          <w:tcPr>
            <w:tcW w:w="2330" w:type="pct"/>
          </w:tcPr>
          <w:p w:rsidR="00EE5158" w:rsidRPr="00273521" w:rsidRDefault="00EE5158" w:rsidP="00366F6C">
            <w:pPr>
              <w:jc w:val="both"/>
              <w:rPr>
                <w:rFonts w:eastAsia="Calibri"/>
                <w:sz w:val="20"/>
              </w:rPr>
            </w:pPr>
            <w:r w:rsidRPr="00273521">
              <w:rPr>
                <w:rFonts w:eastAsia="Calibri"/>
                <w:sz w:val="20"/>
              </w:rPr>
              <w:t>Settlement agreements approved</w:t>
            </w:r>
          </w:p>
          <w:p w:rsidR="00EE5158" w:rsidRPr="00273521" w:rsidRDefault="00EE5158" w:rsidP="00366F6C">
            <w:pPr>
              <w:jc w:val="both"/>
              <w:rPr>
                <w:rFonts w:eastAsia="Calibri"/>
                <w:sz w:val="20"/>
              </w:rPr>
            </w:pPr>
          </w:p>
        </w:tc>
      </w:tr>
      <w:tr w:rsidR="00EE5158" w:rsidRPr="00273521" w:rsidTr="00366F6C">
        <w:tc>
          <w:tcPr>
            <w:tcW w:w="2427" w:type="pct"/>
          </w:tcPr>
          <w:p w:rsidR="00EE5158" w:rsidRPr="00273521" w:rsidRDefault="00EE5158" w:rsidP="00366F6C">
            <w:pPr>
              <w:jc w:val="both"/>
              <w:rPr>
                <w:rFonts w:eastAsia="Calibri"/>
                <w:sz w:val="20"/>
              </w:rPr>
            </w:pPr>
            <w:r w:rsidRPr="00273521">
              <w:rPr>
                <w:rFonts w:eastAsia="Calibri"/>
                <w:sz w:val="20"/>
              </w:rPr>
              <w:t>December 7, 2010</w:t>
            </w:r>
          </w:p>
          <w:p w:rsidR="00EE5158" w:rsidRPr="00273521" w:rsidRDefault="00EE5158" w:rsidP="00366F6C">
            <w:pPr>
              <w:jc w:val="both"/>
              <w:rPr>
                <w:rFonts w:eastAsia="Calibri"/>
                <w:sz w:val="20"/>
              </w:rPr>
            </w:pPr>
            <w:r w:rsidRPr="00273521">
              <w:rPr>
                <w:rFonts w:eastAsia="Calibri"/>
                <w:sz w:val="20"/>
              </w:rPr>
              <w:t>Court of Appeal for Ontario</w:t>
            </w:r>
          </w:p>
          <w:p w:rsidR="00EE5158" w:rsidRPr="00273521" w:rsidRDefault="00EE5158" w:rsidP="00366F6C">
            <w:pPr>
              <w:jc w:val="both"/>
              <w:rPr>
                <w:rFonts w:eastAsia="Calibri"/>
                <w:sz w:val="20"/>
              </w:rPr>
            </w:pPr>
            <w:r w:rsidRPr="00273521">
              <w:rPr>
                <w:rFonts w:eastAsia="Calibri"/>
                <w:sz w:val="20"/>
              </w:rPr>
              <w:t xml:space="preserve">(Feldman, </w:t>
            </w:r>
            <w:proofErr w:type="spellStart"/>
            <w:r w:rsidRPr="00273521">
              <w:rPr>
                <w:rFonts w:eastAsia="Calibri"/>
                <w:sz w:val="20"/>
              </w:rPr>
              <w:t>Moldaver</w:t>
            </w:r>
            <w:proofErr w:type="spellEnd"/>
            <w:r w:rsidRPr="00273521">
              <w:rPr>
                <w:rFonts w:eastAsia="Calibri"/>
                <w:sz w:val="20"/>
              </w:rPr>
              <w:t>, Simmons JJ.A.)</w:t>
            </w:r>
          </w:p>
          <w:p w:rsidR="00EE5158" w:rsidRPr="00273521" w:rsidRDefault="00EE5158" w:rsidP="00366F6C">
            <w:pPr>
              <w:jc w:val="both"/>
              <w:rPr>
                <w:rFonts w:eastAsia="Calibri"/>
                <w:sz w:val="20"/>
              </w:rPr>
            </w:pPr>
            <w:r w:rsidRPr="00273521">
              <w:rPr>
                <w:rFonts w:eastAsia="Calibri"/>
                <w:sz w:val="20"/>
              </w:rPr>
              <w:t>Neutral citation: 2010 ONCA 841</w:t>
            </w:r>
          </w:p>
          <w:p w:rsidR="00EE5158" w:rsidRPr="00273521" w:rsidRDefault="00EE5158" w:rsidP="00366F6C">
            <w:pPr>
              <w:jc w:val="both"/>
              <w:rPr>
                <w:rFonts w:eastAsia="Calibri"/>
                <w:sz w:val="20"/>
              </w:rPr>
            </w:pPr>
          </w:p>
        </w:tc>
        <w:tc>
          <w:tcPr>
            <w:tcW w:w="243" w:type="pct"/>
          </w:tcPr>
          <w:p w:rsidR="00EE5158" w:rsidRPr="00273521" w:rsidRDefault="00EE5158" w:rsidP="00366F6C">
            <w:pPr>
              <w:jc w:val="both"/>
              <w:rPr>
                <w:rFonts w:eastAsia="Calibri"/>
                <w:sz w:val="20"/>
              </w:rPr>
            </w:pPr>
          </w:p>
        </w:tc>
        <w:tc>
          <w:tcPr>
            <w:tcW w:w="2330" w:type="pct"/>
          </w:tcPr>
          <w:p w:rsidR="00EE5158" w:rsidRPr="00273521" w:rsidRDefault="00EE5158" w:rsidP="00366F6C">
            <w:pPr>
              <w:jc w:val="both"/>
              <w:rPr>
                <w:rFonts w:eastAsia="Calibri"/>
                <w:sz w:val="20"/>
              </w:rPr>
            </w:pPr>
            <w:r w:rsidRPr="00273521">
              <w:rPr>
                <w:rFonts w:eastAsia="Calibri"/>
                <w:sz w:val="20"/>
              </w:rPr>
              <w:t>Appeals dismissed</w:t>
            </w:r>
          </w:p>
          <w:p w:rsidR="00EE5158" w:rsidRPr="00273521" w:rsidRDefault="00EE5158" w:rsidP="00366F6C">
            <w:pPr>
              <w:jc w:val="both"/>
              <w:rPr>
                <w:rFonts w:eastAsia="Calibri"/>
                <w:sz w:val="20"/>
              </w:rPr>
            </w:pPr>
          </w:p>
        </w:tc>
      </w:tr>
      <w:tr w:rsidR="00EE5158" w:rsidRPr="00273521" w:rsidTr="00366F6C">
        <w:tc>
          <w:tcPr>
            <w:tcW w:w="2427" w:type="pct"/>
          </w:tcPr>
          <w:p w:rsidR="00EE5158" w:rsidRPr="00273521" w:rsidRDefault="00EE5158" w:rsidP="00366F6C">
            <w:pPr>
              <w:jc w:val="both"/>
              <w:rPr>
                <w:rFonts w:eastAsia="Calibri"/>
                <w:sz w:val="20"/>
              </w:rPr>
            </w:pPr>
            <w:r w:rsidRPr="00273521">
              <w:rPr>
                <w:rFonts w:eastAsia="Calibri"/>
                <w:sz w:val="20"/>
              </w:rPr>
              <w:t>February 7, 2011</w:t>
            </w:r>
          </w:p>
          <w:p w:rsidR="00EE5158" w:rsidRPr="00273521" w:rsidRDefault="00EE5158" w:rsidP="00366F6C">
            <w:pPr>
              <w:jc w:val="both"/>
              <w:rPr>
                <w:rFonts w:eastAsia="Calibri"/>
                <w:sz w:val="20"/>
              </w:rPr>
            </w:pPr>
            <w:r w:rsidRPr="00273521">
              <w:rPr>
                <w:rFonts w:eastAsia="Calibri"/>
                <w:sz w:val="20"/>
              </w:rPr>
              <w:t>Supreme Court of Canada</w:t>
            </w:r>
          </w:p>
        </w:tc>
        <w:tc>
          <w:tcPr>
            <w:tcW w:w="243" w:type="pct"/>
          </w:tcPr>
          <w:p w:rsidR="00EE5158" w:rsidRPr="00273521" w:rsidRDefault="00EE5158" w:rsidP="00366F6C">
            <w:pPr>
              <w:jc w:val="both"/>
              <w:rPr>
                <w:rFonts w:eastAsia="Calibri"/>
                <w:sz w:val="20"/>
              </w:rPr>
            </w:pPr>
          </w:p>
        </w:tc>
        <w:tc>
          <w:tcPr>
            <w:tcW w:w="2330" w:type="pct"/>
          </w:tcPr>
          <w:p w:rsidR="00EE5158" w:rsidRPr="00273521" w:rsidRDefault="00EE5158" w:rsidP="00366F6C">
            <w:pPr>
              <w:jc w:val="both"/>
              <w:rPr>
                <w:rFonts w:eastAsia="Calibri"/>
                <w:sz w:val="20"/>
              </w:rPr>
            </w:pPr>
            <w:r w:rsidRPr="00273521">
              <w:rPr>
                <w:rFonts w:eastAsia="Calibri"/>
                <w:sz w:val="20"/>
              </w:rPr>
              <w:t>Application for leave to appeal filed</w:t>
            </w:r>
          </w:p>
          <w:p w:rsidR="00EE5158" w:rsidRPr="00273521" w:rsidRDefault="00EE5158" w:rsidP="00366F6C">
            <w:pPr>
              <w:jc w:val="both"/>
              <w:rPr>
                <w:rFonts w:eastAsia="Calibri"/>
                <w:sz w:val="20"/>
              </w:rPr>
            </w:pPr>
          </w:p>
        </w:tc>
      </w:tr>
    </w:tbl>
    <w:p w:rsidR="00177474" w:rsidRDefault="00177474" w:rsidP="00177474">
      <w:pPr>
        <w:rPr>
          <w:sz w:val="20"/>
          <w:szCs w:val="20"/>
        </w:rPr>
      </w:pPr>
    </w:p>
    <w:p w:rsidR="00177474" w:rsidRDefault="009E364E" w:rsidP="00177474">
      <w:pPr>
        <w:rPr>
          <w:sz w:val="20"/>
          <w:szCs w:val="20"/>
          <w:lang w:val="fr-CA"/>
        </w:rPr>
      </w:pPr>
      <w:r w:rsidRPr="009E364E">
        <w:rPr>
          <w:sz w:val="20"/>
          <w:szCs w:val="20"/>
          <w:lang w:val="fr-CA"/>
        </w:rPr>
        <w:pict>
          <v:rect id="_x0000_i1040" style="width:2in;height:1pt" o:hrpct="0" o:hralign="center" o:hrstd="t" o:hrnoshade="t" o:hr="t" fillcolor="black [3213]" stroked="f"/>
        </w:pict>
      </w:r>
    </w:p>
    <w:p w:rsidR="00177474" w:rsidRDefault="00177474" w:rsidP="00177474">
      <w:pPr>
        <w:rPr>
          <w:sz w:val="20"/>
          <w:szCs w:val="20"/>
        </w:rPr>
      </w:pPr>
    </w:p>
    <w:p w:rsidR="00177474" w:rsidRPr="00177474" w:rsidRDefault="00177474" w:rsidP="00177474">
      <w:pPr>
        <w:rPr>
          <w:sz w:val="20"/>
          <w:szCs w:val="20"/>
        </w:rPr>
      </w:pPr>
      <w:r>
        <w:rPr>
          <w:sz w:val="20"/>
          <w:szCs w:val="20"/>
          <w:u w:val="single"/>
        </w:rPr>
        <w:t>RÉSUMÉ DE L’AFFAIRE</w:t>
      </w:r>
    </w:p>
    <w:p w:rsidR="00177474" w:rsidRDefault="00177474" w:rsidP="001774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E5158" w:rsidRPr="000536FB" w:rsidTr="00366F6C">
        <w:tc>
          <w:tcPr>
            <w:tcW w:w="5000" w:type="pct"/>
            <w:gridSpan w:val="3"/>
          </w:tcPr>
          <w:p w:rsidR="00EE5158" w:rsidRPr="00273521" w:rsidRDefault="00EE5158" w:rsidP="00366F6C">
            <w:pPr>
              <w:jc w:val="both"/>
              <w:rPr>
                <w:rFonts w:eastAsia="Calibri"/>
                <w:sz w:val="20"/>
                <w:lang w:val="fr-FR"/>
              </w:rPr>
            </w:pPr>
            <w:r w:rsidRPr="00273521">
              <w:rPr>
                <w:rFonts w:eastAsia="Calibri"/>
                <w:sz w:val="20"/>
                <w:lang w:val="fr-FR"/>
              </w:rPr>
              <w:t xml:space="preserve">Recours collectifs — Règlement partiel — Approbation de l’accord de règlement — Ordonnance d’interdiction de recours — Les coauteurs d’un complot </w:t>
            </w:r>
            <w:proofErr w:type="spellStart"/>
            <w:r w:rsidRPr="00273521">
              <w:rPr>
                <w:rFonts w:eastAsia="Calibri"/>
                <w:sz w:val="20"/>
                <w:lang w:val="fr-FR"/>
              </w:rPr>
              <w:t>peuvent</w:t>
            </w:r>
            <w:r w:rsidRPr="00273521">
              <w:rPr>
                <w:rFonts w:eastAsia="Calibri"/>
                <w:sz w:val="20"/>
                <w:lang w:val="fr-FR"/>
              </w:rPr>
              <w:noBreakHyphen/>
              <w:t>ils</w:t>
            </w:r>
            <w:proofErr w:type="spellEnd"/>
            <w:r w:rsidRPr="00273521">
              <w:rPr>
                <w:rFonts w:eastAsia="Calibri"/>
                <w:sz w:val="20"/>
                <w:lang w:val="fr-FR"/>
              </w:rPr>
              <w:t xml:space="preserve"> obtenir une contribution et une indemnité au Canada? — L’ordonnance d’interdiction de recours prévoit que, si la Cour décide qu’il est possible de recevoir une contribution et une indemnité, le groupe de demandeurs ne peut réclamer ou obtenir les </w:t>
            </w:r>
            <w:proofErr w:type="spellStart"/>
            <w:r w:rsidRPr="00273521">
              <w:rPr>
                <w:rFonts w:eastAsia="Calibri"/>
                <w:sz w:val="20"/>
                <w:lang w:val="fr-FR"/>
              </w:rPr>
              <w:t>dommages</w:t>
            </w:r>
            <w:r w:rsidRPr="00273521">
              <w:rPr>
                <w:rFonts w:eastAsia="Calibri"/>
                <w:sz w:val="20"/>
                <w:lang w:val="fr-FR"/>
              </w:rPr>
              <w:noBreakHyphen/>
              <w:t>intérêts</w:t>
            </w:r>
            <w:proofErr w:type="spellEnd"/>
            <w:r w:rsidRPr="00273521">
              <w:rPr>
                <w:rFonts w:eastAsia="Calibri"/>
                <w:sz w:val="20"/>
                <w:lang w:val="fr-FR"/>
              </w:rPr>
              <w:t xml:space="preserve"> que doivent verser les défenderesses non parties au règlement à celles qui y sont parties — Validité et caractère exécutoire des injonctions </w:t>
            </w:r>
            <w:r w:rsidRPr="00273521">
              <w:rPr>
                <w:rFonts w:eastAsia="Calibri"/>
                <w:sz w:val="20"/>
                <w:lang w:val="fr-FR"/>
              </w:rPr>
              <w:lastRenderedPageBreak/>
              <w:t xml:space="preserve">contre les poursuites rendues en vertu de la législation provinciale en matière de recours collectifs, eu égard aux principes d’ordre et d’équité établis dans </w:t>
            </w:r>
            <w:proofErr w:type="spellStart"/>
            <w:r w:rsidRPr="00273521">
              <w:rPr>
                <w:rFonts w:eastAsia="Calibri"/>
                <w:i/>
                <w:sz w:val="20"/>
                <w:lang w:val="fr-FR"/>
              </w:rPr>
              <w:t>Amchem</w:t>
            </w:r>
            <w:proofErr w:type="spellEnd"/>
            <w:r w:rsidRPr="00273521">
              <w:rPr>
                <w:rFonts w:eastAsia="Calibri"/>
                <w:i/>
                <w:sz w:val="20"/>
                <w:lang w:val="fr-FR"/>
              </w:rPr>
              <w:t xml:space="preserve"> </w:t>
            </w:r>
            <w:proofErr w:type="spellStart"/>
            <w:r w:rsidRPr="00273521">
              <w:rPr>
                <w:rFonts w:eastAsia="Calibri"/>
                <w:i/>
                <w:sz w:val="20"/>
                <w:lang w:val="fr-FR"/>
              </w:rPr>
              <w:t>Products</w:t>
            </w:r>
            <w:proofErr w:type="spellEnd"/>
            <w:r w:rsidRPr="00273521">
              <w:rPr>
                <w:rFonts w:eastAsia="Calibri"/>
                <w:i/>
                <w:sz w:val="20"/>
                <w:lang w:val="fr-FR"/>
              </w:rPr>
              <w:t xml:space="preserve"> Inc. c. </w:t>
            </w:r>
            <w:proofErr w:type="spellStart"/>
            <w:r w:rsidRPr="00273521">
              <w:rPr>
                <w:rFonts w:eastAsia="Calibri"/>
                <w:i/>
                <w:sz w:val="20"/>
                <w:lang w:val="fr-FR"/>
              </w:rPr>
              <w:t>Colombie</w:t>
            </w:r>
            <w:r w:rsidRPr="00273521">
              <w:rPr>
                <w:rFonts w:eastAsia="Calibri"/>
                <w:i/>
                <w:sz w:val="20"/>
                <w:lang w:val="fr-FR"/>
              </w:rPr>
              <w:noBreakHyphen/>
              <w:t>Britannique</w:t>
            </w:r>
            <w:proofErr w:type="spellEnd"/>
            <w:r w:rsidRPr="00273521">
              <w:rPr>
                <w:rFonts w:eastAsia="Calibri"/>
                <w:i/>
                <w:sz w:val="20"/>
                <w:lang w:val="fr-FR"/>
              </w:rPr>
              <w:t xml:space="preserve"> (</w:t>
            </w:r>
            <w:proofErr w:type="spellStart"/>
            <w:r w:rsidRPr="00273521">
              <w:rPr>
                <w:rFonts w:eastAsia="Calibri"/>
                <w:i/>
                <w:sz w:val="20"/>
                <w:lang w:val="fr-FR"/>
              </w:rPr>
              <w:t>Workers</w:t>
            </w:r>
            <w:proofErr w:type="spellEnd"/>
            <w:r w:rsidRPr="00273521">
              <w:rPr>
                <w:rFonts w:eastAsia="Calibri"/>
                <w:i/>
                <w:sz w:val="20"/>
                <w:lang w:val="fr-FR"/>
              </w:rPr>
              <w:t xml:space="preserve">’ Compensation </w:t>
            </w:r>
            <w:proofErr w:type="spellStart"/>
            <w:r w:rsidRPr="00273521">
              <w:rPr>
                <w:rFonts w:eastAsia="Calibri"/>
                <w:i/>
                <w:sz w:val="20"/>
                <w:lang w:val="fr-FR"/>
              </w:rPr>
              <w:t>Board</w:t>
            </w:r>
            <w:proofErr w:type="spellEnd"/>
            <w:r w:rsidRPr="00273521">
              <w:rPr>
                <w:rFonts w:eastAsia="Calibri"/>
                <w:i/>
                <w:sz w:val="20"/>
                <w:lang w:val="fr-FR"/>
              </w:rPr>
              <w:t>)</w:t>
            </w:r>
            <w:r w:rsidRPr="00273521">
              <w:rPr>
                <w:rFonts w:eastAsia="Calibri"/>
                <w:sz w:val="20"/>
                <w:lang w:val="fr-FR"/>
              </w:rPr>
              <w:t xml:space="preserve">, [1993] 1 R.C.S. 897 — Dans quelles circonstances, s’il en est, et en vertu de quels principes directeurs les tribunaux </w:t>
            </w:r>
            <w:proofErr w:type="spellStart"/>
            <w:r w:rsidRPr="00273521">
              <w:rPr>
                <w:rFonts w:eastAsia="Calibri"/>
                <w:sz w:val="20"/>
                <w:lang w:val="fr-FR"/>
              </w:rPr>
              <w:t>doivent</w:t>
            </w:r>
            <w:r w:rsidRPr="00273521">
              <w:rPr>
                <w:rFonts w:eastAsia="Calibri"/>
                <w:sz w:val="20"/>
                <w:lang w:val="fr-FR"/>
              </w:rPr>
              <w:noBreakHyphen/>
              <w:t>ils</w:t>
            </w:r>
            <w:proofErr w:type="spellEnd"/>
            <w:r w:rsidRPr="00273521">
              <w:rPr>
                <w:rFonts w:eastAsia="Calibri"/>
                <w:sz w:val="20"/>
                <w:lang w:val="fr-FR"/>
              </w:rPr>
              <w:t xml:space="preserve"> prononcer des ordonnances d’interdiction de recours qui influent sur les droits juridiques des parties et des tiers dans des litiges faisant intervenir plusieurs parties ou touchant plusieurs ressorts? — Dans quelles circonstances, s’il en est, les tribunaux </w:t>
            </w:r>
            <w:proofErr w:type="spellStart"/>
            <w:r w:rsidRPr="00273521">
              <w:rPr>
                <w:rFonts w:eastAsia="Calibri"/>
                <w:sz w:val="20"/>
                <w:lang w:val="fr-FR"/>
              </w:rPr>
              <w:t>doivent</w:t>
            </w:r>
            <w:r w:rsidRPr="00273521">
              <w:rPr>
                <w:rFonts w:eastAsia="Calibri"/>
                <w:sz w:val="20"/>
                <w:lang w:val="fr-FR"/>
              </w:rPr>
              <w:noBreakHyphen/>
              <w:t>ils</w:t>
            </w:r>
            <w:proofErr w:type="spellEnd"/>
            <w:r w:rsidRPr="00273521">
              <w:rPr>
                <w:rFonts w:eastAsia="Calibri"/>
                <w:sz w:val="20"/>
                <w:lang w:val="fr-FR"/>
              </w:rPr>
              <w:t xml:space="preserve"> permettre que l’on poursuive en justice un défendeur afin d’obtenir les </w:t>
            </w:r>
            <w:proofErr w:type="spellStart"/>
            <w:r w:rsidRPr="00273521">
              <w:rPr>
                <w:rFonts w:eastAsia="Calibri"/>
                <w:sz w:val="20"/>
                <w:lang w:val="fr-FR"/>
              </w:rPr>
              <w:t>dommages</w:t>
            </w:r>
            <w:r w:rsidRPr="00273521">
              <w:rPr>
                <w:rFonts w:eastAsia="Calibri"/>
                <w:sz w:val="20"/>
                <w:lang w:val="fr-FR"/>
              </w:rPr>
              <w:noBreakHyphen/>
              <w:t>intérêts</w:t>
            </w:r>
            <w:proofErr w:type="spellEnd"/>
            <w:r w:rsidRPr="00273521">
              <w:rPr>
                <w:rFonts w:eastAsia="Calibri"/>
                <w:sz w:val="20"/>
                <w:lang w:val="fr-FR"/>
              </w:rPr>
              <w:t xml:space="preserve"> à verser à un autre défendeur alors qu’une ordonnance d’interdiction de recours fait obstacle à la demande de contribution et d’indemnité présentée par le premier défendeur à l’encontre du deuxième défendeur? </w:t>
            </w:r>
          </w:p>
        </w:tc>
      </w:tr>
      <w:tr w:rsidR="00EE5158" w:rsidRPr="000536FB" w:rsidTr="00366F6C">
        <w:tc>
          <w:tcPr>
            <w:tcW w:w="5000" w:type="pct"/>
            <w:gridSpan w:val="3"/>
          </w:tcPr>
          <w:p w:rsidR="00EE5158" w:rsidRPr="00273521" w:rsidRDefault="00EE5158" w:rsidP="00366F6C">
            <w:pPr>
              <w:jc w:val="both"/>
              <w:rPr>
                <w:rFonts w:eastAsia="Calibri"/>
                <w:sz w:val="20"/>
                <w:lang w:val="fr-FR"/>
              </w:rPr>
            </w:pPr>
          </w:p>
        </w:tc>
      </w:tr>
      <w:tr w:rsidR="00EE5158" w:rsidRPr="000536FB" w:rsidTr="00366F6C">
        <w:tc>
          <w:tcPr>
            <w:tcW w:w="5000" w:type="pct"/>
            <w:gridSpan w:val="3"/>
          </w:tcPr>
          <w:p w:rsidR="00EE5158" w:rsidRPr="00273521" w:rsidRDefault="00EE5158" w:rsidP="00366F6C">
            <w:pPr>
              <w:jc w:val="both"/>
              <w:rPr>
                <w:rFonts w:eastAsia="Calibri"/>
                <w:sz w:val="20"/>
                <w:lang w:val="fr-FR"/>
              </w:rPr>
            </w:pPr>
            <w:r w:rsidRPr="00273521">
              <w:rPr>
                <w:rFonts w:eastAsia="Calibri"/>
                <w:sz w:val="20"/>
                <w:lang w:val="fr-FR"/>
              </w:rPr>
              <w:t>Un recours collectif allègue que quatre fabricants de chocolat (Cadbury, Hershey, Mars et Nestlé) ont comploté pour fixer et ont effectivement fixé et maintenu les prix de produits de confiserie en chocolat au Canada, et qu’un distributeur de chocolat (</w:t>
            </w:r>
            <w:proofErr w:type="spellStart"/>
            <w:r w:rsidRPr="00273521">
              <w:rPr>
                <w:rFonts w:eastAsia="Calibri"/>
                <w:sz w:val="20"/>
                <w:lang w:val="fr-FR"/>
              </w:rPr>
              <w:t>Itwal</w:t>
            </w:r>
            <w:proofErr w:type="spellEnd"/>
            <w:r w:rsidRPr="00273521">
              <w:rPr>
                <w:rFonts w:eastAsia="Calibri"/>
                <w:sz w:val="20"/>
                <w:lang w:val="fr-FR"/>
              </w:rPr>
              <w:t xml:space="preserve"> Limited) a participé au maintien des prix. Les causes d’action étaient : les délits intentionnels de complot et d’ingérence dans les relations économiques ainsi qu’un recours en </w:t>
            </w:r>
            <w:proofErr w:type="spellStart"/>
            <w:r w:rsidRPr="00273521">
              <w:rPr>
                <w:rFonts w:eastAsia="Calibri"/>
                <w:sz w:val="20"/>
                <w:lang w:val="fr-FR"/>
              </w:rPr>
              <w:t>dommages</w:t>
            </w:r>
            <w:r w:rsidRPr="00273521">
              <w:rPr>
                <w:rFonts w:eastAsia="Calibri"/>
                <w:sz w:val="20"/>
                <w:lang w:val="fr-FR"/>
              </w:rPr>
              <w:noBreakHyphen/>
              <w:t>intérêts</w:t>
            </w:r>
            <w:proofErr w:type="spellEnd"/>
            <w:r w:rsidRPr="00273521">
              <w:rPr>
                <w:rFonts w:eastAsia="Calibri"/>
                <w:sz w:val="20"/>
                <w:lang w:val="fr-FR"/>
              </w:rPr>
              <w:t xml:space="preserve"> intenté en vertu de l’art. 36 de la </w:t>
            </w:r>
            <w:r w:rsidRPr="00273521">
              <w:rPr>
                <w:rFonts w:eastAsia="Calibri"/>
                <w:i/>
                <w:sz w:val="20"/>
                <w:lang w:val="fr-FR"/>
              </w:rPr>
              <w:t>Loi sur la concurrence</w:t>
            </w:r>
            <w:r w:rsidRPr="00273521">
              <w:rPr>
                <w:rFonts w:eastAsia="Calibri"/>
                <w:sz w:val="20"/>
                <w:lang w:val="fr-FR"/>
              </w:rPr>
              <w:t>,  R.S.C. 1985, ch. C</w:t>
            </w:r>
            <w:r w:rsidRPr="00273521">
              <w:rPr>
                <w:rFonts w:eastAsia="Calibri"/>
                <w:sz w:val="20"/>
                <w:lang w:val="fr-FR"/>
              </w:rPr>
              <w:noBreakHyphen/>
              <w:t xml:space="preserve">34, pour un comportement contraire à la partie VI de cette loi. </w:t>
            </w:r>
          </w:p>
          <w:p w:rsidR="00EE5158" w:rsidRPr="00273521" w:rsidRDefault="00EE5158" w:rsidP="00366F6C">
            <w:pPr>
              <w:jc w:val="both"/>
              <w:rPr>
                <w:rFonts w:eastAsia="Calibri"/>
                <w:sz w:val="20"/>
                <w:lang w:val="fr-FR"/>
              </w:rPr>
            </w:pPr>
          </w:p>
          <w:p w:rsidR="00EE5158" w:rsidRPr="00273521" w:rsidRDefault="00EE5158" w:rsidP="00366F6C">
            <w:pPr>
              <w:jc w:val="both"/>
              <w:rPr>
                <w:rFonts w:eastAsia="Calibri"/>
                <w:sz w:val="20"/>
                <w:lang w:val="fr-FR"/>
              </w:rPr>
            </w:pPr>
            <w:r w:rsidRPr="00273521">
              <w:rPr>
                <w:rFonts w:eastAsia="Calibri"/>
                <w:sz w:val="20"/>
                <w:lang w:val="fr-FR"/>
              </w:rPr>
              <w:t>M. </w:t>
            </w:r>
            <w:proofErr w:type="spellStart"/>
            <w:r w:rsidRPr="00273521">
              <w:rPr>
                <w:rFonts w:eastAsia="Calibri"/>
                <w:sz w:val="20"/>
                <w:lang w:val="fr-FR"/>
              </w:rPr>
              <w:t>Osmun</w:t>
            </w:r>
            <w:proofErr w:type="spellEnd"/>
            <w:r w:rsidRPr="00273521">
              <w:rPr>
                <w:rFonts w:eastAsia="Calibri"/>
                <w:sz w:val="20"/>
                <w:lang w:val="fr-FR"/>
              </w:rPr>
              <w:t xml:space="preserve"> est parvenu à un règlement avec Cadbury et </w:t>
            </w:r>
            <w:proofErr w:type="spellStart"/>
            <w:r w:rsidRPr="00273521">
              <w:rPr>
                <w:rFonts w:eastAsia="Calibri"/>
                <w:sz w:val="20"/>
                <w:lang w:val="fr-FR"/>
              </w:rPr>
              <w:t>Itwal</w:t>
            </w:r>
            <w:proofErr w:type="spellEnd"/>
            <w:r w:rsidRPr="00273521">
              <w:rPr>
                <w:rFonts w:eastAsia="Calibri"/>
                <w:sz w:val="20"/>
                <w:lang w:val="fr-FR"/>
              </w:rPr>
              <w:t xml:space="preserve">.  Les accords de règlement comprenaient notamment une « ordonnance d’interdiction de recours » qui met la défenderesse partie au règlement à l’abri des demandes de contribution et d’indemnité de ses </w:t>
            </w:r>
            <w:proofErr w:type="spellStart"/>
            <w:r w:rsidRPr="00273521">
              <w:rPr>
                <w:rFonts w:eastAsia="Calibri"/>
                <w:sz w:val="20"/>
                <w:lang w:val="fr-FR"/>
              </w:rPr>
              <w:t>codéfenderesses</w:t>
            </w:r>
            <w:proofErr w:type="spellEnd"/>
            <w:r w:rsidRPr="00273521">
              <w:rPr>
                <w:rFonts w:eastAsia="Calibri"/>
                <w:sz w:val="20"/>
                <w:lang w:val="fr-FR"/>
              </w:rPr>
              <w:t xml:space="preserve"> et dispose que, [</w:t>
            </w:r>
            <w:r w:rsidRPr="00273521">
              <w:rPr>
                <w:rFonts w:eastAsia="Calibri"/>
                <w:smallCaps/>
                <w:sz w:val="20"/>
                <w:lang w:val="fr-FR"/>
              </w:rPr>
              <w:t>traduction</w:t>
            </w:r>
            <w:r w:rsidRPr="00273521">
              <w:rPr>
                <w:rFonts w:eastAsia="Calibri"/>
                <w:sz w:val="20"/>
                <w:lang w:val="fr-FR"/>
              </w:rPr>
              <w:t xml:space="preserve">] « si les tribunaux déterminent en dernier ressort qu’un coauteur du complot peut obtenir auprès des autres une contribution et une indemnité, les [demandeurs] limitent leurs réclamations conjointes contre les défenderesses non parties au règlement de telle sorte que les [demandeurs] ne peuvent conjointement réclamer à ces défenderesses et obtenir auprès d’elles que les </w:t>
            </w:r>
            <w:proofErr w:type="spellStart"/>
            <w:r w:rsidRPr="00273521">
              <w:rPr>
                <w:rFonts w:eastAsia="Calibri"/>
                <w:sz w:val="20"/>
                <w:lang w:val="fr-FR"/>
              </w:rPr>
              <w:t>dommages</w:t>
            </w:r>
            <w:r w:rsidRPr="00273521">
              <w:rPr>
                <w:rFonts w:eastAsia="Calibri"/>
                <w:sz w:val="20"/>
                <w:lang w:val="fr-FR"/>
              </w:rPr>
              <w:noBreakHyphen/>
              <w:t>intérêts</w:t>
            </w:r>
            <w:proofErr w:type="spellEnd"/>
            <w:r w:rsidRPr="00273521">
              <w:rPr>
                <w:rFonts w:eastAsia="Calibri"/>
                <w:sz w:val="20"/>
                <w:lang w:val="fr-FR"/>
              </w:rPr>
              <w:t>, s’il en est, découlant de leur conduite ou des ventes qu’elles ont réalisées ».  Les défenderesses non parties au règlement se sont opposées aux ordonnances d’interdiction de recours sollicitées.</w:t>
            </w:r>
          </w:p>
          <w:p w:rsidR="00EE5158" w:rsidRPr="00273521" w:rsidRDefault="00EE5158" w:rsidP="00366F6C">
            <w:pPr>
              <w:jc w:val="both"/>
              <w:rPr>
                <w:rFonts w:eastAsia="Calibri"/>
                <w:sz w:val="20"/>
                <w:lang w:val="fr-FR"/>
              </w:rPr>
            </w:pPr>
          </w:p>
          <w:p w:rsidR="00EE5158" w:rsidRPr="00273521" w:rsidRDefault="00EE5158" w:rsidP="00366F6C">
            <w:pPr>
              <w:jc w:val="both"/>
              <w:rPr>
                <w:rFonts w:eastAsia="Calibri"/>
                <w:sz w:val="20"/>
                <w:lang w:val="fr-FR"/>
              </w:rPr>
            </w:pPr>
            <w:r w:rsidRPr="00273521">
              <w:rPr>
                <w:rFonts w:eastAsia="Calibri"/>
                <w:sz w:val="20"/>
                <w:lang w:val="fr-FR"/>
              </w:rPr>
              <w:t xml:space="preserve">Les accords de règlement ont été approuvés, et les appels ont été rejetés. </w:t>
            </w:r>
          </w:p>
          <w:p w:rsidR="00EE5158" w:rsidRPr="00273521" w:rsidRDefault="00EE5158" w:rsidP="00366F6C">
            <w:pPr>
              <w:jc w:val="both"/>
              <w:rPr>
                <w:rFonts w:eastAsia="Calibri"/>
                <w:sz w:val="20"/>
                <w:lang w:val="fr-FR"/>
              </w:rPr>
            </w:pPr>
          </w:p>
        </w:tc>
      </w:tr>
      <w:tr w:rsidR="00EE5158" w:rsidRPr="00273521" w:rsidTr="00366F6C">
        <w:tc>
          <w:tcPr>
            <w:tcW w:w="2427" w:type="pct"/>
          </w:tcPr>
          <w:p w:rsidR="00EE5158" w:rsidRPr="00273521" w:rsidRDefault="00EE5158" w:rsidP="00366F6C">
            <w:pPr>
              <w:jc w:val="both"/>
              <w:rPr>
                <w:rFonts w:eastAsia="Calibri"/>
                <w:sz w:val="20"/>
                <w:lang w:val="fr-FR"/>
              </w:rPr>
            </w:pPr>
            <w:r w:rsidRPr="00273521">
              <w:rPr>
                <w:rFonts w:eastAsia="Calibri"/>
                <w:sz w:val="20"/>
                <w:lang w:val="fr-FR"/>
              </w:rPr>
              <w:t>5 mai 2010</w:t>
            </w:r>
          </w:p>
          <w:p w:rsidR="00EE5158" w:rsidRPr="00273521" w:rsidRDefault="00EE5158" w:rsidP="00366F6C">
            <w:pPr>
              <w:jc w:val="both"/>
              <w:rPr>
                <w:rFonts w:eastAsia="Calibri"/>
                <w:sz w:val="20"/>
                <w:lang w:val="fr-FR"/>
              </w:rPr>
            </w:pPr>
            <w:r w:rsidRPr="00273521">
              <w:rPr>
                <w:rFonts w:eastAsia="Calibri"/>
                <w:sz w:val="20"/>
                <w:lang w:val="fr-FR"/>
              </w:rPr>
              <w:t xml:space="preserve">Cour supérieure de justice de l’Ontario </w:t>
            </w:r>
          </w:p>
          <w:p w:rsidR="00EE5158" w:rsidRPr="00273521" w:rsidRDefault="00EE5158" w:rsidP="00366F6C">
            <w:pPr>
              <w:jc w:val="both"/>
              <w:rPr>
                <w:rFonts w:eastAsia="Calibri"/>
                <w:sz w:val="20"/>
                <w:lang w:val="fr-FR"/>
              </w:rPr>
            </w:pPr>
            <w:r w:rsidRPr="00273521">
              <w:rPr>
                <w:rFonts w:eastAsia="Calibri"/>
                <w:sz w:val="20"/>
                <w:lang w:val="fr-FR"/>
              </w:rPr>
              <w:t xml:space="preserve">(Juge </w:t>
            </w:r>
            <w:proofErr w:type="spellStart"/>
            <w:r w:rsidRPr="00273521">
              <w:rPr>
                <w:rFonts w:eastAsia="Calibri"/>
                <w:sz w:val="20"/>
                <w:lang w:val="fr-FR"/>
              </w:rPr>
              <w:t>Strathy</w:t>
            </w:r>
            <w:proofErr w:type="spellEnd"/>
            <w:r w:rsidRPr="00273521">
              <w:rPr>
                <w:rFonts w:eastAsia="Calibri"/>
                <w:sz w:val="20"/>
                <w:lang w:val="fr-FR"/>
              </w:rPr>
              <w:t>)</w:t>
            </w:r>
          </w:p>
          <w:p w:rsidR="00EE5158" w:rsidRPr="00273521" w:rsidRDefault="00EE5158" w:rsidP="00366F6C">
            <w:pPr>
              <w:jc w:val="both"/>
              <w:rPr>
                <w:rFonts w:eastAsia="Calibri"/>
                <w:sz w:val="20"/>
                <w:lang w:val="fr-FR"/>
              </w:rPr>
            </w:pPr>
            <w:r w:rsidRPr="00273521">
              <w:rPr>
                <w:rFonts w:eastAsia="Calibri"/>
                <w:sz w:val="20"/>
                <w:lang w:val="fr-FR"/>
              </w:rPr>
              <w:t>Référence neutre : 2010 ONSC 2643</w:t>
            </w:r>
          </w:p>
          <w:p w:rsidR="00EE5158" w:rsidRPr="00273521" w:rsidRDefault="00EE5158" w:rsidP="00366F6C">
            <w:pPr>
              <w:jc w:val="both"/>
              <w:rPr>
                <w:rFonts w:eastAsia="Calibri"/>
                <w:sz w:val="20"/>
                <w:lang w:val="fr-FR"/>
              </w:rPr>
            </w:pPr>
          </w:p>
        </w:tc>
        <w:tc>
          <w:tcPr>
            <w:tcW w:w="243" w:type="pct"/>
          </w:tcPr>
          <w:p w:rsidR="00EE5158" w:rsidRPr="00273521" w:rsidRDefault="00EE5158" w:rsidP="00366F6C">
            <w:pPr>
              <w:jc w:val="both"/>
              <w:rPr>
                <w:rFonts w:eastAsia="Calibri"/>
                <w:sz w:val="20"/>
                <w:lang w:val="fr-FR"/>
              </w:rPr>
            </w:pPr>
          </w:p>
        </w:tc>
        <w:tc>
          <w:tcPr>
            <w:tcW w:w="2330" w:type="pct"/>
          </w:tcPr>
          <w:p w:rsidR="00EE5158" w:rsidRPr="00273521" w:rsidRDefault="00EE5158" w:rsidP="00366F6C">
            <w:pPr>
              <w:jc w:val="both"/>
              <w:rPr>
                <w:rFonts w:eastAsia="Calibri"/>
                <w:sz w:val="20"/>
              </w:rPr>
            </w:pPr>
            <w:r w:rsidRPr="00273521">
              <w:rPr>
                <w:rFonts w:eastAsia="Calibri"/>
                <w:sz w:val="20"/>
              </w:rPr>
              <w:t xml:space="preserve">Accords de </w:t>
            </w:r>
            <w:proofErr w:type="spellStart"/>
            <w:r w:rsidRPr="00273521">
              <w:rPr>
                <w:rFonts w:eastAsia="Calibri"/>
                <w:sz w:val="20"/>
              </w:rPr>
              <w:t>règlement</w:t>
            </w:r>
            <w:proofErr w:type="spellEnd"/>
            <w:r w:rsidRPr="00273521">
              <w:rPr>
                <w:rFonts w:eastAsia="Calibri"/>
                <w:sz w:val="20"/>
              </w:rPr>
              <w:t xml:space="preserve"> </w:t>
            </w:r>
            <w:proofErr w:type="spellStart"/>
            <w:r w:rsidRPr="00273521">
              <w:rPr>
                <w:rFonts w:eastAsia="Calibri"/>
                <w:sz w:val="20"/>
              </w:rPr>
              <w:t>approuvés</w:t>
            </w:r>
            <w:proofErr w:type="spellEnd"/>
          </w:p>
          <w:p w:rsidR="00EE5158" w:rsidRPr="00273521" w:rsidRDefault="00EE5158" w:rsidP="00366F6C">
            <w:pPr>
              <w:jc w:val="both"/>
              <w:rPr>
                <w:rFonts w:eastAsia="Calibri"/>
                <w:sz w:val="20"/>
              </w:rPr>
            </w:pPr>
          </w:p>
        </w:tc>
      </w:tr>
      <w:tr w:rsidR="00EE5158" w:rsidRPr="00273521" w:rsidTr="00366F6C">
        <w:tc>
          <w:tcPr>
            <w:tcW w:w="2427" w:type="pct"/>
          </w:tcPr>
          <w:p w:rsidR="00EE5158" w:rsidRPr="00273521" w:rsidRDefault="00EE5158" w:rsidP="00366F6C">
            <w:pPr>
              <w:jc w:val="both"/>
              <w:rPr>
                <w:rFonts w:eastAsia="Calibri"/>
                <w:sz w:val="20"/>
                <w:lang w:val="fr-FR"/>
              </w:rPr>
            </w:pPr>
            <w:r w:rsidRPr="00273521">
              <w:rPr>
                <w:rFonts w:eastAsia="Calibri"/>
                <w:sz w:val="20"/>
                <w:lang w:val="fr-FR"/>
              </w:rPr>
              <w:t>7 décembre 2010</w:t>
            </w:r>
          </w:p>
          <w:p w:rsidR="00EE5158" w:rsidRPr="00273521" w:rsidRDefault="00EE5158" w:rsidP="00366F6C">
            <w:pPr>
              <w:jc w:val="both"/>
              <w:rPr>
                <w:rFonts w:eastAsia="Calibri"/>
                <w:sz w:val="20"/>
                <w:lang w:val="fr-FR"/>
              </w:rPr>
            </w:pPr>
            <w:r w:rsidRPr="00273521">
              <w:rPr>
                <w:rFonts w:eastAsia="Calibri"/>
                <w:sz w:val="20"/>
                <w:lang w:val="fr-FR"/>
              </w:rPr>
              <w:t>Cour d’appel de l’Ontario</w:t>
            </w:r>
          </w:p>
          <w:p w:rsidR="00EE5158" w:rsidRPr="00273521" w:rsidRDefault="00EE5158" w:rsidP="00366F6C">
            <w:pPr>
              <w:jc w:val="both"/>
              <w:rPr>
                <w:rFonts w:eastAsia="Calibri"/>
                <w:sz w:val="20"/>
                <w:lang w:val="fr-FR"/>
              </w:rPr>
            </w:pPr>
            <w:r w:rsidRPr="00273521">
              <w:rPr>
                <w:rFonts w:eastAsia="Calibri"/>
                <w:sz w:val="20"/>
                <w:lang w:val="fr-FR"/>
              </w:rPr>
              <w:t xml:space="preserve">(Juges </w:t>
            </w:r>
            <w:proofErr w:type="spellStart"/>
            <w:r w:rsidRPr="00273521">
              <w:rPr>
                <w:rFonts w:eastAsia="Calibri"/>
                <w:sz w:val="20"/>
                <w:lang w:val="fr-FR"/>
              </w:rPr>
              <w:t>Feldman</w:t>
            </w:r>
            <w:proofErr w:type="spellEnd"/>
            <w:r w:rsidRPr="00273521">
              <w:rPr>
                <w:rFonts w:eastAsia="Calibri"/>
                <w:sz w:val="20"/>
                <w:lang w:val="fr-FR"/>
              </w:rPr>
              <w:t xml:space="preserve">, </w:t>
            </w:r>
            <w:proofErr w:type="spellStart"/>
            <w:r w:rsidRPr="00273521">
              <w:rPr>
                <w:rFonts w:eastAsia="Calibri"/>
                <w:sz w:val="20"/>
                <w:lang w:val="fr-FR"/>
              </w:rPr>
              <w:t>Moldaver</w:t>
            </w:r>
            <w:proofErr w:type="spellEnd"/>
            <w:r w:rsidRPr="00273521">
              <w:rPr>
                <w:rFonts w:eastAsia="Calibri"/>
                <w:sz w:val="20"/>
                <w:lang w:val="fr-FR"/>
              </w:rPr>
              <w:t xml:space="preserve"> et Simmons)</w:t>
            </w:r>
          </w:p>
          <w:p w:rsidR="00EE5158" w:rsidRPr="00273521" w:rsidRDefault="00EE5158" w:rsidP="00366F6C">
            <w:pPr>
              <w:jc w:val="both"/>
              <w:rPr>
                <w:rFonts w:eastAsia="Calibri"/>
                <w:sz w:val="20"/>
              </w:rPr>
            </w:pPr>
            <w:r w:rsidRPr="00273521">
              <w:rPr>
                <w:rFonts w:eastAsia="Calibri"/>
                <w:sz w:val="20"/>
                <w:lang w:val="fr-FR"/>
              </w:rPr>
              <w:t>Référence neutre</w:t>
            </w:r>
            <w:r w:rsidRPr="00273521">
              <w:rPr>
                <w:rFonts w:eastAsia="Calibri"/>
                <w:sz w:val="20"/>
              </w:rPr>
              <w:t> : 2010 ONCA 841</w:t>
            </w:r>
          </w:p>
          <w:p w:rsidR="00EE5158" w:rsidRPr="00273521" w:rsidRDefault="00EE5158" w:rsidP="00366F6C">
            <w:pPr>
              <w:jc w:val="both"/>
              <w:rPr>
                <w:rFonts w:eastAsia="Calibri"/>
                <w:sz w:val="20"/>
              </w:rPr>
            </w:pPr>
          </w:p>
        </w:tc>
        <w:tc>
          <w:tcPr>
            <w:tcW w:w="243" w:type="pct"/>
          </w:tcPr>
          <w:p w:rsidR="00EE5158" w:rsidRPr="00273521" w:rsidRDefault="00EE5158" w:rsidP="00366F6C">
            <w:pPr>
              <w:jc w:val="both"/>
              <w:rPr>
                <w:rFonts w:eastAsia="Calibri"/>
                <w:sz w:val="20"/>
              </w:rPr>
            </w:pPr>
          </w:p>
        </w:tc>
        <w:tc>
          <w:tcPr>
            <w:tcW w:w="2330" w:type="pct"/>
          </w:tcPr>
          <w:p w:rsidR="00EE5158" w:rsidRPr="00273521" w:rsidRDefault="00EE5158" w:rsidP="00366F6C">
            <w:pPr>
              <w:jc w:val="both"/>
              <w:rPr>
                <w:rFonts w:eastAsia="Calibri"/>
                <w:sz w:val="20"/>
              </w:rPr>
            </w:pPr>
            <w:proofErr w:type="spellStart"/>
            <w:r w:rsidRPr="00273521">
              <w:rPr>
                <w:rFonts w:eastAsia="Calibri"/>
                <w:sz w:val="20"/>
              </w:rPr>
              <w:t>Appels</w:t>
            </w:r>
            <w:proofErr w:type="spellEnd"/>
            <w:r w:rsidRPr="00273521">
              <w:rPr>
                <w:rFonts w:eastAsia="Calibri"/>
                <w:sz w:val="20"/>
              </w:rPr>
              <w:t xml:space="preserve"> </w:t>
            </w:r>
            <w:proofErr w:type="spellStart"/>
            <w:r w:rsidRPr="00273521">
              <w:rPr>
                <w:rFonts w:eastAsia="Calibri"/>
                <w:sz w:val="20"/>
              </w:rPr>
              <w:t>rejetés</w:t>
            </w:r>
            <w:proofErr w:type="spellEnd"/>
          </w:p>
          <w:p w:rsidR="00EE5158" w:rsidRPr="00273521" w:rsidRDefault="00EE5158" w:rsidP="00366F6C">
            <w:pPr>
              <w:jc w:val="both"/>
              <w:rPr>
                <w:rFonts w:eastAsia="Calibri"/>
                <w:sz w:val="20"/>
              </w:rPr>
            </w:pPr>
          </w:p>
        </w:tc>
      </w:tr>
      <w:tr w:rsidR="00EE5158" w:rsidRPr="00273521" w:rsidTr="00366F6C">
        <w:tc>
          <w:tcPr>
            <w:tcW w:w="2427" w:type="pct"/>
          </w:tcPr>
          <w:p w:rsidR="00EE5158" w:rsidRPr="00273521" w:rsidRDefault="00EE5158" w:rsidP="00366F6C">
            <w:pPr>
              <w:jc w:val="both"/>
              <w:rPr>
                <w:rFonts w:eastAsia="Calibri"/>
                <w:sz w:val="20"/>
                <w:lang w:val="fr-FR"/>
              </w:rPr>
            </w:pPr>
            <w:r w:rsidRPr="00273521">
              <w:rPr>
                <w:rFonts w:eastAsia="Calibri"/>
                <w:sz w:val="20"/>
                <w:lang w:val="fr-FR"/>
              </w:rPr>
              <w:t>7 février 2011</w:t>
            </w:r>
          </w:p>
          <w:p w:rsidR="00EE5158" w:rsidRPr="00273521" w:rsidRDefault="00EE5158" w:rsidP="00366F6C">
            <w:pPr>
              <w:jc w:val="both"/>
              <w:rPr>
                <w:rFonts w:eastAsia="Calibri"/>
                <w:sz w:val="20"/>
                <w:lang w:val="fr-FR"/>
              </w:rPr>
            </w:pPr>
            <w:r w:rsidRPr="00273521">
              <w:rPr>
                <w:rFonts w:eastAsia="Calibri"/>
                <w:sz w:val="20"/>
                <w:lang w:val="fr-FR"/>
              </w:rPr>
              <w:t>Cour suprême du Canada</w:t>
            </w:r>
          </w:p>
        </w:tc>
        <w:tc>
          <w:tcPr>
            <w:tcW w:w="243" w:type="pct"/>
          </w:tcPr>
          <w:p w:rsidR="00EE5158" w:rsidRPr="00273521" w:rsidRDefault="00EE5158" w:rsidP="00366F6C">
            <w:pPr>
              <w:jc w:val="both"/>
              <w:rPr>
                <w:rFonts w:eastAsia="Calibri"/>
                <w:sz w:val="20"/>
                <w:lang w:val="fr-FR"/>
              </w:rPr>
            </w:pPr>
          </w:p>
        </w:tc>
        <w:tc>
          <w:tcPr>
            <w:tcW w:w="2330" w:type="pct"/>
          </w:tcPr>
          <w:p w:rsidR="00EE5158" w:rsidRPr="00273521" w:rsidRDefault="00EE5158" w:rsidP="00366F6C">
            <w:pPr>
              <w:jc w:val="both"/>
              <w:rPr>
                <w:rFonts w:eastAsia="Calibri"/>
                <w:sz w:val="20"/>
              </w:rPr>
            </w:pPr>
            <w:r w:rsidRPr="00273521">
              <w:rPr>
                <w:rFonts w:eastAsia="Calibri"/>
                <w:sz w:val="20"/>
                <w:lang w:val="fr-FR"/>
              </w:rPr>
              <w:t>Demande d’autorisation d’appel déposée</w:t>
            </w:r>
          </w:p>
          <w:p w:rsidR="00EE5158" w:rsidRPr="00273521" w:rsidRDefault="00EE5158" w:rsidP="00366F6C">
            <w:pPr>
              <w:jc w:val="both"/>
              <w:rPr>
                <w:rFonts w:eastAsia="Calibri"/>
                <w:sz w:val="20"/>
              </w:rPr>
            </w:pPr>
          </w:p>
        </w:tc>
      </w:tr>
    </w:tbl>
    <w:p w:rsidR="00177474" w:rsidRDefault="00177474" w:rsidP="00177474">
      <w:pPr>
        <w:rPr>
          <w:sz w:val="20"/>
          <w:szCs w:val="20"/>
        </w:rPr>
      </w:pPr>
    </w:p>
    <w:p w:rsidR="00177474" w:rsidRDefault="009E364E" w:rsidP="00177474">
      <w:pPr>
        <w:rPr>
          <w:sz w:val="20"/>
          <w:szCs w:val="20"/>
          <w:lang w:val="fr-CA"/>
        </w:rPr>
      </w:pPr>
      <w:r w:rsidRPr="009E364E">
        <w:rPr>
          <w:sz w:val="20"/>
          <w:szCs w:val="20"/>
          <w:lang w:val="fr-CA"/>
        </w:rPr>
        <w:pict>
          <v:rect id="_x0000_i1041" style="width:2in;height:1pt" o:hrpct="0" o:hralign="center" o:hrstd="t" o:hrnoshade="t" o:hr="t" fillcolor="black [3213]" stroked="f"/>
        </w:pict>
      </w:r>
    </w:p>
    <w:p w:rsidR="00177474" w:rsidRDefault="00177474" w:rsidP="00177474">
      <w:pPr>
        <w:rPr>
          <w:sz w:val="20"/>
          <w:szCs w:val="20"/>
          <w:lang w:val="fr-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06292" w:rsidRPr="00E06292" w:rsidTr="00E06292">
        <w:trPr>
          <w:cantSplit/>
        </w:trPr>
        <w:tc>
          <w:tcPr>
            <w:tcW w:w="1458" w:type="dxa"/>
          </w:tcPr>
          <w:p w:rsidR="00E06292" w:rsidRPr="00E06292" w:rsidRDefault="00E06292" w:rsidP="00E06292">
            <w:pPr>
              <w:rPr>
                <w:rFonts w:cs="Times New Roman"/>
                <w:sz w:val="20"/>
                <w:szCs w:val="20"/>
              </w:rPr>
            </w:pPr>
            <w:r w:rsidRPr="00E06292">
              <w:rPr>
                <w:rFonts w:cs="Times New Roman"/>
                <w:b/>
                <w:sz w:val="20"/>
                <w:lang w:val="fr-CA"/>
              </w:rPr>
              <w:t>34095</w:t>
            </w:r>
          </w:p>
          <w:p w:rsidR="00E06292" w:rsidRPr="00E06292" w:rsidRDefault="00E06292" w:rsidP="00E06292">
            <w:pPr>
              <w:rPr>
                <w:rFonts w:cs="Times New Roman"/>
                <w:b/>
                <w:sz w:val="20"/>
                <w:szCs w:val="20"/>
                <w:lang w:val="fr-CA"/>
              </w:rPr>
            </w:pPr>
          </w:p>
        </w:tc>
        <w:tc>
          <w:tcPr>
            <w:tcW w:w="8118" w:type="dxa"/>
          </w:tcPr>
          <w:p w:rsidR="00E06292" w:rsidRPr="00E06292" w:rsidRDefault="00E06292" w:rsidP="00E06292">
            <w:pPr>
              <w:rPr>
                <w:rFonts w:cs="Times New Roman"/>
                <w:sz w:val="20"/>
                <w:szCs w:val="20"/>
                <w:lang w:val="fr-CA"/>
              </w:rPr>
            </w:pPr>
            <w:r w:rsidRPr="00E06292">
              <w:rPr>
                <w:rFonts w:cs="Times New Roman"/>
                <w:b/>
                <w:sz w:val="20"/>
                <w:u w:val="single"/>
                <w:lang w:val="fr-CA"/>
              </w:rPr>
              <w:t>Jean-Guy Bouchard c. Procureur général du Québec</w:t>
            </w:r>
            <w:r w:rsidRPr="00E06292">
              <w:rPr>
                <w:rFonts w:cs="Times New Roman"/>
                <w:sz w:val="20"/>
                <w:szCs w:val="20"/>
                <w:lang w:val="fr-CA"/>
              </w:rPr>
              <w:t xml:space="preserve"> (</w:t>
            </w:r>
            <w:proofErr w:type="spellStart"/>
            <w:r w:rsidRPr="00E06292">
              <w:rPr>
                <w:rFonts w:cs="Times New Roman"/>
                <w:sz w:val="20"/>
                <w:szCs w:val="20"/>
                <w:lang w:val="fr-CA"/>
              </w:rPr>
              <w:t>Qc</w:t>
            </w:r>
            <w:proofErr w:type="spellEnd"/>
            <w:r w:rsidRPr="00E06292">
              <w:rPr>
                <w:rFonts w:cs="Times New Roman"/>
                <w:sz w:val="20"/>
                <w:szCs w:val="20"/>
                <w:lang w:val="fr-CA"/>
              </w:rPr>
              <w:t>) (Civile) (Autorisation)</w:t>
            </w:r>
          </w:p>
          <w:p w:rsidR="00E06292" w:rsidRPr="00E06292" w:rsidRDefault="00E06292" w:rsidP="00E06292">
            <w:pPr>
              <w:rPr>
                <w:rFonts w:cs="Times New Roman"/>
                <w:sz w:val="20"/>
                <w:szCs w:val="20"/>
                <w:lang w:val="fr-CA"/>
              </w:rPr>
            </w:pPr>
          </w:p>
        </w:tc>
      </w:tr>
      <w:tr w:rsidR="00E06292" w:rsidRPr="00E06292" w:rsidTr="00E06292">
        <w:trPr>
          <w:cantSplit/>
        </w:trPr>
        <w:tc>
          <w:tcPr>
            <w:tcW w:w="1458" w:type="dxa"/>
          </w:tcPr>
          <w:p w:rsidR="00E06292" w:rsidRPr="00E06292" w:rsidRDefault="00E06292" w:rsidP="00E06292">
            <w:pPr>
              <w:rPr>
                <w:rFonts w:cs="Times New Roman"/>
                <w:sz w:val="20"/>
                <w:szCs w:val="20"/>
              </w:rPr>
            </w:pPr>
            <w:r w:rsidRPr="00E06292">
              <w:rPr>
                <w:rFonts w:cs="Times New Roman"/>
                <w:sz w:val="20"/>
                <w:szCs w:val="20"/>
              </w:rPr>
              <w:t>Coram :</w:t>
            </w:r>
          </w:p>
        </w:tc>
        <w:tc>
          <w:tcPr>
            <w:tcW w:w="8118" w:type="dxa"/>
          </w:tcPr>
          <w:p w:rsidR="00E06292" w:rsidRPr="00E06292" w:rsidRDefault="00E06292" w:rsidP="00E06292">
            <w:pPr>
              <w:rPr>
                <w:rFonts w:cs="Times New Roman"/>
                <w:sz w:val="20"/>
                <w:szCs w:val="20"/>
                <w:lang w:val="fr-CA"/>
              </w:rPr>
            </w:pPr>
            <w:r w:rsidRPr="00E06292">
              <w:rPr>
                <w:rFonts w:cs="Times New Roman"/>
                <w:sz w:val="20"/>
                <w:u w:val="single"/>
                <w:lang w:val="fr-CA"/>
              </w:rPr>
              <w:t xml:space="preserve">Les juges </w:t>
            </w:r>
            <w:proofErr w:type="spellStart"/>
            <w:r w:rsidRPr="00E06292">
              <w:rPr>
                <w:rFonts w:cs="Times New Roman"/>
                <w:sz w:val="20"/>
                <w:u w:val="single"/>
                <w:lang w:val="fr-CA"/>
              </w:rPr>
              <w:t>LeBel</w:t>
            </w:r>
            <w:proofErr w:type="spellEnd"/>
            <w:r w:rsidRPr="00E06292">
              <w:rPr>
                <w:rFonts w:cs="Times New Roman"/>
                <w:sz w:val="20"/>
                <w:u w:val="single"/>
                <w:lang w:val="fr-CA"/>
              </w:rPr>
              <w:t>, Fish et Cromwell</w:t>
            </w:r>
          </w:p>
          <w:p w:rsidR="00E06292" w:rsidRPr="00E06292" w:rsidRDefault="00E06292" w:rsidP="00E06292">
            <w:pPr>
              <w:rPr>
                <w:rFonts w:cs="Times New Roman"/>
                <w:sz w:val="20"/>
                <w:szCs w:val="20"/>
                <w:u w:val="single"/>
                <w:lang w:val="fr-CA"/>
              </w:rPr>
            </w:pPr>
          </w:p>
        </w:tc>
      </w:tr>
      <w:tr w:rsidR="00E06292" w:rsidRPr="00E06292" w:rsidTr="00E06292">
        <w:trPr>
          <w:cantSplit/>
        </w:trPr>
        <w:tc>
          <w:tcPr>
            <w:tcW w:w="9576" w:type="dxa"/>
            <w:gridSpan w:val="2"/>
          </w:tcPr>
          <w:p w:rsidR="00E06292" w:rsidRPr="00E06292" w:rsidRDefault="00E06292" w:rsidP="00E06292">
            <w:pPr>
              <w:ind w:firstLine="720"/>
              <w:jc w:val="both"/>
              <w:rPr>
                <w:rFonts w:cs="Times New Roman"/>
                <w:sz w:val="20"/>
                <w:szCs w:val="20"/>
                <w:lang w:val="fr-CA"/>
              </w:rPr>
            </w:pPr>
            <w:r w:rsidRPr="00E06292">
              <w:rPr>
                <w:rFonts w:cs="Times New Roman"/>
                <w:sz w:val="20"/>
                <w:szCs w:val="20"/>
                <w:lang w:val="fr-CA"/>
              </w:rPr>
              <w:lastRenderedPageBreak/>
              <w:t>La demande d’autorisation d’appel de l’arrêt de la Cour d’appel du Québec (Québec), numéro 200-09-006853-094, 2010 QCCA 2346, daté du 16 décembre 2010, est rejetée avec dépens.</w:t>
            </w:r>
          </w:p>
          <w:p w:rsidR="00E06292" w:rsidRPr="00E06292" w:rsidRDefault="00E06292" w:rsidP="00E06292">
            <w:pPr>
              <w:jc w:val="both"/>
              <w:rPr>
                <w:rFonts w:cs="Times New Roman"/>
                <w:sz w:val="20"/>
                <w:szCs w:val="20"/>
                <w:lang w:val="fr-CA"/>
              </w:rPr>
            </w:pPr>
          </w:p>
          <w:p w:rsidR="00E06292" w:rsidRPr="00E06292" w:rsidRDefault="00E06292" w:rsidP="00E06292">
            <w:pPr>
              <w:ind w:firstLine="720"/>
              <w:jc w:val="both"/>
              <w:rPr>
                <w:rFonts w:cs="Times New Roman"/>
                <w:sz w:val="20"/>
                <w:szCs w:val="20"/>
              </w:rPr>
            </w:pPr>
            <w:r w:rsidRPr="00E06292">
              <w:rPr>
                <w:rFonts w:cs="Times New Roman"/>
                <w:sz w:val="20"/>
                <w:szCs w:val="20"/>
              </w:rPr>
              <w:t>The application for leave to appeal from the judgment of the Court of Appeal of Quebec (Québec), Number 200-09-006853-094, 2010 QCCA 2346, dated December 16, 2010, is dismissed with costs.</w:t>
            </w:r>
          </w:p>
        </w:tc>
      </w:tr>
    </w:tbl>
    <w:p w:rsidR="00177474" w:rsidRDefault="00177474" w:rsidP="00177474">
      <w:pPr>
        <w:rPr>
          <w:sz w:val="20"/>
          <w:szCs w:val="20"/>
        </w:rPr>
      </w:pPr>
    </w:p>
    <w:p w:rsidR="00177474" w:rsidRPr="00177474" w:rsidRDefault="00177474" w:rsidP="00177474">
      <w:pPr>
        <w:rPr>
          <w:sz w:val="20"/>
          <w:szCs w:val="20"/>
        </w:rPr>
      </w:pPr>
      <w:r>
        <w:rPr>
          <w:sz w:val="20"/>
          <w:szCs w:val="20"/>
          <w:u w:val="single"/>
        </w:rPr>
        <w:t>CASE SUMMARY</w:t>
      </w:r>
    </w:p>
    <w:p w:rsidR="00177474" w:rsidRDefault="00177474" w:rsidP="001774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7010" w:rsidRPr="00273521" w:rsidTr="00366F6C">
        <w:tc>
          <w:tcPr>
            <w:tcW w:w="5000" w:type="pct"/>
            <w:gridSpan w:val="3"/>
          </w:tcPr>
          <w:p w:rsidR="00BA7010" w:rsidRPr="00273521" w:rsidRDefault="00BA7010" w:rsidP="00366F6C">
            <w:pPr>
              <w:jc w:val="both"/>
              <w:rPr>
                <w:rFonts w:eastAsia="Calibri"/>
                <w:sz w:val="20"/>
              </w:rPr>
            </w:pPr>
            <w:r w:rsidRPr="00273521">
              <w:rPr>
                <w:rFonts w:eastAsia="Calibri"/>
                <w:sz w:val="20"/>
              </w:rPr>
              <w:t>Municipal law — Conflicts of interest of elected officials — Mayor of municipality failing to disclose interest in lot he owned when participating in discussions and vote affecting public works in sector in question — Declaration of disqualification — Whether Court of Appeal adopted overly broad interpretation of personal or [</w:t>
            </w:r>
            <w:r w:rsidRPr="00273521">
              <w:rPr>
                <w:rFonts w:eastAsia="Calibri"/>
                <w:smallCaps/>
                <w:sz w:val="20"/>
              </w:rPr>
              <w:t>translation</w:t>
            </w:r>
            <w:r w:rsidRPr="00273521">
              <w:rPr>
                <w:rFonts w:eastAsia="Calibri"/>
                <w:sz w:val="20"/>
              </w:rPr>
              <w:t>] “particular” nature of pecuniary interests that must be disclosed by elected officials and that require officials concerned to abstain from discussions that could affect them.</w:t>
            </w:r>
          </w:p>
        </w:tc>
      </w:tr>
      <w:tr w:rsidR="00BA7010" w:rsidRPr="00273521" w:rsidTr="00366F6C">
        <w:tc>
          <w:tcPr>
            <w:tcW w:w="5000" w:type="pct"/>
            <w:gridSpan w:val="3"/>
          </w:tcPr>
          <w:p w:rsidR="00BA7010" w:rsidRPr="00273521" w:rsidRDefault="00BA7010" w:rsidP="00366F6C">
            <w:pPr>
              <w:jc w:val="both"/>
              <w:rPr>
                <w:rFonts w:eastAsia="Calibri"/>
                <w:sz w:val="20"/>
              </w:rPr>
            </w:pPr>
          </w:p>
        </w:tc>
      </w:tr>
      <w:tr w:rsidR="00BA7010" w:rsidRPr="00273521" w:rsidTr="00366F6C">
        <w:tc>
          <w:tcPr>
            <w:tcW w:w="5000" w:type="pct"/>
            <w:gridSpan w:val="3"/>
          </w:tcPr>
          <w:p w:rsidR="00BA7010" w:rsidRPr="00273521" w:rsidRDefault="00BA7010" w:rsidP="00366F6C">
            <w:pPr>
              <w:jc w:val="both"/>
              <w:rPr>
                <w:rFonts w:eastAsia="Calibri"/>
                <w:sz w:val="20"/>
              </w:rPr>
            </w:pPr>
            <w:r w:rsidRPr="00273521">
              <w:rPr>
                <w:rFonts w:eastAsia="Calibri"/>
                <w:sz w:val="20"/>
              </w:rPr>
              <w:t xml:space="preserve">Mr. Bouchard was the mayor of the municipality of </w:t>
            </w:r>
            <w:proofErr w:type="spellStart"/>
            <w:r w:rsidRPr="00273521">
              <w:rPr>
                <w:rFonts w:eastAsia="Calibri"/>
                <w:sz w:val="20"/>
              </w:rPr>
              <w:t>Petite</w:t>
            </w:r>
            <w:r w:rsidRPr="00273521">
              <w:rPr>
                <w:rFonts w:eastAsia="Calibri"/>
                <w:sz w:val="20"/>
              </w:rPr>
              <w:noBreakHyphen/>
              <w:t>Rivière</w:t>
            </w:r>
            <w:r w:rsidRPr="00273521">
              <w:rPr>
                <w:rFonts w:eastAsia="Calibri"/>
                <w:sz w:val="20"/>
              </w:rPr>
              <w:noBreakHyphen/>
              <w:t>Saint</w:t>
            </w:r>
            <w:r w:rsidRPr="00273521">
              <w:rPr>
                <w:rFonts w:eastAsia="Calibri"/>
                <w:sz w:val="20"/>
              </w:rPr>
              <w:noBreakHyphen/>
              <w:t>François</w:t>
            </w:r>
            <w:proofErr w:type="spellEnd"/>
            <w:r w:rsidRPr="00273521">
              <w:rPr>
                <w:rFonts w:eastAsia="Calibri"/>
                <w:sz w:val="20"/>
              </w:rPr>
              <w:t xml:space="preserve"> at the relevant time.  He attended meetings of the municipal council at which roadway, waterworks and sewer projects proposed for </w:t>
            </w:r>
            <w:proofErr w:type="spellStart"/>
            <w:r w:rsidRPr="00273521">
              <w:rPr>
                <w:rFonts w:eastAsia="Calibri"/>
                <w:sz w:val="20"/>
              </w:rPr>
              <w:t>Principale</w:t>
            </w:r>
            <w:proofErr w:type="spellEnd"/>
            <w:r w:rsidRPr="00273521">
              <w:rPr>
                <w:rFonts w:eastAsia="Calibri"/>
                <w:sz w:val="20"/>
              </w:rPr>
              <w:t xml:space="preserve"> Street were discussed.  He voted on those projects.  However, he owned several lots in the municipality and had failed to disclose his right of ownership in a lot on </w:t>
            </w:r>
            <w:proofErr w:type="spellStart"/>
            <w:r w:rsidRPr="00273521">
              <w:rPr>
                <w:rFonts w:eastAsia="Calibri"/>
                <w:sz w:val="20"/>
              </w:rPr>
              <w:t>Principale</w:t>
            </w:r>
            <w:proofErr w:type="spellEnd"/>
            <w:r w:rsidRPr="00273521">
              <w:rPr>
                <w:rFonts w:eastAsia="Calibri"/>
                <w:sz w:val="20"/>
              </w:rPr>
              <w:t xml:space="preserve"> Street that would benefit from the work.  He acknowledged that his general statements of pecuniary interests for 2003 and 2004 were incomplete, but said it was an oversight.  Regarding the discussions and the vote, he denied that his interest was more [</w:t>
            </w:r>
            <w:r w:rsidRPr="00273521">
              <w:rPr>
                <w:rFonts w:eastAsia="Calibri"/>
                <w:smallCaps/>
                <w:sz w:val="20"/>
              </w:rPr>
              <w:t>translation</w:t>
            </w:r>
            <w:r w:rsidRPr="00273521">
              <w:rPr>
                <w:rFonts w:eastAsia="Calibri"/>
                <w:sz w:val="20"/>
              </w:rPr>
              <w:t>] “particular” within the meaning of the relevant legislation than that of any other citizen owning a lot in the sector.</w:t>
            </w:r>
          </w:p>
          <w:p w:rsidR="00BA7010" w:rsidRPr="00273521" w:rsidRDefault="00BA7010" w:rsidP="00366F6C">
            <w:pPr>
              <w:jc w:val="both"/>
              <w:rPr>
                <w:rFonts w:eastAsia="Calibri"/>
                <w:sz w:val="20"/>
              </w:rPr>
            </w:pPr>
          </w:p>
        </w:tc>
      </w:tr>
      <w:tr w:rsidR="00BA7010" w:rsidRPr="00273521" w:rsidTr="00366F6C">
        <w:tc>
          <w:tcPr>
            <w:tcW w:w="2427" w:type="pct"/>
          </w:tcPr>
          <w:p w:rsidR="00BA7010" w:rsidRPr="00273521" w:rsidRDefault="00BA7010" w:rsidP="00366F6C">
            <w:pPr>
              <w:jc w:val="both"/>
              <w:rPr>
                <w:rFonts w:eastAsia="Calibri"/>
                <w:sz w:val="20"/>
              </w:rPr>
            </w:pPr>
            <w:r w:rsidRPr="00273521">
              <w:rPr>
                <w:rFonts w:eastAsia="Calibri"/>
                <w:sz w:val="20"/>
              </w:rPr>
              <w:t>September 30, 2009</w:t>
            </w:r>
          </w:p>
          <w:p w:rsidR="00BA7010" w:rsidRPr="00273521" w:rsidRDefault="00BA7010" w:rsidP="00366F6C">
            <w:pPr>
              <w:jc w:val="both"/>
              <w:rPr>
                <w:rFonts w:eastAsia="Calibri"/>
                <w:sz w:val="20"/>
              </w:rPr>
            </w:pPr>
            <w:r w:rsidRPr="00273521">
              <w:rPr>
                <w:rFonts w:eastAsia="Calibri"/>
                <w:sz w:val="20"/>
              </w:rPr>
              <w:t>Quebec Superior Court</w:t>
            </w:r>
          </w:p>
          <w:p w:rsidR="00BA7010" w:rsidRPr="00273521" w:rsidRDefault="00BA7010" w:rsidP="00366F6C">
            <w:pPr>
              <w:jc w:val="both"/>
              <w:rPr>
                <w:rFonts w:eastAsia="Calibri"/>
                <w:sz w:val="20"/>
              </w:rPr>
            </w:pPr>
            <w:r w:rsidRPr="00273521">
              <w:rPr>
                <w:rFonts w:eastAsia="Calibri"/>
                <w:sz w:val="20"/>
              </w:rPr>
              <w:t>(Godbout J.)</w:t>
            </w:r>
          </w:p>
          <w:p w:rsidR="00BA7010" w:rsidRPr="00273521" w:rsidRDefault="00BA7010" w:rsidP="00366F6C">
            <w:pPr>
              <w:jc w:val="both"/>
              <w:rPr>
                <w:rFonts w:eastAsia="Calibri"/>
                <w:sz w:val="20"/>
              </w:rPr>
            </w:pPr>
            <w:r w:rsidRPr="00273521">
              <w:rPr>
                <w:rFonts w:eastAsia="Calibri"/>
                <w:sz w:val="20"/>
              </w:rPr>
              <w:t>Neutral citation: 2009 QCCS 4514</w:t>
            </w:r>
          </w:p>
          <w:p w:rsidR="00BA7010" w:rsidRPr="00273521" w:rsidRDefault="00BA7010" w:rsidP="00366F6C">
            <w:pPr>
              <w:jc w:val="both"/>
              <w:rPr>
                <w:rFonts w:eastAsia="Calibri"/>
                <w:sz w:val="20"/>
              </w:rPr>
            </w:pPr>
          </w:p>
        </w:tc>
        <w:tc>
          <w:tcPr>
            <w:tcW w:w="243" w:type="pct"/>
          </w:tcPr>
          <w:p w:rsidR="00BA7010" w:rsidRPr="00273521" w:rsidRDefault="00BA7010" w:rsidP="00366F6C">
            <w:pPr>
              <w:jc w:val="both"/>
              <w:rPr>
                <w:rFonts w:eastAsia="Calibri"/>
                <w:sz w:val="20"/>
              </w:rPr>
            </w:pPr>
          </w:p>
        </w:tc>
        <w:tc>
          <w:tcPr>
            <w:tcW w:w="2330" w:type="pct"/>
          </w:tcPr>
          <w:p w:rsidR="00BA7010" w:rsidRPr="00273521" w:rsidRDefault="00BA7010" w:rsidP="00366F6C">
            <w:pPr>
              <w:jc w:val="both"/>
              <w:rPr>
                <w:rFonts w:eastAsia="Calibri"/>
                <w:sz w:val="20"/>
              </w:rPr>
            </w:pPr>
            <w:r w:rsidRPr="00273521">
              <w:rPr>
                <w:rFonts w:eastAsia="Calibri"/>
                <w:sz w:val="20"/>
              </w:rPr>
              <w:t>Respondent’s motion for declaration of disqualification of applicant dismissed</w:t>
            </w:r>
          </w:p>
        </w:tc>
      </w:tr>
      <w:tr w:rsidR="00BA7010" w:rsidRPr="00273521" w:rsidTr="00366F6C">
        <w:tc>
          <w:tcPr>
            <w:tcW w:w="2427" w:type="pct"/>
          </w:tcPr>
          <w:p w:rsidR="00BA7010" w:rsidRPr="00273521" w:rsidRDefault="00BA7010" w:rsidP="00366F6C">
            <w:pPr>
              <w:jc w:val="both"/>
              <w:rPr>
                <w:rFonts w:eastAsia="Calibri"/>
                <w:sz w:val="20"/>
              </w:rPr>
            </w:pPr>
            <w:r w:rsidRPr="00273521">
              <w:rPr>
                <w:rFonts w:eastAsia="Calibri"/>
                <w:sz w:val="20"/>
              </w:rPr>
              <w:t>December 16, 2010</w:t>
            </w:r>
          </w:p>
          <w:p w:rsidR="00BA7010" w:rsidRPr="00273521" w:rsidRDefault="00BA7010" w:rsidP="00366F6C">
            <w:pPr>
              <w:jc w:val="both"/>
              <w:rPr>
                <w:rFonts w:eastAsia="Calibri"/>
                <w:sz w:val="20"/>
              </w:rPr>
            </w:pPr>
            <w:r w:rsidRPr="00273521">
              <w:rPr>
                <w:rFonts w:eastAsia="Calibri"/>
                <w:sz w:val="20"/>
              </w:rPr>
              <w:t>Quebec Court of Appeal (Québec)</w:t>
            </w:r>
          </w:p>
          <w:p w:rsidR="00BA7010" w:rsidRPr="00273521" w:rsidRDefault="00BA7010" w:rsidP="00366F6C">
            <w:pPr>
              <w:jc w:val="both"/>
              <w:rPr>
                <w:rFonts w:eastAsia="Calibri"/>
                <w:sz w:val="20"/>
              </w:rPr>
            </w:pPr>
            <w:r w:rsidRPr="00273521">
              <w:rPr>
                <w:rFonts w:eastAsia="Calibri"/>
                <w:sz w:val="20"/>
              </w:rPr>
              <w:t>(Thibault, Pelletier and Bouchard JJ.A.)</w:t>
            </w:r>
          </w:p>
          <w:p w:rsidR="00BA7010" w:rsidRPr="00273521" w:rsidRDefault="00BA7010" w:rsidP="00366F6C">
            <w:pPr>
              <w:jc w:val="both"/>
              <w:rPr>
                <w:rFonts w:eastAsia="Calibri"/>
                <w:sz w:val="20"/>
              </w:rPr>
            </w:pPr>
            <w:r w:rsidRPr="00273521">
              <w:rPr>
                <w:rFonts w:eastAsia="Calibri"/>
                <w:sz w:val="20"/>
              </w:rPr>
              <w:t>Neutral citation: 2010 QCCA 2346</w:t>
            </w:r>
          </w:p>
          <w:p w:rsidR="00BA7010" w:rsidRPr="00273521" w:rsidRDefault="00BA7010" w:rsidP="00366F6C">
            <w:pPr>
              <w:jc w:val="both"/>
              <w:rPr>
                <w:rFonts w:eastAsia="Calibri"/>
                <w:sz w:val="20"/>
              </w:rPr>
            </w:pPr>
          </w:p>
        </w:tc>
        <w:tc>
          <w:tcPr>
            <w:tcW w:w="243" w:type="pct"/>
          </w:tcPr>
          <w:p w:rsidR="00BA7010" w:rsidRPr="00273521" w:rsidRDefault="00BA7010" w:rsidP="00366F6C">
            <w:pPr>
              <w:jc w:val="both"/>
              <w:rPr>
                <w:rFonts w:eastAsia="Calibri"/>
                <w:sz w:val="20"/>
              </w:rPr>
            </w:pPr>
          </w:p>
        </w:tc>
        <w:tc>
          <w:tcPr>
            <w:tcW w:w="2330" w:type="pct"/>
          </w:tcPr>
          <w:p w:rsidR="00BA7010" w:rsidRPr="00273521" w:rsidRDefault="00BA7010" w:rsidP="00366F6C">
            <w:pPr>
              <w:jc w:val="both"/>
              <w:rPr>
                <w:rFonts w:eastAsia="Calibri"/>
                <w:sz w:val="20"/>
              </w:rPr>
            </w:pPr>
            <w:r w:rsidRPr="00273521">
              <w:rPr>
                <w:rFonts w:eastAsia="Calibri"/>
                <w:sz w:val="20"/>
              </w:rPr>
              <w:t>Appeal allowed; applicant declared to be disqualified</w:t>
            </w:r>
          </w:p>
        </w:tc>
      </w:tr>
      <w:tr w:rsidR="00BA7010" w:rsidRPr="00273521" w:rsidTr="00366F6C">
        <w:tc>
          <w:tcPr>
            <w:tcW w:w="2427" w:type="pct"/>
          </w:tcPr>
          <w:p w:rsidR="00BA7010" w:rsidRPr="00273521" w:rsidRDefault="00BA7010" w:rsidP="00366F6C">
            <w:pPr>
              <w:jc w:val="both"/>
              <w:rPr>
                <w:rFonts w:eastAsia="Calibri"/>
                <w:sz w:val="20"/>
              </w:rPr>
            </w:pPr>
            <w:r w:rsidRPr="00273521">
              <w:rPr>
                <w:rFonts w:eastAsia="Calibri"/>
                <w:sz w:val="20"/>
              </w:rPr>
              <w:t>February 14, 2011</w:t>
            </w:r>
          </w:p>
          <w:p w:rsidR="00BA7010" w:rsidRPr="00273521" w:rsidRDefault="00BA7010" w:rsidP="00366F6C">
            <w:pPr>
              <w:jc w:val="both"/>
              <w:rPr>
                <w:rFonts w:eastAsia="Calibri"/>
                <w:sz w:val="20"/>
              </w:rPr>
            </w:pPr>
            <w:r w:rsidRPr="00273521">
              <w:rPr>
                <w:rFonts w:eastAsia="Calibri"/>
                <w:sz w:val="20"/>
              </w:rPr>
              <w:t>Supreme Court of Canada</w:t>
            </w:r>
          </w:p>
        </w:tc>
        <w:tc>
          <w:tcPr>
            <w:tcW w:w="243" w:type="pct"/>
          </w:tcPr>
          <w:p w:rsidR="00BA7010" w:rsidRPr="00273521" w:rsidRDefault="00BA7010" w:rsidP="00366F6C">
            <w:pPr>
              <w:jc w:val="both"/>
              <w:rPr>
                <w:rFonts w:eastAsia="Calibri"/>
                <w:sz w:val="20"/>
              </w:rPr>
            </w:pPr>
          </w:p>
        </w:tc>
        <w:tc>
          <w:tcPr>
            <w:tcW w:w="2330" w:type="pct"/>
          </w:tcPr>
          <w:p w:rsidR="00BA7010" w:rsidRPr="00273521" w:rsidRDefault="00BA7010" w:rsidP="00366F6C">
            <w:pPr>
              <w:jc w:val="both"/>
              <w:rPr>
                <w:rFonts w:eastAsia="Calibri"/>
                <w:sz w:val="20"/>
              </w:rPr>
            </w:pPr>
            <w:r w:rsidRPr="00273521">
              <w:rPr>
                <w:rFonts w:eastAsia="Calibri"/>
                <w:sz w:val="20"/>
              </w:rPr>
              <w:t>Application for leave to appeal filed</w:t>
            </w:r>
          </w:p>
        </w:tc>
      </w:tr>
    </w:tbl>
    <w:p w:rsidR="00177474" w:rsidRDefault="00177474" w:rsidP="00177474">
      <w:pPr>
        <w:rPr>
          <w:sz w:val="20"/>
          <w:szCs w:val="20"/>
        </w:rPr>
      </w:pPr>
    </w:p>
    <w:p w:rsidR="00177474" w:rsidRDefault="009E364E" w:rsidP="00177474">
      <w:pPr>
        <w:rPr>
          <w:sz w:val="20"/>
          <w:szCs w:val="20"/>
          <w:lang w:val="fr-CA"/>
        </w:rPr>
      </w:pPr>
      <w:r w:rsidRPr="009E364E">
        <w:rPr>
          <w:sz w:val="20"/>
          <w:szCs w:val="20"/>
          <w:lang w:val="fr-CA"/>
        </w:rPr>
        <w:pict>
          <v:rect id="_x0000_i1042" style="width:2in;height:1pt" o:hrpct="0" o:hralign="center" o:hrstd="t" o:hrnoshade="t" o:hr="t" fillcolor="black [3213]" stroked="f"/>
        </w:pict>
      </w:r>
    </w:p>
    <w:p w:rsidR="00177474" w:rsidRDefault="00177474" w:rsidP="00177474">
      <w:pPr>
        <w:rPr>
          <w:sz w:val="20"/>
          <w:szCs w:val="20"/>
        </w:rPr>
      </w:pPr>
    </w:p>
    <w:p w:rsidR="00177474" w:rsidRPr="00177474" w:rsidRDefault="00177474" w:rsidP="00177474">
      <w:pPr>
        <w:rPr>
          <w:sz w:val="20"/>
          <w:szCs w:val="20"/>
        </w:rPr>
      </w:pPr>
      <w:r>
        <w:rPr>
          <w:sz w:val="20"/>
          <w:szCs w:val="20"/>
          <w:u w:val="single"/>
        </w:rPr>
        <w:t>RÉSUMÉ DE L’AFFAIRE</w:t>
      </w:r>
    </w:p>
    <w:p w:rsidR="00177474" w:rsidRDefault="00177474" w:rsidP="001774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7010" w:rsidRPr="000536FB" w:rsidTr="00366F6C">
        <w:tc>
          <w:tcPr>
            <w:tcW w:w="5000" w:type="pct"/>
            <w:gridSpan w:val="3"/>
          </w:tcPr>
          <w:p w:rsidR="00BA7010" w:rsidRPr="00273521" w:rsidRDefault="00BA7010" w:rsidP="00366F6C">
            <w:pPr>
              <w:jc w:val="both"/>
              <w:rPr>
                <w:rFonts w:eastAsia="Calibri"/>
                <w:sz w:val="20"/>
                <w:lang w:val="fr-FR"/>
              </w:rPr>
            </w:pPr>
            <w:r w:rsidRPr="00273521">
              <w:rPr>
                <w:rFonts w:eastAsia="Calibri"/>
                <w:sz w:val="20"/>
                <w:lang w:val="fr-CA"/>
              </w:rPr>
              <w:t xml:space="preserve">Droit municipal — Conflits d’intérêts des élus — Maire d’une municipalité propriétaire d’un lot pour lequel il n’a pas fait de déclaration d’intérêt alors qu’il participe aux débats et au vote touchant des travaux publics dans ce secteur — Déclaration d’inhabilité — La Cour d’appel </w:t>
            </w:r>
            <w:proofErr w:type="spellStart"/>
            <w:r w:rsidRPr="00273521">
              <w:rPr>
                <w:rFonts w:eastAsia="Calibri"/>
                <w:sz w:val="20"/>
                <w:lang w:val="fr-CA"/>
              </w:rPr>
              <w:t>a</w:t>
            </w:r>
            <w:r w:rsidRPr="00273521">
              <w:rPr>
                <w:rFonts w:eastAsia="Calibri"/>
                <w:sz w:val="20"/>
                <w:lang w:val="fr-CA"/>
              </w:rPr>
              <w:noBreakHyphen/>
              <w:t>t</w:t>
            </w:r>
            <w:r w:rsidRPr="00273521">
              <w:rPr>
                <w:rFonts w:eastAsia="Calibri"/>
                <w:sz w:val="20"/>
                <w:lang w:val="fr-CA"/>
              </w:rPr>
              <w:noBreakHyphen/>
              <w:t>elle</w:t>
            </w:r>
            <w:proofErr w:type="spellEnd"/>
            <w:r w:rsidRPr="00273521">
              <w:rPr>
                <w:rFonts w:eastAsia="Calibri"/>
                <w:sz w:val="20"/>
                <w:lang w:val="fr-CA"/>
              </w:rPr>
              <w:t xml:space="preserve"> adopté une interprétation trop large du caractère personnel ou « particulier » des intérêts pécuniaires entraînant l’obligation d’un élu de les déclarer et de se retirer des débats pouvant les affecter?</w:t>
            </w:r>
          </w:p>
        </w:tc>
      </w:tr>
      <w:tr w:rsidR="00BA7010" w:rsidRPr="000536FB" w:rsidTr="00366F6C">
        <w:tc>
          <w:tcPr>
            <w:tcW w:w="5000" w:type="pct"/>
            <w:gridSpan w:val="3"/>
          </w:tcPr>
          <w:p w:rsidR="00BA7010" w:rsidRPr="00273521" w:rsidRDefault="00BA7010" w:rsidP="00366F6C">
            <w:pPr>
              <w:jc w:val="both"/>
              <w:rPr>
                <w:rFonts w:eastAsia="Calibri"/>
                <w:sz w:val="20"/>
                <w:lang w:val="fr-CA"/>
              </w:rPr>
            </w:pPr>
          </w:p>
        </w:tc>
      </w:tr>
      <w:tr w:rsidR="00BA7010" w:rsidRPr="000536FB" w:rsidTr="00366F6C">
        <w:tc>
          <w:tcPr>
            <w:tcW w:w="5000" w:type="pct"/>
            <w:gridSpan w:val="3"/>
          </w:tcPr>
          <w:p w:rsidR="00BA7010" w:rsidRPr="00273521" w:rsidRDefault="00BA7010" w:rsidP="00366F6C">
            <w:pPr>
              <w:jc w:val="both"/>
              <w:rPr>
                <w:rFonts w:eastAsia="Calibri"/>
                <w:sz w:val="20"/>
                <w:lang w:val="fr-CA"/>
              </w:rPr>
            </w:pPr>
            <w:r w:rsidRPr="00273521">
              <w:rPr>
                <w:rFonts w:eastAsia="Calibri"/>
                <w:sz w:val="20"/>
                <w:lang w:val="fr-CA"/>
              </w:rPr>
              <w:t xml:space="preserve">M. Bouchard était le maire de la municipalité de </w:t>
            </w:r>
            <w:proofErr w:type="spellStart"/>
            <w:r w:rsidRPr="00273521">
              <w:rPr>
                <w:rFonts w:eastAsia="Calibri"/>
                <w:sz w:val="20"/>
                <w:lang w:val="fr-CA"/>
              </w:rPr>
              <w:t>Petite</w:t>
            </w:r>
            <w:r w:rsidRPr="00273521">
              <w:rPr>
                <w:rFonts w:eastAsia="Calibri"/>
                <w:sz w:val="20"/>
                <w:lang w:val="fr-CA"/>
              </w:rPr>
              <w:noBreakHyphen/>
              <w:t>Rivière</w:t>
            </w:r>
            <w:r w:rsidRPr="00273521">
              <w:rPr>
                <w:rFonts w:eastAsia="Calibri"/>
                <w:sz w:val="20"/>
                <w:lang w:val="fr-CA"/>
              </w:rPr>
              <w:noBreakHyphen/>
              <w:t>Saint</w:t>
            </w:r>
            <w:r w:rsidRPr="00273521">
              <w:rPr>
                <w:rFonts w:eastAsia="Calibri"/>
                <w:sz w:val="20"/>
                <w:lang w:val="fr-CA"/>
              </w:rPr>
              <w:noBreakHyphen/>
              <w:t>François</w:t>
            </w:r>
            <w:proofErr w:type="spellEnd"/>
            <w:r w:rsidRPr="00273521">
              <w:rPr>
                <w:rFonts w:eastAsia="Calibri"/>
                <w:sz w:val="20"/>
                <w:lang w:val="fr-CA"/>
              </w:rPr>
              <w:t xml:space="preserve"> lors des faits pertinents.  Il a assisté aux réunions du conseil municipal au cours desquelles furent discutées les questions touchant des travaux de voirie, d’aqueduc et d’égout projetés dans la rue Principale.  Il a voté sur ces questions.  Or, étant propriétaire de plusieurs terrains de la municipalité, il avait omis de déclarer son droit de propriété sur un lot de la rue Principale qui allait bénéficier des travaux.  Il reconnaît que ses déclarations générales d’intérêt pécuniaire des années 2003 et 2004 sont </w:t>
            </w:r>
            <w:r w:rsidRPr="00273521">
              <w:rPr>
                <w:rFonts w:eastAsia="Calibri"/>
                <w:sz w:val="20"/>
                <w:lang w:val="fr-CA"/>
              </w:rPr>
              <w:lastRenderedPageBreak/>
              <w:t>incomplètes, mais il invoque un oubli.  Quant au débat et au vote, il se défend d’avoir eu, au sens de la loi, un intérêt plus « particulier » que celui de tout autre citoyen propriétaire d’un lot dans ce secteur.</w:t>
            </w:r>
          </w:p>
          <w:p w:rsidR="00BA7010" w:rsidRPr="00273521" w:rsidRDefault="00BA7010" w:rsidP="00366F6C">
            <w:pPr>
              <w:jc w:val="both"/>
              <w:rPr>
                <w:rFonts w:eastAsia="Calibri"/>
                <w:sz w:val="20"/>
                <w:lang w:val="fr-CA"/>
              </w:rPr>
            </w:pPr>
          </w:p>
        </w:tc>
      </w:tr>
      <w:tr w:rsidR="00BA7010" w:rsidRPr="000536FB" w:rsidTr="00366F6C">
        <w:tc>
          <w:tcPr>
            <w:tcW w:w="2427" w:type="pct"/>
          </w:tcPr>
          <w:p w:rsidR="00BA7010" w:rsidRPr="00273521" w:rsidRDefault="00BA7010" w:rsidP="00366F6C">
            <w:pPr>
              <w:jc w:val="both"/>
              <w:rPr>
                <w:rFonts w:eastAsia="Calibri"/>
                <w:sz w:val="20"/>
                <w:lang w:val="fr-CA"/>
              </w:rPr>
            </w:pPr>
            <w:r w:rsidRPr="00273521">
              <w:rPr>
                <w:rFonts w:eastAsia="Calibri"/>
                <w:sz w:val="20"/>
                <w:lang w:val="fr-CA"/>
              </w:rPr>
              <w:lastRenderedPageBreak/>
              <w:t>Le 30 septembre 2009</w:t>
            </w:r>
          </w:p>
          <w:p w:rsidR="00BA7010" w:rsidRPr="00273521" w:rsidRDefault="00BA7010" w:rsidP="00366F6C">
            <w:pPr>
              <w:jc w:val="both"/>
              <w:rPr>
                <w:rFonts w:eastAsia="Calibri"/>
                <w:sz w:val="20"/>
                <w:lang w:val="fr-CA"/>
              </w:rPr>
            </w:pPr>
            <w:r w:rsidRPr="00273521">
              <w:rPr>
                <w:rFonts w:eastAsia="Calibri"/>
                <w:sz w:val="20"/>
                <w:lang w:val="fr-CA"/>
              </w:rPr>
              <w:t>Cour supérieure du Québec</w:t>
            </w:r>
          </w:p>
          <w:p w:rsidR="00BA7010" w:rsidRPr="00273521" w:rsidRDefault="00BA7010" w:rsidP="00366F6C">
            <w:pPr>
              <w:jc w:val="both"/>
              <w:rPr>
                <w:rFonts w:eastAsia="Calibri"/>
                <w:sz w:val="20"/>
                <w:lang w:val="fr-CA"/>
              </w:rPr>
            </w:pPr>
            <w:r w:rsidRPr="00273521">
              <w:rPr>
                <w:rFonts w:eastAsia="Calibri"/>
                <w:sz w:val="20"/>
                <w:lang w:val="fr-CA"/>
              </w:rPr>
              <w:t>(Le juge Godbout)</w:t>
            </w:r>
          </w:p>
          <w:p w:rsidR="00BA7010" w:rsidRPr="00273521" w:rsidRDefault="00BA7010" w:rsidP="00366F6C">
            <w:pPr>
              <w:jc w:val="both"/>
              <w:rPr>
                <w:rFonts w:eastAsia="Calibri"/>
                <w:sz w:val="20"/>
                <w:lang w:val="fr-CA"/>
              </w:rPr>
            </w:pPr>
            <w:r w:rsidRPr="00273521">
              <w:rPr>
                <w:rFonts w:eastAsia="Calibri"/>
                <w:sz w:val="20"/>
                <w:lang w:val="fr-CA"/>
              </w:rPr>
              <w:t>Référence neutre : 2009 QCCS 4514</w:t>
            </w:r>
          </w:p>
          <w:p w:rsidR="00BA7010" w:rsidRPr="00273521" w:rsidRDefault="00BA7010" w:rsidP="00366F6C">
            <w:pPr>
              <w:jc w:val="both"/>
              <w:rPr>
                <w:rFonts w:eastAsia="Calibri"/>
                <w:sz w:val="20"/>
                <w:lang w:val="fr-FR"/>
              </w:rPr>
            </w:pPr>
          </w:p>
        </w:tc>
        <w:tc>
          <w:tcPr>
            <w:tcW w:w="243" w:type="pct"/>
          </w:tcPr>
          <w:p w:rsidR="00BA7010" w:rsidRPr="00273521" w:rsidRDefault="00BA7010" w:rsidP="00366F6C">
            <w:pPr>
              <w:jc w:val="both"/>
              <w:rPr>
                <w:rFonts w:eastAsia="Calibri"/>
                <w:sz w:val="20"/>
                <w:lang w:val="fr-FR"/>
              </w:rPr>
            </w:pPr>
          </w:p>
        </w:tc>
        <w:tc>
          <w:tcPr>
            <w:tcW w:w="2330" w:type="pct"/>
          </w:tcPr>
          <w:p w:rsidR="00BA7010" w:rsidRPr="00273521" w:rsidRDefault="00BA7010" w:rsidP="00366F6C">
            <w:pPr>
              <w:jc w:val="both"/>
              <w:rPr>
                <w:rFonts w:eastAsia="Calibri"/>
                <w:sz w:val="20"/>
                <w:lang w:val="fr-CA"/>
              </w:rPr>
            </w:pPr>
            <w:r w:rsidRPr="00273521">
              <w:rPr>
                <w:rFonts w:eastAsia="Calibri"/>
                <w:sz w:val="20"/>
                <w:lang w:val="fr-CA"/>
              </w:rPr>
              <w:t>Rejet de la requête de l’intimé en déclaration d’inhabilité du demandeur.</w:t>
            </w:r>
          </w:p>
        </w:tc>
      </w:tr>
      <w:tr w:rsidR="00BA7010" w:rsidRPr="000536FB" w:rsidTr="00366F6C">
        <w:tc>
          <w:tcPr>
            <w:tcW w:w="2427" w:type="pct"/>
          </w:tcPr>
          <w:p w:rsidR="00BA7010" w:rsidRPr="00273521" w:rsidRDefault="00BA7010" w:rsidP="00366F6C">
            <w:pPr>
              <w:jc w:val="both"/>
              <w:rPr>
                <w:rFonts w:eastAsia="Calibri"/>
                <w:sz w:val="20"/>
                <w:lang w:val="fr-CA"/>
              </w:rPr>
            </w:pPr>
            <w:r w:rsidRPr="00273521">
              <w:rPr>
                <w:rFonts w:eastAsia="Calibri"/>
                <w:sz w:val="20"/>
                <w:lang w:val="fr-CA"/>
              </w:rPr>
              <w:t>Le 16 décembre 2010</w:t>
            </w:r>
          </w:p>
          <w:p w:rsidR="00BA7010" w:rsidRPr="00273521" w:rsidRDefault="00BA7010" w:rsidP="00366F6C">
            <w:pPr>
              <w:jc w:val="both"/>
              <w:rPr>
                <w:rFonts w:eastAsia="Calibri"/>
                <w:sz w:val="20"/>
                <w:lang w:val="fr-CA"/>
              </w:rPr>
            </w:pPr>
            <w:r w:rsidRPr="00273521">
              <w:rPr>
                <w:rFonts w:eastAsia="Calibri"/>
                <w:sz w:val="20"/>
                <w:lang w:val="fr-CA"/>
              </w:rPr>
              <w:t>Cour d’appel du Québec (Québec)</w:t>
            </w:r>
          </w:p>
          <w:p w:rsidR="00BA7010" w:rsidRPr="00273521" w:rsidRDefault="00BA7010" w:rsidP="00366F6C">
            <w:pPr>
              <w:jc w:val="both"/>
              <w:rPr>
                <w:rFonts w:eastAsia="Calibri"/>
                <w:sz w:val="20"/>
                <w:lang w:val="fr-CA"/>
              </w:rPr>
            </w:pPr>
            <w:r w:rsidRPr="00273521">
              <w:rPr>
                <w:rFonts w:eastAsia="Calibri"/>
                <w:sz w:val="20"/>
                <w:lang w:val="fr-CA"/>
              </w:rPr>
              <w:t>(Les juges Thibault, Pelletier et Bouchard)</w:t>
            </w:r>
          </w:p>
          <w:p w:rsidR="00BA7010" w:rsidRPr="00273521" w:rsidRDefault="00BA7010" w:rsidP="00366F6C">
            <w:pPr>
              <w:jc w:val="both"/>
              <w:rPr>
                <w:rFonts w:eastAsia="Calibri"/>
                <w:sz w:val="20"/>
                <w:lang w:val="fr-CA"/>
              </w:rPr>
            </w:pPr>
            <w:r w:rsidRPr="00273521">
              <w:rPr>
                <w:rFonts w:eastAsia="Calibri"/>
                <w:sz w:val="20"/>
                <w:lang w:val="fr-CA"/>
              </w:rPr>
              <w:t>Référence neutre : 2010 QCCA 2346</w:t>
            </w:r>
          </w:p>
          <w:p w:rsidR="00BA7010" w:rsidRPr="00273521" w:rsidRDefault="00BA7010" w:rsidP="00366F6C">
            <w:pPr>
              <w:jc w:val="both"/>
              <w:rPr>
                <w:rFonts w:eastAsia="Calibri"/>
                <w:sz w:val="20"/>
                <w:lang w:val="fr-FR"/>
              </w:rPr>
            </w:pPr>
          </w:p>
        </w:tc>
        <w:tc>
          <w:tcPr>
            <w:tcW w:w="243" w:type="pct"/>
          </w:tcPr>
          <w:p w:rsidR="00BA7010" w:rsidRPr="00273521" w:rsidRDefault="00BA7010" w:rsidP="00366F6C">
            <w:pPr>
              <w:jc w:val="both"/>
              <w:rPr>
                <w:rFonts w:eastAsia="Calibri"/>
                <w:sz w:val="20"/>
                <w:lang w:val="fr-FR"/>
              </w:rPr>
            </w:pPr>
          </w:p>
        </w:tc>
        <w:tc>
          <w:tcPr>
            <w:tcW w:w="2330" w:type="pct"/>
          </w:tcPr>
          <w:p w:rsidR="00BA7010" w:rsidRPr="00273521" w:rsidRDefault="00BA7010" w:rsidP="00366F6C">
            <w:pPr>
              <w:jc w:val="both"/>
              <w:rPr>
                <w:rFonts w:eastAsia="Calibri"/>
                <w:sz w:val="20"/>
                <w:lang w:val="fr-CA"/>
              </w:rPr>
            </w:pPr>
            <w:r w:rsidRPr="00273521">
              <w:rPr>
                <w:rFonts w:eastAsia="Calibri"/>
                <w:sz w:val="20"/>
                <w:lang w:val="fr-CA"/>
              </w:rPr>
              <w:t>Appel accueilli; inhabilité du demandeur déclarée.</w:t>
            </w:r>
          </w:p>
        </w:tc>
      </w:tr>
      <w:tr w:rsidR="00BA7010" w:rsidRPr="000536FB" w:rsidTr="00366F6C">
        <w:tc>
          <w:tcPr>
            <w:tcW w:w="2427" w:type="pct"/>
          </w:tcPr>
          <w:p w:rsidR="00BA7010" w:rsidRPr="00273521" w:rsidRDefault="00BA7010" w:rsidP="00366F6C">
            <w:pPr>
              <w:jc w:val="both"/>
              <w:rPr>
                <w:rFonts w:eastAsia="Calibri"/>
                <w:sz w:val="20"/>
                <w:lang w:val="fr-CA"/>
              </w:rPr>
            </w:pPr>
            <w:r w:rsidRPr="00273521">
              <w:rPr>
                <w:rFonts w:eastAsia="Calibri"/>
                <w:sz w:val="20"/>
                <w:lang w:val="fr-CA"/>
              </w:rPr>
              <w:t>Le 14 février 2011</w:t>
            </w:r>
          </w:p>
          <w:p w:rsidR="00BA7010" w:rsidRPr="00273521" w:rsidRDefault="00BA7010" w:rsidP="00BA7010">
            <w:pPr>
              <w:jc w:val="both"/>
              <w:rPr>
                <w:rFonts w:eastAsia="Calibri"/>
                <w:sz w:val="20"/>
                <w:lang w:val="fr-FR"/>
              </w:rPr>
            </w:pPr>
            <w:r w:rsidRPr="00273521">
              <w:rPr>
                <w:rFonts w:eastAsia="Calibri"/>
                <w:sz w:val="20"/>
                <w:lang w:val="fr-CA"/>
              </w:rPr>
              <w:t>Cour suprême du Canada</w:t>
            </w:r>
          </w:p>
        </w:tc>
        <w:tc>
          <w:tcPr>
            <w:tcW w:w="243" w:type="pct"/>
          </w:tcPr>
          <w:p w:rsidR="00BA7010" w:rsidRPr="00273521" w:rsidRDefault="00BA7010" w:rsidP="00366F6C">
            <w:pPr>
              <w:jc w:val="both"/>
              <w:rPr>
                <w:rFonts w:eastAsia="Calibri"/>
                <w:sz w:val="20"/>
                <w:lang w:val="fr-FR"/>
              </w:rPr>
            </w:pPr>
          </w:p>
        </w:tc>
        <w:tc>
          <w:tcPr>
            <w:tcW w:w="2330" w:type="pct"/>
          </w:tcPr>
          <w:p w:rsidR="00BA7010" w:rsidRPr="00273521" w:rsidRDefault="00BA7010" w:rsidP="00366F6C">
            <w:pPr>
              <w:jc w:val="both"/>
              <w:rPr>
                <w:rFonts w:eastAsia="Calibri"/>
                <w:sz w:val="20"/>
                <w:lang w:val="fr-CA"/>
              </w:rPr>
            </w:pPr>
            <w:r w:rsidRPr="00273521">
              <w:rPr>
                <w:rFonts w:eastAsia="Calibri"/>
                <w:sz w:val="20"/>
                <w:lang w:val="fr-CA"/>
              </w:rPr>
              <w:t>Dépôt de la demande d’autorisation d’appel.</w:t>
            </w:r>
          </w:p>
        </w:tc>
      </w:tr>
    </w:tbl>
    <w:p w:rsidR="00177474" w:rsidRPr="00BA7010" w:rsidRDefault="00177474" w:rsidP="00177474">
      <w:pPr>
        <w:rPr>
          <w:sz w:val="20"/>
          <w:szCs w:val="20"/>
          <w:lang w:val="fr-CA"/>
        </w:rPr>
      </w:pPr>
    </w:p>
    <w:p w:rsidR="00177474" w:rsidRDefault="009E364E" w:rsidP="00177474">
      <w:pPr>
        <w:rPr>
          <w:sz w:val="20"/>
          <w:szCs w:val="20"/>
          <w:lang w:val="fr-CA"/>
        </w:rPr>
      </w:pPr>
      <w:r w:rsidRPr="009E364E">
        <w:rPr>
          <w:sz w:val="20"/>
          <w:szCs w:val="20"/>
          <w:lang w:val="fr-CA"/>
        </w:rPr>
        <w:pict>
          <v:rect id="_x0000_i1043" style="width:2in;height:1pt" o:hrpct="0" o:hralign="center" o:hrstd="t" o:hrnoshade="t" o:hr="t" fillcolor="black [3213]" stroked="f"/>
        </w:pict>
      </w:r>
    </w:p>
    <w:p w:rsidR="00177474" w:rsidRDefault="00177474" w:rsidP="00177474">
      <w:pPr>
        <w:rPr>
          <w:sz w:val="20"/>
          <w:szCs w:val="20"/>
          <w:lang w:val="fr-CA"/>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D565A" w:rsidRPr="006D565A" w:rsidTr="00C17A52">
        <w:trPr>
          <w:cantSplit/>
        </w:trPr>
        <w:tc>
          <w:tcPr>
            <w:tcW w:w="1458" w:type="dxa"/>
          </w:tcPr>
          <w:p w:rsidR="006D565A" w:rsidRPr="006D565A" w:rsidRDefault="006D565A" w:rsidP="006D565A">
            <w:pPr>
              <w:rPr>
                <w:rFonts w:cs="Times New Roman"/>
                <w:sz w:val="20"/>
                <w:szCs w:val="20"/>
              </w:rPr>
            </w:pPr>
            <w:r w:rsidRPr="006D565A">
              <w:rPr>
                <w:rFonts w:cs="Times New Roman"/>
                <w:b/>
                <w:sz w:val="20"/>
                <w:lang w:val="fr-CA"/>
              </w:rPr>
              <w:t>34107</w:t>
            </w:r>
          </w:p>
          <w:p w:rsidR="006D565A" w:rsidRPr="006D565A" w:rsidRDefault="006D565A" w:rsidP="006D565A">
            <w:pPr>
              <w:rPr>
                <w:rFonts w:cs="Times New Roman"/>
                <w:b/>
                <w:sz w:val="20"/>
                <w:szCs w:val="20"/>
                <w:lang w:val="fr-CA"/>
              </w:rPr>
            </w:pPr>
          </w:p>
        </w:tc>
        <w:tc>
          <w:tcPr>
            <w:tcW w:w="8118" w:type="dxa"/>
          </w:tcPr>
          <w:p w:rsidR="006D565A" w:rsidRPr="006D565A" w:rsidRDefault="006D565A" w:rsidP="006D565A">
            <w:pPr>
              <w:rPr>
                <w:rFonts w:cs="Times New Roman"/>
                <w:sz w:val="20"/>
                <w:szCs w:val="20"/>
              </w:rPr>
            </w:pPr>
            <w:r w:rsidRPr="006D565A">
              <w:rPr>
                <w:rFonts w:cs="Times New Roman"/>
                <w:b/>
                <w:sz w:val="20"/>
                <w:u w:val="single"/>
              </w:rPr>
              <w:t xml:space="preserve">Rodney </w:t>
            </w:r>
            <w:proofErr w:type="spellStart"/>
            <w:r w:rsidRPr="006D565A">
              <w:rPr>
                <w:rFonts w:cs="Times New Roman"/>
                <w:b/>
                <w:sz w:val="20"/>
                <w:u w:val="single"/>
              </w:rPr>
              <w:t>Tingley</w:t>
            </w:r>
            <w:proofErr w:type="spellEnd"/>
            <w:r w:rsidRPr="006D565A">
              <w:rPr>
                <w:rFonts w:cs="Times New Roman"/>
                <w:b/>
                <w:sz w:val="20"/>
                <w:u w:val="single"/>
              </w:rPr>
              <w:t xml:space="preserve">, Roger </w:t>
            </w:r>
            <w:proofErr w:type="spellStart"/>
            <w:r w:rsidRPr="006D565A">
              <w:rPr>
                <w:rFonts w:cs="Times New Roman"/>
                <w:b/>
                <w:sz w:val="20"/>
                <w:u w:val="single"/>
              </w:rPr>
              <w:t>Tingley</w:t>
            </w:r>
            <w:proofErr w:type="spellEnd"/>
            <w:r w:rsidRPr="006D565A">
              <w:rPr>
                <w:rFonts w:cs="Times New Roman"/>
                <w:b/>
                <w:sz w:val="20"/>
                <w:u w:val="single"/>
              </w:rPr>
              <w:t xml:space="preserve">, Michael </w:t>
            </w:r>
            <w:proofErr w:type="spellStart"/>
            <w:r w:rsidRPr="006D565A">
              <w:rPr>
                <w:rFonts w:cs="Times New Roman"/>
                <w:b/>
                <w:sz w:val="20"/>
                <w:u w:val="single"/>
              </w:rPr>
              <w:t>Tingley</w:t>
            </w:r>
            <w:proofErr w:type="spellEnd"/>
            <w:r>
              <w:rPr>
                <w:rFonts w:cs="Times New Roman"/>
                <w:b/>
                <w:sz w:val="20"/>
                <w:u w:val="single"/>
              </w:rPr>
              <w:t xml:space="preserve"> and</w:t>
            </w:r>
            <w:r w:rsidRPr="006D565A">
              <w:rPr>
                <w:rFonts w:cs="Times New Roman"/>
                <w:b/>
                <w:sz w:val="20"/>
                <w:u w:val="single"/>
              </w:rPr>
              <w:t xml:space="preserve"> Christopher </w:t>
            </w:r>
            <w:proofErr w:type="spellStart"/>
            <w:r w:rsidRPr="006D565A">
              <w:rPr>
                <w:rFonts w:cs="Times New Roman"/>
                <w:b/>
                <w:sz w:val="20"/>
                <w:u w:val="single"/>
              </w:rPr>
              <w:t>Tingley</w:t>
            </w:r>
            <w:proofErr w:type="spellEnd"/>
            <w:r w:rsidRPr="006D565A">
              <w:rPr>
                <w:rFonts w:cs="Times New Roman"/>
                <w:b/>
                <w:sz w:val="20"/>
                <w:u w:val="single"/>
              </w:rPr>
              <w:t xml:space="preserve"> v. Her Majesty the Queen</w:t>
            </w:r>
            <w:r w:rsidRPr="006D565A">
              <w:rPr>
                <w:rFonts w:cs="Times New Roman"/>
                <w:sz w:val="20"/>
                <w:szCs w:val="20"/>
              </w:rPr>
              <w:t xml:space="preserve"> (N.B.) (Criminal) (By Leave)</w:t>
            </w:r>
          </w:p>
          <w:p w:rsidR="006D565A" w:rsidRPr="006D565A" w:rsidRDefault="006D565A" w:rsidP="006D565A">
            <w:pPr>
              <w:rPr>
                <w:rFonts w:cs="Times New Roman"/>
                <w:sz w:val="20"/>
                <w:szCs w:val="20"/>
              </w:rPr>
            </w:pPr>
          </w:p>
        </w:tc>
      </w:tr>
      <w:tr w:rsidR="006D565A" w:rsidRPr="006D565A" w:rsidTr="00C17A52">
        <w:trPr>
          <w:cantSplit/>
        </w:trPr>
        <w:tc>
          <w:tcPr>
            <w:tcW w:w="1458" w:type="dxa"/>
          </w:tcPr>
          <w:p w:rsidR="006D565A" w:rsidRPr="006D565A" w:rsidRDefault="006D565A" w:rsidP="006D565A">
            <w:pPr>
              <w:rPr>
                <w:rFonts w:cs="Times New Roman"/>
                <w:sz w:val="20"/>
                <w:szCs w:val="20"/>
              </w:rPr>
            </w:pPr>
            <w:r w:rsidRPr="006D565A">
              <w:rPr>
                <w:rFonts w:cs="Times New Roman"/>
                <w:sz w:val="20"/>
                <w:szCs w:val="20"/>
              </w:rPr>
              <w:t>Coram :</w:t>
            </w:r>
          </w:p>
        </w:tc>
        <w:tc>
          <w:tcPr>
            <w:tcW w:w="8118" w:type="dxa"/>
          </w:tcPr>
          <w:p w:rsidR="006D565A" w:rsidRPr="006D565A" w:rsidRDefault="006D565A" w:rsidP="006D565A">
            <w:pPr>
              <w:rPr>
                <w:rFonts w:cs="Times New Roman"/>
                <w:sz w:val="20"/>
                <w:szCs w:val="20"/>
              </w:rPr>
            </w:pPr>
            <w:proofErr w:type="spellStart"/>
            <w:r w:rsidRPr="006D565A">
              <w:rPr>
                <w:rFonts w:cs="Times New Roman"/>
                <w:sz w:val="20"/>
                <w:u w:val="single"/>
              </w:rPr>
              <w:t>LeBel</w:t>
            </w:r>
            <w:proofErr w:type="spellEnd"/>
            <w:r w:rsidRPr="006D565A">
              <w:rPr>
                <w:rFonts w:cs="Times New Roman"/>
                <w:sz w:val="20"/>
                <w:u w:val="single"/>
              </w:rPr>
              <w:t>, Fish and Cromwell JJ.</w:t>
            </w:r>
          </w:p>
          <w:p w:rsidR="006D565A" w:rsidRPr="006D565A" w:rsidRDefault="006D565A" w:rsidP="006D565A">
            <w:pPr>
              <w:rPr>
                <w:rFonts w:cs="Times New Roman"/>
                <w:sz w:val="20"/>
                <w:szCs w:val="20"/>
                <w:u w:val="single"/>
              </w:rPr>
            </w:pPr>
          </w:p>
        </w:tc>
      </w:tr>
      <w:tr w:rsidR="006D565A" w:rsidRPr="006D565A" w:rsidTr="00C17A52">
        <w:trPr>
          <w:cantSplit/>
        </w:trPr>
        <w:tc>
          <w:tcPr>
            <w:tcW w:w="9576" w:type="dxa"/>
            <w:gridSpan w:val="2"/>
          </w:tcPr>
          <w:p w:rsidR="006D565A" w:rsidRPr="006D565A" w:rsidRDefault="006D565A" w:rsidP="006D565A">
            <w:pPr>
              <w:ind w:firstLine="720"/>
              <w:jc w:val="both"/>
              <w:rPr>
                <w:rFonts w:cs="Times New Roman"/>
                <w:sz w:val="20"/>
                <w:szCs w:val="20"/>
              </w:rPr>
            </w:pPr>
            <w:r w:rsidRPr="006D565A">
              <w:rPr>
                <w:rFonts w:cs="Times New Roman"/>
                <w:sz w:val="20"/>
                <w:szCs w:val="20"/>
              </w:rPr>
              <w:t>The motion for an extension of time to serve and file the application for leave to appeal is granted. The application for leave to appeal from the judgment of the Court of Appeal of New Brunswick, Numbers 120-10-CA and 121-10-CA, 2011 NBCA 8, dated January 27, 2011, is dismissed without costs.</w:t>
            </w:r>
          </w:p>
          <w:p w:rsidR="006D565A" w:rsidRPr="006D565A" w:rsidRDefault="006D565A" w:rsidP="006D565A">
            <w:pPr>
              <w:jc w:val="both"/>
              <w:rPr>
                <w:rFonts w:cs="Times New Roman"/>
                <w:sz w:val="20"/>
                <w:szCs w:val="20"/>
              </w:rPr>
            </w:pPr>
          </w:p>
          <w:p w:rsidR="006D565A" w:rsidRPr="006D565A" w:rsidRDefault="006D565A" w:rsidP="006D565A">
            <w:pPr>
              <w:ind w:firstLine="720"/>
              <w:jc w:val="both"/>
              <w:rPr>
                <w:rFonts w:cs="Times New Roman"/>
                <w:sz w:val="20"/>
                <w:szCs w:val="20"/>
                <w:lang w:val="fr-CA"/>
              </w:rPr>
            </w:pPr>
            <w:r w:rsidRPr="006D565A">
              <w:rPr>
                <w:rFonts w:cs="Times New Roman"/>
                <w:sz w:val="20"/>
                <w:szCs w:val="20"/>
                <w:lang w:val="fr-CA"/>
              </w:rPr>
              <w:t>La requête en prorogation du délai de signification et de dépôt de la demande d’autorisation d’appel est accordée. La demande d’autorisation d’appel de l’arrêt de la Cour d’appel du Nouveau-Brunswick, numéros 120-10-CA et 121-10-CA, 2011 NBCA 8, daté du 27 janvier 2011, est rejetée sans dépens.</w:t>
            </w:r>
          </w:p>
        </w:tc>
      </w:tr>
    </w:tbl>
    <w:p w:rsidR="00177474" w:rsidRPr="006D565A" w:rsidRDefault="00177474" w:rsidP="00177474">
      <w:pPr>
        <w:rPr>
          <w:sz w:val="20"/>
          <w:szCs w:val="20"/>
          <w:lang w:val="fr-CA"/>
        </w:rPr>
      </w:pPr>
    </w:p>
    <w:p w:rsidR="00177474" w:rsidRPr="00177474" w:rsidRDefault="00177474" w:rsidP="00177474">
      <w:pPr>
        <w:rPr>
          <w:sz w:val="20"/>
          <w:szCs w:val="20"/>
        </w:rPr>
      </w:pPr>
      <w:r>
        <w:rPr>
          <w:sz w:val="20"/>
          <w:szCs w:val="20"/>
          <w:u w:val="single"/>
        </w:rPr>
        <w:t>CASE SUMMARY</w:t>
      </w:r>
    </w:p>
    <w:p w:rsidR="00177474" w:rsidRDefault="00177474" w:rsidP="001774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7010" w:rsidRPr="00273521" w:rsidTr="00366F6C">
        <w:tc>
          <w:tcPr>
            <w:tcW w:w="5000" w:type="pct"/>
            <w:gridSpan w:val="3"/>
          </w:tcPr>
          <w:p w:rsidR="00BA7010" w:rsidRPr="00273521" w:rsidRDefault="00BA7010" w:rsidP="00366F6C">
            <w:pPr>
              <w:pStyle w:val="SCCBanSummary"/>
              <w:rPr>
                <w:sz w:val="20"/>
                <w:szCs w:val="20"/>
              </w:rPr>
            </w:pPr>
            <w:r w:rsidRPr="00273521">
              <w:rPr>
                <w:sz w:val="20"/>
                <w:szCs w:val="20"/>
              </w:rPr>
              <w:t>(Publication ban in case)</w:t>
            </w:r>
          </w:p>
          <w:p w:rsidR="00BA7010" w:rsidRPr="00273521" w:rsidRDefault="00BA7010" w:rsidP="00366F6C">
            <w:pPr>
              <w:rPr>
                <w:sz w:val="20"/>
              </w:rPr>
            </w:pPr>
          </w:p>
          <w:p w:rsidR="00BA7010" w:rsidRPr="00273521" w:rsidRDefault="00BA7010" w:rsidP="00366F6C">
            <w:pPr>
              <w:jc w:val="both"/>
              <w:rPr>
                <w:sz w:val="20"/>
              </w:rPr>
            </w:pPr>
            <w:r w:rsidRPr="00273521">
              <w:rPr>
                <w:sz w:val="20"/>
              </w:rPr>
              <w:t xml:space="preserve">Canadian Charter of Rights and Freedoms </w:t>
            </w:r>
            <w:r w:rsidRPr="00273521">
              <w:rPr>
                <w:sz w:val="20"/>
              </w:rPr>
              <w:noBreakHyphen/>
              <w:t xml:space="preserve"> Criminal law — Appeals —</w:t>
            </w:r>
            <w:r w:rsidRPr="00273521">
              <w:rPr>
                <w:color w:val="000000"/>
                <w:sz w:val="20"/>
              </w:rPr>
              <w:t xml:space="preserve"> Whether the Court of Appeal erred in adjourning the interlocutory appeal of a non</w:t>
            </w:r>
            <w:r w:rsidRPr="00273521">
              <w:rPr>
                <w:color w:val="000000"/>
                <w:sz w:val="20"/>
              </w:rPr>
              <w:noBreakHyphen/>
              <w:t xml:space="preserve">disclosure order under the </w:t>
            </w:r>
            <w:r w:rsidRPr="00273521">
              <w:rPr>
                <w:i/>
                <w:color w:val="000000"/>
                <w:sz w:val="20"/>
              </w:rPr>
              <w:t>Canada Evidence Act</w:t>
            </w:r>
            <w:r w:rsidRPr="00273521">
              <w:rPr>
                <w:color w:val="000000"/>
                <w:sz w:val="20"/>
              </w:rPr>
              <w:t xml:space="preserve"> until the conclusion of the underlying trial rather than hearing the appeal immediately — Whether the decision to adjourn the appeal violates the applicants right to full answer and defence — Canadian Charter of Rights and Freedoms s. 11(d) — </w:t>
            </w:r>
            <w:r w:rsidRPr="00273521">
              <w:rPr>
                <w:i/>
                <w:iCs/>
                <w:color w:val="000000"/>
                <w:sz w:val="20"/>
              </w:rPr>
              <w:t>Canada Evidence Act</w:t>
            </w:r>
            <w:r w:rsidRPr="00273521">
              <w:rPr>
                <w:color w:val="000000"/>
                <w:sz w:val="20"/>
              </w:rPr>
              <w:t>, R.S.C. 1985, c. C</w:t>
            </w:r>
            <w:r w:rsidRPr="00273521">
              <w:rPr>
                <w:color w:val="000000"/>
                <w:sz w:val="20"/>
              </w:rPr>
              <w:noBreakHyphen/>
              <w:t>5, s. 37.1.</w:t>
            </w:r>
          </w:p>
        </w:tc>
      </w:tr>
      <w:tr w:rsidR="00BA7010" w:rsidRPr="00273521" w:rsidTr="00366F6C">
        <w:tc>
          <w:tcPr>
            <w:tcW w:w="5000" w:type="pct"/>
            <w:gridSpan w:val="3"/>
          </w:tcPr>
          <w:p w:rsidR="00BA7010" w:rsidRPr="00273521" w:rsidRDefault="00BA7010" w:rsidP="00366F6C">
            <w:pPr>
              <w:rPr>
                <w:sz w:val="20"/>
              </w:rPr>
            </w:pPr>
          </w:p>
        </w:tc>
      </w:tr>
      <w:tr w:rsidR="00BA7010" w:rsidRPr="00273521" w:rsidTr="00366F6C">
        <w:tc>
          <w:tcPr>
            <w:tcW w:w="5000" w:type="pct"/>
            <w:gridSpan w:val="3"/>
          </w:tcPr>
          <w:p w:rsidR="00BA7010" w:rsidRPr="00273521" w:rsidRDefault="00BA7010" w:rsidP="00366F6C">
            <w:pPr>
              <w:jc w:val="both"/>
              <w:rPr>
                <w:sz w:val="20"/>
              </w:rPr>
            </w:pPr>
            <w:r w:rsidRPr="00273521">
              <w:rPr>
                <w:sz w:val="20"/>
              </w:rPr>
              <w:t xml:space="preserve">The applicants were charged with being members of or participating in the activities of an alleged criminal organization.  They were also variously charged with other offences related to the criminal organization including charges of possession of controlled substances for the purpose of trafficking, trafficking in controlled substances, several conspiracy charges and </w:t>
            </w:r>
            <w:r w:rsidRPr="00273521">
              <w:rPr>
                <w:i/>
                <w:sz w:val="20"/>
              </w:rPr>
              <w:t>Firearms Act</w:t>
            </w:r>
            <w:r w:rsidRPr="00273521">
              <w:rPr>
                <w:sz w:val="20"/>
              </w:rPr>
              <w:t xml:space="preserve"> offences. </w:t>
            </w:r>
          </w:p>
          <w:p w:rsidR="00BA7010" w:rsidRPr="00273521" w:rsidRDefault="00BA7010" w:rsidP="00366F6C">
            <w:pPr>
              <w:jc w:val="both"/>
              <w:rPr>
                <w:sz w:val="20"/>
              </w:rPr>
            </w:pPr>
          </w:p>
          <w:p w:rsidR="00BA7010" w:rsidRPr="00273521" w:rsidRDefault="00BA7010" w:rsidP="00366F6C">
            <w:pPr>
              <w:jc w:val="both"/>
              <w:rPr>
                <w:sz w:val="20"/>
              </w:rPr>
            </w:pPr>
            <w:r w:rsidRPr="00273521">
              <w:rPr>
                <w:sz w:val="20"/>
              </w:rPr>
              <w:t xml:space="preserve">During the investigation, the Crown obtained authorizations to intercept private communications and search warrants to gather evidence upon which the charges are based.  To obtain these warrants and authorizations, police relied on information obtained from confidential informants.  The applicants sought disclosure of documents and/or portions of documents that had been redacted by the Crown prior to having been disclosed to them as well as other files related to </w:t>
            </w:r>
            <w:r w:rsidRPr="00273521">
              <w:rPr>
                <w:sz w:val="20"/>
              </w:rPr>
              <w:lastRenderedPageBreak/>
              <w:t xml:space="preserve">the matter.  The Crown objected pursuant to s. 37(1) of the </w:t>
            </w:r>
            <w:r w:rsidRPr="00273521">
              <w:rPr>
                <w:i/>
                <w:sz w:val="20"/>
              </w:rPr>
              <w:t>Canada Evidence Act</w:t>
            </w:r>
            <w:r w:rsidRPr="00273521">
              <w:rPr>
                <w:sz w:val="20"/>
              </w:rPr>
              <w:t xml:space="preserve"> to the production of any of the undisclosed or redacted information sought by the applicants. </w:t>
            </w:r>
          </w:p>
          <w:p w:rsidR="00BA7010" w:rsidRPr="00273521" w:rsidRDefault="00BA7010" w:rsidP="00366F6C">
            <w:pPr>
              <w:rPr>
                <w:sz w:val="20"/>
              </w:rPr>
            </w:pPr>
          </w:p>
        </w:tc>
      </w:tr>
      <w:tr w:rsidR="00BA7010" w:rsidRPr="00273521" w:rsidTr="00366F6C">
        <w:tc>
          <w:tcPr>
            <w:tcW w:w="2427" w:type="pct"/>
          </w:tcPr>
          <w:p w:rsidR="00BA7010" w:rsidRPr="00273521" w:rsidRDefault="00BA7010" w:rsidP="00366F6C">
            <w:pPr>
              <w:rPr>
                <w:sz w:val="20"/>
              </w:rPr>
            </w:pPr>
            <w:r w:rsidRPr="00273521">
              <w:rPr>
                <w:sz w:val="20"/>
              </w:rPr>
              <w:lastRenderedPageBreak/>
              <w:t>September 9, 2010</w:t>
            </w:r>
          </w:p>
          <w:p w:rsidR="00BA7010" w:rsidRPr="00273521" w:rsidRDefault="00BA7010" w:rsidP="00366F6C">
            <w:pPr>
              <w:rPr>
                <w:sz w:val="20"/>
              </w:rPr>
            </w:pPr>
            <w:r w:rsidRPr="00273521">
              <w:rPr>
                <w:sz w:val="20"/>
              </w:rPr>
              <w:t>Court of Queen’s Bench of New Brunswick</w:t>
            </w:r>
          </w:p>
          <w:p w:rsidR="00BA7010" w:rsidRPr="00273521" w:rsidRDefault="00BA7010" w:rsidP="00366F6C">
            <w:pPr>
              <w:rPr>
                <w:sz w:val="20"/>
              </w:rPr>
            </w:pPr>
            <w:r w:rsidRPr="00273521">
              <w:rPr>
                <w:sz w:val="20"/>
              </w:rPr>
              <w:t>(McNally J.)</w:t>
            </w:r>
          </w:p>
          <w:p w:rsidR="00BA7010" w:rsidRPr="00273521" w:rsidRDefault="00BA7010" w:rsidP="00366F6C">
            <w:pPr>
              <w:rPr>
                <w:sz w:val="20"/>
              </w:rPr>
            </w:pPr>
            <w:r w:rsidRPr="00273521">
              <w:rPr>
                <w:sz w:val="20"/>
              </w:rPr>
              <w:t>Neutral citation: 2010 NBQB 284</w:t>
            </w:r>
          </w:p>
          <w:p w:rsidR="00BA7010" w:rsidRPr="00273521" w:rsidRDefault="00BA7010" w:rsidP="00366F6C">
            <w:pPr>
              <w:rPr>
                <w:sz w:val="20"/>
              </w:rPr>
            </w:pPr>
          </w:p>
        </w:tc>
        <w:tc>
          <w:tcPr>
            <w:tcW w:w="243" w:type="pct"/>
          </w:tcPr>
          <w:p w:rsidR="00BA7010" w:rsidRPr="00273521" w:rsidRDefault="00BA7010" w:rsidP="00366F6C">
            <w:pPr>
              <w:rPr>
                <w:sz w:val="20"/>
              </w:rPr>
            </w:pPr>
          </w:p>
        </w:tc>
        <w:tc>
          <w:tcPr>
            <w:tcW w:w="2330" w:type="pct"/>
          </w:tcPr>
          <w:p w:rsidR="00BA7010" w:rsidRPr="00273521" w:rsidRDefault="00BA7010" w:rsidP="00366F6C">
            <w:pPr>
              <w:jc w:val="both"/>
              <w:rPr>
                <w:sz w:val="20"/>
              </w:rPr>
            </w:pPr>
            <w:r w:rsidRPr="00273521">
              <w:rPr>
                <w:sz w:val="20"/>
              </w:rPr>
              <w:t>Crown motion for non</w:t>
            </w:r>
            <w:r w:rsidRPr="00273521">
              <w:rPr>
                <w:sz w:val="20"/>
              </w:rPr>
              <w:noBreakHyphen/>
              <w:t xml:space="preserve">disclosure due to informant privilege pursuant to s. 37 of the </w:t>
            </w:r>
            <w:r w:rsidRPr="00273521">
              <w:rPr>
                <w:i/>
                <w:sz w:val="20"/>
              </w:rPr>
              <w:t>Canada Evidence Act</w:t>
            </w:r>
            <w:r w:rsidRPr="00273521">
              <w:rPr>
                <w:sz w:val="20"/>
              </w:rPr>
              <w:t xml:space="preserve"> allowed</w:t>
            </w:r>
          </w:p>
          <w:p w:rsidR="00BA7010" w:rsidRPr="00273521" w:rsidRDefault="00BA7010" w:rsidP="00366F6C">
            <w:pPr>
              <w:rPr>
                <w:sz w:val="20"/>
              </w:rPr>
            </w:pPr>
          </w:p>
        </w:tc>
      </w:tr>
      <w:tr w:rsidR="00BA7010" w:rsidRPr="00273521" w:rsidTr="00366F6C">
        <w:tc>
          <w:tcPr>
            <w:tcW w:w="2427" w:type="pct"/>
          </w:tcPr>
          <w:p w:rsidR="00BA7010" w:rsidRPr="00273521" w:rsidRDefault="00BA7010" w:rsidP="00366F6C">
            <w:pPr>
              <w:rPr>
                <w:sz w:val="20"/>
              </w:rPr>
            </w:pPr>
            <w:r w:rsidRPr="00273521">
              <w:rPr>
                <w:sz w:val="20"/>
              </w:rPr>
              <w:t>January 27, 2011</w:t>
            </w:r>
          </w:p>
          <w:p w:rsidR="00BA7010" w:rsidRPr="00273521" w:rsidRDefault="00BA7010" w:rsidP="00366F6C">
            <w:pPr>
              <w:rPr>
                <w:sz w:val="20"/>
              </w:rPr>
            </w:pPr>
            <w:r w:rsidRPr="00273521">
              <w:rPr>
                <w:sz w:val="20"/>
              </w:rPr>
              <w:t>Court of Appeal of New Brunswick</w:t>
            </w:r>
          </w:p>
          <w:p w:rsidR="00BA7010" w:rsidRPr="00273521" w:rsidRDefault="00BA7010" w:rsidP="00366F6C">
            <w:pPr>
              <w:rPr>
                <w:sz w:val="20"/>
              </w:rPr>
            </w:pPr>
            <w:r w:rsidRPr="00273521">
              <w:rPr>
                <w:sz w:val="20"/>
              </w:rPr>
              <w:t>(</w:t>
            </w:r>
            <w:proofErr w:type="spellStart"/>
            <w:r w:rsidRPr="00273521">
              <w:rPr>
                <w:sz w:val="20"/>
              </w:rPr>
              <w:t>Deschênes</w:t>
            </w:r>
            <w:proofErr w:type="spellEnd"/>
            <w:r w:rsidRPr="00273521">
              <w:rPr>
                <w:sz w:val="20"/>
              </w:rPr>
              <w:t xml:space="preserve">, Richard and </w:t>
            </w:r>
            <w:proofErr w:type="spellStart"/>
            <w:r w:rsidRPr="00273521">
              <w:rPr>
                <w:sz w:val="20"/>
              </w:rPr>
              <w:t>Quigg</w:t>
            </w:r>
            <w:proofErr w:type="spellEnd"/>
            <w:r w:rsidRPr="00273521">
              <w:rPr>
                <w:sz w:val="20"/>
              </w:rPr>
              <w:t xml:space="preserve"> JJ.A.)</w:t>
            </w:r>
          </w:p>
          <w:p w:rsidR="00BA7010" w:rsidRPr="00273521" w:rsidRDefault="00BA7010" w:rsidP="00366F6C">
            <w:pPr>
              <w:rPr>
                <w:sz w:val="20"/>
              </w:rPr>
            </w:pPr>
            <w:r w:rsidRPr="00273521">
              <w:rPr>
                <w:sz w:val="20"/>
              </w:rPr>
              <w:t>Neutral citation: 2011 NBCA 8</w:t>
            </w:r>
          </w:p>
          <w:p w:rsidR="00BA7010" w:rsidRPr="00273521" w:rsidRDefault="00BA7010" w:rsidP="00366F6C">
            <w:pPr>
              <w:rPr>
                <w:sz w:val="20"/>
              </w:rPr>
            </w:pPr>
          </w:p>
        </w:tc>
        <w:tc>
          <w:tcPr>
            <w:tcW w:w="243" w:type="pct"/>
          </w:tcPr>
          <w:p w:rsidR="00BA7010" w:rsidRPr="00273521" w:rsidRDefault="00BA7010" w:rsidP="00366F6C">
            <w:pPr>
              <w:rPr>
                <w:sz w:val="20"/>
              </w:rPr>
            </w:pPr>
          </w:p>
        </w:tc>
        <w:tc>
          <w:tcPr>
            <w:tcW w:w="2330" w:type="pct"/>
          </w:tcPr>
          <w:p w:rsidR="00BA7010" w:rsidRPr="00273521" w:rsidRDefault="00BA7010" w:rsidP="00366F6C">
            <w:pPr>
              <w:jc w:val="both"/>
              <w:rPr>
                <w:sz w:val="20"/>
              </w:rPr>
            </w:pPr>
            <w:r w:rsidRPr="00273521">
              <w:rPr>
                <w:sz w:val="20"/>
              </w:rPr>
              <w:t>Appeal adjourned until the trial in the underlying criminal matter has concluded</w:t>
            </w:r>
          </w:p>
          <w:p w:rsidR="00BA7010" w:rsidRPr="00273521" w:rsidRDefault="00BA7010" w:rsidP="00366F6C">
            <w:pPr>
              <w:rPr>
                <w:sz w:val="20"/>
              </w:rPr>
            </w:pPr>
          </w:p>
          <w:p w:rsidR="00BA7010" w:rsidRPr="00273521" w:rsidRDefault="00BA7010" w:rsidP="00366F6C">
            <w:pPr>
              <w:rPr>
                <w:sz w:val="20"/>
              </w:rPr>
            </w:pPr>
          </w:p>
        </w:tc>
      </w:tr>
      <w:tr w:rsidR="00BA7010" w:rsidRPr="00273521" w:rsidTr="00366F6C">
        <w:tc>
          <w:tcPr>
            <w:tcW w:w="2427" w:type="pct"/>
          </w:tcPr>
          <w:p w:rsidR="00BA7010" w:rsidRPr="00273521" w:rsidRDefault="00BA7010" w:rsidP="00366F6C">
            <w:pPr>
              <w:rPr>
                <w:sz w:val="20"/>
              </w:rPr>
            </w:pPr>
            <w:r w:rsidRPr="00273521">
              <w:rPr>
                <w:sz w:val="20"/>
              </w:rPr>
              <w:t>February 10, 2011</w:t>
            </w:r>
          </w:p>
          <w:p w:rsidR="00BA7010" w:rsidRPr="00273521" w:rsidRDefault="00BA7010" w:rsidP="00366F6C">
            <w:pPr>
              <w:rPr>
                <w:sz w:val="20"/>
              </w:rPr>
            </w:pPr>
            <w:r w:rsidRPr="00273521">
              <w:rPr>
                <w:sz w:val="20"/>
              </w:rPr>
              <w:t>Supreme Court of Canada</w:t>
            </w:r>
          </w:p>
          <w:p w:rsidR="00BA7010" w:rsidRPr="00273521" w:rsidRDefault="00BA7010" w:rsidP="00366F6C">
            <w:pPr>
              <w:rPr>
                <w:sz w:val="20"/>
              </w:rPr>
            </w:pPr>
          </w:p>
        </w:tc>
        <w:tc>
          <w:tcPr>
            <w:tcW w:w="243" w:type="pct"/>
          </w:tcPr>
          <w:p w:rsidR="00BA7010" w:rsidRPr="00273521" w:rsidRDefault="00BA7010" w:rsidP="00366F6C">
            <w:pPr>
              <w:rPr>
                <w:sz w:val="20"/>
              </w:rPr>
            </w:pPr>
          </w:p>
        </w:tc>
        <w:tc>
          <w:tcPr>
            <w:tcW w:w="2330" w:type="pct"/>
          </w:tcPr>
          <w:p w:rsidR="00BA7010" w:rsidRPr="00273521" w:rsidRDefault="00BA7010" w:rsidP="00366F6C">
            <w:pPr>
              <w:rPr>
                <w:sz w:val="20"/>
              </w:rPr>
            </w:pPr>
            <w:r w:rsidRPr="00273521">
              <w:rPr>
                <w:sz w:val="20"/>
              </w:rPr>
              <w:t>Notice of Application for Leave to Appeal filed</w:t>
            </w:r>
          </w:p>
          <w:p w:rsidR="00BA7010" w:rsidRPr="00273521" w:rsidRDefault="00BA7010" w:rsidP="00366F6C">
            <w:pPr>
              <w:rPr>
                <w:sz w:val="20"/>
              </w:rPr>
            </w:pPr>
          </w:p>
        </w:tc>
      </w:tr>
      <w:tr w:rsidR="00BA7010" w:rsidRPr="00273521" w:rsidTr="00366F6C">
        <w:tc>
          <w:tcPr>
            <w:tcW w:w="2427" w:type="pct"/>
          </w:tcPr>
          <w:p w:rsidR="00BA7010" w:rsidRPr="00273521" w:rsidRDefault="00BA7010" w:rsidP="00366F6C">
            <w:pPr>
              <w:rPr>
                <w:sz w:val="20"/>
              </w:rPr>
            </w:pPr>
            <w:r w:rsidRPr="00273521">
              <w:rPr>
                <w:sz w:val="20"/>
              </w:rPr>
              <w:t xml:space="preserve">March 2, 2011 </w:t>
            </w:r>
          </w:p>
          <w:p w:rsidR="00BA7010" w:rsidRPr="00273521" w:rsidRDefault="00BA7010" w:rsidP="00366F6C">
            <w:pPr>
              <w:rPr>
                <w:sz w:val="20"/>
              </w:rPr>
            </w:pPr>
            <w:r w:rsidRPr="00273521">
              <w:rPr>
                <w:sz w:val="20"/>
              </w:rPr>
              <w:t>Supreme Court of Canada</w:t>
            </w:r>
          </w:p>
        </w:tc>
        <w:tc>
          <w:tcPr>
            <w:tcW w:w="243" w:type="pct"/>
          </w:tcPr>
          <w:p w:rsidR="00BA7010" w:rsidRPr="00273521" w:rsidRDefault="00BA7010" w:rsidP="00366F6C">
            <w:pPr>
              <w:rPr>
                <w:sz w:val="20"/>
              </w:rPr>
            </w:pPr>
          </w:p>
        </w:tc>
        <w:tc>
          <w:tcPr>
            <w:tcW w:w="2330" w:type="pct"/>
          </w:tcPr>
          <w:p w:rsidR="00BA7010" w:rsidRPr="00273521" w:rsidRDefault="00BA7010" w:rsidP="00366F6C">
            <w:pPr>
              <w:jc w:val="both"/>
              <w:rPr>
                <w:sz w:val="20"/>
              </w:rPr>
            </w:pPr>
            <w:r w:rsidRPr="00273521">
              <w:rPr>
                <w:sz w:val="20"/>
              </w:rPr>
              <w:t>Motion for extension of time to file and/or serve the application and Application for leave to appeal filed</w:t>
            </w:r>
          </w:p>
        </w:tc>
      </w:tr>
    </w:tbl>
    <w:p w:rsidR="00177474" w:rsidRDefault="00177474" w:rsidP="00177474">
      <w:pPr>
        <w:rPr>
          <w:sz w:val="20"/>
          <w:szCs w:val="20"/>
        </w:rPr>
      </w:pPr>
    </w:p>
    <w:p w:rsidR="00177474" w:rsidRDefault="009E364E" w:rsidP="00177474">
      <w:pPr>
        <w:rPr>
          <w:sz w:val="20"/>
          <w:szCs w:val="20"/>
          <w:lang w:val="fr-CA"/>
        </w:rPr>
      </w:pPr>
      <w:r w:rsidRPr="009E364E">
        <w:rPr>
          <w:sz w:val="20"/>
          <w:szCs w:val="20"/>
          <w:lang w:val="fr-CA"/>
        </w:rPr>
        <w:pict>
          <v:rect id="_x0000_i1044" style="width:2in;height:1pt" o:hrpct="0" o:hralign="center" o:hrstd="t" o:hrnoshade="t" o:hr="t" fillcolor="black [3213]" stroked="f"/>
        </w:pict>
      </w:r>
    </w:p>
    <w:p w:rsidR="00177474" w:rsidRDefault="00177474" w:rsidP="00177474">
      <w:pPr>
        <w:rPr>
          <w:sz w:val="20"/>
          <w:szCs w:val="20"/>
        </w:rPr>
      </w:pPr>
    </w:p>
    <w:p w:rsidR="00177474" w:rsidRPr="00177474" w:rsidRDefault="00177474" w:rsidP="00177474">
      <w:pPr>
        <w:rPr>
          <w:sz w:val="20"/>
          <w:szCs w:val="20"/>
        </w:rPr>
      </w:pPr>
      <w:r>
        <w:rPr>
          <w:sz w:val="20"/>
          <w:szCs w:val="20"/>
          <w:u w:val="single"/>
        </w:rPr>
        <w:t>RÉSUMÉ DE L’AFFAIRE</w:t>
      </w:r>
    </w:p>
    <w:p w:rsidR="00177474" w:rsidRDefault="00177474" w:rsidP="0017747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A7010" w:rsidRPr="00273521" w:rsidTr="00366F6C">
        <w:tc>
          <w:tcPr>
            <w:tcW w:w="5000" w:type="pct"/>
            <w:gridSpan w:val="3"/>
          </w:tcPr>
          <w:p w:rsidR="00BA7010" w:rsidRPr="00273521" w:rsidRDefault="00BA7010" w:rsidP="00366F6C">
            <w:pPr>
              <w:pStyle w:val="SCCBanSummary"/>
              <w:rPr>
                <w:sz w:val="20"/>
                <w:szCs w:val="20"/>
                <w:lang w:val="fr-CA"/>
              </w:rPr>
            </w:pPr>
            <w:r w:rsidRPr="00273521">
              <w:rPr>
                <w:sz w:val="20"/>
                <w:szCs w:val="20"/>
                <w:lang w:val="fr-CA"/>
              </w:rPr>
              <w:t xml:space="preserve">(Ordonnance de </w:t>
            </w:r>
            <w:proofErr w:type="spellStart"/>
            <w:r w:rsidRPr="00273521">
              <w:rPr>
                <w:sz w:val="20"/>
                <w:szCs w:val="20"/>
                <w:lang w:val="fr-CA"/>
              </w:rPr>
              <w:t>non</w:t>
            </w:r>
            <w:r w:rsidRPr="00273521">
              <w:rPr>
                <w:sz w:val="20"/>
                <w:szCs w:val="20"/>
                <w:lang w:val="fr-CA"/>
              </w:rPr>
              <w:noBreakHyphen/>
              <w:t>publication</w:t>
            </w:r>
            <w:proofErr w:type="spellEnd"/>
            <w:r w:rsidRPr="00273521">
              <w:rPr>
                <w:sz w:val="20"/>
                <w:szCs w:val="20"/>
                <w:lang w:val="fr-CA"/>
              </w:rPr>
              <w:t xml:space="preserve"> dans le dossier)</w:t>
            </w:r>
          </w:p>
          <w:p w:rsidR="00BA7010" w:rsidRPr="00273521" w:rsidRDefault="00BA7010" w:rsidP="00366F6C">
            <w:pPr>
              <w:jc w:val="both"/>
              <w:rPr>
                <w:sz w:val="20"/>
                <w:lang w:val="fr-CA"/>
              </w:rPr>
            </w:pPr>
          </w:p>
          <w:p w:rsidR="00BA7010" w:rsidRPr="00273521" w:rsidRDefault="00BA7010" w:rsidP="00366F6C">
            <w:pPr>
              <w:jc w:val="both"/>
              <w:rPr>
                <w:sz w:val="20"/>
                <w:lang w:val="fr-CA"/>
              </w:rPr>
            </w:pPr>
            <w:r w:rsidRPr="00273521">
              <w:rPr>
                <w:sz w:val="20"/>
                <w:lang w:val="fr-CA"/>
              </w:rPr>
              <w:t>Charte canadienne des droits et libertés — Droit criminel — Appels —</w:t>
            </w:r>
            <w:r w:rsidRPr="00273521">
              <w:rPr>
                <w:color w:val="000000"/>
                <w:sz w:val="20"/>
                <w:lang w:val="fr-CA"/>
              </w:rPr>
              <w:t xml:space="preserve"> La Cour d'appel </w:t>
            </w:r>
            <w:proofErr w:type="spellStart"/>
            <w:r w:rsidRPr="00273521">
              <w:rPr>
                <w:color w:val="000000"/>
                <w:sz w:val="20"/>
                <w:lang w:val="fr-CA"/>
              </w:rPr>
              <w:t>a</w:t>
            </w:r>
            <w:r w:rsidRPr="00273521">
              <w:rPr>
                <w:color w:val="000000"/>
                <w:sz w:val="20"/>
                <w:lang w:val="fr-CA"/>
              </w:rPr>
              <w:noBreakHyphen/>
              <w:t>t</w:t>
            </w:r>
            <w:r w:rsidRPr="00273521">
              <w:rPr>
                <w:color w:val="000000"/>
                <w:sz w:val="20"/>
                <w:lang w:val="fr-CA"/>
              </w:rPr>
              <w:noBreakHyphen/>
              <w:t>elle</w:t>
            </w:r>
            <w:proofErr w:type="spellEnd"/>
            <w:r w:rsidRPr="00273521">
              <w:rPr>
                <w:color w:val="000000"/>
                <w:sz w:val="20"/>
                <w:lang w:val="fr-CA"/>
              </w:rPr>
              <w:t xml:space="preserve"> eu tort de reporter l'audition de l’appel interlocutoire d'une ordonnance de </w:t>
            </w:r>
            <w:proofErr w:type="spellStart"/>
            <w:r w:rsidRPr="00273521">
              <w:rPr>
                <w:color w:val="000000"/>
                <w:sz w:val="20"/>
                <w:lang w:val="fr-CA"/>
              </w:rPr>
              <w:t>non</w:t>
            </w:r>
            <w:r w:rsidRPr="00273521">
              <w:rPr>
                <w:color w:val="000000"/>
                <w:sz w:val="20"/>
                <w:lang w:val="fr-CA"/>
              </w:rPr>
              <w:noBreakHyphen/>
              <w:t>divulgation</w:t>
            </w:r>
            <w:proofErr w:type="spellEnd"/>
            <w:r w:rsidRPr="00273521">
              <w:rPr>
                <w:color w:val="000000"/>
                <w:sz w:val="20"/>
                <w:lang w:val="fr-CA"/>
              </w:rPr>
              <w:t xml:space="preserve"> rendue en vertu de la</w:t>
            </w:r>
            <w:r w:rsidRPr="00273521">
              <w:rPr>
                <w:i/>
                <w:color w:val="000000"/>
                <w:sz w:val="20"/>
                <w:lang w:val="fr-CA"/>
              </w:rPr>
              <w:t xml:space="preserve"> Loi sur la preuve au Canada</w:t>
            </w:r>
            <w:r w:rsidRPr="00273521">
              <w:rPr>
                <w:color w:val="000000"/>
                <w:sz w:val="20"/>
                <w:lang w:val="fr-CA"/>
              </w:rPr>
              <w:t xml:space="preserve"> jusqu'au terme du procès </w:t>
            </w:r>
            <w:proofErr w:type="spellStart"/>
            <w:r w:rsidRPr="00273521">
              <w:rPr>
                <w:color w:val="000000"/>
                <w:sz w:val="20"/>
                <w:lang w:val="fr-CA"/>
              </w:rPr>
              <w:t>sous</w:t>
            </w:r>
            <w:r w:rsidRPr="00273521">
              <w:rPr>
                <w:color w:val="000000"/>
                <w:sz w:val="20"/>
                <w:lang w:val="fr-CA"/>
              </w:rPr>
              <w:noBreakHyphen/>
              <w:t>jacent</w:t>
            </w:r>
            <w:proofErr w:type="spellEnd"/>
            <w:r w:rsidRPr="00273521">
              <w:rPr>
                <w:color w:val="000000"/>
                <w:sz w:val="20"/>
                <w:lang w:val="fr-CA"/>
              </w:rPr>
              <w:t xml:space="preserve">, plutôt que d'entendre l'appel immédiatement? — La décision de reporter l'audition de l'appel </w:t>
            </w:r>
            <w:proofErr w:type="spellStart"/>
            <w:r w:rsidRPr="00273521">
              <w:rPr>
                <w:color w:val="000000"/>
                <w:sz w:val="20"/>
                <w:lang w:val="fr-CA"/>
              </w:rPr>
              <w:t>viole</w:t>
            </w:r>
            <w:r w:rsidRPr="00273521">
              <w:rPr>
                <w:color w:val="000000"/>
                <w:sz w:val="20"/>
                <w:lang w:val="fr-CA"/>
              </w:rPr>
              <w:noBreakHyphen/>
              <w:t>t</w:t>
            </w:r>
            <w:r w:rsidRPr="00273521">
              <w:rPr>
                <w:color w:val="000000"/>
                <w:sz w:val="20"/>
                <w:lang w:val="fr-CA"/>
              </w:rPr>
              <w:noBreakHyphen/>
              <w:t>elle</w:t>
            </w:r>
            <w:proofErr w:type="spellEnd"/>
            <w:r w:rsidRPr="00273521">
              <w:rPr>
                <w:color w:val="000000"/>
                <w:sz w:val="20"/>
                <w:lang w:val="fr-CA"/>
              </w:rPr>
              <w:t xml:space="preserve"> le droit des demandeurs à une défense pleine et entière? — Charte canadienne des droits et libertés al. 11(d) —</w:t>
            </w:r>
            <w:r w:rsidRPr="00273521">
              <w:rPr>
                <w:i/>
                <w:iCs/>
                <w:color w:val="000000"/>
                <w:sz w:val="20"/>
                <w:lang w:val="fr-CA"/>
              </w:rPr>
              <w:t xml:space="preserve"> Loi sur la preuve au Canada</w:t>
            </w:r>
            <w:r w:rsidRPr="00273521">
              <w:rPr>
                <w:color w:val="000000"/>
                <w:sz w:val="20"/>
                <w:lang w:val="fr-CA"/>
              </w:rPr>
              <w:t>, L.R.C. 1985, ch. C</w:t>
            </w:r>
            <w:r w:rsidRPr="00273521">
              <w:rPr>
                <w:color w:val="000000"/>
                <w:sz w:val="20"/>
                <w:lang w:val="fr-CA"/>
              </w:rPr>
              <w:noBreakHyphen/>
              <w:t>5, art. 37.1.</w:t>
            </w:r>
          </w:p>
        </w:tc>
      </w:tr>
      <w:tr w:rsidR="00BA7010" w:rsidRPr="00273521" w:rsidTr="00366F6C">
        <w:tc>
          <w:tcPr>
            <w:tcW w:w="5000" w:type="pct"/>
            <w:gridSpan w:val="3"/>
          </w:tcPr>
          <w:p w:rsidR="00BA7010" w:rsidRPr="00273521" w:rsidRDefault="00BA7010" w:rsidP="00366F6C">
            <w:pPr>
              <w:rPr>
                <w:sz w:val="20"/>
                <w:lang w:val="fr-CA"/>
              </w:rPr>
            </w:pPr>
          </w:p>
        </w:tc>
      </w:tr>
      <w:tr w:rsidR="00BA7010" w:rsidRPr="000536FB" w:rsidTr="00366F6C">
        <w:tc>
          <w:tcPr>
            <w:tcW w:w="5000" w:type="pct"/>
            <w:gridSpan w:val="3"/>
          </w:tcPr>
          <w:p w:rsidR="00BA7010" w:rsidRPr="00273521" w:rsidRDefault="00BA7010" w:rsidP="00366F6C">
            <w:pPr>
              <w:jc w:val="both"/>
              <w:rPr>
                <w:sz w:val="20"/>
                <w:lang w:val="fr-CA"/>
              </w:rPr>
            </w:pPr>
            <w:r w:rsidRPr="00273521">
              <w:rPr>
                <w:sz w:val="20"/>
                <w:lang w:val="fr-CA"/>
              </w:rPr>
              <w:t>Les demandeurs ont été accusés d'être membres d'une organisation criminelle présumée ou d'avoir participé aux activités d'une telle organisation.  Ils ont également été accusés d'autres infractions liées à l'organisation criminelle, y compris des accusations de possession de substances réglementées aux fins d’en faire le trafic et de trafic de substances réglementées; ils ont également été l'objet de plusieurs accusations de complot et d'infractions aux termes de la</w:t>
            </w:r>
            <w:r w:rsidRPr="00273521">
              <w:rPr>
                <w:i/>
                <w:sz w:val="20"/>
                <w:lang w:val="fr-CA"/>
              </w:rPr>
              <w:t xml:space="preserve"> Loi sur les armes à feu</w:t>
            </w:r>
            <w:r w:rsidRPr="00273521">
              <w:rPr>
                <w:sz w:val="20"/>
                <w:lang w:val="fr-CA"/>
              </w:rPr>
              <w:t xml:space="preserve">. </w:t>
            </w:r>
          </w:p>
          <w:p w:rsidR="00BA7010" w:rsidRPr="00273521" w:rsidRDefault="00BA7010" w:rsidP="00366F6C">
            <w:pPr>
              <w:jc w:val="both"/>
              <w:rPr>
                <w:sz w:val="20"/>
                <w:lang w:val="fr-CA"/>
              </w:rPr>
            </w:pPr>
          </w:p>
          <w:p w:rsidR="00BA7010" w:rsidRPr="00273521" w:rsidRDefault="00BA7010" w:rsidP="00366F6C">
            <w:pPr>
              <w:jc w:val="both"/>
              <w:rPr>
                <w:sz w:val="20"/>
                <w:lang w:val="fr-CA"/>
              </w:rPr>
            </w:pPr>
            <w:r w:rsidRPr="00273521">
              <w:rPr>
                <w:sz w:val="20"/>
                <w:lang w:val="fr-CA"/>
              </w:rPr>
              <w:t xml:space="preserve">Pendant l'enquête, le ministère public a obtenu des autorisations pour intercepter des communications privées et des mandats de perquisition pour recueillir les éléments de preuve sur lesquels les accusations sont fondées. Pour obtenir ces mandats et autorisations, la police s'est appuyée sur des renseignements obtenus d'indicateurs.  Les demandeurs ont sollicité la divulgation de documents ou de parties de documents qui avaient été épurés par le ministère public avant que </w:t>
            </w:r>
            <w:proofErr w:type="spellStart"/>
            <w:r w:rsidRPr="00273521">
              <w:rPr>
                <w:sz w:val="20"/>
                <w:lang w:val="fr-CA"/>
              </w:rPr>
              <w:t>celui</w:t>
            </w:r>
            <w:r w:rsidRPr="00273521">
              <w:rPr>
                <w:sz w:val="20"/>
                <w:lang w:val="fr-CA"/>
              </w:rPr>
              <w:noBreakHyphen/>
              <w:t>ci</w:t>
            </w:r>
            <w:proofErr w:type="spellEnd"/>
            <w:r w:rsidRPr="00273521">
              <w:rPr>
                <w:sz w:val="20"/>
                <w:lang w:val="fr-CA"/>
              </w:rPr>
              <w:t xml:space="preserve"> les leur divulgue et d'autres dossiers relatifs à l'affaire.  Le ministère public s'est opposé, en vertu du par. 37(1) de la</w:t>
            </w:r>
            <w:r w:rsidRPr="00273521">
              <w:rPr>
                <w:i/>
                <w:sz w:val="20"/>
                <w:lang w:val="fr-CA"/>
              </w:rPr>
              <w:t xml:space="preserve"> Loi sur la preuve au Canada</w:t>
            </w:r>
            <w:r w:rsidRPr="00273521">
              <w:rPr>
                <w:sz w:val="20"/>
                <w:lang w:val="fr-CA"/>
              </w:rPr>
              <w:t xml:space="preserve">, à la production des renseignements non divulgués ou non épurés sollicités par les demandeurs. </w:t>
            </w:r>
          </w:p>
          <w:p w:rsidR="00BA7010" w:rsidRPr="00273521" w:rsidRDefault="00BA7010" w:rsidP="00366F6C">
            <w:pPr>
              <w:rPr>
                <w:sz w:val="20"/>
                <w:lang w:val="fr-CA"/>
              </w:rPr>
            </w:pPr>
          </w:p>
        </w:tc>
      </w:tr>
      <w:tr w:rsidR="00BA7010" w:rsidRPr="000536FB" w:rsidTr="00366F6C">
        <w:tc>
          <w:tcPr>
            <w:tcW w:w="2427" w:type="pct"/>
          </w:tcPr>
          <w:p w:rsidR="00BA7010" w:rsidRPr="00273521" w:rsidRDefault="00BA7010" w:rsidP="00366F6C">
            <w:pPr>
              <w:rPr>
                <w:sz w:val="20"/>
                <w:lang w:val="fr-CA"/>
              </w:rPr>
            </w:pPr>
            <w:r w:rsidRPr="00273521">
              <w:rPr>
                <w:sz w:val="20"/>
                <w:lang w:val="fr-CA"/>
              </w:rPr>
              <w:t>9 septembre 2010</w:t>
            </w:r>
          </w:p>
          <w:p w:rsidR="00BA7010" w:rsidRPr="00273521" w:rsidRDefault="00BA7010" w:rsidP="00366F6C">
            <w:pPr>
              <w:rPr>
                <w:sz w:val="20"/>
                <w:lang w:val="fr-CA"/>
              </w:rPr>
            </w:pPr>
            <w:r w:rsidRPr="00273521">
              <w:rPr>
                <w:sz w:val="20"/>
                <w:lang w:val="fr-CA"/>
              </w:rPr>
              <w:t xml:space="preserve">Cour du Banc de la Reine du </w:t>
            </w:r>
            <w:proofErr w:type="spellStart"/>
            <w:r w:rsidRPr="00273521">
              <w:rPr>
                <w:sz w:val="20"/>
                <w:lang w:val="fr-CA"/>
              </w:rPr>
              <w:t>Nouveau</w:t>
            </w:r>
            <w:r w:rsidRPr="00273521">
              <w:rPr>
                <w:sz w:val="20"/>
                <w:lang w:val="fr-CA"/>
              </w:rPr>
              <w:noBreakHyphen/>
              <w:t>Brunswick</w:t>
            </w:r>
            <w:proofErr w:type="spellEnd"/>
            <w:r w:rsidRPr="00273521">
              <w:rPr>
                <w:sz w:val="20"/>
                <w:lang w:val="fr-CA"/>
              </w:rPr>
              <w:t xml:space="preserve"> </w:t>
            </w:r>
          </w:p>
          <w:p w:rsidR="00BA7010" w:rsidRPr="00273521" w:rsidRDefault="00BA7010" w:rsidP="00366F6C">
            <w:pPr>
              <w:rPr>
                <w:sz w:val="20"/>
                <w:lang w:val="fr-CA"/>
              </w:rPr>
            </w:pPr>
            <w:r w:rsidRPr="00273521">
              <w:rPr>
                <w:sz w:val="20"/>
                <w:lang w:val="fr-CA"/>
              </w:rPr>
              <w:t xml:space="preserve">(Juge </w:t>
            </w:r>
            <w:proofErr w:type="spellStart"/>
            <w:r w:rsidRPr="00273521">
              <w:rPr>
                <w:sz w:val="20"/>
                <w:lang w:val="fr-CA"/>
              </w:rPr>
              <w:t>McNally</w:t>
            </w:r>
            <w:proofErr w:type="spellEnd"/>
            <w:r w:rsidRPr="00273521">
              <w:rPr>
                <w:sz w:val="20"/>
                <w:lang w:val="fr-CA"/>
              </w:rPr>
              <w:t>)</w:t>
            </w:r>
          </w:p>
          <w:p w:rsidR="00BA7010" w:rsidRPr="00273521" w:rsidRDefault="00BA7010" w:rsidP="00366F6C">
            <w:pPr>
              <w:rPr>
                <w:sz w:val="20"/>
                <w:lang w:val="fr-CA"/>
              </w:rPr>
            </w:pPr>
            <w:r w:rsidRPr="00273521">
              <w:rPr>
                <w:sz w:val="20"/>
                <w:lang w:val="fr-CA"/>
              </w:rPr>
              <w:t>Référence neutre : 2010 NBQB 284</w:t>
            </w:r>
          </w:p>
          <w:p w:rsidR="00BA7010" w:rsidRPr="00273521" w:rsidRDefault="00BA7010" w:rsidP="00366F6C">
            <w:pPr>
              <w:rPr>
                <w:sz w:val="20"/>
                <w:lang w:val="fr-CA"/>
              </w:rPr>
            </w:pPr>
          </w:p>
        </w:tc>
        <w:tc>
          <w:tcPr>
            <w:tcW w:w="243" w:type="pct"/>
          </w:tcPr>
          <w:p w:rsidR="00BA7010" w:rsidRPr="00273521" w:rsidRDefault="00BA7010" w:rsidP="00366F6C">
            <w:pPr>
              <w:rPr>
                <w:sz w:val="20"/>
                <w:lang w:val="fr-CA"/>
              </w:rPr>
            </w:pPr>
          </w:p>
        </w:tc>
        <w:tc>
          <w:tcPr>
            <w:tcW w:w="2330" w:type="pct"/>
          </w:tcPr>
          <w:p w:rsidR="00BA7010" w:rsidRPr="00273521" w:rsidRDefault="00BA7010" w:rsidP="00366F6C">
            <w:pPr>
              <w:jc w:val="both"/>
              <w:rPr>
                <w:sz w:val="20"/>
                <w:lang w:val="fr-CA"/>
              </w:rPr>
            </w:pPr>
            <w:r w:rsidRPr="00273521">
              <w:rPr>
                <w:sz w:val="20"/>
                <w:lang w:val="fr-CA"/>
              </w:rPr>
              <w:t xml:space="preserve">Motion du ministère public en </w:t>
            </w:r>
            <w:proofErr w:type="spellStart"/>
            <w:r w:rsidRPr="00273521">
              <w:rPr>
                <w:sz w:val="20"/>
                <w:lang w:val="fr-CA"/>
              </w:rPr>
              <w:t>non</w:t>
            </w:r>
            <w:r w:rsidRPr="00273521">
              <w:rPr>
                <w:sz w:val="20"/>
                <w:lang w:val="fr-CA"/>
              </w:rPr>
              <w:noBreakHyphen/>
              <w:t>divulgation</w:t>
            </w:r>
            <w:proofErr w:type="spellEnd"/>
            <w:r w:rsidRPr="00273521">
              <w:rPr>
                <w:sz w:val="20"/>
                <w:lang w:val="fr-CA"/>
              </w:rPr>
              <w:t xml:space="preserve"> fondée sur le privilège de l'indicateur en vertu de l’art. 37 de la</w:t>
            </w:r>
            <w:r w:rsidRPr="00273521">
              <w:rPr>
                <w:i/>
                <w:sz w:val="20"/>
                <w:lang w:val="fr-CA"/>
              </w:rPr>
              <w:t xml:space="preserve"> Loi sur la preuve au Canada</w:t>
            </w:r>
            <w:r w:rsidRPr="00273521">
              <w:rPr>
                <w:sz w:val="20"/>
                <w:lang w:val="fr-CA"/>
              </w:rPr>
              <w:t>, accueillie</w:t>
            </w:r>
          </w:p>
          <w:p w:rsidR="00BA7010" w:rsidRPr="00273521" w:rsidRDefault="00BA7010" w:rsidP="00366F6C">
            <w:pPr>
              <w:rPr>
                <w:sz w:val="20"/>
                <w:lang w:val="fr-CA"/>
              </w:rPr>
            </w:pPr>
          </w:p>
        </w:tc>
      </w:tr>
      <w:tr w:rsidR="00BA7010" w:rsidRPr="000536FB" w:rsidTr="006D565A">
        <w:trPr>
          <w:cantSplit/>
        </w:trPr>
        <w:tc>
          <w:tcPr>
            <w:tcW w:w="2427" w:type="pct"/>
          </w:tcPr>
          <w:p w:rsidR="00BA7010" w:rsidRPr="00273521" w:rsidRDefault="00BA7010" w:rsidP="00366F6C">
            <w:pPr>
              <w:rPr>
                <w:sz w:val="20"/>
                <w:lang w:val="fr-CA"/>
              </w:rPr>
            </w:pPr>
            <w:r w:rsidRPr="00273521">
              <w:rPr>
                <w:sz w:val="20"/>
                <w:lang w:val="fr-CA"/>
              </w:rPr>
              <w:lastRenderedPageBreak/>
              <w:t>27 janvier 2011</w:t>
            </w:r>
          </w:p>
          <w:p w:rsidR="00BA7010" w:rsidRPr="00273521" w:rsidRDefault="00BA7010" w:rsidP="00366F6C">
            <w:pPr>
              <w:rPr>
                <w:sz w:val="20"/>
                <w:lang w:val="fr-CA"/>
              </w:rPr>
            </w:pPr>
            <w:r w:rsidRPr="00273521">
              <w:rPr>
                <w:sz w:val="20"/>
                <w:lang w:val="fr-CA"/>
              </w:rPr>
              <w:t xml:space="preserve">Cour d'appel du </w:t>
            </w:r>
            <w:proofErr w:type="spellStart"/>
            <w:r w:rsidRPr="00273521">
              <w:rPr>
                <w:sz w:val="20"/>
                <w:lang w:val="fr-CA"/>
              </w:rPr>
              <w:t>Nouveau</w:t>
            </w:r>
            <w:r w:rsidRPr="00273521">
              <w:rPr>
                <w:sz w:val="20"/>
                <w:lang w:val="fr-CA"/>
              </w:rPr>
              <w:noBreakHyphen/>
              <w:t>Brunswick</w:t>
            </w:r>
            <w:proofErr w:type="spellEnd"/>
            <w:r w:rsidRPr="00273521">
              <w:rPr>
                <w:sz w:val="20"/>
                <w:lang w:val="fr-CA"/>
              </w:rPr>
              <w:t xml:space="preserve"> </w:t>
            </w:r>
          </w:p>
          <w:p w:rsidR="00BA7010" w:rsidRPr="00273521" w:rsidRDefault="00BA7010" w:rsidP="00366F6C">
            <w:pPr>
              <w:rPr>
                <w:sz w:val="20"/>
                <w:lang w:val="fr-CA"/>
              </w:rPr>
            </w:pPr>
            <w:r w:rsidRPr="00273521">
              <w:rPr>
                <w:sz w:val="20"/>
                <w:lang w:val="fr-CA"/>
              </w:rPr>
              <w:t xml:space="preserve">(Juges </w:t>
            </w:r>
            <w:proofErr w:type="spellStart"/>
            <w:r w:rsidRPr="00273521">
              <w:rPr>
                <w:sz w:val="20"/>
                <w:lang w:val="fr-CA"/>
              </w:rPr>
              <w:t>Deschênes</w:t>
            </w:r>
            <w:proofErr w:type="spellEnd"/>
            <w:r w:rsidRPr="00273521">
              <w:rPr>
                <w:sz w:val="20"/>
                <w:lang w:val="fr-CA"/>
              </w:rPr>
              <w:t xml:space="preserve">, Richard et </w:t>
            </w:r>
            <w:proofErr w:type="spellStart"/>
            <w:r w:rsidRPr="00273521">
              <w:rPr>
                <w:sz w:val="20"/>
                <w:lang w:val="fr-CA"/>
              </w:rPr>
              <w:t>Quigg</w:t>
            </w:r>
            <w:proofErr w:type="spellEnd"/>
            <w:r w:rsidRPr="00273521">
              <w:rPr>
                <w:sz w:val="20"/>
                <w:lang w:val="fr-CA"/>
              </w:rPr>
              <w:t>)</w:t>
            </w:r>
          </w:p>
          <w:p w:rsidR="00BA7010" w:rsidRPr="00273521" w:rsidRDefault="00BA7010" w:rsidP="00366F6C">
            <w:pPr>
              <w:rPr>
                <w:sz w:val="20"/>
                <w:lang w:val="fr-CA"/>
              </w:rPr>
            </w:pPr>
            <w:r w:rsidRPr="00273521">
              <w:rPr>
                <w:sz w:val="20"/>
                <w:lang w:val="fr-CA"/>
              </w:rPr>
              <w:t>Référence neutre : 2011 NBCA 8</w:t>
            </w:r>
          </w:p>
          <w:p w:rsidR="00BA7010" w:rsidRPr="00273521" w:rsidRDefault="00BA7010" w:rsidP="00366F6C">
            <w:pPr>
              <w:rPr>
                <w:sz w:val="20"/>
                <w:lang w:val="fr-CA"/>
              </w:rPr>
            </w:pPr>
          </w:p>
        </w:tc>
        <w:tc>
          <w:tcPr>
            <w:tcW w:w="243" w:type="pct"/>
          </w:tcPr>
          <w:p w:rsidR="00BA7010" w:rsidRPr="00273521" w:rsidRDefault="00BA7010" w:rsidP="00366F6C">
            <w:pPr>
              <w:rPr>
                <w:sz w:val="20"/>
                <w:lang w:val="fr-CA"/>
              </w:rPr>
            </w:pPr>
          </w:p>
        </w:tc>
        <w:tc>
          <w:tcPr>
            <w:tcW w:w="2330" w:type="pct"/>
          </w:tcPr>
          <w:p w:rsidR="00BA7010" w:rsidRPr="00273521" w:rsidRDefault="00BA7010" w:rsidP="00366F6C">
            <w:pPr>
              <w:jc w:val="both"/>
              <w:rPr>
                <w:sz w:val="20"/>
                <w:lang w:val="fr-CA"/>
              </w:rPr>
            </w:pPr>
            <w:r w:rsidRPr="00273521">
              <w:rPr>
                <w:sz w:val="20"/>
                <w:lang w:val="fr-CA"/>
              </w:rPr>
              <w:t xml:space="preserve">Audition de l’appel reportée jusqu’à ce que le procès dans l’affaire criminelle </w:t>
            </w:r>
            <w:proofErr w:type="spellStart"/>
            <w:r w:rsidRPr="00273521">
              <w:rPr>
                <w:sz w:val="20"/>
                <w:lang w:val="fr-CA"/>
              </w:rPr>
              <w:t>sous</w:t>
            </w:r>
            <w:r w:rsidRPr="00273521">
              <w:rPr>
                <w:sz w:val="20"/>
                <w:lang w:val="fr-CA"/>
              </w:rPr>
              <w:noBreakHyphen/>
              <w:t>jacente</w:t>
            </w:r>
            <w:proofErr w:type="spellEnd"/>
            <w:r w:rsidRPr="00273521">
              <w:rPr>
                <w:sz w:val="20"/>
                <w:lang w:val="fr-CA"/>
              </w:rPr>
              <w:t xml:space="preserve"> soit terminé</w:t>
            </w:r>
          </w:p>
          <w:p w:rsidR="00BA7010" w:rsidRPr="00273521" w:rsidRDefault="00BA7010" w:rsidP="00366F6C">
            <w:pPr>
              <w:jc w:val="both"/>
              <w:rPr>
                <w:sz w:val="20"/>
                <w:lang w:val="fr-CA"/>
              </w:rPr>
            </w:pPr>
          </w:p>
          <w:p w:rsidR="00BA7010" w:rsidRPr="00273521" w:rsidRDefault="00BA7010" w:rsidP="00366F6C">
            <w:pPr>
              <w:rPr>
                <w:sz w:val="20"/>
                <w:lang w:val="fr-CA"/>
              </w:rPr>
            </w:pPr>
          </w:p>
        </w:tc>
      </w:tr>
      <w:tr w:rsidR="00BA7010" w:rsidRPr="000536FB" w:rsidTr="006D565A">
        <w:trPr>
          <w:cantSplit/>
        </w:trPr>
        <w:tc>
          <w:tcPr>
            <w:tcW w:w="2427" w:type="pct"/>
          </w:tcPr>
          <w:p w:rsidR="00BA7010" w:rsidRPr="00273521" w:rsidRDefault="00BA7010" w:rsidP="00366F6C">
            <w:pPr>
              <w:rPr>
                <w:sz w:val="20"/>
                <w:lang w:val="fr-CA"/>
              </w:rPr>
            </w:pPr>
            <w:r w:rsidRPr="00273521">
              <w:rPr>
                <w:sz w:val="20"/>
                <w:lang w:val="fr-CA"/>
              </w:rPr>
              <w:t>10 février 2011</w:t>
            </w:r>
          </w:p>
          <w:p w:rsidR="00BA7010" w:rsidRPr="00273521" w:rsidRDefault="00BA7010" w:rsidP="00366F6C">
            <w:pPr>
              <w:rPr>
                <w:sz w:val="20"/>
                <w:lang w:val="fr-CA"/>
              </w:rPr>
            </w:pPr>
            <w:r w:rsidRPr="00273521">
              <w:rPr>
                <w:sz w:val="20"/>
                <w:lang w:val="fr-CA"/>
              </w:rPr>
              <w:t>Cour suprême du Canada</w:t>
            </w:r>
          </w:p>
          <w:p w:rsidR="00BA7010" w:rsidRPr="00273521" w:rsidRDefault="00BA7010" w:rsidP="00366F6C">
            <w:pPr>
              <w:rPr>
                <w:sz w:val="20"/>
                <w:lang w:val="fr-CA"/>
              </w:rPr>
            </w:pPr>
          </w:p>
        </w:tc>
        <w:tc>
          <w:tcPr>
            <w:tcW w:w="243" w:type="pct"/>
          </w:tcPr>
          <w:p w:rsidR="00BA7010" w:rsidRPr="00273521" w:rsidRDefault="00BA7010" w:rsidP="00366F6C">
            <w:pPr>
              <w:rPr>
                <w:sz w:val="20"/>
                <w:lang w:val="fr-CA"/>
              </w:rPr>
            </w:pPr>
          </w:p>
        </w:tc>
        <w:tc>
          <w:tcPr>
            <w:tcW w:w="2330" w:type="pct"/>
          </w:tcPr>
          <w:p w:rsidR="00BA7010" w:rsidRPr="00273521" w:rsidRDefault="00BA7010" w:rsidP="00366F6C">
            <w:pPr>
              <w:rPr>
                <w:sz w:val="20"/>
                <w:lang w:val="fr-CA"/>
              </w:rPr>
            </w:pPr>
            <w:r w:rsidRPr="00273521">
              <w:rPr>
                <w:sz w:val="20"/>
                <w:lang w:val="fr-CA"/>
              </w:rPr>
              <w:t>Avis de demande d'autorisation d'appel, déposé</w:t>
            </w:r>
          </w:p>
          <w:p w:rsidR="00BA7010" w:rsidRPr="00273521" w:rsidRDefault="00BA7010" w:rsidP="00366F6C">
            <w:pPr>
              <w:rPr>
                <w:sz w:val="20"/>
                <w:lang w:val="fr-CA"/>
              </w:rPr>
            </w:pPr>
          </w:p>
        </w:tc>
      </w:tr>
      <w:tr w:rsidR="00BA7010" w:rsidRPr="000536FB" w:rsidTr="006D565A">
        <w:trPr>
          <w:cantSplit/>
        </w:trPr>
        <w:tc>
          <w:tcPr>
            <w:tcW w:w="2427" w:type="pct"/>
          </w:tcPr>
          <w:p w:rsidR="00BA7010" w:rsidRPr="00273521" w:rsidRDefault="00BA7010" w:rsidP="00366F6C">
            <w:pPr>
              <w:rPr>
                <w:sz w:val="20"/>
                <w:lang w:val="fr-CA"/>
              </w:rPr>
            </w:pPr>
            <w:r w:rsidRPr="00273521">
              <w:rPr>
                <w:sz w:val="20"/>
                <w:lang w:val="fr-CA"/>
              </w:rPr>
              <w:t>2 mars 2011</w:t>
            </w:r>
          </w:p>
          <w:p w:rsidR="00BA7010" w:rsidRPr="00273521" w:rsidRDefault="00BA7010" w:rsidP="00366F6C">
            <w:pPr>
              <w:rPr>
                <w:sz w:val="20"/>
                <w:lang w:val="fr-CA"/>
              </w:rPr>
            </w:pPr>
            <w:r w:rsidRPr="00273521">
              <w:rPr>
                <w:sz w:val="20"/>
                <w:lang w:val="fr-CA"/>
              </w:rPr>
              <w:t>Cour suprême du Canada</w:t>
            </w:r>
          </w:p>
        </w:tc>
        <w:tc>
          <w:tcPr>
            <w:tcW w:w="243" w:type="pct"/>
          </w:tcPr>
          <w:p w:rsidR="00BA7010" w:rsidRPr="00273521" w:rsidRDefault="00BA7010" w:rsidP="00366F6C">
            <w:pPr>
              <w:rPr>
                <w:sz w:val="20"/>
                <w:lang w:val="fr-CA"/>
              </w:rPr>
            </w:pPr>
          </w:p>
        </w:tc>
        <w:tc>
          <w:tcPr>
            <w:tcW w:w="2330" w:type="pct"/>
          </w:tcPr>
          <w:p w:rsidR="00BA7010" w:rsidRPr="00273521" w:rsidRDefault="00BA7010" w:rsidP="00366F6C">
            <w:pPr>
              <w:jc w:val="both"/>
              <w:rPr>
                <w:sz w:val="20"/>
                <w:lang w:val="fr-CA"/>
              </w:rPr>
            </w:pPr>
            <w:r w:rsidRPr="00273521">
              <w:rPr>
                <w:sz w:val="20"/>
                <w:lang w:val="fr-CA"/>
              </w:rPr>
              <w:t xml:space="preserve">Requête en prorogation du délai de dépôt ou de signification de la demande et demande d'autorisation d'appel, déposées </w:t>
            </w:r>
          </w:p>
        </w:tc>
      </w:tr>
    </w:tbl>
    <w:p w:rsidR="00177474" w:rsidRPr="00BA7010" w:rsidRDefault="00177474" w:rsidP="00177474">
      <w:pPr>
        <w:rPr>
          <w:sz w:val="20"/>
          <w:szCs w:val="20"/>
          <w:lang w:val="fr-CA"/>
        </w:rPr>
      </w:pPr>
    </w:p>
    <w:p w:rsidR="00177474" w:rsidRDefault="009E364E" w:rsidP="00177474">
      <w:pPr>
        <w:rPr>
          <w:sz w:val="20"/>
          <w:szCs w:val="20"/>
          <w:lang w:val="fr-CA"/>
        </w:rPr>
      </w:pPr>
      <w:r w:rsidRPr="009E364E">
        <w:rPr>
          <w:sz w:val="20"/>
          <w:szCs w:val="20"/>
          <w:lang w:val="fr-CA"/>
        </w:rPr>
        <w:pict>
          <v:rect id="_x0000_i1045" style="width:2in;height:1pt" o:hrpct="0" o:hralign="center" o:hrstd="t" o:hrnoshade="t" o:hr="t" fillcolor="black [3213]" stroked="f"/>
        </w:pict>
      </w:r>
    </w:p>
    <w:p w:rsidR="00177474" w:rsidRDefault="00177474" w:rsidP="00177474">
      <w:pPr>
        <w:rPr>
          <w:sz w:val="20"/>
          <w:szCs w:val="20"/>
          <w:lang w:val="fr-CA"/>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D565A" w:rsidRPr="006D565A" w:rsidTr="00C17A52">
        <w:trPr>
          <w:cantSplit/>
        </w:trPr>
        <w:tc>
          <w:tcPr>
            <w:tcW w:w="1458" w:type="dxa"/>
          </w:tcPr>
          <w:p w:rsidR="006D565A" w:rsidRPr="006D565A" w:rsidRDefault="006D565A" w:rsidP="006D565A">
            <w:pPr>
              <w:rPr>
                <w:rFonts w:cs="Times New Roman"/>
                <w:sz w:val="20"/>
                <w:szCs w:val="20"/>
              </w:rPr>
            </w:pPr>
            <w:r w:rsidRPr="006D565A">
              <w:rPr>
                <w:rFonts w:cs="Times New Roman"/>
                <w:b/>
                <w:sz w:val="20"/>
                <w:lang w:val="fr-CA"/>
              </w:rPr>
              <w:t>34124</w:t>
            </w:r>
          </w:p>
          <w:p w:rsidR="006D565A" w:rsidRPr="006D565A" w:rsidRDefault="006D565A" w:rsidP="006D565A">
            <w:pPr>
              <w:rPr>
                <w:rFonts w:cs="Times New Roman"/>
                <w:b/>
                <w:sz w:val="20"/>
                <w:szCs w:val="20"/>
                <w:lang w:val="fr-CA"/>
              </w:rPr>
            </w:pPr>
          </w:p>
        </w:tc>
        <w:tc>
          <w:tcPr>
            <w:tcW w:w="8118" w:type="dxa"/>
          </w:tcPr>
          <w:p w:rsidR="006D565A" w:rsidRPr="006D565A" w:rsidRDefault="006D565A" w:rsidP="006D565A">
            <w:pPr>
              <w:rPr>
                <w:rFonts w:cs="Times New Roman"/>
                <w:sz w:val="20"/>
                <w:szCs w:val="20"/>
                <w:lang w:val="fr-CA"/>
              </w:rPr>
            </w:pPr>
            <w:proofErr w:type="spellStart"/>
            <w:r w:rsidRPr="006D565A">
              <w:rPr>
                <w:rFonts w:cs="Times New Roman"/>
                <w:b/>
                <w:sz w:val="20"/>
                <w:u w:val="single"/>
                <w:lang w:val="fr-CA"/>
              </w:rPr>
              <w:t>Rhita</w:t>
            </w:r>
            <w:proofErr w:type="spellEnd"/>
            <w:r w:rsidRPr="006D565A">
              <w:rPr>
                <w:rFonts w:cs="Times New Roman"/>
                <w:b/>
                <w:sz w:val="20"/>
                <w:u w:val="single"/>
                <w:lang w:val="fr-CA"/>
              </w:rPr>
              <w:t xml:space="preserve"> El Ansari c. Gouvernement du Royaume du Maroc</w:t>
            </w:r>
            <w:r w:rsidRPr="006D565A">
              <w:rPr>
                <w:rFonts w:cs="Times New Roman"/>
                <w:sz w:val="20"/>
                <w:szCs w:val="20"/>
                <w:lang w:val="fr-CA"/>
              </w:rPr>
              <w:t xml:space="preserve"> (</w:t>
            </w:r>
            <w:proofErr w:type="spellStart"/>
            <w:r w:rsidRPr="006D565A">
              <w:rPr>
                <w:rFonts w:cs="Times New Roman"/>
                <w:sz w:val="20"/>
                <w:szCs w:val="20"/>
                <w:lang w:val="fr-CA"/>
              </w:rPr>
              <w:t>Qc</w:t>
            </w:r>
            <w:proofErr w:type="spellEnd"/>
            <w:r w:rsidRPr="006D565A">
              <w:rPr>
                <w:rFonts w:cs="Times New Roman"/>
                <w:sz w:val="20"/>
                <w:szCs w:val="20"/>
                <w:lang w:val="fr-CA"/>
              </w:rPr>
              <w:t>) (Civile) (Autorisation)</w:t>
            </w:r>
          </w:p>
          <w:p w:rsidR="006D565A" w:rsidRPr="006D565A" w:rsidRDefault="006D565A" w:rsidP="006D565A">
            <w:pPr>
              <w:rPr>
                <w:rFonts w:cs="Times New Roman"/>
                <w:sz w:val="20"/>
                <w:szCs w:val="20"/>
                <w:lang w:val="fr-CA"/>
              </w:rPr>
            </w:pPr>
          </w:p>
        </w:tc>
      </w:tr>
      <w:tr w:rsidR="006D565A" w:rsidRPr="006D565A" w:rsidTr="00C17A52">
        <w:trPr>
          <w:cantSplit/>
        </w:trPr>
        <w:tc>
          <w:tcPr>
            <w:tcW w:w="1458" w:type="dxa"/>
          </w:tcPr>
          <w:p w:rsidR="006D565A" w:rsidRPr="006D565A" w:rsidRDefault="006D565A" w:rsidP="006D565A">
            <w:pPr>
              <w:rPr>
                <w:rFonts w:cs="Times New Roman"/>
                <w:sz w:val="20"/>
                <w:szCs w:val="20"/>
              </w:rPr>
            </w:pPr>
            <w:r w:rsidRPr="006D565A">
              <w:rPr>
                <w:rFonts w:cs="Times New Roman"/>
                <w:sz w:val="20"/>
                <w:szCs w:val="20"/>
              </w:rPr>
              <w:t>Coram :</w:t>
            </w:r>
          </w:p>
        </w:tc>
        <w:tc>
          <w:tcPr>
            <w:tcW w:w="8118" w:type="dxa"/>
          </w:tcPr>
          <w:p w:rsidR="006D565A" w:rsidRPr="006D565A" w:rsidRDefault="006D565A" w:rsidP="006D565A">
            <w:pPr>
              <w:rPr>
                <w:rFonts w:cs="Times New Roman"/>
                <w:sz w:val="20"/>
                <w:szCs w:val="20"/>
                <w:lang w:val="fr-CA"/>
              </w:rPr>
            </w:pPr>
            <w:r w:rsidRPr="006D565A">
              <w:rPr>
                <w:rFonts w:cs="Times New Roman"/>
                <w:sz w:val="20"/>
                <w:u w:val="single"/>
                <w:lang w:val="fr-CA"/>
              </w:rPr>
              <w:t xml:space="preserve">Les juges </w:t>
            </w:r>
            <w:proofErr w:type="spellStart"/>
            <w:r w:rsidRPr="006D565A">
              <w:rPr>
                <w:rFonts w:cs="Times New Roman"/>
                <w:sz w:val="20"/>
                <w:u w:val="single"/>
                <w:lang w:val="fr-CA"/>
              </w:rPr>
              <w:t>LeBel</w:t>
            </w:r>
            <w:proofErr w:type="spellEnd"/>
            <w:r w:rsidRPr="006D565A">
              <w:rPr>
                <w:rFonts w:cs="Times New Roman"/>
                <w:sz w:val="20"/>
                <w:u w:val="single"/>
                <w:lang w:val="fr-CA"/>
              </w:rPr>
              <w:t>, Fish et Cromwell</w:t>
            </w:r>
          </w:p>
          <w:p w:rsidR="006D565A" w:rsidRPr="006D565A" w:rsidRDefault="006D565A" w:rsidP="006D565A">
            <w:pPr>
              <w:rPr>
                <w:rFonts w:cs="Times New Roman"/>
                <w:sz w:val="20"/>
                <w:szCs w:val="20"/>
                <w:u w:val="single"/>
                <w:lang w:val="fr-CA"/>
              </w:rPr>
            </w:pPr>
          </w:p>
        </w:tc>
      </w:tr>
      <w:tr w:rsidR="006D565A" w:rsidRPr="006D565A" w:rsidTr="00C17A52">
        <w:trPr>
          <w:cantSplit/>
        </w:trPr>
        <w:tc>
          <w:tcPr>
            <w:tcW w:w="9576" w:type="dxa"/>
            <w:gridSpan w:val="2"/>
          </w:tcPr>
          <w:p w:rsidR="006D565A" w:rsidRPr="006D565A" w:rsidRDefault="006D565A" w:rsidP="006D565A">
            <w:pPr>
              <w:ind w:firstLine="720"/>
              <w:jc w:val="both"/>
              <w:rPr>
                <w:rFonts w:cs="Times New Roman"/>
                <w:sz w:val="20"/>
                <w:szCs w:val="20"/>
                <w:lang w:val="fr-CA"/>
              </w:rPr>
            </w:pPr>
            <w:r w:rsidRPr="006D565A">
              <w:rPr>
                <w:rFonts w:cs="Times New Roman"/>
                <w:sz w:val="20"/>
                <w:szCs w:val="20"/>
                <w:lang w:val="fr-CA"/>
              </w:rPr>
              <w:t>La demande d’autorisation d’appel de l’arrêt de la Cour d’appel du Québec (Montréal), numéro 500-09-018094-078, 2010 QCCA 2256, daté du 9 décembre 2010, est rejetée sans dépens.</w:t>
            </w:r>
          </w:p>
          <w:p w:rsidR="006D565A" w:rsidRPr="006D565A" w:rsidRDefault="006D565A" w:rsidP="006D565A">
            <w:pPr>
              <w:jc w:val="both"/>
              <w:rPr>
                <w:rFonts w:cs="Times New Roman"/>
                <w:sz w:val="20"/>
                <w:szCs w:val="20"/>
                <w:lang w:val="fr-CA"/>
              </w:rPr>
            </w:pPr>
          </w:p>
          <w:p w:rsidR="006D565A" w:rsidRPr="006D565A" w:rsidRDefault="006D565A" w:rsidP="006D565A">
            <w:pPr>
              <w:ind w:firstLine="720"/>
              <w:jc w:val="both"/>
              <w:rPr>
                <w:rFonts w:cs="Times New Roman"/>
                <w:sz w:val="20"/>
                <w:szCs w:val="20"/>
              </w:rPr>
            </w:pPr>
            <w:r w:rsidRPr="006D565A">
              <w:rPr>
                <w:rFonts w:cs="Times New Roman"/>
                <w:sz w:val="20"/>
                <w:szCs w:val="20"/>
              </w:rPr>
              <w:t>The application for leave to appeal from the judgment of the Court of Appeal of Quebec (Montréal), Number 500-09-018094-078, 2010 QCCA 2256, dated December 9, 2010, is dismissed without costs.</w:t>
            </w:r>
          </w:p>
        </w:tc>
      </w:tr>
    </w:tbl>
    <w:p w:rsidR="00177474" w:rsidRDefault="00177474" w:rsidP="00177474">
      <w:pPr>
        <w:rPr>
          <w:sz w:val="20"/>
          <w:szCs w:val="20"/>
        </w:rPr>
      </w:pPr>
    </w:p>
    <w:p w:rsidR="00177474" w:rsidRPr="00177474" w:rsidRDefault="00177474" w:rsidP="00177474">
      <w:pPr>
        <w:rPr>
          <w:sz w:val="20"/>
          <w:szCs w:val="20"/>
        </w:rPr>
      </w:pPr>
      <w:r>
        <w:rPr>
          <w:sz w:val="20"/>
          <w:szCs w:val="20"/>
          <w:u w:val="single"/>
        </w:rPr>
        <w:t>CASE SUMMARY</w:t>
      </w:r>
    </w:p>
    <w:p w:rsidR="00177474" w:rsidRDefault="00177474" w:rsidP="001774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43E90" w:rsidRPr="00273521" w:rsidTr="00366F6C">
        <w:tc>
          <w:tcPr>
            <w:tcW w:w="5000" w:type="pct"/>
            <w:gridSpan w:val="3"/>
          </w:tcPr>
          <w:p w:rsidR="00543E90" w:rsidRPr="00273521" w:rsidRDefault="00543E90" w:rsidP="00366F6C">
            <w:pPr>
              <w:jc w:val="both"/>
              <w:rPr>
                <w:sz w:val="20"/>
              </w:rPr>
            </w:pPr>
            <w:r w:rsidRPr="00273521">
              <w:rPr>
                <w:color w:val="000000"/>
                <w:sz w:val="20"/>
              </w:rPr>
              <w:t xml:space="preserve">Public international law — Jurisdictional immunity — Exception for commercial activity — </w:t>
            </w:r>
            <w:r w:rsidRPr="00273521">
              <w:rPr>
                <w:i/>
                <w:color w:val="000000"/>
                <w:sz w:val="20"/>
              </w:rPr>
              <w:t>Res </w:t>
            </w:r>
            <w:proofErr w:type="spellStart"/>
            <w:r w:rsidRPr="00273521">
              <w:rPr>
                <w:i/>
                <w:color w:val="000000"/>
                <w:sz w:val="20"/>
              </w:rPr>
              <w:t>judicata</w:t>
            </w:r>
            <w:proofErr w:type="spellEnd"/>
            <w:r w:rsidRPr="00273521">
              <w:rPr>
                <w:color w:val="000000"/>
                <w:sz w:val="20"/>
              </w:rPr>
              <w:t xml:space="preserve"> —</w:t>
            </w:r>
            <w:r w:rsidRPr="00273521">
              <w:rPr>
                <w:sz w:val="20"/>
              </w:rPr>
              <w:t xml:space="preserve"> Former employee of foreign state bringing action in Superior Court against foreign state seeking damages for wrongful dismissal — Whether foreign state could claim jurisdictional immunity —</w:t>
            </w:r>
            <w:r w:rsidRPr="00273521">
              <w:rPr>
                <w:color w:val="000000"/>
                <w:sz w:val="20"/>
              </w:rPr>
              <w:t xml:space="preserve"> Whether this issue was </w:t>
            </w:r>
            <w:r w:rsidRPr="00273521">
              <w:rPr>
                <w:i/>
                <w:color w:val="000000"/>
                <w:sz w:val="20"/>
              </w:rPr>
              <w:t>res </w:t>
            </w:r>
            <w:proofErr w:type="spellStart"/>
            <w:r w:rsidRPr="00273521">
              <w:rPr>
                <w:i/>
                <w:color w:val="000000"/>
                <w:sz w:val="20"/>
              </w:rPr>
              <w:t>judicata</w:t>
            </w:r>
            <w:proofErr w:type="spellEnd"/>
            <w:r w:rsidRPr="00273521">
              <w:rPr>
                <w:sz w:val="20"/>
              </w:rPr>
              <w:t xml:space="preserve"> — </w:t>
            </w:r>
            <w:r w:rsidRPr="00273521">
              <w:rPr>
                <w:i/>
                <w:iCs/>
                <w:color w:val="000000"/>
                <w:sz w:val="20"/>
              </w:rPr>
              <w:t>State Immunity Act</w:t>
            </w:r>
            <w:r w:rsidRPr="00273521">
              <w:rPr>
                <w:iCs/>
                <w:color w:val="000000"/>
                <w:sz w:val="20"/>
              </w:rPr>
              <w:t>, R.S.C. 1985, c. S</w:t>
            </w:r>
            <w:r w:rsidRPr="00273521">
              <w:rPr>
                <w:iCs/>
                <w:color w:val="000000"/>
                <w:sz w:val="20"/>
              </w:rPr>
              <w:noBreakHyphen/>
              <w:t>18</w:t>
            </w:r>
            <w:r w:rsidRPr="00273521">
              <w:rPr>
                <w:color w:val="000000"/>
                <w:sz w:val="20"/>
              </w:rPr>
              <w:t>.</w:t>
            </w:r>
          </w:p>
        </w:tc>
      </w:tr>
      <w:tr w:rsidR="00543E90" w:rsidRPr="00273521" w:rsidTr="00366F6C">
        <w:tc>
          <w:tcPr>
            <w:tcW w:w="5000" w:type="pct"/>
            <w:gridSpan w:val="3"/>
          </w:tcPr>
          <w:p w:rsidR="00543E90" w:rsidRPr="00273521" w:rsidRDefault="00543E90" w:rsidP="00366F6C">
            <w:pPr>
              <w:jc w:val="both"/>
              <w:rPr>
                <w:sz w:val="20"/>
              </w:rPr>
            </w:pPr>
          </w:p>
        </w:tc>
      </w:tr>
      <w:tr w:rsidR="00543E90" w:rsidRPr="00273521" w:rsidTr="00366F6C">
        <w:tc>
          <w:tcPr>
            <w:tcW w:w="5000" w:type="pct"/>
            <w:gridSpan w:val="3"/>
          </w:tcPr>
          <w:p w:rsidR="00543E90" w:rsidRPr="00273521" w:rsidRDefault="00543E90" w:rsidP="00366F6C">
            <w:pPr>
              <w:jc w:val="both"/>
              <w:rPr>
                <w:sz w:val="20"/>
              </w:rPr>
            </w:pPr>
            <w:r w:rsidRPr="00273521">
              <w:rPr>
                <w:sz w:val="20"/>
              </w:rPr>
              <w:t>The applicant Ms. El </w:t>
            </w:r>
            <w:proofErr w:type="spellStart"/>
            <w:r w:rsidRPr="00273521">
              <w:rPr>
                <w:sz w:val="20"/>
              </w:rPr>
              <w:t>Ansari</w:t>
            </w:r>
            <w:proofErr w:type="spellEnd"/>
            <w:r w:rsidRPr="00273521">
              <w:rPr>
                <w:sz w:val="20"/>
              </w:rPr>
              <w:t xml:space="preserve">, who is of Moroccan origin and became a landed immigrant in Canada in 1991, held positions in numerous countries for the respondent Government of Morocco between 1959 and 2000, mainly as a secretary and administrative assistant and as the spouse of the </w:t>
            </w:r>
            <w:proofErr w:type="spellStart"/>
            <w:r w:rsidRPr="00273521">
              <w:rPr>
                <w:sz w:val="20"/>
              </w:rPr>
              <w:t>vice</w:t>
            </w:r>
            <w:r w:rsidRPr="00273521">
              <w:rPr>
                <w:sz w:val="20"/>
              </w:rPr>
              <w:noBreakHyphen/>
              <w:t>consul</w:t>
            </w:r>
            <w:proofErr w:type="spellEnd"/>
            <w:r w:rsidRPr="00273521">
              <w:rPr>
                <w:sz w:val="20"/>
              </w:rPr>
              <w:t xml:space="preserve"> or consul while those positions were held by her husband.  She worked at the Moroccan consulate in Montréal between 1993 and 1997 and at the Moroccan embassy in Ottawa from 1997 to 2000.  On August 1, 2000, she was removed as a government employee on the ground that she had abandoned her position.  She brought an action against the respondent in the Quebec Superior Court alleging that she had been wrongfully dismissed. </w:t>
            </w:r>
          </w:p>
          <w:p w:rsidR="00543E90" w:rsidRPr="00273521" w:rsidRDefault="00543E90" w:rsidP="00366F6C">
            <w:pPr>
              <w:jc w:val="both"/>
              <w:rPr>
                <w:sz w:val="20"/>
              </w:rPr>
            </w:pPr>
          </w:p>
          <w:p w:rsidR="00543E90" w:rsidRPr="00273521" w:rsidRDefault="00543E90" w:rsidP="00366F6C">
            <w:pPr>
              <w:jc w:val="both"/>
              <w:rPr>
                <w:sz w:val="20"/>
              </w:rPr>
            </w:pPr>
            <w:r w:rsidRPr="00273521">
              <w:rPr>
                <w:sz w:val="20"/>
              </w:rPr>
              <w:t xml:space="preserve">The respondent failed to appear.  In July 2002, the Superior Court dismissed the action on the ground that the respondent had jurisdictional immunity under s. 3 of the </w:t>
            </w:r>
            <w:r w:rsidRPr="00273521">
              <w:rPr>
                <w:i/>
                <w:sz w:val="20"/>
              </w:rPr>
              <w:t>State Immunity Act</w:t>
            </w:r>
            <w:r w:rsidRPr="00273521">
              <w:rPr>
                <w:sz w:val="20"/>
              </w:rPr>
              <w:t>.  The Court of Appeal set aside the decision and remitted the matter to the Superior Court to dispose of the merits of the case.  It was of the opinion that the action related to commercial activity and that Ms. El </w:t>
            </w:r>
            <w:proofErr w:type="spellStart"/>
            <w:r w:rsidRPr="00273521">
              <w:rPr>
                <w:sz w:val="20"/>
              </w:rPr>
              <w:t>Ansari</w:t>
            </w:r>
            <w:proofErr w:type="spellEnd"/>
            <w:r w:rsidRPr="00273521">
              <w:rPr>
                <w:sz w:val="20"/>
              </w:rPr>
              <w:t xml:space="preserve"> had proved that her position did not engage Morocco’s sovereignty.  The Government of Morocco appealed the case to the Supreme Court of Canada, which refused leave to appeal.</w:t>
            </w:r>
          </w:p>
          <w:p w:rsidR="00543E90" w:rsidRPr="00273521" w:rsidRDefault="00543E90" w:rsidP="00366F6C">
            <w:pPr>
              <w:jc w:val="both"/>
              <w:rPr>
                <w:sz w:val="20"/>
              </w:rPr>
            </w:pPr>
          </w:p>
          <w:p w:rsidR="00543E90" w:rsidRPr="00273521" w:rsidRDefault="00543E90" w:rsidP="00366F6C">
            <w:pPr>
              <w:jc w:val="both"/>
              <w:rPr>
                <w:sz w:val="20"/>
              </w:rPr>
            </w:pPr>
            <w:r w:rsidRPr="00273521">
              <w:rPr>
                <w:sz w:val="20"/>
              </w:rPr>
              <w:t>The parties therefore went back before the Superior Court, where Cohen J. allowed Ms. El </w:t>
            </w:r>
            <w:proofErr w:type="spellStart"/>
            <w:r w:rsidRPr="00273521">
              <w:rPr>
                <w:sz w:val="20"/>
              </w:rPr>
              <w:t>Ansari’s</w:t>
            </w:r>
            <w:proofErr w:type="spellEnd"/>
            <w:r w:rsidRPr="00273521">
              <w:rPr>
                <w:sz w:val="20"/>
              </w:rPr>
              <w:t xml:space="preserve"> action in part and ordered the respondent to pay her $70,200 in severance pay with interest and an additional indemnity.  The Court of Appeal set aside the decision, holding that the issue of jurisdictional immunity could be reconsidered by the Superior Court and that, in the circumstances, the evidence showed that Ms. El </w:t>
            </w:r>
            <w:proofErr w:type="spellStart"/>
            <w:r w:rsidRPr="00273521">
              <w:rPr>
                <w:sz w:val="20"/>
              </w:rPr>
              <w:t>Ansari</w:t>
            </w:r>
            <w:proofErr w:type="spellEnd"/>
            <w:r w:rsidRPr="00273521">
              <w:rPr>
                <w:sz w:val="20"/>
              </w:rPr>
              <w:t xml:space="preserve"> had been an employee of the </w:t>
            </w:r>
            <w:r w:rsidRPr="00273521">
              <w:rPr>
                <w:sz w:val="20"/>
              </w:rPr>
              <w:lastRenderedPageBreak/>
              <w:t>Government of Morocco during her entire career and that the employment relationship had not been commercial in nature.  As a result, jurisdictional immunity had to apply.</w:t>
            </w:r>
          </w:p>
          <w:p w:rsidR="00543E90" w:rsidRPr="00273521" w:rsidRDefault="00543E90" w:rsidP="00366F6C">
            <w:pPr>
              <w:jc w:val="both"/>
              <w:rPr>
                <w:sz w:val="20"/>
              </w:rPr>
            </w:pPr>
          </w:p>
        </w:tc>
      </w:tr>
      <w:tr w:rsidR="00543E90" w:rsidRPr="00273521" w:rsidTr="00366F6C">
        <w:tc>
          <w:tcPr>
            <w:tcW w:w="2427" w:type="pct"/>
          </w:tcPr>
          <w:p w:rsidR="00543E90" w:rsidRPr="00273521" w:rsidRDefault="00543E90" w:rsidP="00366F6C">
            <w:pPr>
              <w:rPr>
                <w:sz w:val="20"/>
              </w:rPr>
            </w:pPr>
            <w:r w:rsidRPr="00273521">
              <w:rPr>
                <w:sz w:val="20"/>
              </w:rPr>
              <w:lastRenderedPageBreak/>
              <w:t>September 17, 2007</w:t>
            </w:r>
          </w:p>
          <w:p w:rsidR="00543E90" w:rsidRPr="00273521" w:rsidRDefault="00543E90" w:rsidP="00366F6C">
            <w:pPr>
              <w:rPr>
                <w:sz w:val="20"/>
              </w:rPr>
            </w:pPr>
            <w:r w:rsidRPr="00273521">
              <w:rPr>
                <w:sz w:val="20"/>
              </w:rPr>
              <w:t>Quebec Superior Court</w:t>
            </w:r>
          </w:p>
          <w:p w:rsidR="00543E90" w:rsidRPr="00273521" w:rsidRDefault="00543E90" w:rsidP="00366F6C">
            <w:pPr>
              <w:rPr>
                <w:sz w:val="20"/>
              </w:rPr>
            </w:pPr>
            <w:r w:rsidRPr="00273521">
              <w:rPr>
                <w:sz w:val="20"/>
              </w:rPr>
              <w:t>(Cohen J.)</w:t>
            </w:r>
          </w:p>
          <w:p w:rsidR="00543E90" w:rsidRPr="00273521" w:rsidRDefault="00543E90" w:rsidP="00366F6C">
            <w:pPr>
              <w:rPr>
                <w:sz w:val="20"/>
              </w:rPr>
            </w:pPr>
            <w:r w:rsidRPr="00273521">
              <w:rPr>
                <w:sz w:val="20"/>
              </w:rPr>
              <w:t>2007 QCCS 4360</w:t>
            </w:r>
          </w:p>
          <w:p w:rsidR="00543E90" w:rsidRPr="00273521" w:rsidRDefault="00543E90" w:rsidP="00366F6C">
            <w:pPr>
              <w:rPr>
                <w:sz w:val="20"/>
              </w:rPr>
            </w:pPr>
          </w:p>
        </w:tc>
        <w:tc>
          <w:tcPr>
            <w:tcW w:w="243" w:type="pct"/>
          </w:tcPr>
          <w:p w:rsidR="00543E90" w:rsidRPr="00273521" w:rsidRDefault="00543E90" w:rsidP="00366F6C">
            <w:pPr>
              <w:rPr>
                <w:sz w:val="20"/>
              </w:rPr>
            </w:pPr>
          </w:p>
        </w:tc>
        <w:tc>
          <w:tcPr>
            <w:tcW w:w="2330" w:type="pct"/>
          </w:tcPr>
          <w:p w:rsidR="00543E90" w:rsidRPr="00273521" w:rsidRDefault="00543E90" w:rsidP="00366F6C">
            <w:pPr>
              <w:rPr>
                <w:sz w:val="20"/>
              </w:rPr>
            </w:pPr>
            <w:r w:rsidRPr="00273521">
              <w:rPr>
                <w:sz w:val="20"/>
              </w:rPr>
              <w:t>Action in damages allowed in part</w:t>
            </w:r>
          </w:p>
        </w:tc>
      </w:tr>
      <w:tr w:rsidR="00543E90" w:rsidRPr="00273521" w:rsidTr="00366F6C">
        <w:tc>
          <w:tcPr>
            <w:tcW w:w="2427" w:type="pct"/>
          </w:tcPr>
          <w:p w:rsidR="00543E90" w:rsidRPr="00273521" w:rsidRDefault="00543E90" w:rsidP="00366F6C">
            <w:pPr>
              <w:rPr>
                <w:sz w:val="20"/>
              </w:rPr>
            </w:pPr>
            <w:r w:rsidRPr="00273521">
              <w:rPr>
                <w:sz w:val="20"/>
              </w:rPr>
              <w:t>December 9, 2010</w:t>
            </w:r>
          </w:p>
          <w:p w:rsidR="00543E90" w:rsidRPr="00273521" w:rsidRDefault="00543E90" w:rsidP="00366F6C">
            <w:pPr>
              <w:rPr>
                <w:sz w:val="20"/>
              </w:rPr>
            </w:pPr>
            <w:r w:rsidRPr="00273521">
              <w:rPr>
                <w:sz w:val="20"/>
              </w:rPr>
              <w:t>Quebec Court of Appeal (Montréal)</w:t>
            </w:r>
          </w:p>
          <w:p w:rsidR="00543E90" w:rsidRPr="00273521" w:rsidRDefault="00543E90" w:rsidP="00366F6C">
            <w:pPr>
              <w:rPr>
                <w:sz w:val="20"/>
              </w:rPr>
            </w:pPr>
            <w:r w:rsidRPr="00273521">
              <w:rPr>
                <w:sz w:val="20"/>
              </w:rPr>
              <w:t>(Pelletier, Hilton and Léger JJ.A.)</w:t>
            </w:r>
          </w:p>
          <w:p w:rsidR="00543E90" w:rsidRPr="00273521" w:rsidRDefault="00543E90" w:rsidP="00366F6C">
            <w:pPr>
              <w:rPr>
                <w:sz w:val="20"/>
              </w:rPr>
            </w:pPr>
            <w:r w:rsidRPr="00273521">
              <w:rPr>
                <w:sz w:val="20"/>
              </w:rPr>
              <w:t>2010 QCCA 2256</w:t>
            </w:r>
          </w:p>
          <w:p w:rsidR="00543E90" w:rsidRPr="00273521" w:rsidRDefault="00543E90" w:rsidP="00366F6C">
            <w:pPr>
              <w:rPr>
                <w:sz w:val="20"/>
              </w:rPr>
            </w:pPr>
          </w:p>
        </w:tc>
        <w:tc>
          <w:tcPr>
            <w:tcW w:w="243" w:type="pct"/>
          </w:tcPr>
          <w:p w:rsidR="00543E90" w:rsidRPr="00273521" w:rsidRDefault="00543E90" w:rsidP="00366F6C">
            <w:pPr>
              <w:rPr>
                <w:sz w:val="20"/>
              </w:rPr>
            </w:pPr>
          </w:p>
        </w:tc>
        <w:tc>
          <w:tcPr>
            <w:tcW w:w="2330" w:type="pct"/>
          </w:tcPr>
          <w:p w:rsidR="00543E90" w:rsidRPr="00273521" w:rsidRDefault="00543E90" w:rsidP="00366F6C">
            <w:pPr>
              <w:rPr>
                <w:sz w:val="20"/>
              </w:rPr>
            </w:pPr>
            <w:r w:rsidRPr="00273521">
              <w:rPr>
                <w:sz w:val="20"/>
              </w:rPr>
              <w:t>Appeal allowed; action dismissed</w:t>
            </w:r>
          </w:p>
          <w:p w:rsidR="00543E90" w:rsidRPr="00273521" w:rsidRDefault="00543E90" w:rsidP="00366F6C">
            <w:pPr>
              <w:rPr>
                <w:sz w:val="20"/>
              </w:rPr>
            </w:pPr>
          </w:p>
        </w:tc>
      </w:tr>
      <w:tr w:rsidR="00543E90" w:rsidRPr="00273521" w:rsidTr="00366F6C">
        <w:tc>
          <w:tcPr>
            <w:tcW w:w="2427" w:type="pct"/>
          </w:tcPr>
          <w:p w:rsidR="00543E90" w:rsidRPr="00273521" w:rsidRDefault="00543E90" w:rsidP="00366F6C">
            <w:pPr>
              <w:rPr>
                <w:sz w:val="20"/>
              </w:rPr>
            </w:pPr>
            <w:r w:rsidRPr="00273521">
              <w:rPr>
                <w:sz w:val="20"/>
              </w:rPr>
              <w:t>February 7, 2011</w:t>
            </w:r>
          </w:p>
          <w:p w:rsidR="00543E90" w:rsidRPr="00273521" w:rsidRDefault="00543E90" w:rsidP="00366F6C">
            <w:pPr>
              <w:rPr>
                <w:sz w:val="20"/>
              </w:rPr>
            </w:pPr>
            <w:r w:rsidRPr="00273521">
              <w:rPr>
                <w:sz w:val="20"/>
              </w:rPr>
              <w:t>Supreme Court of Canada</w:t>
            </w:r>
          </w:p>
        </w:tc>
        <w:tc>
          <w:tcPr>
            <w:tcW w:w="243" w:type="pct"/>
          </w:tcPr>
          <w:p w:rsidR="00543E90" w:rsidRPr="00273521" w:rsidRDefault="00543E90" w:rsidP="00366F6C">
            <w:pPr>
              <w:rPr>
                <w:sz w:val="20"/>
              </w:rPr>
            </w:pPr>
          </w:p>
        </w:tc>
        <w:tc>
          <w:tcPr>
            <w:tcW w:w="2330" w:type="pct"/>
          </w:tcPr>
          <w:p w:rsidR="00543E90" w:rsidRPr="00273521" w:rsidRDefault="00543E90" w:rsidP="00366F6C">
            <w:pPr>
              <w:rPr>
                <w:sz w:val="20"/>
              </w:rPr>
            </w:pPr>
            <w:r w:rsidRPr="00273521">
              <w:rPr>
                <w:sz w:val="20"/>
              </w:rPr>
              <w:t>Application for leave to appeal filed</w:t>
            </w:r>
          </w:p>
          <w:p w:rsidR="00543E90" w:rsidRPr="00273521" w:rsidRDefault="00543E90" w:rsidP="00366F6C">
            <w:pPr>
              <w:rPr>
                <w:sz w:val="20"/>
              </w:rPr>
            </w:pPr>
          </w:p>
        </w:tc>
      </w:tr>
    </w:tbl>
    <w:p w:rsidR="00177474" w:rsidRDefault="00177474" w:rsidP="00177474">
      <w:pPr>
        <w:rPr>
          <w:sz w:val="20"/>
          <w:szCs w:val="20"/>
        </w:rPr>
      </w:pPr>
    </w:p>
    <w:p w:rsidR="00177474" w:rsidRDefault="009E364E" w:rsidP="00177474">
      <w:pPr>
        <w:rPr>
          <w:sz w:val="20"/>
          <w:szCs w:val="20"/>
          <w:lang w:val="fr-CA"/>
        </w:rPr>
      </w:pPr>
      <w:r w:rsidRPr="009E364E">
        <w:rPr>
          <w:sz w:val="20"/>
          <w:szCs w:val="20"/>
          <w:lang w:val="fr-CA"/>
        </w:rPr>
        <w:pict>
          <v:rect id="_x0000_i1046" style="width:2in;height:1pt" o:hrpct="0" o:hralign="center" o:hrstd="t" o:hrnoshade="t" o:hr="t" fillcolor="black [3213]" stroked="f"/>
        </w:pict>
      </w:r>
    </w:p>
    <w:p w:rsidR="00177474" w:rsidRDefault="00177474" w:rsidP="00177474">
      <w:pPr>
        <w:rPr>
          <w:sz w:val="20"/>
          <w:szCs w:val="20"/>
        </w:rPr>
      </w:pPr>
    </w:p>
    <w:p w:rsidR="00177474" w:rsidRPr="00177474" w:rsidRDefault="00177474" w:rsidP="00177474">
      <w:pPr>
        <w:rPr>
          <w:sz w:val="20"/>
          <w:szCs w:val="20"/>
        </w:rPr>
      </w:pPr>
      <w:r>
        <w:rPr>
          <w:sz w:val="20"/>
          <w:szCs w:val="20"/>
          <w:u w:val="single"/>
        </w:rPr>
        <w:t>RÉSUMÉ DE L’AFFAIRE</w:t>
      </w:r>
    </w:p>
    <w:p w:rsidR="00177474" w:rsidRDefault="00177474" w:rsidP="001774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43E90" w:rsidRPr="0072254A" w:rsidTr="00366F6C">
        <w:tc>
          <w:tcPr>
            <w:tcW w:w="5000" w:type="pct"/>
            <w:gridSpan w:val="3"/>
          </w:tcPr>
          <w:p w:rsidR="00543E90" w:rsidRPr="00273521" w:rsidRDefault="00543E90" w:rsidP="00366F6C">
            <w:pPr>
              <w:jc w:val="both"/>
              <w:rPr>
                <w:sz w:val="20"/>
                <w:lang w:val="fr-CA"/>
              </w:rPr>
            </w:pPr>
            <w:r w:rsidRPr="00273521">
              <w:rPr>
                <w:color w:val="000000"/>
                <w:sz w:val="20"/>
                <w:lang w:val="fr-CA"/>
              </w:rPr>
              <w:t>Droit international public — Immunité de juridiction — Exception des activités commerciales — Chose jugée —</w:t>
            </w:r>
            <w:r w:rsidRPr="00273521">
              <w:rPr>
                <w:sz w:val="20"/>
                <w:lang w:val="fr-CA"/>
              </w:rPr>
              <w:t xml:space="preserve"> </w:t>
            </w:r>
            <w:proofErr w:type="spellStart"/>
            <w:r w:rsidRPr="00273521">
              <w:rPr>
                <w:sz w:val="20"/>
                <w:lang w:val="fr-CA"/>
              </w:rPr>
              <w:t>Ex</w:t>
            </w:r>
            <w:r w:rsidRPr="00273521">
              <w:rPr>
                <w:sz w:val="20"/>
                <w:lang w:val="fr-CA"/>
              </w:rPr>
              <w:noBreakHyphen/>
              <w:t>employée</w:t>
            </w:r>
            <w:proofErr w:type="spellEnd"/>
            <w:r w:rsidRPr="00273521">
              <w:rPr>
                <w:sz w:val="20"/>
                <w:lang w:val="fr-CA"/>
              </w:rPr>
              <w:t xml:space="preserve"> d’un État étranger intentant contre </w:t>
            </w:r>
            <w:proofErr w:type="spellStart"/>
            <w:r w:rsidRPr="00273521">
              <w:rPr>
                <w:sz w:val="20"/>
                <w:lang w:val="fr-CA"/>
              </w:rPr>
              <w:t>celui</w:t>
            </w:r>
            <w:r w:rsidRPr="00273521">
              <w:rPr>
                <w:sz w:val="20"/>
                <w:lang w:val="fr-CA"/>
              </w:rPr>
              <w:noBreakHyphen/>
              <w:t>ci</w:t>
            </w:r>
            <w:proofErr w:type="spellEnd"/>
            <w:r w:rsidRPr="00273521">
              <w:rPr>
                <w:sz w:val="20"/>
                <w:lang w:val="fr-CA"/>
              </w:rPr>
              <w:t xml:space="preserve"> une action en </w:t>
            </w:r>
            <w:proofErr w:type="spellStart"/>
            <w:r w:rsidRPr="00273521">
              <w:rPr>
                <w:sz w:val="20"/>
                <w:lang w:val="fr-CA"/>
              </w:rPr>
              <w:t>dommages</w:t>
            </w:r>
            <w:r w:rsidRPr="00273521">
              <w:rPr>
                <w:sz w:val="20"/>
                <w:lang w:val="fr-CA"/>
              </w:rPr>
              <w:noBreakHyphen/>
              <w:t>intérêts</w:t>
            </w:r>
            <w:proofErr w:type="spellEnd"/>
            <w:r w:rsidRPr="00273521">
              <w:rPr>
                <w:sz w:val="20"/>
                <w:lang w:val="fr-CA"/>
              </w:rPr>
              <w:t xml:space="preserve"> devant la Cour supérieure alléguant son congédiement injustifié — L’État étranger </w:t>
            </w:r>
            <w:proofErr w:type="spellStart"/>
            <w:r w:rsidRPr="00273521">
              <w:rPr>
                <w:sz w:val="20"/>
                <w:lang w:val="fr-CA"/>
              </w:rPr>
              <w:t>pouvait</w:t>
            </w:r>
            <w:r w:rsidRPr="00273521">
              <w:rPr>
                <w:sz w:val="20"/>
                <w:lang w:val="fr-CA"/>
              </w:rPr>
              <w:noBreakHyphen/>
              <w:t>il</w:t>
            </w:r>
            <w:proofErr w:type="spellEnd"/>
            <w:r w:rsidRPr="00273521">
              <w:rPr>
                <w:sz w:val="20"/>
                <w:lang w:val="fr-CA"/>
              </w:rPr>
              <w:t xml:space="preserve"> se prévaloir de l’immunité de juridiction? —</w:t>
            </w:r>
            <w:r w:rsidRPr="00273521">
              <w:rPr>
                <w:color w:val="000000"/>
                <w:sz w:val="20"/>
                <w:lang w:val="fr-CA"/>
              </w:rPr>
              <w:t xml:space="preserve"> </w:t>
            </w:r>
            <w:r w:rsidRPr="00273521">
              <w:rPr>
                <w:sz w:val="20"/>
                <w:lang w:val="fr-CA"/>
              </w:rPr>
              <w:t xml:space="preserve">Cette question </w:t>
            </w:r>
            <w:proofErr w:type="spellStart"/>
            <w:r w:rsidRPr="00273521">
              <w:rPr>
                <w:sz w:val="20"/>
                <w:lang w:val="fr-CA"/>
              </w:rPr>
              <w:t>jouissait</w:t>
            </w:r>
            <w:r w:rsidRPr="00273521">
              <w:rPr>
                <w:sz w:val="20"/>
                <w:lang w:val="fr-CA"/>
              </w:rPr>
              <w:noBreakHyphen/>
              <w:t>elle</w:t>
            </w:r>
            <w:proofErr w:type="spellEnd"/>
            <w:r w:rsidRPr="00273521">
              <w:rPr>
                <w:sz w:val="20"/>
                <w:lang w:val="fr-CA"/>
              </w:rPr>
              <w:t xml:space="preserve"> de l’autorité de la chose jugée? — </w:t>
            </w:r>
            <w:r w:rsidRPr="00273521">
              <w:rPr>
                <w:i/>
                <w:iCs/>
                <w:color w:val="000000"/>
                <w:sz w:val="20"/>
                <w:lang w:val="fr-CA"/>
              </w:rPr>
              <w:t>Loi sur l’immunité des États</w:t>
            </w:r>
            <w:r w:rsidRPr="00273521">
              <w:rPr>
                <w:color w:val="000000"/>
                <w:sz w:val="20"/>
                <w:lang w:val="fr-CA"/>
              </w:rPr>
              <w:t>, L.R.C. 1985, ch. S</w:t>
            </w:r>
            <w:r w:rsidRPr="00273521">
              <w:rPr>
                <w:color w:val="000000"/>
                <w:sz w:val="20"/>
                <w:lang w:val="fr-CA"/>
              </w:rPr>
              <w:noBreakHyphen/>
              <w:t>18.</w:t>
            </w:r>
          </w:p>
        </w:tc>
      </w:tr>
      <w:tr w:rsidR="00543E90" w:rsidRPr="0072254A" w:rsidTr="00366F6C">
        <w:tc>
          <w:tcPr>
            <w:tcW w:w="5000" w:type="pct"/>
            <w:gridSpan w:val="3"/>
          </w:tcPr>
          <w:p w:rsidR="00543E90" w:rsidRPr="00273521" w:rsidRDefault="00543E90" w:rsidP="00366F6C">
            <w:pPr>
              <w:jc w:val="both"/>
              <w:rPr>
                <w:sz w:val="20"/>
                <w:lang w:val="fr-CA"/>
              </w:rPr>
            </w:pPr>
          </w:p>
        </w:tc>
      </w:tr>
      <w:tr w:rsidR="00543E90" w:rsidRPr="00273521" w:rsidTr="00366F6C">
        <w:tc>
          <w:tcPr>
            <w:tcW w:w="5000" w:type="pct"/>
            <w:gridSpan w:val="3"/>
          </w:tcPr>
          <w:p w:rsidR="00543E90" w:rsidRPr="00273521" w:rsidRDefault="00543E90" w:rsidP="00366F6C">
            <w:pPr>
              <w:jc w:val="both"/>
              <w:rPr>
                <w:sz w:val="20"/>
                <w:lang w:val="fr-CA"/>
              </w:rPr>
            </w:pPr>
            <w:r w:rsidRPr="00273521">
              <w:rPr>
                <w:sz w:val="20"/>
                <w:lang w:val="fr-CA"/>
              </w:rPr>
              <w:t xml:space="preserve">La demanderesse Mme El Ansari, d’origine marocaine et immigrante reçue au Canada depuis 1991, occupe des postes dans de nombreux pays pour le gouvernement du Maroc intimé entre 1959 et 2000, principalement à titre de secrétaire et d’adjointe administrative et de conjointe du </w:t>
            </w:r>
            <w:proofErr w:type="spellStart"/>
            <w:r w:rsidRPr="00273521">
              <w:rPr>
                <w:sz w:val="20"/>
                <w:lang w:val="fr-CA"/>
              </w:rPr>
              <w:t>vice</w:t>
            </w:r>
            <w:r w:rsidRPr="00273521">
              <w:rPr>
                <w:sz w:val="20"/>
                <w:lang w:val="fr-CA"/>
              </w:rPr>
              <w:noBreakHyphen/>
              <w:t>consul</w:t>
            </w:r>
            <w:proofErr w:type="spellEnd"/>
            <w:r w:rsidRPr="00273521">
              <w:rPr>
                <w:sz w:val="20"/>
                <w:lang w:val="fr-CA"/>
              </w:rPr>
              <w:t xml:space="preserve"> ou du consul lorsque son mari occupait ces fonctions.  Elle travaille au consulat marocain à Montréal entre 1993 et 1997 et à l’ambassade du Maroc à Ottawa de 1997 à 2000.  Le 1</w:t>
            </w:r>
            <w:r w:rsidRPr="00273521">
              <w:rPr>
                <w:sz w:val="20"/>
                <w:vertAlign w:val="superscript"/>
                <w:lang w:val="fr-CA"/>
              </w:rPr>
              <w:t>er</w:t>
            </w:r>
            <w:r w:rsidRPr="00273521">
              <w:rPr>
                <w:sz w:val="20"/>
                <w:lang w:val="fr-CA"/>
              </w:rPr>
              <w:t xml:space="preserve"> août 2000, Mme El Ansari est radiée comme fonctionnaire au motif qu’elle a abandonné son poste.  Elle intente alors une action contre l’intimé devant la Cour supérieure du Québec alléguant son congédiement injustifié. </w:t>
            </w:r>
          </w:p>
          <w:p w:rsidR="00543E90" w:rsidRPr="00273521" w:rsidRDefault="00543E90" w:rsidP="00366F6C">
            <w:pPr>
              <w:jc w:val="both"/>
              <w:rPr>
                <w:sz w:val="20"/>
                <w:lang w:val="fr-CA"/>
              </w:rPr>
            </w:pPr>
          </w:p>
          <w:p w:rsidR="00543E90" w:rsidRPr="00273521" w:rsidRDefault="00543E90" w:rsidP="00366F6C">
            <w:pPr>
              <w:jc w:val="both"/>
              <w:rPr>
                <w:sz w:val="20"/>
                <w:lang w:val="fr-CA"/>
              </w:rPr>
            </w:pPr>
            <w:r w:rsidRPr="00273521">
              <w:rPr>
                <w:sz w:val="20"/>
                <w:lang w:val="fr-CA"/>
              </w:rPr>
              <w:t xml:space="preserve">L’intimé fait défaut de comparaître.  En juillet 2002, la Cour supérieure rejette l’action au motif que l’intimé bénéficie de l’immunité de juridiction en application de l’art. 3 de la </w:t>
            </w:r>
            <w:r w:rsidRPr="00273521">
              <w:rPr>
                <w:i/>
                <w:sz w:val="20"/>
                <w:lang w:val="fr-CA"/>
              </w:rPr>
              <w:t>Loi sur l’immunité des États</w:t>
            </w:r>
            <w:r w:rsidRPr="00273521">
              <w:rPr>
                <w:sz w:val="20"/>
                <w:lang w:val="fr-CA"/>
              </w:rPr>
              <w:t>. La Cour d’appel infirme la décision et retourne le dossier en Cour supérieure pour qu’elle dispose du mérite de l’affaire.  Elle est d’avis que l’action porte sur des activités commerciales et que Mme El Ansari a prouvé que son poste ne mettait pas en cause la souveraineté du Maroc.  Le gouvernement du Maroc porte alors l’affaire en appel devant la Cour suprême du Canada, mais cette dernière refuse la permission d’appel.</w:t>
            </w:r>
          </w:p>
          <w:p w:rsidR="00543E90" w:rsidRPr="00273521" w:rsidRDefault="00543E90" w:rsidP="00366F6C">
            <w:pPr>
              <w:jc w:val="both"/>
              <w:rPr>
                <w:sz w:val="20"/>
                <w:lang w:val="fr-CA"/>
              </w:rPr>
            </w:pPr>
          </w:p>
          <w:p w:rsidR="00543E90" w:rsidRPr="00273521" w:rsidRDefault="00543E90" w:rsidP="00366F6C">
            <w:pPr>
              <w:jc w:val="both"/>
              <w:rPr>
                <w:sz w:val="20"/>
                <w:lang w:val="fr-CA"/>
              </w:rPr>
            </w:pPr>
            <w:r w:rsidRPr="00273521">
              <w:rPr>
                <w:sz w:val="20"/>
                <w:lang w:val="fr-CA"/>
              </w:rPr>
              <w:t>Les parties retournent alors en Cour supérieure, où la juge Cohen accueille en partie l’action de Mme El Ansari et condamne l’intimé à lui verser une indemnité de départ de 70 200 $ avec intérêts et indemnité additionnelle.  La Cour d’appel infirme la décision.  Elle juge que la question de l’immunité de juridiction pouvait être examinée à nouveau par la Cour supérieure et que, dans les circonstances, la preuve démontre que Mme El Ansari était fonctionnaire à l’emploi du gouvernement du Maroc durant toute sa carrière et que le lien d’emploi n’était pas de nature commerciale.  L’immunité de juridiction devait donc s’appliquer.</w:t>
            </w:r>
          </w:p>
          <w:p w:rsidR="00543E90" w:rsidRPr="00273521" w:rsidRDefault="00543E90" w:rsidP="00366F6C">
            <w:pPr>
              <w:jc w:val="both"/>
              <w:rPr>
                <w:sz w:val="20"/>
                <w:lang w:val="fr-CA"/>
              </w:rPr>
            </w:pPr>
          </w:p>
        </w:tc>
      </w:tr>
      <w:tr w:rsidR="00543E90" w:rsidRPr="000536FB" w:rsidTr="00366F6C">
        <w:tc>
          <w:tcPr>
            <w:tcW w:w="2427" w:type="pct"/>
          </w:tcPr>
          <w:p w:rsidR="00543E90" w:rsidRPr="00273521" w:rsidRDefault="00543E90" w:rsidP="00366F6C">
            <w:pPr>
              <w:rPr>
                <w:sz w:val="20"/>
                <w:lang w:val="fr-CA"/>
              </w:rPr>
            </w:pPr>
            <w:r w:rsidRPr="00273521">
              <w:rPr>
                <w:sz w:val="20"/>
                <w:lang w:val="fr-CA"/>
              </w:rPr>
              <w:t>Le 17 septembre 2007</w:t>
            </w:r>
          </w:p>
          <w:p w:rsidR="00543E90" w:rsidRPr="00273521" w:rsidRDefault="00543E90" w:rsidP="00366F6C">
            <w:pPr>
              <w:rPr>
                <w:sz w:val="20"/>
                <w:lang w:val="fr-CA"/>
              </w:rPr>
            </w:pPr>
            <w:r w:rsidRPr="00273521">
              <w:rPr>
                <w:sz w:val="20"/>
                <w:lang w:val="fr-CA"/>
              </w:rPr>
              <w:t>Cour supérieure du Québec</w:t>
            </w:r>
          </w:p>
          <w:p w:rsidR="00543E90" w:rsidRPr="00273521" w:rsidRDefault="00543E90" w:rsidP="00366F6C">
            <w:pPr>
              <w:rPr>
                <w:sz w:val="20"/>
                <w:lang w:val="fr-CA"/>
              </w:rPr>
            </w:pPr>
            <w:r w:rsidRPr="00273521">
              <w:rPr>
                <w:sz w:val="20"/>
                <w:lang w:val="fr-CA"/>
              </w:rPr>
              <w:t>(La juge Cohen)</w:t>
            </w:r>
          </w:p>
          <w:p w:rsidR="00543E90" w:rsidRPr="00273521" w:rsidRDefault="00543E90" w:rsidP="00366F6C">
            <w:pPr>
              <w:rPr>
                <w:sz w:val="20"/>
                <w:lang w:val="fr-CA"/>
              </w:rPr>
            </w:pPr>
            <w:r w:rsidRPr="00273521">
              <w:rPr>
                <w:sz w:val="20"/>
                <w:lang w:val="fr-CA"/>
              </w:rPr>
              <w:t>2007 QCCS 4360</w:t>
            </w:r>
          </w:p>
          <w:p w:rsidR="00543E90" w:rsidRPr="00273521" w:rsidRDefault="00543E90" w:rsidP="00366F6C">
            <w:pPr>
              <w:rPr>
                <w:sz w:val="20"/>
                <w:lang w:val="fr-CA"/>
              </w:rPr>
            </w:pPr>
          </w:p>
        </w:tc>
        <w:tc>
          <w:tcPr>
            <w:tcW w:w="243" w:type="pct"/>
          </w:tcPr>
          <w:p w:rsidR="00543E90" w:rsidRPr="00273521" w:rsidRDefault="00543E90" w:rsidP="00366F6C">
            <w:pPr>
              <w:rPr>
                <w:sz w:val="20"/>
                <w:lang w:val="fr-CA"/>
              </w:rPr>
            </w:pPr>
          </w:p>
        </w:tc>
        <w:tc>
          <w:tcPr>
            <w:tcW w:w="2330" w:type="pct"/>
          </w:tcPr>
          <w:p w:rsidR="00543E90" w:rsidRPr="00273521" w:rsidRDefault="00543E90" w:rsidP="00366F6C">
            <w:pPr>
              <w:rPr>
                <w:sz w:val="20"/>
                <w:lang w:val="fr-CA"/>
              </w:rPr>
            </w:pPr>
            <w:r w:rsidRPr="00273521">
              <w:rPr>
                <w:sz w:val="20"/>
                <w:lang w:val="fr-CA"/>
              </w:rPr>
              <w:t xml:space="preserve">Action en </w:t>
            </w:r>
            <w:proofErr w:type="spellStart"/>
            <w:r w:rsidRPr="00273521">
              <w:rPr>
                <w:sz w:val="20"/>
                <w:lang w:val="fr-CA"/>
              </w:rPr>
              <w:t>dommages</w:t>
            </w:r>
            <w:r w:rsidRPr="00273521">
              <w:rPr>
                <w:sz w:val="20"/>
                <w:lang w:val="fr-CA"/>
              </w:rPr>
              <w:noBreakHyphen/>
              <w:t>intérêts</w:t>
            </w:r>
            <w:proofErr w:type="spellEnd"/>
            <w:r w:rsidRPr="00273521">
              <w:rPr>
                <w:sz w:val="20"/>
                <w:lang w:val="fr-CA"/>
              </w:rPr>
              <w:t xml:space="preserve"> accueillie en partie.</w:t>
            </w:r>
          </w:p>
        </w:tc>
      </w:tr>
      <w:tr w:rsidR="00543E90" w:rsidRPr="00273521" w:rsidTr="006D565A">
        <w:trPr>
          <w:cantSplit/>
        </w:trPr>
        <w:tc>
          <w:tcPr>
            <w:tcW w:w="2427" w:type="pct"/>
          </w:tcPr>
          <w:p w:rsidR="00543E90" w:rsidRPr="00273521" w:rsidRDefault="00543E90" w:rsidP="00366F6C">
            <w:pPr>
              <w:rPr>
                <w:sz w:val="20"/>
                <w:lang w:val="fr-CA"/>
              </w:rPr>
            </w:pPr>
            <w:r w:rsidRPr="00273521">
              <w:rPr>
                <w:sz w:val="20"/>
                <w:lang w:val="fr-CA"/>
              </w:rPr>
              <w:lastRenderedPageBreak/>
              <w:t>Le 9 décembre 2010</w:t>
            </w:r>
          </w:p>
          <w:p w:rsidR="00543E90" w:rsidRPr="00273521" w:rsidRDefault="00543E90" w:rsidP="00366F6C">
            <w:pPr>
              <w:rPr>
                <w:sz w:val="20"/>
                <w:lang w:val="fr-CA"/>
              </w:rPr>
            </w:pPr>
            <w:r w:rsidRPr="00273521">
              <w:rPr>
                <w:sz w:val="20"/>
                <w:lang w:val="fr-CA"/>
              </w:rPr>
              <w:t>Cour d’appel du Québec (Montréal)</w:t>
            </w:r>
          </w:p>
          <w:p w:rsidR="00543E90" w:rsidRPr="00273521" w:rsidRDefault="00543E90" w:rsidP="00366F6C">
            <w:pPr>
              <w:rPr>
                <w:sz w:val="20"/>
                <w:lang w:val="fr-CA"/>
              </w:rPr>
            </w:pPr>
            <w:r w:rsidRPr="00273521">
              <w:rPr>
                <w:sz w:val="20"/>
                <w:lang w:val="fr-CA"/>
              </w:rPr>
              <w:t>(Les juges Pelletier, Hilton et Léger)</w:t>
            </w:r>
          </w:p>
          <w:p w:rsidR="00543E90" w:rsidRPr="00273521" w:rsidRDefault="00543E90" w:rsidP="00366F6C">
            <w:pPr>
              <w:rPr>
                <w:sz w:val="20"/>
                <w:lang w:val="fr-CA"/>
              </w:rPr>
            </w:pPr>
            <w:r w:rsidRPr="00273521">
              <w:rPr>
                <w:sz w:val="20"/>
                <w:lang w:val="fr-CA"/>
              </w:rPr>
              <w:t>2010 QCCA 2256</w:t>
            </w:r>
          </w:p>
          <w:p w:rsidR="00543E90" w:rsidRPr="00273521" w:rsidRDefault="00543E90" w:rsidP="00366F6C">
            <w:pPr>
              <w:rPr>
                <w:sz w:val="20"/>
                <w:lang w:val="fr-CA"/>
              </w:rPr>
            </w:pPr>
          </w:p>
        </w:tc>
        <w:tc>
          <w:tcPr>
            <w:tcW w:w="243" w:type="pct"/>
          </w:tcPr>
          <w:p w:rsidR="00543E90" w:rsidRPr="00273521" w:rsidRDefault="00543E90" w:rsidP="00366F6C">
            <w:pPr>
              <w:rPr>
                <w:sz w:val="20"/>
                <w:lang w:val="fr-CA"/>
              </w:rPr>
            </w:pPr>
          </w:p>
        </w:tc>
        <w:tc>
          <w:tcPr>
            <w:tcW w:w="2330" w:type="pct"/>
          </w:tcPr>
          <w:p w:rsidR="00543E90" w:rsidRPr="00273521" w:rsidRDefault="00543E90" w:rsidP="00366F6C">
            <w:pPr>
              <w:rPr>
                <w:sz w:val="20"/>
                <w:lang w:val="fr-CA"/>
              </w:rPr>
            </w:pPr>
            <w:r w:rsidRPr="00273521">
              <w:rPr>
                <w:sz w:val="20"/>
                <w:lang w:val="fr-CA"/>
              </w:rPr>
              <w:t>Appel accueilli; action rejetée</w:t>
            </w:r>
          </w:p>
          <w:p w:rsidR="00543E90" w:rsidRPr="00273521" w:rsidRDefault="00543E90" w:rsidP="00366F6C">
            <w:pPr>
              <w:rPr>
                <w:sz w:val="20"/>
                <w:lang w:val="fr-CA"/>
              </w:rPr>
            </w:pPr>
          </w:p>
        </w:tc>
      </w:tr>
      <w:tr w:rsidR="00543E90" w:rsidRPr="00273521" w:rsidTr="006D565A">
        <w:trPr>
          <w:cantSplit/>
        </w:trPr>
        <w:tc>
          <w:tcPr>
            <w:tcW w:w="2427" w:type="pct"/>
          </w:tcPr>
          <w:p w:rsidR="00543E90" w:rsidRPr="00273521" w:rsidRDefault="00543E90" w:rsidP="00366F6C">
            <w:pPr>
              <w:rPr>
                <w:sz w:val="20"/>
                <w:lang w:val="fr-CA"/>
              </w:rPr>
            </w:pPr>
            <w:r w:rsidRPr="00273521">
              <w:rPr>
                <w:sz w:val="20"/>
                <w:lang w:val="fr-CA"/>
              </w:rPr>
              <w:t>Le 7 février 2011</w:t>
            </w:r>
          </w:p>
          <w:p w:rsidR="00543E90" w:rsidRPr="00273521" w:rsidRDefault="00543E90" w:rsidP="00366F6C">
            <w:pPr>
              <w:rPr>
                <w:sz w:val="20"/>
                <w:lang w:val="fr-CA"/>
              </w:rPr>
            </w:pPr>
            <w:r w:rsidRPr="00273521">
              <w:rPr>
                <w:sz w:val="20"/>
                <w:lang w:val="fr-CA"/>
              </w:rPr>
              <w:t>Cour suprême du Canada</w:t>
            </w:r>
          </w:p>
        </w:tc>
        <w:tc>
          <w:tcPr>
            <w:tcW w:w="243" w:type="pct"/>
          </w:tcPr>
          <w:p w:rsidR="00543E90" w:rsidRPr="00273521" w:rsidRDefault="00543E90" w:rsidP="00366F6C">
            <w:pPr>
              <w:rPr>
                <w:sz w:val="20"/>
                <w:lang w:val="fr-CA"/>
              </w:rPr>
            </w:pPr>
          </w:p>
        </w:tc>
        <w:tc>
          <w:tcPr>
            <w:tcW w:w="2330" w:type="pct"/>
          </w:tcPr>
          <w:p w:rsidR="00543E90" w:rsidRPr="00273521" w:rsidRDefault="00543E90" w:rsidP="00366F6C">
            <w:pPr>
              <w:rPr>
                <w:sz w:val="20"/>
                <w:lang w:val="fr-CA"/>
              </w:rPr>
            </w:pPr>
            <w:r w:rsidRPr="00273521">
              <w:rPr>
                <w:sz w:val="20"/>
                <w:lang w:val="fr-CA"/>
              </w:rPr>
              <w:t>Demande d’autorisation d’appel déposée</w:t>
            </w:r>
          </w:p>
          <w:p w:rsidR="00543E90" w:rsidRPr="00273521" w:rsidRDefault="00543E90" w:rsidP="00366F6C">
            <w:pPr>
              <w:rPr>
                <w:sz w:val="20"/>
                <w:lang w:val="fr-CA"/>
              </w:rPr>
            </w:pPr>
          </w:p>
        </w:tc>
      </w:tr>
    </w:tbl>
    <w:p w:rsidR="00177474" w:rsidRDefault="00177474" w:rsidP="00177474">
      <w:pPr>
        <w:rPr>
          <w:sz w:val="20"/>
          <w:szCs w:val="20"/>
        </w:rPr>
      </w:pPr>
    </w:p>
    <w:p w:rsidR="00177474" w:rsidRDefault="009E364E" w:rsidP="00177474">
      <w:pPr>
        <w:rPr>
          <w:sz w:val="20"/>
          <w:szCs w:val="20"/>
          <w:lang w:val="fr-CA"/>
        </w:rPr>
      </w:pPr>
      <w:r w:rsidRPr="009E364E">
        <w:rPr>
          <w:sz w:val="20"/>
          <w:szCs w:val="20"/>
          <w:lang w:val="fr-CA"/>
        </w:rPr>
        <w:pict>
          <v:rect id="_x0000_i1047" style="width:2in;height:1pt" o:hrpct="0" o:hralign="center" o:hrstd="t" o:hrnoshade="t" o:hr="t" fillcolor="black [3213]" stroked="f"/>
        </w:pict>
      </w:r>
    </w:p>
    <w:p w:rsidR="00177474" w:rsidRDefault="00177474" w:rsidP="00177474">
      <w:pPr>
        <w:rPr>
          <w:sz w:val="20"/>
          <w:szCs w:val="20"/>
          <w:lang w:val="fr-CA"/>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D565A" w:rsidRPr="006D565A" w:rsidTr="00C17A52">
        <w:trPr>
          <w:cantSplit/>
        </w:trPr>
        <w:tc>
          <w:tcPr>
            <w:tcW w:w="1458" w:type="dxa"/>
          </w:tcPr>
          <w:p w:rsidR="006D565A" w:rsidRPr="006D565A" w:rsidRDefault="006D565A" w:rsidP="006D565A">
            <w:pPr>
              <w:rPr>
                <w:rFonts w:cs="Times New Roman"/>
                <w:sz w:val="20"/>
                <w:szCs w:val="20"/>
              </w:rPr>
            </w:pPr>
            <w:r w:rsidRPr="006D565A">
              <w:rPr>
                <w:rFonts w:cs="Times New Roman"/>
                <w:b/>
                <w:sz w:val="20"/>
                <w:lang w:val="fr-CA"/>
              </w:rPr>
              <w:t>34136</w:t>
            </w:r>
          </w:p>
          <w:p w:rsidR="006D565A" w:rsidRPr="006D565A" w:rsidRDefault="006D565A" w:rsidP="006D565A">
            <w:pPr>
              <w:rPr>
                <w:rFonts w:cs="Times New Roman"/>
                <w:b/>
                <w:sz w:val="20"/>
                <w:szCs w:val="20"/>
                <w:lang w:val="fr-CA"/>
              </w:rPr>
            </w:pPr>
          </w:p>
        </w:tc>
        <w:tc>
          <w:tcPr>
            <w:tcW w:w="8118" w:type="dxa"/>
          </w:tcPr>
          <w:p w:rsidR="006D565A" w:rsidRPr="006D565A" w:rsidRDefault="006D565A" w:rsidP="006D565A">
            <w:pPr>
              <w:jc w:val="both"/>
              <w:rPr>
                <w:rFonts w:cs="Times New Roman"/>
                <w:sz w:val="20"/>
                <w:szCs w:val="20"/>
              </w:rPr>
            </w:pPr>
            <w:r w:rsidRPr="006D565A">
              <w:rPr>
                <w:rFonts w:cs="Times New Roman"/>
                <w:b/>
                <w:sz w:val="20"/>
                <w:u w:val="single"/>
              </w:rPr>
              <w:t xml:space="preserve">Anne Foote, Trudy David, Douglas Foote, Debbie </w:t>
            </w:r>
            <w:proofErr w:type="spellStart"/>
            <w:r w:rsidRPr="006D565A">
              <w:rPr>
                <w:rFonts w:cs="Times New Roman"/>
                <w:b/>
                <w:sz w:val="20"/>
                <w:u w:val="single"/>
              </w:rPr>
              <w:t>Entwistle</w:t>
            </w:r>
            <w:proofErr w:type="spellEnd"/>
            <w:r w:rsidRPr="006D565A">
              <w:rPr>
                <w:rFonts w:cs="Times New Roman"/>
                <w:b/>
                <w:sz w:val="20"/>
                <w:u w:val="single"/>
              </w:rPr>
              <w:t>, Dean Foote and Laurie Evans v. Estate of Eldon Douglas Foot</w:t>
            </w:r>
            <w:r w:rsidR="002F641B">
              <w:rPr>
                <w:rFonts w:cs="Times New Roman"/>
                <w:b/>
                <w:sz w:val="20"/>
                <w:u w:val="single"/>
              </w:rPr>
              <w:t>e, Lord Mayor's Charitable Fund and</w:t>
            </w:r>
            <w:r w:rsidRPr="006D565A">
              <w:rPr>
                <w:rFonts w:cs="Times New Roman"/>
                <w:b/>
                <w:sz w:val="20"/>
                <w:u w:val="single"/>
              </w:rPr>
              <w:t xml:space="preserve"> Edmonton Community Foundation</w:t>
            </w:r>
            <w:r w:rsidRPr="006D565A">
              <w:rPr>
                <w:rFonts w:cs="Times New Roman"/>
                <w:sz w:val="20"/>
                <w:szCs w:val="20"/>
              </w:rPr>
              <w:t xml:space="preserve"> (Alta.) (Civil) (By Leave)</w:t>
            </w:r>
          </w:p>
          <w:p w:rsidR="006D565A" w:rsidRPr="006D565A" w:rsidRDefault="006D565A" w:rsidP="006D565A">
            <w:pPr>
              <w:rPr>
                <w:rFonts w:cs="Times New Roman"/>
                <w:sz w:val="20"/>
                <w:szCs w:val="20"/>
              </w:rPr>
            </w:pPr>
          </w:p>
        </w:tc>
      </w:tr>
      <w:tr w:rsidR="006D565A" w:rsidRPr="006D565A" w:rsidTr="00C17A52">
        <w:trPr>
          <w:cantSplit/>
        </w:trPr>
        <w:tc>
          <w:tcPr>
            <w:tcW w:w="1458" w:type="dxa"/>
          </w:tcPr>
          <w:p w:rsidR="006D565A" w:rsidRPr="006D565A" w:rsidRDefault="006D565A" w:rsidP="006D565A">
            <w:pPr>
              <w:rPr>
                <w:rFonts w:cs="Times New Roman"/>
                <w:sz w:val="20"/>
                <w:szCs w:val="20"/>
              </w:rPr>
            </w:pPr>
            <w:r w:rsidRPr="006D565A">
              <w:rPr>
                <w:rFonts w:cs="Times New Roman"/>
                <w:sz w:val="20"/>
                <w:szCs w:val="20"/>
              </w:rPr>
              <w:t>Coram :</w:t>
            </w:r>
          </w:p>
        </w:tc>
        <w:tc>
          <w:tcPr>
            <w:tcW w:w="8118" w:type="dxa"/>
          </w:tcPr>
          <w:p w:rsidR="006D565A" w:rsidRPr="006D565A" w:rsidRDefault="006D565A" w:rsidP="006D565A">
            <w:pPr>
              <w:rPr>
                <w:rFonts w:cs="Times New Roman"/>
                <w:sz w:val="20"/>
                <w:szCs w:val="20"/>
              </w:rPr>
            </w:pPr>
            <w:proofErr w:type="spellStart"/>
            <w:r w:rsidRPr="006D565A">
              <w:rPr>
                <w:rFonts w:cs="Times New Roman"/>
                <w:sz w:val="20"/>
                <w:u w:val="single"/>
              </w:rPr>
              <w:t>Binnie</w:t>
            </w:r>
            <w:proofErr w:type="spellEnd"/>
            <w:r w:rsidRPr="006D565A">
              <w:rPr>
                <w:rFonts w:cs="Times New Roman"/>
                <w:sz w:val="20"/>
                <w:u w:val="single"/>
              </w:rPr>
              <w:t xml:space="preserve">, </w:t>
            </w:r>
            <w:proofErr w:type="spellStart"/>
            <w:r w:rsidRPr="006D565A">
              <w:rPr>
                <w:rFonts w:cs="Times New Roman"/>
                <w:sz w:val="20"/>
                <w:u w:val="single"/>
              </w:rPr>
              <w:t>Abella</w:t>
            </w:r>
            <w:proofErr w:type="spellEnd"/>
            <w:r w:rsidRPr="006D565A">
              <w:rPr>
                <w:rFonts w:cs="Times New Roman"/>
                <w:sz w:val="20"/>
                <w:u w:val="single"/>
              </w:rPr>
              <w:t xml:space="preserve"> and Rothstein JJ.</w:t>
            </w:r>
          </w:p>
          <w:p w:rsidR="006D565A" w:rsidRPr="006D565A" w:rsidRDefault="006D565A" w:rsidP="006D565A">
            <w:pPr>
              <w:rPr>
                <w:rFonts w:cs="Times New Roman"/>
                <w:sz w:val="20"/>
                <w:szCs w:val="20"/>
                <w:u w:val="single"/>
              </w:rPr>
            </w:pPr>
          </w:p>
        </w:tc>
      </w:tr>
      <w:tr w:rsidR="006D565A" w:rsidRPr="006D565A" w:rsidTr="00C17A52">
        <w:trPr>
          <w:cantSplit/>
        </w:trPr>
        <w:tc>
          <w:tcPr>
            <w:tcW w:w="9576" w:type="dxa"/>
            <w:gridSpan w:val="2"/>
          </w:tcPr>
          <w:p w:rsidR="006D565A" w:rsidRPr="006D565A" w:rsidRDefault="006D565A" w:rsidP="006D565A">
            <w:pPr>
              <w:ind w:firstLine="720"/>
              <w:jc w:val="both"/>
              <w:rPr>
                <w:rFonts w:cs="Times New Roman"/>
                <w:sz w:val="20"/>
                <w:szCs w:val="20"/>
              </w:rPr>
            </w:pPr>
            <w:r w:rsidRPr="006D565A">
              <w:rPr>
                <w:rFonts w:cs="Times New Roman"/>
                <w:sz w:val="20"/>
                <w:szCs w:val="20"/>
              </w:rPr>
              <w:t>The application for leave to appeal from the judgment of the Court of Appeal of Alberta (Edmonton), Numbers 1003-0040-AC and 1003-0041-AC, 2011 ABCA 1, dated January 11, 2011, is dismissed with costs.</w:t>
            </w:r>
          </w:p>
          <w:p w:rsidR="006D565A" w:rsidRPr="006D565A" w:rsidRDefault="006D565A" w:rsidP="006D565A">
            <w:pPr>
              <w:jc w:val="both"/>
              <w:rPr>
                <w:rFonts w:cs="Times New Roman"/>
                <w:sz w:val="20"/>
                <w:szCs w:val="20"/>
              </w:rPr>
            </w:pPr>
          </w:p>
          <w:p w:rsidR="006D565A" w:rsidRPr="006D565A" w:rsidRDefault="006D565A" w:rsidP="006D565A">
            <w:pPr>
              <w:ind w:firstLine="720"/>
              <w:jc w:val="both"/>
              <w:rPr>
                <w:rFonts w:cs="Times New Roman"/>
                <w:sz w:val="20"/>
                <w:szCs w:val="20"/>
                <w:lang w:val="fr-CA"/>
              </w:rPr>
            </w:pPr>
            <w:r w:rsidRPr="006D565A">
              <w:rPr>
                <w:rFonts w:cs="Times New Roman"/>
                <w:sz w:val="20"/>
                <w:szCs w:val="20"/>
                <w:lang w:val="fr-CA"/>
              </w:rPr>
              <w:t>La demande d’autorisation d’appel de l’arrêt de la Cour d'appel de l’Alberta (Edmonton), numéros 1003-0040-AC et 1003-0041-AC, 2011 ABCA 1, daté du 11 janvier 2011, est rejetée avec dépens.</w:t>
            </w:r>
          </w:p>
        </w:tc>
      </w:tr>
    </w:tbl>
    <w:p w:rsidR="00177474" w:rsidRPr="006D565A" w:rsidRDefault="00177474" w:rsidP="00177474">
      <w:pPr>
        <w:rPr>
          <w:sz w:val="20"/>
          <w:szCs w:val="20"/>
          <w:lang w:val="fr-CA"/>
        </w:rPr>
      </w:pPr>
    </w:p>
    <w:p w:rsidR="00177474" w:rsidRPr="00177474" w:rsidRDefault="00177474" w:rsidP="00177474">
      <w:pPr>
        <w:rPr>
          <w:sz w:val="20"/>
          <w:szCs w:val="20"/>
        </w:rPr>
      </w:pPr>
      <w:r>
        <w:rPr>
          <w:sz w:val="20"/>
          <w:szCs w:val="20"/>
          <w:u w:val="single"/>
        </w:rPr>
        <w:t>CASE SUMMARY</w:t>
      </w:r>
    </w:p>
    <w:p w:rsidR="00177474" w:rsidRDefault="00177474" w:rsidP="001774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43E90" w:rsidRPr="00273521" w:rsidTr="00366F6C">
        <w:tc>
          <w:tcPr>
            <w:tcW w:w="5000" w:type="pct"/>
            <w:gridSpan w:val="3"/>
          </w:tcPr>
          <w:p w:rsidR="00543E90" w:rsidRPr="00273521" w:rsidRDefault="00543E90" w:rsidP="00366F6C">
            <w:pPr>
              <w:jc w:val="both"/>
              <w:rPr>
                <w:rFonts w:eastAsia="Calibri"/>
                <w:sz w:val="20"/>
              </w:rPr>
            </w:pPr>
            <w:r w:rsidRPr="00273521">
              <w:rPr>
                <w:rFonts w:eastAsia="Calibri"/>
                <w:sz w:val="20"/>
              </w:rPr>
              <w:t>Wills and estates — Administration of estates — Conflict of laws — Domicile — Domicile of choice — Intention — Widow and children bringing application for directions as to where testator domiciled at time of death — Whether an individual is required to make a new legal unit his or her “chief or principal” residence in order to satisfy either the residence or intentional components of the test for the acquisition of a domicile of choice.</w:t>
            </w:r>
          </w:p>
          <w:p w:rsidR="00543E90" w:rsidRPr="00273521" w:rsidRDefault="00543E90" w:rsidP="00366F6C">
            <w:pPr>
              <w:jc w:val="both"/>
              <w:rPr>
                <w:rFonts w:eastAsia="Calibri"/>
                <w:sz w:val="20"/>
              </w:rPr>
            </w:pPr>
          </w:p>
        </w:tc>
      </w:tr>
      <w:tr w:rsidR="00543E90" w:rsidRPr="00273521" w:rsidTr="00366F6C">
        <w:tc>
          <w:tcPr>
            <w:tcW w:w="5000" w:type="pct"/>
            <w:gridSpan w:val="3"/>
          </w:tcPr>
          <w:p w:rsidR="00543E90" w:rsidRPr="00273521" w:rsidRDefault="00543E90" w:rsidP="00366F6C">
            <w:pPr>
              <w:jc w:val="both"/>
              <w:rPr>
                <w:rFonts w:eastAsia="Calibri"/>
                <w:sz w:val="20"/>
              </w:rPr>
            </w:pPr>
            <w:r w:rsidRPr="00273521">
              <w:rPr>
                <w:rFonts w:eastAsia="Calibri"/>
                <w:sz w:val="20"/>
              </w:rPr>
              <w:t xml:space="preserve">Eldon Douglas Foote was born in Alberta in 1924.  He lived in Alberta for the first 43 years of his life.  In 1967 he left Edmonton to start his business in Australia.  He managed to build a worldwide cleaning product empire.  In the early 1970s he purchased a substantial property in Norfolk Island (an Australian protectorate) and built a residence there.  He acquired permanent residency status in Norfolk Island in 1977.  In 1999, Mr. Foote and his wife purchased a condominium property in Victoria, British Columbia, and they spent the summers of 2001, 2002 and 2003 there.  At approximately that time they made some plans to sell the Norfolk Island residence, although no material steps were taken to list or advertise the property for sale. Unfortunately, Mr. Foote’s health began to fail.  In April 2004 he left Norfolk Island for tests in Australia, where he was diagnosed with cancer.  He immediately travelled to Edmonton to receive treatment, where he died in May 2004.  The main beneficiaries of Mr. Foote’s substantial estate are two charitable funds.  The Applicants, Mr. Foote’s widow and five of his six children, brought an application for directions as to where the testator was domiciled at the time of his death in order to establish what jurisdiction would apply to their intended family relief claims.  They contended that the testator’s domicile was either Alberta or British Columbia.  Mr. Foote’s estate and the two charitable funds (the Respondents) argued that Mr. Foote’s domicile at death was Norfolk Island. </w:t>
            </w:r>
          </w:p>
          <w:p w:rsidR="00543E90" w:rsidRPr="00273521" w:rsidRDefault="00543E90" w:rsidP="00366F6C">
            <w:pPr>
              <w:jc w:val="both"/>
              <w:rPr>
                <w:rFonts w:eastAsia="Calibri"/>
                <w:sz w:val="20"/>
              </w:rPr>
            </w:pPr>
          </w:p>
        </w:tc>
      </w:tr>
      <w:tr w:rsidR="00543E90" w:rsidRPr="00273521" w:rsidTr="00366F6C">
        <w:tc>
          <w:tcPr>
            <w:tcW w:w="5000" w:type="pct"/>
            <w:gridSpan w:val="3"/>
          </w:tcPr>
          <w:p w:rsidR="00543E90" w:rsidRPr="00273521" w:rsidRDefault="00543E90" w:rsidP="00366F6C">
            <w:pPr>
              <w:jc w:val="both"/>
              <w:rPr>
                <w:rFonts w:eastAsia="Calibri"/>
                <w:sz w:val="20"/>
              </w:rPr>
            </w:pPr>
            <w:r w:rsidRPr="00273521">
              <w:rPr>
                <w:rFonts w:eastAsia="Calibri"/>
                <w:sz w:val="20"/>
              </w:rPr>
              <w:t>The Court of Queen’s Bench determined that Norfolk Island was Mr. Foote’s domicile at the time of his death.  The Court of Appeal unanimously dismissed the Applicants’ appeal. </w:t>
            </w:r>
          </w:p>
          <w:p w:rsidR="00543E90" w:rsidRPr="00273521" w:rsidRDefault="00543E90" w:rsidP="00366F6C">
            <w:pPr>
              <w:jc w:val="both"/>
              <w:rPr>
                <w:rFonts w:eastAsia="Calibri"/>
                <w:sz w:val="20"/>
              </w:rPr>
            </w:pPr>
          </w:p>
        </w:tc>
      </w:tr>
      <w:tr w:rsidR="00543E90" w:rsidRPr="00273521" w:rsidTr="006D565A">
        <w:trPr>
          <w:cantSplit/>
        </w:trPr>
        <w:tc>
          <w:tcPr>
            <w:tcW w:w="2427" w:type="pct"/>
          </w:tcPr>
          <w:p w:rsidR="00543E90" w:rsidRPr="00273521" w:rsidRDefault="00543E90" w:rsidP="00366F6C">
            <w:pPr>
              <w:jc w:val="both"/>
              <w:rPr>
                <w:rFonts w:eastAsia="Calibri"/>
                <w:sz w:val="20"/>
              </w:rPr>
            </w:pPr>
            <w:r w:rsidRPr="00273521">
              <w:rPr>
                <w:rFonts w:eastAsia="Calibri"/>
                <w:sz w:val="20"/>
              </w:rPr>
              <w:lastRenderedPageBreak/>
              <w:t>November 13, 2009</w:t>
            </w:r>
          </w:p>
          <w:p w:rsidR="00543E90" w:rsidRPr="00273521" w:rsidRDefault="00543E90" w:rsidP="00366F6C">
            <w:pPr>
              <w:jc w:val="both"/>
              <w:rPr>
                <w:rFonts w:eastAsia="Calibri"/>
                <w:sz w:val="20"/>
              </w:rPr>
            </w:pPr>
            <w:r w:rsidRPr="00273521">
              <w:rPr>
                <w:rFonts w:eastAsia="Calibri"/>
                <w:sz w:val="20"/>
              </w:rPr>
              <w:t>Court of Queen’s Bench of Alberta</w:t>
            </w:r>
          </w:p>
          <w:p w:rsidR="00543E90" w:rsidRPr="00273521" w:rsidRDefault="00543E90" w:rsidP="00366F6C">
            <w:pPr>
              <w:jc w:val="both"/>
              <w:rPr>
                <w:rFonts w:eastAsia="Calibri"/>
                <w:sz w:val="20"/>
              </w:rPr>
            </w:pPr>
            <w:r w:rsidRPr="00273521">
              <w:rPr>
                <w:rFonts w:eastAsia="Calibri"/>
                <w:sz w:val="20"/>
              </w:rPr>
              <w:t>(</w:t>
            </w:r>
            <w:proofErr w:type="spellStart"/>
            <w:r w:rsidRPr="00273521">
              <w:rPr>
                <w:rFonts w:eastAsia="Calibri"/>
                <w:sz w:val="20"/>
              </w:rPr>
              <w:t>Graesser</w:t>
            </w:r>
            <w:proofErr w:type="spellEnd"/>
            <w:r w:rsidRPr="00273521">
              <w:rPr>
                <w:rFonts w:eastAsia="Calibri"/>
                <w:sz w:val="20"/>
              </w:rPr>
              <w:t xml:space="preserve"> J.)</w:t>
            </w:r>
          </w:p>
          <w:p w:rsidR="00543E90" w:rsidRPr="00273521" w:rsidRDefault="00543E90" w:rsidP="00366F6C">
            <w:pPr>
              <w:jc w:val="both"/>
              <w:rPr>
                <w:rFonts w:eastAsia="Calibri"/>
                <w:sz w:val="20"/>
              </w:rPr>
            </w:pPr>
            <w:r w:rsidRPr="00273521">
              <w:rPr>
                <w:rFonts w:eastAsia="Calibri"/>
                <w:sz w:val="20"/>
              </w:rPr>
              <w:t xml:space="preserve">Neutral citation: 2009ABQB 654 </w:t>
            </w:r>
          </w:p>
          <w:p w:rsidR="00543E90" w:rsidRPr="00273521" w:rsidRDefault="00543E90" w:rsidP="00366F6C">
            <w:pPr>
              <w:jc w:val="both"/>
              <w:rPr>
                <w:rFonts w:eastAsia="Calibri"/>
                <w:sz w:val="20"/>
              </w:rPr>
            </w:pPr>
          </w:p>
        </w:tc>
        <w:tc>
          <w:tcPr>
            <w:tcW w:w="243" w:type="pct"/>
          </w:tcPr>
          <w:p w:rsidR="00543E90" w:rsidRPr="00273521" w:rsidRDefault="00543E90" w:rsidP="00366F6C">
            <w:pPr>
              <w:jc w:val="both"/>
              <w:rPr>
                <w:rFonts w:eastAsia="Calibri"/>
                <w:sz w:val="20"/>
              </w:rPr>
            </w:pPr>
          </w:p>
        </w:tc>
        <w:tc>
          <w:tcPr>
            <w:tcW w:w="2330" w:type="pct"/>
          </w:tcPr>
          <w:p w:rsidR="00543E90" w:rsidRPr="00273521" w:rsidRDefault="00543E90" w:rsidP="00366F6C">
            <w:pPr>
              <w:jc w:val="both"/>
              <w:rPr>
                <w:rFonts w:eastAsia="Calibri"/>
                <w:sz w:val="20"/>
              </w:rPr>
            </w:pPr>
            <w:r w:rsidRPr="00273521">
              <w:rPr>
                <w:rFonts w:eastAsia="Calibri"/>
                <w:sz w:val="20"/>
              </w:rPr>
              <w:t xml:space="preserve">On Applicants’ application for directions, testator’s domicile at death determined to be Norfolk Island. </w:t>
            </w:r>
          </w:p>
          <w:p w:rsidR="00543E90" w:rsidRPr="00273521" w:rsidRDefault="00543E90" w:rsidP="00366F6C">
            <w:pPr>
              <w:jc w:val="both"/>
              <w:rPr>
                <w:rFonts w:eastAsia="Calibri"/>
                <w:sz w:val="20"/>
              </w:rPr>
            </w:pPr>
          </w:p>
          <w:p w:rsidR="00543E90" w:rsidRPr="00273521" w:rsidRDefault="00543E90" w:rsidP="00366F6C">
            <w:pPr>
              <w:jc w:val="both"/>
              <w:rPr>
                <w:rFonts w:eastAsia="Calibri"/>
                <w:sz w:val="20"/>
              </w:rPr>
            </w:pPr>
          </w:p>
        </w:tc>
      </w:tr>
      <w:tr w:rsidR="00543E90" w:rsidRPr="00273521" w:rsidTr="006D565A">
        <w:trPr>
          <w:cantSplit/>
        </w:trPr>
        <w:tc>
          <w:tcPr>
            <w:tcW w:w="2427" w:type="pct"/>
          </w:tcPr>
          <w:p w:rsidR="00543E90" w:rsidRPr="00273521" w:rsidRDefault="00543E90" w:rsidP="00366F6C">
            <w:pPr>
              <w:jc w:val="both"/>
              <w:rPr>
                <w:rFonts w:eastAsia="Calibri"/>
                <w:sz w:val="20"/>
              </w:rPr>
            </w:pPr>
            <w:r w:rsidRPr="00273521">
              <w:rPr>
                <w:rFonts w:eastAsia="Calibri"/>
                <w:sz w:val="20"/>
              </w:rPr>
              <w:t>January 11, 2011</w:t>
            </w:r>
          </w:p>
          <w:p w:rsidR="00543E90" w:rsidRPr="00273521" w:rsidRDefault="00543E90" w:rsidP="00366F6C">
            <w:pPr>
              <w:jc w:val="both"/>
              <w:rPr>
                <w:rFonts w:eastAsia="Calibri"/>
                <w:sz w:val="20"/>
              </w:rPr>
            </w:pPr>
            <w:r w:rsidRPr="00273521">
              <w:rPr>
                <w:rFonts w:eastAsia="Calibri"/>
                <w:sz w:val="20"/>
              </w:rPr>
              <w:t>Court of Appeal of Alberta (Edmonton)</w:t>
            </w:r>
          </w:p>
          <w:p w:rsidR="00543E90" w:rsidRPr="00273521" w:rsidRDefault="00543E90" w:rsidP="00366F6C">
            <w:pPr>
              <w:jc w:val="both"/>
              <w:rPr>
                <w:rFonts w:eastAsia="Calibri"/>
                <w:sz w:val="20"/>
              </w:rPr>
            </w:pPr>
            <w:r w:rsidRPr="00273521">
              <w:rPr>
                <w:rFonts w:eastAsia="Calibri"/>
                <w:sz w:val="20"/>
              </w:rPr>
              <w:t>(</w:t>
            </w:r>
            <w:proofErr w:type="spellStart"/>
            <w:r w:rsidRPr="00273521">
              <w:rPr>
                <w:rFonts w:eastAsia="Calibri"/>
                <w:sz w:val="20"/>
              </w:rPr>
              <w:t>Côté</w:t>
            </w:r>
            <w:proofErr w:type="spellEnd"/>
            <w:r w:rsidRPr="00273521">
              <w:rPr>
                <w:rFonts w:eastAsia="Calibri"/>
                <w:sz w:val="20"/>
              </w:rPr>
              <w:t xml:space="preserve">, </w:t>
            </w:r>
            <w:proofErr w:type="spellStart"/>
            <w:r w:rsidRPr="00273521">
              <w:rPr>
                <w:rFonts w:eastAsia="Calibri"/>
                <w:sz w:val="20"/>
              </w:rPr>
              <w:t>Paperny</w:t>
            </w:r>
            <w:proofErr w:type="spellEnd"/>
            <w:r w:rsidRPr="00273521">
              <w:rPr>
                <w:rFonts w:eastAsia="Calibri"/>
                <w:sz w:val="20"/>
              </w:rPr>
              <w:t xml:space="preserve"> and McDonald JJ.A.)</w:t>
            </w:r>
          </w:p>
          <w:p w:rsidR="00543E90" w:rsidRPr="00273521" w:rsidRDefault="00543E90" w:rsidP="00366F6C">
            <w:pPr>
              <w:jc w:val="both"/>
              <w:rPr>
                <w:rFonts w:eastAsia="Calibri"/>
                <w:sz w:val="20"/>
              </w:rPr>
            </w:pPr>
            <w:r w:rsidRPr="00273521">
              <w:rPr>
                <w:rFonts w:eastAsia="Calibri"/>
                <w:sz w:val="20"/>
              </w:rPr>
              <w:t>Neutral citation: 2011 ABCA 1</w:t>
            </w:r>
          </w:p>
          <w:p w:rsidR="00543E90" w:rsidRPr="00273521" w:rsidRDefault="00543E90" w:rsidP="00366F6C">
            <w:pPr>
              <w:jc w:val="both"/>
              <w:rPr>
                <w:rFonts w:eastAsia="Calibri"/>
                <w:sz w:val="20"/>
              </w:rPr>
            </w:pPr>
          </w:p>
        </w:tc>
        <w:tc>
          <w:tcPr>
            <w:tcW w:w="243" w:type="pct"/>
          </w:tcPr>
          <w:p w:rsidR="00543E90" w:rsidRPr="00273521" w:rsidRDefault="00543E90" w:rsidP="00366F6C">
            <w:pPr>
              <w:jc w:val="both"/>
              <w:rPr>
                <w:rFonts w:eastAsia="Calibri"/>
                <w:sz w:val="20"/>
              </w:rPr>
            </w:pPr>
          </w:p>
        </w:tc>
        <w:tc>
          <w:tcPr>
            <w:tcW w:w="2330" w:type="pct"/>
          </w:tcPr>
          <w:p w:rsidR="00543E90" w:rsidRPr="00273521" w:rsidRDefault="00543E90" w:rsidP="00366F6C">
            <w:pPr>
              <w:jc w:val="both"/>
              <w:rPr>
                <w:rFonts w:eastAsia="Calibri"/>
                <w:sz w:val="20"/>
              </w:rPr>
            </w:pPr>
            <w:r w:rsidRPr="00273521">
              <w:rPr>
                <w:rFonts w:eastAsia="Calibri"/>
                <w:sz w:val="20"/>
              </w:rPr>
              <w:t>Applicants’ appeal, dismissed.</w:t>
            </w:r>
          </w:p>
          <w:p w:rsidR="00543E90" w:rsidRPr="00273521" w:rsidRDefault="00543E90" w:rsidP="00366F6C">
            <w:pPr>
              <w:jc w:val="both"/>
              <w:rPr>
                <w:rFonts w:eastAsia="Calibri"/>
                <w:sz w:val="20"/>
              </w:rPr>
            </w:pPr>
          </w:p>
          <w:p w:rsidR="00543E90" w:rsidRPr="00273521" w:rsidRDefault="00543E90" w:rsidP="00366F6C">
            <w:pPr>
              <w:jc w:val="both"/>
              <w:rPr>
                <w:rFonts w:eastAsia="Calibri"/>
                <w:sz w:val="20"/>
              </w:rPr>
            </w:pPr>
          </w:p>
        </w:tc>
      </w:tr>
      <w:tr w:rsidR="00543E90" w:rsidRPr="00273521" w:rsidTr="006D565A">
        <w:trPr>
          <w:cantSplit/>
        </w:trPr>
        <w:tc>
          <w:tcPr>
            <w:tcW w:w="2427" w:type="pct"/>
          </w:tcPr>
          <w:p w:rsidR="00543E90" w:rsidRPr="00273521" w:rsidRDefault="00543E90" w:rsidP="00366F6C">
            <w:pPr>
              <w:jc w:val="both"/>
              <w:rPr>
                <w:rFonts w:eastAsia="Calibri"/>
                <w:sz w:val="20"/>
              </w:rPr>
            </w:pPr>
            <w:r w:rsidRPr="00273521">
              <w:rPr>
                <w:rFonts w:eastAsia="Calibri"/>
                <w:sz w:val="20"/>
              </w:rPr>
              <w:t>March 14, 2011</w:t>
            </w:r>
          </w:p>
          <w:p w:rsidR="00543E90" w:rsidRPr="00273521" w:rsidRDefault="00543E90" w:rsidP="00366F6C">
            <w:pPr>
              <w:jc w:val="both"/>
              <w:rPr>
                <w:rFonts w:eastAsia="Calibri"/>
                <w:sz w:val="20"/>
              </w:rPr>
            </w:pPr>
            <w:r w:rsidRPr="00273521">
              <w:rPr>
                <w:rFonts w:eastAsia="Calibri"/>
                <w:sz w:val="20"/>
              </w:rPr>
              <w:t>Supreme Court of Canada</w:t>
            </w:r>
          </w:p>
        </w:tc>
        <w:tc>
          <w:tcPr>
            <w:tcW w:w="243" w:type="pct"/>
          </w:tcPr>
          <w:p w:rsidR="00543E90" w:rsidRPr="00273521" w:rsidRDefault="00543E90" w:rsidP="00366F6C">
            <w:pPr>
              <w:jc w:val="both"/>
              <w:rPr>
                <w:rFonts w:eastAsia="Calibri"/>
                <w:sz w:val="20"/>
              </w:rPr>
            </w:pPr>
          </w:p>
        </w:tc>
        <w:tc>
          <w:tcPr>
            <w:tcW w:w="2330" w:type="pct"/>
          </w:tcPr>
          <w:p w:rsidR="00543E90" w:rsidRPr="00273521" w:rsidRDefault="00543E90" w:rsidP="00366F6C">
            <w:pPr>
              <w:jc w:val="both"/>
              <w:rPr>
                <w:rFonts w:eastAsia="Calibri"/>
                <w:sz w:val="20"/>
              </w:rPr>
            </w:pPr>
            <w:r w:rsidRPr="00273521">
              <w:rPr>
                <w:rFonts w:eastAsia="Calibri"/>
                <w:sz w:val="20"/>
              </w:rPr>
              <w:t>Application for leave to appeal, filed.</w:t>
            </w:r>
          </w:p>
          <w:p w:rsidR="00543E90" w:rsidRPr="00273521" w:rsidRDefault="00543E90" w:rsidP="00366F6C">
            <w:pPr>
              <w:jc w:val="both"/>
              <w:rPr>
                <w:rFonts w:eastAsia="Calibri"/>
                <w:sz w:val="20"/>
              </w:rPr>
            </w:pPr>
          </w:p>
        </w:tc>
      </w:tr>
    </w:tbl>
    <w:p w:rsidR="00177474" w:rsidRDefault="00177474" w:rsidP="00177474">
      <w:pPr>
        <w:rPr>
          <w:sz w:val="20"/>
          <w:szCs w:val="20"/>
        </w:rPr>
      </w:pPr>
    </w:p>
    <w:p w:rsidR="00177474" w:rsidRDefault="009E364E" w:rsidP="00177474">
      <w:pPr>
        <w:rPr>
          <w:sz w:val="20"/>
          <w:szCs w:val="20"/>
          <w:lang w:val="fr-CA"/>
        </w:rPr>
      </w:pPr>
      <w:r w:rsidRPr="009E364E">
        <w:rPr>
          <w:sz w:val="20"/>
          <w:szCs w:val="20"/>
          <w:lang w:val="fr-CA"/>
        </w:rPr>
        <w:pict>
          <v:rect id="_x0000_i1048" style="width:2in;height:1pt" o:hrpct="0" o:hralign="center" o:hrstd="t" o:hrnoshade="t" o:hr="t" fillcolor="black [3213]" stroked="f"/>
        </w:pict>
      </w:r>
    </w:p>
    <w:p w:rsidR="00177474" w:rsidRDefault="00177474" w:rsidP="00177474">
      <w:pPr>
        <w:rPr>
          <w:sz w:val="20"/>
          <w:szCs w:val="20"/>
        </w:rPr>
      </w:pPr>
    </w:p>
    <w:p w:rsidR="00177474" w:rsidRPr="00177474" w:rsidRDefault="00177474" w:rsidP="00177474">
      <w:pPr>
        <w:rPr>
          <w:sz w:val="20"/>
          <w:szCs w:val="20"/>
        </w:rPr>
      </w:pPr>
      <w:r>
        <w:rPr>
          <w:sz w:val="20"/>
          <w:szCs w:val="20"/>
          <w:u w:val="single"/>
        </w:rPr>
        <w:t>RÉSUMÉ DE L’AFFAIRE</w:t>
      </w:r>
    </w:p>
    <w:p w:rsidR="00177474" w:rsidRDefault="00177474" w:rsidP="0017747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543E90" w:rsidRPr="000536FB" w:rsidTr="00366F6C">
        <w:tc>
          <w:tcPr>
            <w:tcW w:w="5000" w:type="pct"/>
            <w:gridSpan w:val="3"/>
          </w:tcPr>
          <w:p w:rsidR="00543E90" w:rsidRPr="00273521" w:rsidRDefault="00543E90" w:rsidP="00366F6C">
            <w:pPr>
              <w:jc w:val="both"/>
              <w:rPr>
                <w:rFonts w:eastAsia="Calibri"/>
                <w:sz w:val="20"/>
                <w:lang w:val="fr-CA"/>
              </w:rPr>
            </w:pPr>
            <w:r w:rsidRPr="00273521">
              <w:rPr>
                <w:rFonts w:eastAsia="Calibri"/>
                <w:sz w:val="20"/>
                <w:lang w:val="fr-CA"/>
              </w:rPr>
              <w:t xml:space="preserve">Successions — Administration des successions — Conflit de lois — Domicile — Domicile de choix — Intention — La veuve et les enfants présentent une demande de directives pour connaître le lieu du domicile du testateur au moment de son décès — Un particulier </w:t>
            </w:r>
            <w:proofErr w:type="spellStart"/>
            <w:r w:rsidRPr="00273521">
              <w:rPr>
                <w:rFonts w:eastAsia="Calibri"/>
                <w:sz w:val="20"/>
                <w:lang w:val="fr-CA"/>
              </w:rPr>
              <w:t>est</w:t>
            </w:r>
            <w:r w:rsidRPr="00273521">
              <w:rPr>
                <w:rFonts w:eastAsia="Calibri"/>
                <w:sz w:val="20"/>
                <w:lang w:val="fr-CA"/>
              </w:rPr>
              <w:noBreakHyphen/>
              <w:t>il</w:t>
            </w:r>
            <w:proofErr w:type="spellEnd"/>
            <w:r w:rsidRPr="00273521">
              <w:rPr>
                <w:rFonts w:eastAsia="Calibri"/>
                <w:sz w:val="20"/>
                <w:lang w:val="fr-CA"/>
              </w:rPr>
              <w:t xml:space="preserve"> tenu de faire une nouvelle entité juridique sa « résidence principale » pour satisfaire aux éléments relatifs à la résidence ou à l’intention du critère de l’acquisition de domicile de choix?</w:t>
            </w:r>
          </w:p>
          <w:p w:rsidR="00543E90" w:rsidRPr="00273521" w:rsidRDefault="00543E90" w:rsidP="00366F6C">
            <w:pPr>
              <w:jc w:val="both"/>
              <w:rPr>
                <w:rFonts w:eastAsia="Calibri"/>
                <w:sz w:val="20"/>
                <w:lang w:val="fr-CA"/>
              </w:rPr>
            </w:pPr>
          </w:p>
        </w:tc>
      </w:tr>
      <w:tr w:rsidR="00543E90" w:rsidRPr="000536FB" w:rsidTr="00366F6C">
        <w:tc>
          <w:tcPr>
            <w:tcW w:w="5000" w:type="pct"/>
            <w:gridSpan w:val="3"/>
          </w:tcPr>
          <w:p w:rsidR="00543E90" w:rsidRPr="00273521" w:rsidRDefault="00543E90" w:rsidP="00366F6C">
            <w:pPr>
              <w:jc w:val="both"/>
              <w:rPr>
                <w:rFonts w:eastAsia="Calibri"/>
                <w:sz w:val="20"/>
                <w:lang w:val="fr-CA"/>
              </w:rPr>
            </w:pPr>
            <w:proofErr w:type="spellStart"/>
            <w:r w:rsidRPr="00273521">
              <w:rPr>
                <w:rFonts w:eastAsia="Calibri"/>
                <w:sz w:val="20"/>
                <w:lang w:val="fr-CA"/>
              </w:rPr>
              <w:t>Eldon</w:t>
            </w:r>
            <w:proofErr w:type="spellEnd"/>
            <w:r w:rsidRPr="00273521">
              <w:rPr>
                <w:rFonts w:eastAsia="Calibri"/>
                <w:sz w:val="20"/>
                <w:lang w:val="fr-CA"/>
              </w:rPr>
              <w:t xml:space="preserve"> Douglas Foote est né en Alberta en 1924.  Il a vécu en Alberta pendant les 43 premières années de sa vie. En 1967 il a quitté Edmonton pour lancer son entreprise en Australie.  Il a réussi à bâtir un empire mondial de produits de nettoyage.  Au début des années 1970, il a acheté une grande propriété dans l’île Norfolk (un protectorat australien) et y a construit une résidence.  Il a acquis le statut de résident permanent de l’île Norfolk en 1977.  En 1999, M. Foote et son épouse ont acheté un bien </w:t>
            </w:r>
            <w:proofErr w:type="spellStart"/>
            <w:r w:rsidRPr="00273521">
              <w:rPr>
                <w:rFonts w:eastAsia="Calibri"/>
                <w:sz w:val="20"/>
                <w:lang w:val="fr-CA"/>
              </w:rPr>
              <w:t>condominial</w:t>
            </w:r>
            <w:proofErr w:type="spellEnd"/>
            <w:r w:rsidRPr="00273521">
              <w:rPr>
                <w:rFonts w:eastAsia="Calibri"/>
                <w:sz w:val="20"/>
                <w:lang w:val="fr-CA"/>
              </w:rPr>
              <w:t xml:space="preserve"> à Victoria (</w:t>
            </w:r>
            <w:proofErr w:type="spellStart"/>
            <w:r w:rsidRPr="00273521">
              <w:rPr>
                <w:rFonts w:eastAsia="Calibri"/>
                <w:sz w:val="20"/>
                <w:lang w:val="fr-CA"/>
              </w:rPr>
              <w:t>Colombie</w:t>
            </w:r>
            <w:r w:rsidRPr="00273521">
              <w:rPr>
                <w:rFonts w:eastAsia="Calibri"/>
                <w:sz w:val="20"/>
                <w:lang w:val="fr-CA"/>
              </w:rPr>
              <w:noBreakHyphen/>
              <w:t>Britannique</w:t>
            </w:r>
            <w:proofErr w:type="spellEnd"/>
            <w:r w:rsidRPr="00273521">
              <w:rPr>
                <w:rFonts w:eastAsia="Calibri"/>
                <w:sz w:val="20"/>
                <w:lang w:val="fr-CA"/>
              </w:rPr>
              <w:t xml:space="preserve">), et ils y ont passé </w:t>
            </w:r>
            <w:proofErr w:type="gramStart"/>
            <w:r w:rsidRPr="00273521">
              <w:rPr>
                <w:rFonts w:eastAsia="Calibri"/>
                <w:sz w:val="20"/>
                <w:lang w:val="fr-CA"/>
              </w:rPr>
              <w:t>l’été</w:t>
            </w:r>
            <w:proofErr w:type="gramEnd"/>
            <w:r w:rsidRPr="00273521">
              <w:rPr>
                <w:rFonts w:eastAsia="Calibri"/>
                <w:sz w:val="20"/>
                <w:lang w:val="fr-CA"/>
              </w:rPr>
              <w:t xml:space="preserve"> en 2001, 2002 et 2003.  À peu près à cette époque, ils ont élaboré quelques plans pour vendre la résidence de l’île Norfolk, même si aucune démarche matérielle n’a été prise pour inscrire ou annoncer la mise en vente de la propriété.  Malheureusement, l’état de santé de M. Foote a commencé à se détériorer.  En avril 2004, il a quitté l’île Norfolk pour subir des tests en Australie, où on lui a diagnostiqué un cancer.  Il s’est immédiatement rendu à Edmonton pour recevoir des traitements, et il y est décédé en mai 2004.  Les principaux bénéficiaires de la succession considérable de M. Foote sont deux fonds de bienfaisance.  Les demandeurs, la veuve de M. Foote et cinq de ses six enfants, ont présenté une demande de directives pour connaître le lieu du domicile du testateur moment de son décès afin de déterminer la juridiction qui aurait compétence pour connaître de leur demande projetée.  Ils ont soutenu que le domicile du testateur était soit l’Alberta soit la Colombie Britannique.  La succession de M. Foote et les deux fonds de bienfaisance (les intimés) ont plaidé que le domicile de M. Foote à son décès était l’île Norfolk. </w:t>
            </w:r>
          </w:p>
          <w:p w:rsidR="00543E90" w:rsidRPr="00273521" w:rsidRDefault="00543E90" w:rsidP="00366F6C">
            <w:pPr>
              <w:jc w:val="both"/>
              <w:rPr>
                <w:rFonts w:eastAsia="Calibri"/>
                <w:sz w:val="20"/>
                <w:lang w:val="fr-CA"/>
              </w:rPr>
            </w:pPr>
          </w:p>
        </w:tc>
      </w:tr>
      <w:tr w:rsidR="00543E90" w:rsidRPr="000536FB" w:rsidTr="00366F6C">
        <w:tc>
          <w:tcPr>
            <w:tcW w:w="5000" w:type="pct"/>
            <w:gridSpan w:val="3"/>
          </w:tcPr>
          <w:p w:rsidR="00543E90" w:rsidRPr="00273521" w:rsidRDefault="00543E90" w:rsidP="00366F6C">
            <w:pPr>
              <w:jc w:val="both"/>
              <w:rPr>
                <w:rFonts w:eastAsia="Calibri"/>
                <w:sz w:val="20"/>
                <w:lang w:val="fr-CA"/>
              </w:rPr>
            </w:pPr>
            <w:r w:rsidRPr="00273521">
              <w:rPr>
                <w:rFonts w:eastAsia="Calibri"/>
                <w:sz w:val="20"/>
                <w:lang w:val="fr-CA"/>
              </w:rPr>
              <w:t xml:space="preserve">La Cour du Banc de la Reine a conclu que l’île Norfolk était le domicile de M. Foote au moment de son décès. La Cour d’appel a rejeté à l’unanimité l’appel des demandeurs. </w:t>
            </w:r>
          </w:p>
          <w:p w:rsidR="00543E90" w:rsidRPr="00273521" w:rsidRDefault="00543E90" w:rsidP="00366F6C">
            <w:pPr>
              <w:jc w:val="both"/>
              <w:rPr>
                <w:rFonts w:eastAsia="Calibri"/>
                <w:sz w:val="20"/>
                <w:lang w:val="fr-CA"/>
              </w:rPr>
            </w:pPr>
          </w:p>
        </w:tc>
      </w:tr>
      <w:tr w:rsidR="00543E90" w:rsidRPr="000536FB" w:rsidTr="00366F6C">
        <w:tc>
          <w:tcPr>
            <w:tcW w:w="2427" w:type="pct"/>
          </w:tcPr>
          <w:p w:rsidR="00543E90" w:rsidRPr="00273521" w:rsidRDefault="00543E90" w:rsidP="00366F6C">
            <w:pPr>
              <w:jc w:val="both"/>
              <w:rPr>
                <w:rFonts w:eastAsia="Calibri"/>
                <w:sz w:val="20"/>
                <w:lang w:val="fr-CA"/>
              </w:rPr>
            </w:pPr>
            <w:r w:rsidRPr="00273521">
              <w:rPr>
                <w:rFonts w:eastAsia="Calibri"/>
                <w:sz w:val="20"/>
                <w:lang w:val="fr-CA"/>
              </w:rPr>
              <w:t>13 novembre 2009</w:t>
            </w:r>
          </w:p>
          <w:p w:rsidR="00543E90" w:rsidRPr="00273521" w:rsidRDefault="00543E90" w:rsidP="00366F6C">
            <w:pPr>
              <w:jc w:val="both"/>
              <w:rPr>
                <w:rFonts w:eastAsia="Calibri"/>
                <w:sz w:val="20"/>
                <w:lang w:val="fr-CA"/>
              </w:rPr>
            </w:pPr>
            <w:r w:rsidRPr="00273521">
              <w:rPr>
                <w:rFonts w:eastAsia="Calibri"/>
                <w:sz w:val="20"/>
                <w:lang w:val="fr-CA"/>
              </w:rPr>
              <w:t>Cour du Banc de la Reine de l’Alberta</w:t>
            </w:r>
          </w:p>
          <w:p w:rsidR="00543E90" w:rsidRPr="00273521" w:rsidRDefault="00543E90" w:rsidP="00366F6C">
            <w:pPr>
              <w:jc w:val="both"/>
              <w:rPr>
                <w:rFonts w:eastAsia="Calibri"/>
                <w:sz w:val="20"/>
                <w:lang w:val="fr-CA"/>
              </w:rPr>
            </w:pPr>
            <w:r w:rsidRPr="00273521">
              <w:rPr>
                <w:rFonts w:eastAsia="Calibri"/>
                <w:sz w:val="20"/>
                <w:lang w:val="fr-CA"/>
              </w:rPr>
              <w:t xml:space="preserve">(Juge </w:t>
            </w:r>
            <w:proofErr w:type="spellStart"/>
            <w:r w:rsidRPr="00273521">
              <w:rPr>
                <w:rFonts w:eastAsia="Calibri"/>
                <w:sz w:val="20"/>
                <w:lang w:val="fr-CA"/>
              </w:rPr>
              <w:t>Graesser</w:t>
            </w:r>
            <w:proofErr w:type="spellEnd"/>
            <w:r w:rsidRPr="00273521">
              <w:rPr>
                <w:rFonts w:eastAsia="Calibri"/>
                <w:sz w:val="20"/>
                <w:lang w:val="fr-CA"/>
              </w:rPr>
              <w:t>)</w:t>
            </w:r>
          </w:p>
          <w:p w:rsidR="00543E90" w:rsidRPr="00273521" w:rsidRDefault="00543E90" w:rsidP="00366F6C">
            <w:pPr>
              <w:jc w:val="both"/>
              <w:rPr>
                <w:rFonts w:eastAsia="Calibri"/>
                <w:sz w:val="20"/>
                <w:lang w:val="fr-CA"/>
              </w:rPr>
            </w:pPr>
            <w:r w:rsidRPr="00273521">
              <w:rPr>
                <w:rFonts w:eastAsia="Calibri"/>
                <w:sz w:val="20"/>
                <w:lang w:val="fr-CA"/>
              </w:rPr>
              <w:t xml:space="preserve">Référence neutre : 2009ABQB 654 </w:t>
            </w:r>
          </w:p>
          <w:p w:rsidR="00543E90" w:rsidRPr="00273521" w:rsidRDefault="00543E90" w:rsidP="00366F6C">
            <w:pPr>
              <w:jc w:val="both"/>
              <w:rPr>
                <w:rFonts w:eastAsia="Calibri"/>
                <w:sz w:val="20"/>
                <w:lang w:val="fr-CA"/>
              </w:rPr>
            </w:pPr>
          </w:p>
        </w:tc>
        <w:tc>
          <w:tcPr>
            <w:tcW w:w="243" w:type="pct"/>
          </w:tcPr>
          <w:p w:rsidR="00543E90" w:rsidRPr="00273521" w:rsidRDefault="00543E90" w:rsidP="00366F6C">
            <w:pPr>
              <w:jc w:val="both"/>
              <w:rPr>
                <w:rFonts w:eastAsia="Calibri"/>
                <w:sz w:val="20"/>
                <w:lang w:val="fr-CA"/>
              </w:rPr>
            </w:pPr>
          </w:p>
        </w:tc>
        <w:tc>
          <w:tcPr>
            <w:tcW w:w="2330" w:type="pct"/>
          </w:tcPr>
          <w:p w:rsidR="00543E90" w:rsidRPr="00273521" w:rsidRDefault="00543E90" w:rsidP="00366F6C">
            <w:pPr>
              <w:jc w:val="both"/>
              <w:rPr>
                <w:rFonts w:eastAsia="Calibri"/>
                <w:sz w:val="20"/>
                <w:lang w:val="fr-CA"/>
              </w:rPr>
            </w:pPr>
            <w:r w:rsidRPr="00273521">
              <w:rPr>
                <w:rFonts w:eastAsia="Calibri"/>
                <w:sz w:val="20"/>
                <w:lang w:val="fr-CA"/>
              </w:rPr>
              <w:t xml:space="preserve">À la demande de directives des demandeurs, le tribunal conclut que le domicile du testateur à son décès était l’île Norfolk. </w:t>
            </w:r>
          </w:p>
          <w:p w:rsidR="00543E90" w:rsidRPr="00273521" w:rsidRDefault="00543E90" w:rsidP="00366F6C">
            <w:pPr>
              <w:jc w:val="both"/>
              <w:rPr>
                <w:rFonts w:eastAsia="Calibri"/>
                <w:sz w:val="20"/>
                <w:lang w:val="fr-CA"/>
              </w:rPr>
            </w:pPr>
          </w:p>
          <w:p w:rsidR="00543E90" w:rsidRPr="00273521" w:rsidRDefault="00543E90" w:rsidP="00366F6C">
            <w:pPr>
              <w:jc w:val="both"/>
              <w:rPr>
                <w:rFonts w:eastAsia="Calibri"/>
                <w:sz w:val="20"/>
                <w:lang w:val="fr-CA"/>
              </w:rPr>
            </w:pPr>
          </w:p>
        </w:tc>
      </w:tr>
      <w:tr w:rsidR="00543E90" w:rsidRPr="00273521" w:rsidTr="00366F6C">
        <w:tc>
          <w:tcPr>
            <w:tcW w:w="2427" w:type="pct"/>
          </w:tcPr>
          <w:p w:rsidR="00543E90" w:rsidRPr="00273521" w:rsidRDefault="00543E90" w:rsidP="00366F6C">
            <w:pPr>
              <w:jc w:val="both"/>
              <w:rPr>
                <w:rFonts w:eastAsia="Calibri"/>
                <w:sz w:val="20"/>
                <w:lang w:val="fr-CA"/>
              </w:rPr>
            </w:pPr>
            <w:r w:rsidRPr="00273521">
              <w:rPr>
                <w:rFonts w:eastAsia="Calibri"/>
                <w:sz w:val="20"/>
                <w:lang w:val="fr-CA"/>
              </w:rPr>
              <w:t>11 janvier 2011</w:t>
            </w:r>
          </w:p>
          <w:p w:rsidR="00543E90" w:rsidRPr="00273521" w:rsidRDefault="00543E90" w:rsidP="00366F6C">
            <w:pPr>
              <w:jc w:val="both"/>
              <w:rPr>
                <w:rFonts w:eastAsia="Calibri"/>
                <w:sz w:val="20"/>
                <w:lang w:val="fr-CA"/>
              </w:rPr>
            </w:pPr>
            <w:r w:rsidRPr="00273521">
              <w:rPr>
                <w:rFonts w:eastAsia="Calibri"/>
                <w:sz w:val="20"/>
                <w:lang w:val="fr-CA"/>
              </w:rPr>
              <w:t>Cour d’appel de l’Alberta (Edmonton)</w:t>
            </w:r>
          </w:p>
          <w:p w:rsidR="00543E90" w:rsidRPr="00273521" w:rsidRDefault="00543E90" w:rsidP="00366F6C">
            <w:pPr>
              <w:jc w:val="both"/>
              <w:rPr>
                <w:rFonts w:eastAsia="Calibri"/>
                <w:sz w:val="20"/>
                <w:lang w:val="fr-CA"/>
              </w:rPr>
            </w:pPr>
            <w:r w:rsidRPr="00273521">
              <w:rPr>
                <w:rFonts w:eastAsia="Calibri"/>
                <w:sz w:val="20"/>
                <w:lang w:val="fr-CA"/>
              </w:rPr>
              <w:t xml:space="preserve">(Juges Côté, </w:t>
            </w:r>
            <w:proofErr w:type="spellStart"/>
            <w:r w:rsidRPr="00273521">
              <w:rPr>
                <w:rFonts w:eastAsia="Calibri"/>
                <w:sz w:val="20"/>
                <w:lang w:val="fr-CA"/>
              </w:rPr>
              <w:t>Paperny</w:t>
            </w:r>
            <w:proofErr w:type="spellEnd"/>
            <w:r w:rsidRPr="00273521">
              <w:rPr>
                <w:rFonts w:eastAsia="Calibri"/>
                <w:sz w:val="20"/>
                <w:lang w:val="fr-CA"/>
              </w:rPr>
              <w:t xml:space="preserve"> et McDonald)</w:t>
            </w:r>
          </w:p>
          <w:p w:rsidR="00543E90" w:rsidRPr="00273521" w:rsidRDefault="00543E90" w:rsidP="00366F6C">
            <w:pPr>
              <w:jc w:val="both"/>
              <w:rPr>
                <w:rFonts w:eastAsia="Calibri"/>
                <w:sz w:val="20"/>
                <w:lang w:val="fr-CA"/>
              </w:rPr>
            </w:pPr>
            <w:r w:rsidRPr="00273521">
              <w:rPr>
                <w:rFonts w:eastAsia="Calibri"/>
                <w:sz w:val="20"/>
                <w:lang w:val="fr-CA"/>
              </w:rPr>
              <w:t>Référence neutre : 2011 ABCA 1</w:t>
            </w:r>
          </w:p>
          <w:p w:rsidR="00543E90" w:rsidRPr="00273521" w:rsidRDefault="00543E90" w:rsidP="00366F6C">
            <w:pPr>
              <w:jc w:val="both"/>
              <w:rPr>
                <w:rFonts w:eastAsia="Calibri"/>
                <w:sz w:val="20"/>
                <w:lang w:val="fr-CA"/>
              </w:rPr>
            </w:pPr>
          </w:p>
        </w:tc>
        <w:tc>
          <w:tcPr>
            <w:tcW w:w="243" w:type="pct"/>
          </w:tcPr>
          <w:p w:rsidR="00543E90" w:rsidRPr="00273521" w:rsidRDefault="00543E90" w:rsidP="00366F6C">
            <w:pPr>
              <w:jc w:val="both"/>
              <w:rPr>
                <w:rFonts w:eastAsia="Calibri"/>
                <w:sz w:val="20"/>
                <w:lang w:val="fr-CA"/>
              </w:rPr>
            </w:pPr>
          </w:p>
        </w:tc>
        <w:tc>
          <w:tcPr>
            <w:tcW w:w="2330" w:type="pct"/>
          </w:tcPr>
          <w:p w:rsidR="00543E90" w:rsidRPr="00273521" w:rsidRDefault="00543E90" w:rsidP="00366F6C">
            <w:pPr>
              <w:jc w:val="both"/>
              <w:rPr>
                <w:rFonts w:eastAsia="Calibri"/>
                <w:sz w:val="20"/>
                <w:lang w:val="fr-CA"/>
              </w:rPr>
            </w:pPr>
            <w:r w:rsidRPr="00273521">
              <w:rPr>
                <w:rFonts w:eastAsia="Calibri"/>
                <w:sz w:val="20"/>
                <w:lang w:val="fr-CA"/>
              </w:rPr>
              <w:t>Appel des demandeurs, rejeté.</w:t>
            </w:r>
          </w:p>
          <w:p w:rsidR="00543E90" w:rsidRPr="00273521" w:rsidRDefault="00543E90" w:rsidP="00366F6C">
            <w:pPr>
              <w:jc w:val="both"/>
              <w:rPr>
                <w:rFonts w:eastAsia="Calibri"/>
                <w:sz w:val="20"/>
                <w:lang w:val="fr-CA"/>
              </w:rPr>
            </w:pPr>
          </w:p>
          <w:p w:rsidR="00543E90" w:rsidRPr="00273521" w:rsidRDefault="00543E90" w:rsidP="00366F6C">
            <w:pPr>
              <w:jc w:val="both"/>
              <w:rPr>
                <w:rFonts w:eastAsia="Calibri"/>
                <w:sz w:val="20"/>
                <w:lang w:val="fr-CA"/>
              </w:rPr>
            </w:pPr>
          </w:p>
        </w:tc>
      </w:tr>
      <w:tr w:rsidR="00543E90" w:rsidRPr="00273521" w:rsidTr="006D565A">
        <w:trPr>
          <w:cantSplit/>
        </w:trPr>
        <w:tc>
          <w:tcPr>
            <w:tcW w:w="2427" w:type="pct"/>
          </w:tcPr>
          <w:p w:rsidR="00543E90" w:rsidRPr="00273521" w:rsidRDefault="00543E90" w:rsidP="00366F6C">
            <w:pPr>
              <w:jc w:val="both"/>
              <w:rPr>
                <w:rFonts w:eastAsia="Calibri"/>
                <w:sz w:val="20"/>
                <w:lang w:val="fr-CA"/>
              </w:rPr>
            </w:pPr>
            <w:r w:rsidRPr="00273521">
              <w:rPr>
                <w:rFonts w:eastAsia="Calibri"/>
                <w:sz w:val="20"/>
                <w:lang w:val="fr-CA"/>
              </w:rPr>
              <w:lastRenderedPageBreak/>
              <w:t>14 mars 2011</w:t>
            </w:r>
          </w:p>
          <w:p w:rsidR="00543E90" w:rsidRPr="00273521" w:rsidRDefault="00543E90" w:rsidP="00366F6C">
            <w:pPr>
              <w:jc w:val="both"/>
              <w:rPr>
                <w:rFonts w:eastAsia="Calibri"/>
                <w:sz w:val="20"/>
                <w:lang w:val="fr-CA"/>
              </w:rPr>
            </w:pPr>
            <w:r w:rsidRPr="00273521">
              <w:rPr>
                <w:rFonts w:eastAsia="Calibri"/>
                <w:sz w:val="20"/>
                <w:lang w:val="fr-CA"/>
              </w:rPr>
              <w:t>Cour suprême du Canada</w:t>
            </w:r>
          </w:p>
        </w:tc>
        <w:tc>
          <w:tcPr>
            <w:tcW w:w="243" w:type="pct"/>
          </w:tcPr>
          <w:p w:rsidR="00543E90" w:rsidRPr="00273521" w:rsidRDefault="00543E90" w:rsidP="00366F6C">
            <w:pPr>
              <w:jc w:val="both"/>
              <w:rPr>
                <w:rFonts w:eastAsia="Calibri"/>
                <w:sz w:val="20"/>
                <w:lang w:val="fr-CA"/>
              </w:rPr>
            </w:pPr>
          </w:p>
        </w:tc>
        <w:tc>
          <w:tcPr>
            <w:tcW w:w="2330" w:type="pct"/>
          </w:tcPr>
          <w:p w:rsidR="00543E90" w:rsidRPr="00273521" w:rsidRDefault="00543E90" w:rsidP="00366F6C">
            <w:pPr>
              <w:jc w:val="both"/>
              <w:rPr>
                <w:rFonts w:eastAsia="Calibri"/>
                <w:sz w:val="20"/>
                <w:lang w:val="fr-CA"/>
              </w:rPr>
            </w:pPr>
            <w:r w:rsidRPr="00273521">
              <w:rPr>
                <w:rFonts w:eastAsia="Calibri"/>
                <w:sz w:val="20"/>
                <w:lang w:val="fr-CA"/>
              </w:rPr>
              <w:t>Demande d’autorisation d’appel, déposée.</w:t>
            </w:r>
          </w:p>
          <w:p w:rsidR="00543E90" w:rsidRPr="00273521" w:rsidRDefault="00543E90" w:rsidP="00366F6C">
            <w:pPr>
              <w:jc w:val="both"/>
              <w:rPr>
                <w:rFonts w:eastAsia="Calibri"/>
                <w:sz w:val="20"/>
                <w:lang w:val="fr-CA"/>
              </w:rPr>
            </w:pPr>
          </w:p>
        </w:tc>
      </w:tr>
    </w:tbl>
    <w:p w:rsidR="00177474" w:rsidRDefault="00177474" w:rsidP="00177474">
      <w:pPr>
        <w:rPr>
          <w:sz w:val="20"/>
          <w:szCs w:val="20"/>
        </w:rPr>
      </w:pPr>
    </w:p>
    <w:p w:rsidR="00177474" w:rsidRDefault="009E364E" w:rsidP="00177474">
      <w:pPr>
        <w:rPr>
          <w:sz w:val="20"/>
          <w:szCs w:val="20"/>
          <w:lang w:val="fr-CA"/>
        </w:rPr>
      </w:pPr>
      <w:r w:rsidRPr="009E364E">
        <w:rPr>
          <w:sz w:val="20"/>
          <w:szCs w:val="20"/>
          <w:lang w:val="fr-CA"/>
        </w:rPr>
        <w:pict>
          <v:rect id="_x0000_i1049" style="width:2in;height:1pt" o:hrpct="0" o:hralign="center" o:hrstd="t" o:hrnoshade="t" o:hr="t" fillcolor="black [3213]" stroked="f"/>
        </w:pict>
      </w:r>
    </w:p>
    <w:p w:rsidR="00177474" w:rsidRDefault="00177474" w:rsidP="00177474">
      <w:pPr>
        <w:rPr>
          <w:sz w:val="20"/>
          <w:szCs w:val="20"/>
          <w:lang w:val="fr-CA"/>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62192" w:rsidRPr="00962192" w:rsidTr="00C17A52">
        <w:trPr>
          <w:cantSplit/>
        </w:trPr>
        <w:tc>
          <w:tcPr>
            <w:tcW w:w="1458" w:type="dxa"/>
          </w:tcPr>
          <w:p w:rsidR="00962192" w:rsidRPr="00962192" w:rsidRDefault="00962192" w:rsidP="00962192">
            <w:pPr>
              <w:rPr>
                <w:rFonts w:cs="Times New Roman"/>
                <w:sz w:val="20"/>
                <w:szCs w:val="20"/>
              </w:rPr>
            </w:pPr>
            <w:r w:rsidRPr="00962192">
              <w:rPr>
                <w:rFonts w:cs="Times New Roman"/>
                <w:b/>
                <w:sz w:val="20"/>
                <w:lang w:val="fr-CA"/>
              </w:rPr>
              <w:t>34138</w:t>
            </w:r>
          </w:p>
          <w:p w:rsidR="00962192" w:rsidRPr="00962192" w:rsidRDefault="00962192" w:rsidP="00962192">
            <w:pPr>
              <w:rPr>
                <w:rFonts w:cs="Times New Roman"/>
                <w:b/>
                <w:sz w:val="20"/>
                <w:szCs w:val="20"/>
                <w:lang w:val="fr-CA"/>
              </w:rPr>
            </w:pPr>
          </w:p>
        </w:tc>
        <w:tc>
          <w:tcPr>
            <w:tcW w:w="8118" w:type="dxa"/>
          </w:tcPr>
          <w:p w:rsidR="00962192" w:rsidRPr="00962192" w:rsidRDefault="00962192" w:rsidP="00962192">
            <w:pPr>
              <w:jc w:val="both"/>
              <w:rPr>
                <w:rFonts w:cs="Times New Roman"/>
                <w:sz w:val="20"/>
                <w:szCs w:val="20"/>
              </w:rPr>
            </w:pPr>
            <w:r w:rsidRPr="00962192">
              <w:rPr>
                <w:rFonts w:cs="Times New Roman"/>
                <w:b/>
                <w:sz w:val="20"/>
                <w:u w:val="single"/>
              </w:rPr>
              <w:t xml:space="preserve">Dan Yang Liu v. </w:t>
            </w:r>
            <w:proofErr w:type="spellStart"/>
            <w:r w:rsidRPr="00962192">
              <w:rPr>
                <w:rFonts w:cs="Times New Roman"/>
                <w:b/>
                <w:sz w:val="20"/>
                <w:u w:val="single"/>
              </w:rPr>
              <w:t>Matrikon</w:t>
            </w:r>
            <w:proofErr w:type="spellEnd"/>
            <w:r w:rsidRPr="00962192">
              <w:rPr>
                <w:rFonts w:cs="Times New Roman"/>
                <w:b/>
                <w:sz w:val="20"/>
                <w:u w:val="single"/>
              </w:rPr>
              <w:t xml:space="preserve"> Inc., </w:t>
            </w:r>
            <w:proofErr w:type="spellStart"/>
            <w:r w:rsidRPr="00962192">
              <w:rPr>
                <w:rFonts w:cs="Times New Roman"/>
                <w:b/>
                <w:sz w:val="20"/>
                <w:u w:val="single"/>
              </w:rPr>
              <w:t>Nizar</w:t>
            </w:r>
            <w:proofErr w:type="spellEnd"/>
            <w:r w:rsidRPr="00962192">
              <w:rPr>
                <w:rFonts w:cs="Times New Roman"/>
                <w:b/>
                <w:sz w:val="20"/>
                <w:u w:val="single"/>
              </w:rPr>
              <w:t xml:space="preserve"> </w:t>
            </w:r>
            <w:proofErr w:type="spellStart"/>
            <w:r w:rsidRPr="00962192">
              <w:rPr>
                <w:rFonts w:cs="Times New Roman"/>
                <w:b/>
                <w:sz w:val="20"/>
                <w:u w:val="single"/>
              </w:rPr>
              <w:t>Somji</w:t>
            </w:r>
            <w:proofErr w:type="spellEnd"/>
            <w:r w:rsidRPr="00962192">
              <w:rPr>
                <w:rFonts w:cs="Times New Roman"/>
                <w:b/>
                <w:sz w:val="20"/>
                <w:u w:val="single"/>
              </w:rPr>
              <w:t>, Graham Goodwin, Richard Middleton, James Welsh, Greg Adams and University of Newcastle</w:t>
            </w:r>
            <w:r w:rsidRPr="00962192">
              <w:rPr>
                <w:rFonts w:cs="Times New Roman"/>
                <w:sz w:val="20"/>
                <w:szCs w:val="20"/>
              </w:rPr>
              <w:t xml:space="preserve"> (F</w:t>
            </w:r>
            <w:r>
              <w:rPr>
                <w:rFonts w:cs="Times New Roman"/>
                <w:sz w:val="20"/>
                <w:szCs w:val="20"/>
              </w:rPr>
              <w:t>.</w:t>
            </w:r>
            <w:r w:rsidRPr="00962192">
              <w:rPr>
                <w:rFonts w:cs="Times New Roman"/>
                <w:sz w:val="20"/>
                <w:szCs w:val="20"/>
              </w:rPr>
              <w:t>C</w:t>
            </w:r>
            <w:r>
              <w:rPr>
                <w:rFonts w:cs="Times New Roman"/>
                <w:sz w:val="20"/>
                <w:szCs w:val="20"/>
              </w:rPr>
              <w:t>.</w:t>
            </w:r>
            <w:r w:rsidRPr="00962192">
              <w:rPr>
                <w:rFonts w:cs="Times New Roman"/>
                <w:sz w:val="20"/>
                <w:szCs w:val="20"/>
              </w:rPr>
              <w:t>) (Civil) (By Leave)</w:t>
            </w:r>
          </w:p>
          <w:p w:rsidR="00962192" w:rsidRPr="00962192" w:rsidRDefault="00962192" w:rsidP="00962192">
            <w:pPr>
              <w:rPr>
                <w:rFonts w:cs="Times New Roman"/>
                <w:sz w:val="20"/>
                <w:szCs w:val="20"/>
              </w:rPr>
            </w:pPr>
          </w:p>
        </w:tc>
      </w:tr>
      <w:tr w:rsidR="00962192" w:rsidRPr="00962192" w:rsidTr="00C17A52">
        <w:trPr>
          <w:cantSplit/>
        </w:trPr>
        <w:tc>
          <w:tcPr>
            <w:tcW w:w="1458" w:type="dxa"/>
          </w:tcPr>
          <w:p w:rsidR="00962192" w:rsidRPr="00962192" w:rsidRDefault="00962192" w:rsidP="00962192">
            <w:pPr>
              <w:rPr>
                <w:rFonts w:cs="Times New Roman"/>
                <w:sz w:val="20"/>
                <w:szCs w:val="20"/>
              </w:rPr>
            </w:pPr>
            <w:r w:rsidRPr="00962192">
              <w:rPr>
                <w:rFonts w:cs="Times New Roman"/>
                <w:sz w:val="20"/>
                <w:szCs w:val="20"/>
              </w:rPr>
              <w:t>Coram :</w:t>
            </w:r>
          </w:p>
        </w:tc>
        <w:tc>
          <w:tcPr>
            <w:tcW w:w="8118" w:type="dxa"/>
          </w:tcPr>
          <w:p w:rsidR="00962192" w:rsidRPr="00962192" w:rsidRDefault="00962192" w:rsidP="00962192">
            <w:pPr>
              <w:rPr>
                <w:rFonts w:cs="Times New Roman"/>
                <w:sz w:val="20"/>
                <w:szCs w:val="20"/>
              </w:rPr>
            </w:pPr>
            <w:proofErr w:type="spellStart"/>
            <w:r w:rsidRPr="00962192">
              <w:rPr>
                <w:rFonts w:cs="Times New Roman"/>
                <w:sz w:val="20"/>
                <w:u w:val="single"/>
              </w:rPr>
              <w:t>Binnie</w:t>
            </w:r>
            <w:proofErr w:type="spellEnd"/>
            <w:r w:rsidRPr="00962192">
              <w:rPr>
                <w:rFonts w:cs="Times New Roman"/>
                <w:sz w:val="20"/>
                <w:u w:val="single"/>
              </w:rPr>
              <w:t xml:space="preserve">, </w:t>
            </w:r>
            <w:proofErr w:type="spellStart"/>
            <w:r w:rsidRPr="00962192">
              <w:rPr>
                <w:rFonts w:cs="Times New Roman"/>
                <w:sz w:val="20"/>
                <w:u w:val="single"/>
              </w:rPr>
              <w:t>Abella</w:t>
            </w:r>
            <w:proofErr w:type="spellEnd"/>
            <w:r w:rsidRPr="00962192">
              <w:rPr>
                <w:rFonts w:cs="Times New Roman"/>
                <w:sz w:val="20"/>
                <w:u w:val="single"/>
              </w:rPr>
              <w:t xml:space="preserve"> and Rothstein JJ.</w:t>
            </w:r>
          </w:p>
          <w:p w:rsidR="00962192" w:rsidRPr="00962192" w:rsidRDefault="00962192" w:rsidP="00962192">
            <w:pPr>
              <w:rPr>
                <w:rFonts w:cs="Times New Roman"/>
                <w:sz w:val="20"/>
                <w:szCs w:val="20"/>
                <w:u w:val="single"/>
              </w:rPr>
            </w:pPr>
          </w:p>
        </w:tc>
      </w:tr>
      <w:tr w:rsidR="00962192" w:rsidRPr="00962192" w:rsidTr="00C17A52">
        <w:trPr>
          <w:cantSplit/>
        </w:trPr>
        <w:tc>
          <w:tcPr>
            <w:tcW w:w="9576" w:type="dxa"/>
            <w:gridSpan w:val="2"/>
          </w:tcPr>
          <w:p w:rsidR="00962192" w:rsidRPr="00962192" w:rsidRDefault="00962192" w:rsidP="00962192">
            <w:pPr>
              <w:ind w:firstLine="720"/>
              <w:jc w:val="both"/>
              <w:rPr>
                <w:rFonts w:cs="Times New Roman"/>
                <w:sz w:val="20"/>
                <w:szCs w:val="20"/>
              </w:rPr>
            </w:pPr>
            <w:r w:rsidRPr="00962192">
              <w:rPr>
                <w:rFonts w:cs="Times New Roman"/>
                <w:sz w:val="20"/>
                <w:szCs w:val="20"/>
              </w:rPr>
              <w:t xml:space="preserve">The motion for an extension of time to </w:t>
            </w:r>
            <w:proofErr w:type="gramStart"/>
            <w:r w:rsidRPr="00962192">
              <w:rPr>
                <w:rFonts w:cs="Times New Roman"/>
                <w:sz w:val="20"/>
                <w:szCs w:val="20"/>
              </w:rPr>
              <w:t>serve  the</w:t>
            </w:r>
            <w:proofErr w:type="gramEnd"/>
            <w:r w:rsidRPr="00962192">
              <w:rPr>
                <w:rFonts w:cs="Times New Roman"/>
                <w:sz w:val="20"/>
                <w:szCs w:val="20"/>
              </w:rPr>
              <w:t xml:space="preserve"> application for leave to appeal on the respondents </w:t>
            </w:r>
            <w:proofErr w:type="spellStart"/>
            <w:r w:rsidRPr="00962192">
              <w:rPr>
                <w:rFonts w:cs="Times New Roman"/>
                <w:sz w:val="20"/>
                <w:szCs w:val="20"/>
              </w:rPr>
              <w:t>Matrikon</w:t>
            </w:r>
            <w:proofErr w:type="spellEnd"/>
            <w:r w:rsidRPr="00962192">
              <w:rPr>
                <w:rFonts w:cs="Times New Roman"/>
                <w:sz w:val="20"/>
                <w:szCs w:val="20"/>
              </w:rPr>
              <w:t xml:space="preserve"> Inc. and </w:t>
            </w:r>
            <w:proofErr w:type="spellStart"/>
            <w:r w:rsidRPr="00962192">
              <w:rPr>
                <w:rFonts w:cs="Times New Roman"/>
                <w:sz w:val="20"/>
                <w:szCs w:val="20"/>
              </w:rPr>
              <w:t>Nizar</w:t>
            </w:r>
            <w:proofErr w:type="spellEnd"/>
            <w:r w:rsidRPr="00962192">
              <w:rPr>
                <w:rFonts w:cs="Times New Roman"/>
                <w:sz w:val="20"/>
                <w:szCs w:val="20"/>
              </w:rPr>
              <w:t xml:space="preserve"> </w:t>
            </w:r>
            <w:proofErr w:type="spellStart"/>
            <w:r w:rsidRPr="00962192">
              <w:rPr>
                <w:rFonts w:cs="Times New Roman"/>
                <w:sz w:val="20"/>
                <w:szCs w:val="20"/>
              </w:rPr>
              <w:t>Somji</w:t>
            </w:r>
            <w:proofErr w:type="spellEnd"/>
            <w:r w:rsidRPr="00962192">
              <w:rPr>
                <w:rFonts w:cs="Times New Roman"/>
                <w:sz w:val="20"/>
                <w:szCs w:val="20"/>
              </w:rPr>
              <w:t xml:space="preserve"> and to serve and file a reply is granted.  The application for leave to appeal from the judgment of the Federal Court of Appeal, Number A-452-09, 2010 FCA 329, dated December 2, 2010, is dismissed with costs.</w:t>
            </w:r>
          </w:p>
          <w:p w:rsidR="00962192" w:rsidRPr="00962192" w:rsidRDefault="00962192" w:rsidP="00962192">
            <w:pPr>
              <w:jc w:val="both"/>
              <w:rPr>
                <w:rFonts w:cs="Times New Roman"/>
                <w:sz w:val="20"/>
                <w:szCs w:val="20"/>
              </w:rPr>
            </w:pPr>
          </w:p>
          <w:p w:rsidR="00962192" w:rsidRPr="00962192" w:rsidRDefault="00962192" w:rsidP="00962192">
            <w:pPr>
              <w:ind w:firstLine="720"/>
              <w:jc w:val="both"/>
              <w:rPr>
                <w:rFonts w:cs="Times New Roman"/>
                <w:sz w:val="20"/>
                <w:szCs w:val="20"/>
                <w:lang w:val="fr-CA"/>
              </w:rPr>
            </w:pPr>
            <w:r w:rsidRPr="00962192">
              <w:rPr>
                <w:rFonts w:cs="Times New Roman"/>
                <w:sz w:val="20"/>
                <w:szCs w:val="20"/>
                <w:lang w:val="fr-CA"/>
              </w:rPr>
              <w:t xml:space="preserve">La requête en prorogation du délai de signification de la demande d’autorisation d’appel aux intimés </w:t>
            </w:r>
            <w:proofErr w:type="spellStart"/>
            <w:r w:rsidRPr="00962192">
              <w:rPr>
                <w:rFonts w:cs="Times New Roman"/>
                <w:sz w:val="20"/>
                <w:szCs w:val="20"/>
                <w:lang w:val="fr-CA"/>
              </w:rPr>
              <w:t>Matrikon</w:t>
            </w:r>
            <w:proofErr w:type="spellEnd"/>
            <w:r w:rsidRPr="00962192">
              <w:rPr>
                <w:rFonts w:cs="Times New Roman"/>
                <w:sz w:val="20"/>
                <w:szCs w:val="20"/>
                <w:lang w:val="fr-CA"/>
              </w:rPr>
              <w:t xml:space="preserve"> Inc. et </w:t>
            </w:r>
            <w:proofErr w:type="spellStart"/>
            <w:r w:rsidRPr="00962192">
              <w:rPr>
                <w:rFonts w:cs="Times New Roman"/>
                <w:sz w:val="20"/>
                <w:szCs w:val="20"/>
                <w:lang w:val="fr-CA"/>
              </w:rPr>
              <w:t>Nizar</w:t>
            </w:r>
            <w:proofErr w:type="spellEnd"/>
            <w:r w:rsidRPr="00962192">
              <w:rPr>
                <w:rFonts w:cs="Times New Roman"/>
                <w:sz w:val="20"/>
                <w:szCs w:val="20"/>
                <w:lang w:val="fr-CA"/>
              </w:rPr>
              <w:t xml:space="preserve"> </w:t>
            </w:r>
            <w:proofErr w:type="spellStart"/>
            <w:r w:rsidRPr="00962192">
              <w:rPr>
                <w:rFonts w:cs="Times New Roman"/>
                <w:sz w:val="20"/>
                <w:szCs w:val="20"/>
                <w:lang w:val="fr-CA"/>
              </w:rPr>
              <w:t>Somji</w:t>
            </w:r>
            <w:proofErr w:type="spellEnd"/>
            <w:r w:rsidRPr="00962192">
              <w:rPr>
                <w:rFonts w:cs="Times New Roman"/>
                <w:sz w:val="20"/>
                <w:szCs w:val="20"/>
                <w:lang w:val="fr-CA"/>
              </w:rPr>
              <w:t xml:space="preserve"> et de signification et de dépôt de la réplique est accordée.  La demande d’autorisation d’appel de l’arrêt de la Cour d’appel fédérale, numéro A-452-09, 2010 CAF 329, daté du 2 décembre 2010, est rejetée avec dépens.</w:t>
            </w:r>
          </w:p>
        </w:tc>
      </w:tr>
    </w:tbl>
    <w:p w:rsidR="00177474" w:rsidRPr="00962192" w:rsidRDefault="00177474" w:rsidP="00177474">
      <w:pPr>
        <w:rPr>
          <w:sz w:val="20"/>
          <w:szCs w:val="20"/>
          <w:lang w:val="fr-CA"/>
        </w:rPr>
      </w:pPr>
    </w:p>
    <w:p w:rsidR="00177474" w:rsidRPr="00177474" w:rsidRDefault="00177474" w:rsidP="00177474">
      <w:pPr>
        <w:rPr>
          <w:sz w:val="20"/>
          <w:szCs w:val="20"/>
        </w:rPr>
      </w:pPr>
      <w:r>
        <w:rPr>
          <w:sz w:val="20"/>
          <w:szCs w:val="20"/>
          <w:u w:val="single"/>
        </w:rPr>
        <w:t>CASE SUMMARY</w:t>
      </w:r>
    </w:p>
    <w:p w:rsidR="00177474" w:rsidRDefault="00177474" w:rsidP="001774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11503" w:rsidRPr="00273521" w:rsidTr="00366F6C">
        <w:tc>
          <w:tcPr>
            <w:tcW w:w="5000" w:type="pct"/>
            <w:gridSpan w:val="3"/>
          </w:tcPr>
          <w:p w:rsidR="00111503" w:rsidRPr="00273521" w:rsidRDefault="00111503" w:rsidP="00366F6C">
            <w:pPr>
              <w:jc w:val="both"/>
              <w:rPr>
                <w:sz w:val="20"/>
              </w:rPr>
            </w:pPr>
            <w:r w:rsidRPr="00273521">
              <w:rPr>
                <w:i/>
                <w:sz w:val="20"/>
              </w:rPr>
              <w:t>Charter of Rights</w:t>
            </w:r>
            <w:r w:rsidRPr="00273521">
              <w:rPr>
                <w:sz w:val="20"/>
              </w:rPr>
              <w:t xml:space="preserve"> — Right to equality — Judgments and orders — Dismissal of action — Whether lower courts erred in ordering Applicant to post security for costs before allowing him to proceed with his action — Whether lower courts erred in holding that his action should be dismissed for delay — Whether lower courts erred in holding that Applicant’s </w:t>
            </w:r>
            <w:r w:rsidRPr="00273521">
              <w:rPr>
                <w:i/>
                <w:sz w:val="20"/>
              </w:rPr>
              <w:t>Charter</w:t>
            </w:r>
            <w:r w:rsidRPr="00273521">
              <w:rPr>
                <w:sz w:val="20"/>
              </w:rPr>
              <w:t xml:space="preserve"> rights were not violated.</w:t>
            </w:r>
          </w:p>
          <w:p w:rsidR="00111503" w:rsidRPr="00273521" w:rsidRDefault="00111503" w:rsidP="00366F6C">
            <w:pPr>
              <w:jc w:val="both"/>
              <w:rPr>
                <w:sz w:val="20"/>
              </w:rPr>
            </w:pPr>
          </w:p>
        </w:tc>
      </w:tr>
      <w:tr w:rsidR="00111503" w:rsidRPr="00273521" w:rsidTr="00366F6C">
        <w:tc>
          <w:tcPr>
            <w:tcW w:w="5000" w:type="pct"/>
            <w:gridSpan w:val="3"/>
          </w:tcPr>
          <w:p w:rsidR="00111503" w:rsidRPr="00273521" w:rsidRDefault="00111503" w:rsidP="00366F6C">
            <w:pPr>
              <w:jc w:val="both"/>
              <w:rPr>
                <w:sz w:val="20"/>
              </w:rPr>
            </w:pPr>
            <w:r w:rsidRPr="00273521">
              <w:rPr>
                <w:sz w:val="20"/>
              </w:rPr>
              <w:t xml:space="preserve">Dr. Liu commenced an action against the Respondents in 2007, alleging that they were responsible for the theft of a computer program that he owned and that they had breached his copyright and proprietary rights in the program, related technologies and trade secrets.  He also alleged that the RCMP had negligently investigated the alleged theft.  In 2008, the Attorney General’s motion to have the action summarily dismissed was dismissed, but Dr. Liu was required to post security for the Crown’s costs in the amount of $10,000 and was precluded from taking any further steps in the proceedings, except an appeal from the order for security for costs, until the security was given.  Dr. Liu’s appeal from the security for costs order was dismissed on November 24, 2008.  Dr. Liu filed submissions at a status review hearing brought by the Attorney General to have him show </w:t>
            </w:r>
            <w:proofErr w:type="gramStart"/>
            <w:r w:rsidRPr="00273521">
              <w:rPr>
                <w:sz w:val="20"/>
              </w:rPr>
              <w:t>cause</w:t>
            </w:r>
            <w:proofErr w:type="gramEnd"/>
            <w:r w:rsidRPr="00273521">
              <w:rPr>
                <w:sz w:val="20"/>
              </w:rPr>
              <w:t xml:space="preserve"> why his action should not be dismissed for delay.</w:t>
            </w:r>
          </w:p>
          <w:p w:rsidR="00111503" w:rsidRPr="00273521" w:rsidRDefault="00111503" w:rsidP="00366F6C">
            <w:pPr>
              <w:jc w:val="both"/>
              <w:rPr>
                <w:sz w:val="20"/>
              </w:rPr>
            </w:pPr>
          </w:p>
        </w:tc>
      </w:tr>
      <w:tr w:rsidR="00111503" w:rsidRPr="00273521" w:rsidTr="00366F6C">
        <w:tc>
          <w:tcPr>
            <w:tcW w:w="2427" w:type="pct"/>
          </w:tcPr>
          <w:p w:rsidR="00111503" w:rsidRPr="00273521" w:rsidRDefault="00111503" w:rsidP="00366F6C">
            <w:pPr>
              <w:rPr>
                <w:sz w:val="20"/>
              </w:rPr>
            </w:pPr>
            <w:r w:rsidRPr="00273521">
              <w:rPr>
                <w:sz w:val="20"/>
              </w:rPr>
              <w:t>October 19, 2009</w:t>
            </w:r>
          </w:p>
          <w:p w:rsidR="00111503" w:rsidRPr="00273521" w:rsidRDefault="00111503" w:rsidP="00366F6C">
            <w:pPr>
              <w:rPr>
                <w:sz w:val="20"/>
              </w:rPr>
            </w:pPr>
            <w:r w:rsidRPr="00273521">
              <w:rPr>
                <w:sz w:val="20"/>
              </w:rPr>
              <w:t>Federal Court</w:t>
            </w:r>
          </w:p>
          <w:p w:rsidR="00111503" w:rsidRPr="00273521" w:rsidRDefault="00111503" w:rsidP="00366F6C">
            <w:pPr>
              <w:rPr>
                <w:sz w:val="20"/>
              </w:rPr>
            </w:pPr>
            <w:r w:rsidRPr="00273521">
              <w:rPr>
                <w:sz w:val="20"/>
              </w:rPr>
              <w:t>(</w:t>
            </w:r>
            <w:proofErr w:type="spellStart"/>
            <w:r w:rsidRPr="00273521">
              <w:rPr>
                <w:sz w:val="20"/>
              </w:rPr>
              <w:t>Lafrenière</w:t>
            </w:r>
            <w:proofErr w:type="spellEnd"/>
            <w:r w:rsidRPr="00273521">
              <w:rPr>
                <w:sz w:val="20"/>
              </w:rPr>
              <w:t xml:space="preserve">, </w:t>
            </w:r>
            <w:proofErr w:type="spellStart"/>
            <w:r w:rsidRPr="00273521">
              <w:rPr>
                <w:sz w:val="20"/>
              </w:rPr>
              <w:t>Prothonotary</w:t>
            </w:r>
            <w:proofErr w:type="spellEnd"/>
            <w:r w:rsidRPr="00273521">
              <w:rPr>
                <w:sz w:val="20"/>
              </w:rPr>
              <w:t>)</w:t>
            </w:r>
          </w:p>
          <w:p w:rsidR="00111503" w:rsidRPr="00273521" w:rsidRDefault="00111503" w:rsidP="00366F6C">
            <w:pPr>
              <w:rPr>
                <w:sz w:val="20"/>
              </w:rPr>
            </w:pPr>
          </w:p>
        </w:tc>
        <w:tc>
          <w:tcPr>
            <w:tcW w:w="243" w:type="pct"/>
          </w:tcPr>
          <w:p w:rsidR="00111503" w:rsidRPr="00273521" w:rsidRDefault="00111503" w:rsidP="00366F6C">
            <w:pPr>
              <w:rPr>
                <w:sz w:val="20"/>
              </w:rPr>
            </w:pPr>
          </w:p>
        </w:tc>
        <w:tc>
          <w:tcPr>
            <w:tcW w:w="2330" w:type="pct"/>
          </w:tcPr>
          <w:p w:rsidR="00111503" w:rsidRPr="00273521" w:rsidRDefault="00111503" w:rsidP="00366F6C">
            <w:pPr>
              <w:rPr>
                <w:sz w:val="20"/>
              </w:rPr>
            </w:pPr>
            <w:r w:rsidRPr="00273521">
              <w:rPr>
                <w:sz w:val="20"/>
              </w:rPr>
              <w:t>Applicant’s action dismissed.</w:t>
            </w:r>
          </w:p>
          <w:p w:rsidR="00111503" w:rsidRPr="00273521" w:rsidRDefault="00111503" w:rsidP="00366F6C">
            <w:pPr>
              <w:rPr>
                <w:sz w:val="20"/>
              </w:rPr>
            </w:pPr>
          </w:p>
        </w:tc>
      </w:tr>
      <w:tr w:rsidR="00111503" w:rsidRPr="00273521" w:rsidTr="00366F6C">
        <w:tc>
          <w:tcPr>
            <w:tcW w:w="2427" w:type="pct"/>
          </w:tcPr>
          <w:p w:rsidR="00111503" w:rsidRPr="00273521" w:rsidRDefault="00111503" w:rsidP="00366F6C">
            <w:pPr>
              <w:rPr>
                <w:sz w:val="20"/>
              </w:rPr>
            </w:pPr>
            <w:r w:rsidRPr="00273521">
              <w:rPr>
                <w:sz w:val="20"/>
              </w:rPr>
              <w:t>November 25, 2009</w:t>
            </w:r>
          </w:p>
          <w:p w:rsidR="00111503" w:rsidRPr="00273521" w:rsidRDefault="00111503" w:rsidP="00366F6C">
            <w:pPr>
              <w:rPr>
                <w:sz w:val="20"/>
              </w:rPr>
            </w:pPr>
            <w:r w:rsidRPr="00273521">
              <w:rPr>
                <w:sz w:val="20"/>
              </w:rPr>
              <w:t>Federal Court</w:t>
            </w:r>
          </w:p>
          <w:p w:rsidR="00111503" w:rsidRPr="00273521" w:rsidRDefault="00111503" w:rsidP="00366F6C">
            <w:pPr>
              <w:rPr>
                <w:sz w:val="20"/>
              </w:rPr>
            </w:pPr>
            <w:r w:rsidRPr="00273521">
              <w:rPr>
                <w:sz w:val="20"/>
              </w:rPr>
              <w:t xml:space="preserve">(De </w:t>
            </w:r>
            <w:proofErr w:type="spellStart"/>
            <w:r w:rsidRPr="00273521">
              <w:rPr>
                <w:sz w:val="20"/>
              </w:rPr>
              <w:t>Montigny</w:t>
            </w:r>
            <w:proofErr w:type="spellEnd"/>
            <w:r w:rsidRPr="00273521">
              <w:rPr>
                <w:sz w:val="20"/>
              </w:rPr>
              <w:t xml:space="preserve"> J.)</w:t>
            </w:r>
          </w:p>
          <w:p w:rsidR="00111503" w:rsidRPr="00273521" w:rsidRDefault="00111503" w:rsidP="00366F6C">
            <w:pPr>
              <w:rPr>
                <w:sz w:val="20"/>
              </w:rPr>
            </w:pPr>
          </w:p>
        </w:tc>
        <w:tc>
          <w:tcPr>
            <w:tcW w:w="243" w:type="pct"/>
          </w:tcPr>
          <w:p w:rsidR="00111503" w:rsidRPr="00273521" w:rsidRDefault="00111503" w:rsidP="00366F6C">
            <w:pPr>
              <w:rPr>
                <w:sz w:val="20"/>
              </w:rPr>
            </w:pPr>
          </w:p>
        </w:tc>
        <w:tc>
          <w:tcPr>
            <w:tcW w:w="2330" w:type="pct"/>
          </w:tcPr>
          <w:p w:rsidR="00111503" w:rsidRPr="00273521" w:rsidRDefault="00111503" w:rsidP="00366F6C">
            <w:pPr>
              <w:rPr>
                <w:sz w:val="20"/>
              </w:rPr>
            </w:pPr>
            <w:r w:rsidRPr="00273521">
              <w:rPr>
                <w:sz w:val="20"/>
              </w:rPr>
              <w:t>Motion dismissed.</w:t>
            </w:r>
          </w:p>
          <w:p w:rsidR="00111503" w:rsidRPr="00273521" w:rsidRDefault="00111503" w:rsidP="00366F6C">
            <w:pPr>
              <w:rPr>
                <w:sz w:val="20"/>
              </w:rPr>
            </w:pPr>
          </w:p>
        </w:tc>
      </w:tr>
      <w:tr w:rsidR="00111503" w:rsidRPr="00273521" w:rsidTr="00366F6C">
        <w:tc>
          <w:tcPr>
            <w:tcW w:w="2427" w:type="pct"/>
          </w:tcPr>
          <w:p w:rsidR="00111503" w:rsidRPr="00273521" w:rsidRDefault="00111503" w:rsidP="00366F6C">
            <w:pPr>
              <w:rPr>
                <w:sz w:val="20"/>
              </w:rPr>
            </w:pPr>
            <w:r w:rsidRPr="00273521">
              <w:rPr>
                <w:sz w:val="20"/>
              </w:rPr>
              <w:t>December 2, 2010</w:t>
            </w:r>
          </w:p>
          <w:p w:rsidR="00111503" w:rsidRPr="00273521" w:rsidRDefault="00111503" w:rsidP="00366F6C">
            <w:pPr>
              <w:rPr>
                <w:sz w:val="20"/>
              </w:rPr>
            </w:pPr>
            <w:r w:rsidRPr="00273521">
              <w:rPr>
                <w:sz w:val="20"/>
              </w:rPr>
              <w:t>Federal Court of Appeal</w:t>
            </w:r>
          </w:p>
          <w:p w:rsidR="00111503" w:rsidRPr="00273521" w:rsidRDefault="00111503" w:rsidP="00366F6C">
            <w:pPr>
              <w:rPr>
                <w:sz w:val="20"/>
              </w:rPr>
            </w:pPr>
            <w:r w:rsidRPr="00273521">
              <w:rPr>
                <w:sz w:val="20"/>
              </w:rPr>
              <w:t xml:space="preserve">(Dawson, </w:t>
            </w:r>
            <w:proofErr w:type="spellStart"/>
            <w:r w:rsidRPr="00273521">
              <w:rPr>
                <w:sz w:val="20"/>
              </w:rPr>
              <w:t>Layden</w:t>
            </w:r>
            <w:r w:rsidRPr="00273521">
              <w:rPr>
                <w:sz w:val="20"/>
              </w:rPr>
              <w:noBreakHyphen/>
              <w:t>Stevenson</w:t>
            </w:r>
            <w:proofErr w:type="spellEnd"/>
            <w:r w:rsidRPr="00273521">
              <w:rPr>
                <w:sz w:val="20"/>
              </w:rPr>
              <w:t xml:space="preserve"> and </w:t>
            </w:r>
            <w:proofErr w:type="spellStart"/>
            <w:r w:rsidRPr="00273521">
              <w:rPr>
                <w:sz w:val="20"/>
              </w:rPr>
              <w:t>Mainville</w:t>
            </w:r>
            <w:proofErr w:type="spellEnd"/>
            <w:r w:rsidRPr="00273521">
              <w:rPr>
                <w:sz w:val="20"/>
              </w:rPr>
              <w:t xml:space="preserve"> JJ.A.)</w:t>
            </w:r>
          </w:p>
          <w:p w:rsidR="00111503" w:rsidRPr="00273521" w:rsidRDefault="00111503" w:rsidP="00366F6C">
            <w:pPr>
              <w:rPr>
                <w:sz w:val="20"/>
              </w:rPr>
            </w:pPr>
          </w:p>
        </w:tc>
        <w:tc>
          <w:tcPr>
            <w:tcW w:w="243" w:type="pct"/>
          </w:tcPr>
          <w:p w:rsidR="00111503" w:rsidRPr="00273521" w:rsidRDefault="00111503" w:rsidP="00366F6C">
            <w:pPr>
              <w:rPr>
                <w:sz w:val="20"/>
              </w:rPr>
            </w:pPr>
          </w:p>
        </w:tc>
        <w:tc>
          <w:tcPr>
            <w:tcW w:w="2330" w:type="pct"/>
          </w:tcPr>
          <w:p w:rsidR="00111503" w:rsidRPr="00273521" w:rsidRDefault="00111503" w:rsidP="00366F6C">
            <w:pPr>
              <w:rPr>
                <w:sz w:val="20"/>
              </w:rPr>
            </w:pPr>
            <w:r w:rsidRPr="00273521">
              <w:rPr>
                <w:sz w:val="20"/>
              </w:rPr>
              <w:t>Appeal dismissed.</w:t>
            </w:r>
          </w:p>
          <w:p w:rsidR="00111503" w:rsidRPr="00273521" w:rsidRDefault="00111503" w:rsidP="00366F6C">
            <w:pPr>
              <w:rPr>
                <w:sz w:val="20"/>
              </w:rPr>
            </w:pPr>
          </w:p>
        </w:tc>
      </w:tr>
      <w:tr w:rsidR="00111503" w:rsidRPr="00273521" w:rsidTr="00962192">
        <w:trPr>
          <w:cantSplit/>
        </w:trPr>
        <w:tc>
          <w:tcPr>
            <w:tcW w:w="2427" w:type="pct"/>
          </w:tcPr>
          <w:p w:rsidR="00111503" w:rsidRPr="00273521" w:rsidRDefault="00111503" w:rsidP="00366F6C">
            <w:pPr>
              <w:rPr>
                <w:sz w:val="20"/>
              </w:rPr>
            </w:pPr>
            <w:r w:rsidRPr="00273521">
              <w:rPr>
                <w:sz w:val="20"/>
              </w:rPr>
              <w:lastRenderedPageBreak/>
              <w:t>January 27, 2011</w:t>
            </w:r>
          </w:p>
          <w:p w:rsidR="00111503" w:rsidRPr="00273521" w:rsidRDefault="00111503" w:rsidP="00366F6C">
            <w:pPr>
              <w:rPr>
                <w:sz w:val="20"/>
              </w:rPr>
            </w:pPr>
            <w:r w:rsidRPr="00273521">
              <w:rPr>
                <w:sz w:val="20"/>
              </w:rPr>
              <w:t>Supreme Court of Canada</w:t>
            </w:r>
          </w:p>
          <w:p w:rsidR="00111503" w:rsidRPr="00273521" w:rsidRDefault="00111503" w:rsidP="00366F6C">
            <w:pPr>
              <w:rPr>
                <w:sz w:val="20"/>
              </w:rPr>
            </w:pPr>
          </w:p>
        </w:tc>
        <w:tc>
          <w:tcPr>
            <w:tcW w:w="243" w:type="pct"/>
          </w:tcPr>
          <w:p w:rsidR="00111503" w:rsidRPr="00273521" w:rsidRDefault="00111503" w:rsidP="00366F6C">
            <w:pPr>
              <w:rPr>
                <w:sz w:val="20"/>
              </w:rPr>
            </w:pPr>
          </w:p>
        </w:tc>
        <w:tc>
          <w:tcPr>
            <w:tcW w:w="2330" w:type="pct"/>
          </w:tcPr>
          <w:p w:rsidR="00111503" w:rsidRPr="00273521" w:rsidRDefault="00111503" w:rsidP="00366F6C">
            <w:pPr>
              <w:rPr>
                <w:sz w:val="20"/>
              </w:rPr>
            </w:pPr>
            <w:r w:rsidRPr="00273521">
              <w:rPr>
                <w:sz w:val="20"/>
              </w:rPr>
              <w:t>Application for leave to appeal filed</w:t>
            </w:r>
          </w:p>
          <w:p w:rsidR="00111503" w:rsidRPr="00273521" w:rsidRDefault="00111503" w:rsidP="00366F6C">
            <w:pPr>
              <w:rPr>
                <w:sz w:val="20"/>
              </w:rPr>
            </w:pPr>
          </w:p>
        </w:tc>
      </w:tr>
      <w:tr w:rsidR="00111503" w:rsidRPr="00273521" w:rsidTr="00962192">
        <w:trPr>
          <w:cantSplit/>
        </w:trPr>
        <w:tc>
          <w:tcPr>
            <w:tcW w:w="2427" w:type="pct"/>
          </w:tcPr>
          <w:p w:rsidR="00111503" w:rsidRPr="00273521" w:rsidRDefault="00111503" w:rsidP="00366F6C">
            <w:pPr>
              <w:rPr>
                <w:sz w:val="20"/>
              </w:rPr>
            </w:pPr>
            <w:r w:rsidRPr="00273521">
              <w:rPr>
                <w:sz w:val="20"/>
              </w:rPr>
              <w:t>April 1, 2011</w:t>
            </w:r>
          </w:p>
          <w:p w:rsidR="00111503" w:rsidRPr="00273521" w:rsidRDefault="00111503" w:rsidP="00366F6C">
            <w:pPr>
              <w:rPr>
                <w:sz w:val="20"/>
              </w:rPr>
            </w:pPr>
            <w:r w:rsidRPr="00273521">
              <w:rPr>
                <w:sz w:val="20"/>
              </w:rPr>
              <w:t>Supreme Court of Canada</w:t>
            </w:r>
          </w:p>
        </w:tc>
        <w:tc>
          <w:tcPr>
            <w:tcW w:w="243" w:type="pct"/>
          </w:tcPr>
          <w:p w:rsidR="00111503" w:rsidRPr="00273521" w:rsidRDefault="00111503" w:rsidP="00366F6C">
            <w:pPr>
              <w:rPr>
                <w:sz w:val="20"/>
              </w:rPr>
            </w:pPr>
          </w:p>
        </w:tc>
        <w:tc>
          <w:tcPr>
            <w:tcW w:w="2330" w:type="pct"/>
          </w:tcPr>
          <w:p w:rsidR="00111503" w:rsidRPr="00273521" w:rsidRDefault="00111503" w:rsidP="00366F6C">
            <w:pPr>
              <w:rPr>
                <w:sz w:val="20"/>
              </w:rPr>
            </w:pPr>
            <w:r w:rsidRPr="00273521">
              <w:rPr>
                <w:sz w:val="20"/>
              </w:rPr>
              <w:t xml:space="preserve">Motion for extension of time to serve and file application for leave to appeal and reply on </w:t>
            </w:r>
            <w:proofErr w:type="spellStart"/>
            <w:r w:rsidRPr="00273521">
              <w:rPr>
                <w:sz w:val="20"/>
              </w:rPr>
              <w:t>Matrikon</w:t>
            </w:r>
            <w:proofErr w:type="spellEnd"/>
            <w:r w:rsidRPr="00273521">
              <w:rPr>
                <w:sz w:val="20"/>
              </w:rPr>
              <w:t xml:space="preserve"> Inc. and </w:t>
            </w:r>
            <w:proofErr w:type="spellStart"/>
            <w:r w:rsidRPr="00273521">
              <w:rPr>
                <w:sz w:val="20"/>
              </w:rPr>
              <w:t>Nizar</w:t>
            </w:r>
            <w:proofErr w:type="spellEnd"/>
            <w:r w:rsidRPr="00273521">
              <w:rPr>
                <w:sz w:val="20"/>
              </w:rPr>
              <w:t xml:space="preserve"> </w:t>
            </w:r>
            <w:proofErr w:type="spellStart"/>
            <w:r w:rsidRPr="00273521">
              <w:rPr>
                <w:sz w:val="20"/>
              </w:rPr>
              <w:t>Somji</w:t>
            </w:r>
            <w:proofErr w:type="spellEnd"/>
          </w:p>
        </w:tc>
      </w:tr>
    </w:tbl>
    <w:p w:rsidR="00177474" w:rsidRDefault="00177474" w:rsidP="00177474">
      <w:pPr>
        <w:rPr>
          <w:sz w:val="20"/>
          <w:szCs w:val="20"/>
        </w:rPr>
      </w:pPr>
    </w:p>
    <w:p w:rsidR="00177474" w:rsidRDefault="009E364E" w:rsidP="00177474">
      <w:pPr>
        <w:rPr>
          <w:sz w:val="20"/>
          <w:szCs w:val="20"/>
          <w:lang w:val="fr-CA"/>
        </w:rPr>
      </w:pPr>
      <w:r w:rsidRPr="009E364E">
        <w:rPr>
          <w:sz w:val="20"/>
          <w:szCs w:val="20"/>
          <w:lang w:val="fr-CA"/>
        </w:rPr>
        <w:pict>
          <v:rect id="_x0000_i1050" style="width:2in;height:1pt" o:hrpct="0" o:hralign="center" o:hrstd="t" o:hrnoshade="t" o:hr="t" fillcolor="black [3213]" stroked="f"/>
        </w:pict>
      </w:r>
    </w:p>
    <w:p w:rsidR="00177474" w:rsidRDefault="00177474" w:rsidP="00177474">
      <w:pPr>
        <w:rPr>
          <w:sz w:val="20"/>
          <w:szCs w:val="20"/>
        </w:rPr>
      </w:pPr>
    </w:p>
    <w:p w:rsidR="00177474" w:rsidRPr="00177474" w:rsidRDefault="00177474" w:rsidP="00177474">
      <w:pPr>
        <w:rPr>
          <w:sz w:val="20"/>
          <w:szCs w:val="20"/>
        </w:rPr>
      </w:pPr>
      <w:r>
        <w:rPr>
          <w:sz w:val="20"/>
          <w:szCs w:val="20"/>
          <w:u w:val="single"/>
        </w:rPr>
        <w:t>RÉSUMÉ DE L’AFFAIRE</w:t>
      </w:r>
    </w:p>
    <w:p w:rsidR="00177474" w:rsidRDefault="00177474" w:rsidP="001774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11503" w:rsidRPr="000536FB" w:rsidTr="00366F6C">
        <w:tc>
          <w:tcPr>
            <w:tcW w:w="5000" w:type="pct"/>
            <w:gridSpan w:val="3"/>
          </w:tcPr>
          <w:p w:rsidR="00111503" w:rsidRPr="00AC598D" w:rsidRDefault="00111503" w:rsidP="00366F6C">
            <w:pPr>
              <w:jc w:val="both"/>
              <w:rPr>
                <w:sz w:val="20"/>
                <w:lang w:val="fr-CA"/>
              </w:rPr>
            </w:pPr>
            <w:r w:rsidRPr="00AC598D">
              <w:rPr>
                <w:i/>
                <w:sz w:val="20"/>
                <w:lang w:val="fr-CA"/>
              </w:rPr>
              <w:t>Charte des droits</w:t>
            </w:r>
            <w:r w:rsidRPr="00AC598D">
              <w:rPr>
                <w:sz w:val="20"/>
                <w:lang w:val="fr-CA"/>
              </w:rPr>
              <w:t xml:space="preserve"> — Droit à l’égalité — Jugements et ordonnances — Rejet de l’action — Les juridictions inférieures ont-elles eu tort d’ordonner au demandeur de déposer un cautionnement pour dépens avant de l’autoriser à poursuivre son action? — Les juridictions inférieures ont-elles conclu à tort qu’il faut rejeter son action pour cause de retard? — Les juridictions inférieures ont-elles conclu à tort qu’il n’y avait pas eu violation des droits garantis au demandeur par la </w:t>
            </w:r>
            <w:r w:rsidRPr="00AC598D">
              <w:rPr>
                <w:i/>
                <w:sz w:val="20"/>
                <w:lang w:val="fr-CA"/>
              </w:rPr>
              <w:t>Charte</w:t>
            </w:r>
            <w:r w:rsidRPr="00AC598D">
              <w:rPr>
                <w:sz w:val="20"/>
                <w:lang w:val="fr-CA"/>
              </w:rPr>
              <w:t xml:space="preserve">? </w:t>
            </w:r>
          </w:p>
          <w:p w:rsidR="00111503" w:rsidRPr="00AC598D" w:rsidRDefault="00111503" w:rsidP="00366F6C">
            <w:pPr>
              <w:jc w:val="both"/>
              <w:rPr>
                <w:sz w:val="20"/>
                <w:lang w:val="fr-CA"/>
              </w:rPr>
            </w:pPr>
          </w:p>
        </w:tc>
      </w:tr>
      <w:tr w:rsidR="00111503" w:rsidRPr="000536FB" w:rsidTr="00366F6C">
        <w:tc>
          <w:tcPr>
            <w:tcW w:w="5000" w:type="pct"/>
            <w:gridSpan w:val="3"/>
          </w:tcPr>
          <w:p w:rsidR="00111503" w:rsidRPr="00AC598D" w:rsidRDefault="00111503" w:rsidP="00366F6C">
            <w:pPr>
              <w:jc w:val="both"/>
              <w:rPr>
                <w:sz w:val="20"/>
                <w:lang w:val="fr-CA"/>
              </w:rPr>
            </w:pPr>
            <w:r w:rsidRPr="00AC598D">
              <w:rPr>
                <w:sz w:val="20"/>
                <w:lang w:val="fr-CA"/>
              </w:rPr>
              <w:t xml:space="preserve">M. Liu a intenté une action contre les intimés en 2007, alléguant qu’ils étaient responsables du vol d’un programme d’ordinateur dont il était propriétaire et qu’ils avaient violé son droit d’auteur ainsi que ses droits de propriété sur le programme et les technologies connexes, et violé des secrets industriels.  Il a aussi allégué que la GRC avait enquêté de façon négligente sur le prétendu vol.  En 2008, la requête du procureur général visant à faire rejeter sommairement l’action a été </w:t>
            </w:r>
            <w:proofErr w:type="gramStart"/>
            <w:r w:rsidRPr="00AC598D">
              <w:rPr>
                <w:sz w:val="20"/>
                <w:lang w:val="fr-CA"/>
              </w:rPr>
              <w:t>rejetée</w:t>
            </w:r>
            <w:proofErr w:type="gramEnd"/>
            <w:r w:rsidRPr="00AC598D">
              <w:rPr>
                <w:sz w:val="20"/>
                <w:lang w:val="fr-CA"/>
              </w:rPr>
              <w:t xml:space="preserve">, mais le tribunal a enjoint à M. Liu de déposer un cautionnement de 10 000 $ pour les dépens de la Couronne, et lui a interdit de prendre quelque démarche que ce soit dans l’instance, sauf interjeter appel de l’ordonnance de cautionnement pour dépens, avant la remise du cautionnement.  L’appel formé par M. Liu contre cette ordonnance a été rejeté le 24 novembre 2008.  M. Liu a présenté des observations lors d’une audience sur l’état de l’instance convoquée par le procureur général en vue de l’obliger à expliquer pourquoi son action ne doit pas être rejetée pour cause de retard. </w:t>
            </w:r>
          </w:p>
          <w:p w:rsidR="00111503" w:rsidRPr="00AC598D" w:rsidRDefault="00111503" w:rsidP="00366F6C">
            <w:pPr>
              <w:jc w:val="both"/>
              <w:rPr>
                <w:sz w:val="20"/>
                <w:lang w:val="fr-CA"/>
              </w:rPr>
            </w:pPr>
          </w:p>
        </w:tc>
      </w:tr>
      <w:tr w:rsidR="00111503" w:rsidRPr="00273521" w:rsidTr="00366F6C">
        <w:tc>
          <w:tcPr>
            <w:tcW w:w="2427" w:type="pct"/>
          </w:tcPr>
          <w:p w:rsidR="00111503" w:rsidRPr="00273521" w:rsidRDefault="00111503" w:rsidP="00366F6C">
            <w:pPr>
              <w:rPr>
                <w:sz w:val="20"/>
                <w:lang w:val="fr-CA"/>
              </w:rPr>
            </w:pPr>
            <w:r w:rsidRPr="00273521">
              <w:rPr>
                <w:sz w:val="20"/>
                <w:lang w:val="fr-CA"/>
              </w:rPr>
              <w:t>19 octobre 2009</w:t>
            </w:r>
          </w:p>
          <w:p w:rsidR="00111503" w:rsidRPr="00273521" w:rsidRDefault="00111503" w:rsidP="00366F6C">
            <w:pPr>
              <w:rPr>
                <w:sz w:val="20"/>
                <w:lang w:val="fr-CA"/>
              </w:rPr>
            </w:pPr>
            <w:r w:rsidRPr="00273521">
              <w:rPr>
                <w:sz w:val="20"/>
                <w:lang w:val="fr-CA"/>
              </w:rPr>
              <w:t>Cour fédérale</w:t>
            </w:r>
          </w:p>
          <w:p w:rsidR="00111503" w:rsidRPr="00273521" w:rsidRDefault="00111503" w:rsidP="00366F6C">
            <w:pPr>
              <w:rPr>
                <w:sz w:val="20"/>
                <w:lang w:val="fr-CA"/>
              </w:rPr>
            </w:pPr>
            <w:r w:rsidRPr="00273521">
              <w:rPr>
                <w:sz w:val="20"/>
                <w:lang w:val="fr-CA"/>
              </w:rPr>
              <w:t xml:space="preserve">(Protonotaire </w:t>
            </w:r>
            <w:proofErr w:type="spellStart"/>
            <w:r w:rsidRPr="00273521">
              <w:rPr>
                <w:sz w:val="20"/>
                <w:lang w:val="fr-CA"/>
              </w:rPr>
              <w:t>Lafrenière</w:t>
            </w:r>
            <w:proofErr w:type="spellEnd"/>
            <w:r w:rsidRPr="00273521">
              <w:rPr>
                <w:sz w:val="20"/>
                <w:lang w:val="fr-CA"/>
              </w:rPr>
              <w:t>)</w:t>
            </w:r>
          </w:p>
          <w:p w:rsidR="00111503" w:rsidRPr="00273521" w:rsidRDefault="00111503" w:rsidP="00366F6C">
            <w:pPr>
              <w:rPr>
                <w:sz w:val="20"/>
                <w:lang w:val="fr-CA"/>
              </w:rPr>
            </w:pPr>
          </w:p>
        </w:tc>
        <w:tc>
          <w:tcPr>
            <w:tcW w:w="243" w:type="pct"/>
          </w:tcPr>
          <w:p w:rsidR="00111503" w:rsidRPr="00273521" w:rsidRDefault="00111503" w:rsidP="00366F6C">
            <w:pPr>
              <w:rPr>
                <w:sz w:val="20"/>
                <w:lang w:val="fr-CA"/>
              </w:rPr>
            </w:pPr>
          </w:p>
        </w:tc>
        <w:tc>
          <w:tcPr>
            <w:tcW w:w="2330" w:type="pct"/>
          </w:tcPr>
          <w:p w:rsidR="00111503" w:rsidRPr="00AC598D" w:rsidRDefault="00111503" w:rsidP="00366F6C">
            <w:pPr>
              <w:rPr>
                <w:sz w:val="20"/>
                <w:lang w:val="fr-CA"/>
              </w:rPr>
            </w:pPr>
            <w:r w:rsidRPr="00AC598D">
              <w:rPr>
                <w:sz w:val="20"/>
                <w:lang w:val="fr-CA"/>
              </w:rPr>
              <w:t>Action du demandeur rejetée</w:t>
            </w:r>
          </w:p>
          <w:p w:rsidR="00111503" w:rsidRPr="00AC598D" w:rsidRDefault="00111503" w:rsidP="00366F6C">
            <w:pPr>
              <w:rPr>
                <w:sz w:val="20"/>
                <w:lang w:val="fr-CA"/>
              </w:rPr>
            </w:pPr>
          </w:p>
        </w:tc>
      </w:tr>
      <w:tr w:rsidR="00111503" w:rsidRPr="00273521" w:rsidTr="00366F6C">
        <w:tc>
          <w:tcPr>
            <w:tcW w:w="2427" w:type="pct"/>
          </w:tcPr>
          <w:p w:rsidR="00111503" w:rsidRPr="00273521" w:rsidRDefault="00111503" w:rsidP="00366F6C">
            <w:pPr>
              <w:rPr>
                <w:sz w:val="20"/>
                <w:lang w:val="fr-CA"/>
              </w:rPr>
            </w:pPr>
            <w:r w:rsidRPr="00273521">
              <w:rPr>
                <w:sz w:val="20"/>
                <w:lang w:val="fr-CA"/>
              </w:rPr>
              <w:t>25 novembre 2009</w:t>
            </w:r>
          </w:p>
          <w:p w:rsidR="00111503" w:rsidRPr="00273521" w:rsidRDefault="00111503" w:rsidP="00366F6C">
            <w:pPr>
              <w:rPr>
                <w:sz w:val="20"/>
                <w:lang w:val="fr-CA"/>
              </w:rPr>
            </w:pPr>
            <w:r w:rsidRPr="00273521">
              <w:rPr>
                <w:sz w:val="20"/>
                <w:lang w:val="fr-CA"/>
              </w:rPr>
              <w:t>Cour fédérale</w:t>
            </w:r>
          </w:p>
          <w:p w:rsidR="00111503" w:rsidRPr="00273521" w:rsidRDefault="00111503" w:rsidP="00366F6C">
            <w:pPr>
              <w:rPr>
                <w:sz w:val="20"/>
                <w:lang w:val="fr-FR"/>
              </w:rPr>
            </w:pPr>
            <w:r w:rsidRPr="00273521">
              <w:rPr>
                <w:sz w:val="20"/>
                <w:lang w:val="fr-CA"/>
              </w:rPr>
              <w:t>(</w:t>
            </w:r>
            <w:proofErr w:type="spellStart"/>
            <w:r w:rsidRPr="00273521">
              <w:rPr>
                <w:sz w:val="20"/>
                <w:lang w:val="fr-CA"/>
              </w:rPr>
              <w:t>Jug</w:t>
            </w:r>
            <w:proofErr w:type="spellEnd"/>
            <w:r w:rsidRPr="00273521">
              <w:rPr>
                <w:sz w:val="20"/>
                <w:lang w:val="fr-FR"/>
              </w:rPr>
              <w:t>e De Montigny)</w:t>
            </w:r>
          </w:p>
          <w:p w:rsidR="00111503" w:rsidRPr="00273521" w:rsidRDefault="00111503" w:rsidP="00366F6C">
            <w:pPr>
              <w:rPr>
                <w:sz w:val="20"/>
                <w:lang w:val="fr-FR"/>
              </w:rPr>
            </w:pPr>
          </w:p>
        </w:tc>
        <w:tc>
          <w:tcPr>
            <w:tcW w:w="243" w:type="pct"/>
          </w:tcPr>
          <w:p w:rsidR="00111503" w:rsidRPr="00273521" w:rsidRDefault="00111503" w:rsidP="00366F6C">
            <w:pPr>
              <w:rPr>
                <w:sz w:val="20"/>
                <w:lang w:val="fr-FR"/>
              </w:rPr>
            </w:pPr>
          </w:p>
        </w:tc>
        <w:tc>
          <w:tcPr>
            <w:tcW w:w="2330" w:type="pct"/>
          </w:tcPr>
          <w:p w:rsidR="00111503" w:rsidRPr="00AC598D" w:rsidRDefault="00111503" w:rsidP="00366F6C">
            <w:pPr>
              <w:rPr>
                <w:sz w:val="20"/>
                <w:lang w:val="fr-CA"/>
              </w:rPr>
            </w:pPr>
            <w:r w:rsidRPr="00AC598D">
              <w:rPr>
                <w:sz w:val="20"/>
                <w:lang w:val="fr-CA"/>
              </w:rPr>
              <w:t>Requête rejetée</w:t>
            </w:r>
          </w:p>
          <w:p w:rsidR="00111503" w:rsidRPr="00AC598D" w:rsidRDefault="00111503" w:rsidP="00366F6C">
            <w:pPr>
              <w:rPr>
                <w:sz w:val="20"/>
                <w:lang w:val="fr-CA"/>
              </w:rPr>
            </w:pPr>
          </w:p>
        </w:tc>
      </w:tr>
      <w:tr w:rsidR="00111503" w:rsidRPr="00273521" w:rsidTr="00366F6C">
        <w:tc>
          <w:tcPr>
            <w:tcW w:w="2427" w:type="pct"/>
          </w:tcPr>
          <w:p w:rsidR="00111503" w:rsidRPr="00273521" w:rsidRDefault="00111503" w:rsidP="00366F6C">
            <w:pPr>
              <w:rPr>
                <w:sz w:val="20"/>
                <w:lang w:val="fr-FR"/>
              </w:rPr>
            </w:pPr>
            <w:r w:rsidRPr="00273521">
              <w:rPr>
                <w:sz w:val="20"/>
                <w:lang w:val="fr-FR"/>
              </w:rPr>
              <w:t>2 décembre 2010</w:t>
            </w:r>
          </w:p>
          <w:p w:rsidR="00111503" w:rsidRPr="00273521" w:rsidRDefault="00111503" w:rsidP="00366F6C">
            <w:pPr>
              <w:rPr>
                <w:sz w:val="20"/>
                <w:lang w:val="fr-FR"/>
              </w:rPr>
            </w:pPr>
            <w:r w:rsidRPr="00273521">
              <w:rPr>
                <w:sz w:val="20"/>
                <w:lang w:val="fr-FR"/>
              </w:rPr>
              <w:t xml:space="preserve">Cour d’appel fédérale </w:t>
            </w:r>
          </w:p>
          <w:p w:rsidR="00111503" w:rsidRPr="00273521" w:rsidRDefault="00111503" w:rsidP="00366F6C">
            <w:pPr>
              <w:rPr>
                <w:sz w:val="20"/>
                <w:lang w:val="fr-FR"/>
              </w:rPr>
            </w:pPr>
            <w:r w:rsidRPr="00273521">
              <w:rPr>
                <w:sz w:val="20"/>
                <w:lang w:val="fr-FR"/>
              </w:rPr>
              <w:t xml:space="preserve">(Juges Dawson, </w:t>
            </w:r>
            <w:proofErr w:type="spellStart"/>
            <w:r w:rsidRPr="00273521">
              <w:rPr>
                <w:sz w:val="20"/>
                <w:lang w:val="fr-FR"/>
              </w:rPr>
              <w:t>Layden</w:t>
            </w:r>
            <w:proofErr w:type="spellEnd"/>
            <w:r w:rsidRPr="00273521">
              <w:rPr>
                <w:sz w:val="20"/>
                <w:lang w:val="fr-FR"/>
              </w:rPr>
              <w:t xml:space="preserve">-Stevenson </w:t>
            </w:r>
          </w:p>
          <w:p w:rsidR="00111503" w:rsidRPr="00273521" w:rsidRDefault="00111503" w:rsidP="00366F6C">
            <w:pPr>
              <w:rPr>
                <w:sz w:val="20"/>
              </w:rPr>
            </w:pPr>
            <w:r w:rsidRPr="00273521">
              <w:rPr>
                <w:sz w:val="20"/>
              </w:rPr>
              <w:t xml:space="preserve">et </w:t>
            </w:r>
            <w:proofErr w:type="spellStart"/>
            <w:r w:rsidRPr="00273521">
              <w:rPr>
                <w:sz w:val="20"/>
              </w:rPr>
              <w:t>Mainville</w:t>
            </w:r>
            <w:proofErr w:type="spellEnd"/>
            <w:r w:rsidRPr="00273521">
              <w:rPr>
                <w:sz w:val="20"/>
              </w:rPr>
              <w:t>)</w:t>
            </w:r>
          </w:p>
          <w:p w:rsidR="00111503" w:rsidRPr="00273521" w:rsidRDefault="00111503" w:rsidP="00366F6C">
            <w:pPr>
              <w:rPr>
                <w:sz w:val="20"/>
              </w:rPr>
            </w:pPr>
          </w:p>
        </w:tc>
        <w:tc>
          <w:tcPr>
            <w:tcW w:w="243" w:type="pct"/>
          </w:tcPr>
          <w:p w:rsidR="00111503" w:rsidRPr="00273521" w:rsidRDefault="00111503" w:rsidP="00366F6C">
            <w:pPr>
              <w:rPr>
                <w:sz w:val="20"/>
              </w:rPr>
            </w:pPr>
          </w:p>
        </w:tc>
        <w:tc>
          <w:tcPr>
            <w:tcW w:w="2330" w:type="pct"/>
          </w:tcPr>
          <w:p w:rsidR="00111503" w:rsidRPr="00AC598D" w:rsidRDefault="00111503" w:rsidP="00366F6C">
            <w:pPr>
              <w:rPr>
                <w:sz w:val="20"/>
                <w:lang w:val="fr-CA"/>
              </w:rPr>
            </w:pPr>
            <w:r w:rsidRPr="00AC598D">
              <w:rPr>
                <w:sz w:val="20"/>
                <w:lang w:val="fr-CA"/>
              </w:rPr>
              <w:t>Appel rejeté</w:t>
            </w:r>
          </w:p>
          <w:p w:rsidR="00111503" w:rsidRPr="00AC598D" w:rsidRDefault="00111503" w:rsidP="00366F6C">
            <w:pPr>
              <w:rPr>
                <w:sz w:val="20"/>
                <w:lang w:val="fr-CA"/>
              </w:rPr>
            </w:pPr>
          </w:p>
        </w:tc>
      </w:tr>
      <w:tr w:rsidR="00111503" w:rsidRPr="00273521" w:rsidTr="00366F6C">
        <w:tc>
          <w:tcPr>
            <w:tcW w:w="2427" w:type="pct"/>
          </w:tcPr>
          <w:p w:rsidR="00111503" w:rsidRPr="00273521" w:rsidRDefault="00111503" w:rsidP="00366F6C">
            <w:pPr>
              <w:rPr>
                <w:sz w:val="20"/>
              </w:rPr>
            </w:pPr>
            <w:r w:rsidRPr="00273521">
              <w:rPr>
                <w:sz w:val="20"/>
              </w:rPr>
              <w:t xml:space="preserve">27 </w:t>
            </w:r>
            <w:proofErr w:type="spellStart"/>
            <w:r w:rsidRPr="00273521">
              <w:rPr>
                <w:sz w:val="20"/>
              </w:rPr>
              <w:t>janvier</w:t>
            </w:r>
            <w:proofErr w:type="spellEnd"/>
            <w:r w:rsidRPr="00273521">
              <w:rPr>
                <w:sz w:val="20"/>
              </w:rPr>
              <w:t xml:space="preserve"> 2011</w:t>
            </w:r>
          </w:p>
          <w:p w:rsidR="00111503" w:rsidRPr="00273521" w:rsidRDefault="00111503" w:rsidP="00366F6C">
            <w:pPr>
              <w:rPr>
                <w:sz w:val="20"/>
              </w:rPr>
            </w:pPr>
            <w:proofErr w:type="spellStart"/>
            <w:r w:rsidRPr="00273521">
              <w:rPr>
                <w:sz w:val="20"/>
              </w:rPr>
              <w:t>Cour</w:t>
            </w:r>
            <w:proofErr w:type="spellEnd"/>
            <w:r w:rsidRPr="00273521">
              <w:rPr>
                <w:sz w:val="20"/>
              </w:rPr>
              <w:t xml:space="preserve"> </w:t>
            </w:r>
            <w:proofErr w:type="spellStart"/>
            <w:r w:rsidRPr="00273521">
              <w:rPr>
                <w:sz w:val="20"/>
              </w:rPr>
              <w:t>suprême</w:t>
            </w:r>
            <w:proofErr w:type="spellEnd"/>
            <w:r w:rsidRPr="00273521">
              <w:rPr>
                <w:sz w:val="20"/>
              </w:rPr>
              <w:t xml:space="preserve"> du Canada</w:t>
            </w:r>
          </w:p>
          <w:p w:rsidR="00111503" w:rsidRPr="00273521" w:rsidRDefault="00111503" w:rsidP="00366F6C">
            <w:pPr>
              <w:rPr>
                <w:sz w:val="20"/>
              </w:rPr>
            </w:pPr>
          </w:p>
        </w:tc>
        <w:tc>
          <w:tcPr>
            <w:tcW w:w="243" w:type="pct"/>
          </w:tcPr>
          <w:p w:rsidR="00111503" w:rsidRPr="00273521" w:rsidRDefault="00111503" w:rsidP="00366F6C">
            <w:pPr>
              <w:rPr>
                <w:sz w:val="20"/>
              </w:rPr>
            </w:pPr>
          </w:p>
        </w:tc>
        <w:tc>
          <w:tcPr>
            <w:tcW w:w="2330" w:type="pct"/>
          </w:tcPr>
          <w:p w:rsidR="00111503" w:rsidRPr="00AC598D" w:rsidRDefault="00111503" w:rsidP="00366F6C">
            <w:pPr>
              <w:rPr>
                <w:sz w:val="20"/>
                <w:lang w:val="fr-CA"/>
              </w:rPr>
            </w:pPr>
            <w:r w:rsidRPr="00AC598D">
              <w:rPr>
                <w:sz w:val="20"/>
                <w:lang w:val="fr-CA"/>
              </w:rPr>
              <w:t>Demande d’autorisation d’appel déposée</w:t>
            </w:r>
          </w:p>
          <w:p w:rsidR="00111503" w:rsidRPr="00AC598D" w:rsidRDefault="00111503" w:rsidP="00366F6C">
            <w:pPr>
              <w:rPr>
                <w:sz w:val="20"/>
                <w:lang w:val="fr-CA"/>
              </w:rPr>
            </w:pPr>
          </w:p>
        </w:tc>
      </w:tr>
      <w:tr w:rsidR="00111503" w:rsidRPr="000536FB" w:rsidTr="00366F6C">
        <w:tc>
          <w:tcPr>
            <w:tcW w:w="2427" w:type="pct"/>
          </w:tcPr>
          <w:p w:rsidR="00111503" w:rsidRPr="00273521" w:rsidRDefault="00111503" w:rsidP="00366F6C">
            <w:pPr>
              <w:rPr>
                <w:sz w:val="20"/>
                <w:lang w:val="fr-FR"/>
              </w:rPr>
            </w:pPr>
            <w:r w:rsidRPr="00273521">
              <w:rPr>
                <w:sz w:val="20"/>
                <w:lang w:val="fr-FR"/>
              </w:rPr>
              <w:t>1</w:t>
            </w:r>
            <w:r w:rsidRPr="00273521">
              <w:rPr>
                <w:sz w:val="20"/>
                <w:vertAlign w:val="superscript"/>
                <w:lang w:val="fr-FR"/>
              </w:rPr>
              <w:t>er</w:t>
            </w:r>
            <w:r w:rsidRPr="00273521">
              <w:rPr>
                <w:sz w:val="20"/>
                <w:lang w:val="fr-FR"/>
              </w:rPr>
              <w:t xml:space="preserve"> avril 2011</w:t>
            </w:r>
          </w:p>
          <w:p w:rsidR="00111503" w:rsidRPr="00273521" w:rsidRDefault="00111503" w:rsidP="00366F6C">
            <w:pPr>
              <w:rPr>
                <w:sz w:val="20"/>
                <w:lang w:val="fr-FR"/>
              </w:rPr>
            </w:pPr>
            <w:r w:rsidRPr="00273521">
              <w:rPr>
                <w:sz w:val="20"/>
                <w:lang w:val="fr-FR"/>
              </w:rPr>
              <w:t>Cour suprême du Canada</w:t>
            </w:r>
          </w:p>
        </w:tc>
        <w:tc>
          <w:tcPr>
            <w:tcW w:w="243" w:type="pct"/>
          </w:tcPr>
          <w:p w:rsidR="00111503" w:rsidRPr="00273521" w:rsidRDefault="00111503" w:rsidP="00366F6C">
            <w:pPr>
              <w:rPr>
                <w:sz w:val="20"/>
                <w:lang w:val="fr-FR"/>
              </w:rPr>
            </w:pPr>
          </w:p>
        </w:tc>
        <w:tc>
          <w:tcPr>
            <w:tcW w:w="2330" w:type="pct"/>
          </w:tcPr>
          <w:p w:rsidR="00111503" w:rsidRPr="00AC598D" w:rsidRDefault="00111503" w:rsidP="00366F6C">
            <w:pPr>
              <w:jc w:val="both"/>
              <w:rPr>
                <w:sz w:val="20"/>
                <w:lang w:val="fr-CA"/>
              </w:rPr>
            </w:pPr>
            <w:r w:rsidRPr="00AC598D">
              <w:rPr>
                <w:sz w:val="20"/>
                <w:lang w:val="fr-CA"/>
              </w:rPr>
              <w:t xml:space="preserve">Requête en prorogation du délai pour déposer la demande d’autorisation d’appel et la réponse et les signifier à </w:t>
            </w:r>
            <w:proofErr w:type="spellStart"/>
            <w:r w:rsidRPr="00AC598D">
              <w:rPr>
                <w:sz w:val="20"/>
                <w:lang w:val="fr-CA"/>
              </w:rPr>
              <w:t>Matrikon</w:t>
            </w:r>
            <w:proofErr w:type="spellEnd"/>
            <w:r w:rsidRPr="00AC598D">
              <w:rPr>
                <w:sz w:val="20"/>
                <w:lang w:val="fr-CA"/>
              </w:rPr>
              <w:t xml:space="preserve"> Inc. et à </w:t>
            </w:r>
            <w:proofErr w:type="spellStart"/>
            <w:r w:rsidRPr="00AC598D">
              <w:rPr>
                <w:sz w:val="20"/>
                <w:lang w:val="fr-CA"/>
              </w:rPr>
              <w:t>Nizar</w:t>
            </w:r>
            <w:proofErr w:type="spellEnd"/>
            <w:r w:rsidRPr="00AC598D">
              <w:rPr>
                <w:sz w:val="20"/>
                <w:lang w:val="fr-CA"/>
              </w:rPr>
              <w:t xml:space="preserve"> </w:t>
            </w:r>
            <w:proofErr w:type="spellStart"/>
            <w:r w:rsidRPr="00AC598D">
              <w:rPr>
                <w:sz w:val="20"/>
                <w:lang w:val="fr-CA"/>
              </w:rPr>
              <w:t>Somji</w:t>
            </w:r>
            <w:proofErr w:type="spellEnd"/>
          </w:p>
        </w:tc>
      </w:tr>
    </w:tbl>
    <w:p w:rsidR="00177474" w:rsidRPr="00111503" w:rsidRDefault="00177474" w:rsidP="00177474">
      <w:pPr>
        <w:rPr>
          <w:sz w:val="20"/>
          <w:szCs w:val="20"/>
          <w:lang w:val="fr-CA"/>
        </w:rPr>
      </w:pPr>
    </w:p>
    <w:p w:rsidR="00177474" w:rsidRDefault="009E364E" w:rsidP="00177474">
      <w:pPr>
        <w:rPr>
          <w:sz w:val="20"/>
          <w:szCs w:val="20"/>
          <w:lang w:val="fr-CA"/>
        </w:rPr>
      </w:pPr>
      <w:r w:rsidRPr="009E364E">
        <w:rPr>
          <w:sz w:val="20"/>
          <w:szCs w:val="20"/>
          <w:lang w:val="fr-CA"/>
        </w:rPr>
        <w:pict>
          <v:rect id="_x0000_i1051" style="width:2in;height:1pt" o:hrpct="0" o:hralign="center" o:hrstd="t" o:hrnoshade="t" o:hr="t" fillcolor="black [3213]" stroked="f"/>
        </w:pict>
      </w:r>
    </w:p>
    <w:p w:rsidR="00177474" w:rsidRDefault="00177474" w:rsidP="00177474">
      <w:pPr>
        <w:rPr>
          <w:sz w:val="20"/>
          <w:szCs w:val="20"/>
          <w:lang w:val="fr-CA"/>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62192" w:rsidRPr="00962192" w:rsidTr="00C17A52">
        <w:trPr>
          <w:cantSplit/>
        </w:trPr>
        <w:tc>
          <w:tcPr>
            <w:tcW w:w="1458" w:type="dxa"/>
          </w:tcPr>
          <w:p w:rsidR="00962192" w:rsidRPr="00962192" w:rsidRDefault="00962192" w:rsidP="00962192">
            <w:pPr>
              <w:rPr>
                <w:rFonts w:cs="Times New Roman"/>
                <w:sz w:val="20"/>
                <w:szCs w:val="20"/>
              </w:rPr>
            </w:pPr>
            <w:r w:rsidRPr="00962192">
              <w:rPr>
                <w:rFonts w:cs="Times New Roman"/>
                <w:b/>
                <w:sz w:val="20"/>
                <w:lang w:val="fr-CA"/>
              </w:rPr>
              <w:lastRenderedPageBreak/>
              <w:t>34142</w:t>
            </w:r>
          </w:p>
          <w:p w:rsidR="00962192" w:rsidRPr="00962192" w:rsidRDefault="00962192" w:rsidP="00962192">
            <w:pPr>
              <w:rPr>
                <w:rFonts w:cs="Times New Roman"/>
                <w:b/>
                <w:sz w:val="20"/>
                <w:szCs w:val="20"/>
                <w:lang w:val="fr-CA"/>
              </w:rPr>
            </w:pPr>
          </w:p>
        </w:tc>
        <w:tc>
          <w:tcPr>
            <w:tcW w:w="8118" w:type="dxa"/>
          </w:tcPr>
          <w:p w:rsidR="00962192" w:rsidRPr="00962192" w:rsidRDefault="00962192" w:rsidP="00962192">
            <w:pPr>
              <w:jc w:val="both"/>
              <w:rPr>
                <w:rFonts w:cs="Times New Roman"/>
                <w:sz w:val="20"/>
                <w:szCs w:val="20"/>
              </w:rPr>
            </w:pPr>
            <w:r w:rsidRPr="00962192">
              <w:rPr>
                <w:rFonts w:cs="Times New Roman"/>
                <w:b/>
                <w:sz w:val="20"/>
                <w:u w:val="single"/>
              </w:rPr>
              <w:t xml:space="preserve">Hershey Company, Hershey Canada Inc., Mars, Incorporated, Mars Canada Inc. (formerly known as </w:t>
            </w:r>
            <w:proofErr w:type="spellStart"/>
            <w:r w:rsidRPr="00962192">
              <w:rPr>
                <w:rFonts w:cs="Times New Roman"/>
                <w:b/>
                <w:sz w:val="20"/>
                <w:u w:val="single"/>
              </w:rPr>
              <w:t>Effem</w:t>
            </w:r>
            <w:proofErr w:type="spellEnd"/>
            <w:r w:rsidRPr="00962192">
              <w:rPr>
                <w:rFonts w:cs="Times New Roman"/>
                <w:b/>
                <w:sz w:val="20"/>
                <w:u w:val="single"/>
              </w:rPr>
              <w:t xml:space="preserve"> Inc.)</w:t>
            </w:r>
            <w:r>
              <w:rPr>
                <w:rFonts w:cs="Times New Roman"/>
                <w:b/>
                <w:sz w:val="20"/>
                <w:u w:val="single"/>
              </w:rPr>
              <w:t xml:space="preserve"> and</w:t>
            </w:r>
            <w:r w:rsidRPr="00962192">
              <w:rPr>
                <w:rFonts w:cs="Times New Roman"/>
                <w:b/>
                <w:sz w:val="20"/>
                <w:u w:val="single"/>
              </w:rPr>
              <w:t xml:space="preserve"> Nestlé Canada Inc. v. Jacob Stuart Main, Cadbury Schweppes PLC, Cadbury Adams Canada Inc.</w:t>
            </w:r>
            <w:r>
              <w:rPr>
                <w:rFonts w:cs="Times New Roman"/>
                <w:b/>
                <w:sz w:val="20"/>
                <w:u w:val="single"/>
              </w:rPr>
              <w:t xml:space="preserve"> and</w:t>
            </w:r>
            <w:r w:rsidRPr="00962192">
              <w:rPr>
                <w:rFonts w:cs="Times New Roman"/>
                <w:b/>
                <w:sz w:val="20"/>
                <w:u w:val="single"/>
              </w:rPr>
              <w:t xml:space="preserve"> </w:t>
            </w:r>
            <w:proofErr w:type="spellStart"/>
            <w:r w:rsidRPr="00962192">
              <w:rPr>
                <w:rFonts w:cs="Times New Roman"/>
                <w:b/>
                <w:sz w:val="20"/>
                <w:u w:val="single"/>
              </w:rPr>
              <w:t>Itwal</w:t>
            </w:r>
            <w:proofErr w:type="spellEnd"/>
            <w:r w:rsidRPr="00962192">
              <w:rPr>
                <w:rFonts w:cs="Times New Roman"/>
                <w:b/>
                <w:sz w:val="20"/>
                <w:u w:val="single"/>
              </w:rPr>
              <w:t xml:space="preserve"> Limited</w:t>
            </w:r>
            <w:r w:rsidRPr="00962192">
              <w:rPr>
                <w:rFonts w:cs="Times New Roman"/>
                <w:sz w:val="20"/>
                <w:szCs w:val="20"/>
              </w:rPr>
              <w:t xml:space="preserve"> (B.C.) (Civil) (By Leave)</w:t>
            </w:r>
          </w:p>
          <w:p w:rsidR="00962192" w:rsidRPr="00962192" w:rsidRDefault="00962192" w:rsidP="00962192">
            <w:pPr>
              <w:rPr>
                <w:rFonts w:cs="Times New Roman"/>
                <w:sz w:val="20"/>
                <w:szCs w:val="20"/>
              </w:rPr>
            </w:pPr>
          </w:p>
        </w:tc>
      </w:tr>
      <w:tr w:rsidR="00962192" w:rsidRPr="00962192" w:rsidTr="00C17A52">
        <w:trPr>
          <w:cantSplit/>
        </w:trPr>
        <w:tc>
          <w:tcPr>
            <w:tcW w:w="1458" w:type="dxa"/>
          </w:tcPr>
          <w:p w:rsidR="00962192" w:rsidRPr="00962192" w:rsidRDefault="00962192" w:rsidP="00962192">
            <w:pPr>
              <w:rPr>
                <w:rFonts w:cs="Times New Roman"/>
                <w:sz w:val="20"/>
                <w:szCs w:val="20"/>
              </w:rPr>
            </w:pPr>
            <w:r w:rsidRPr="00962192">
              <w:rPr>
                <w:rFonts w:cs="Times New Roman"/>
                <w:sz w:val="20"/>
                <w:szCs w:val="20"/>
              </w:rPr>
              <w:t>Coram :</w:t>
            </w:r>
          </w:p>
        </w:tc>
        <w:tc>
          <w:tcPr>
            <w:tcW w:w="8118" w:type="dxa"/>
          </w:tcPr>
          <w:p w:rsidR="00962192" w:rsidRPr="00962192" w:rsidRDefault="00962192" w:rsidP="00962192">
            <w:pPr>
              <w:rPr>
                <w:rFonts w:cs="Times New Roman"/>
                <w:sz w:val="20"/>
                <w:szCs w:val="20"/>
              </w:rPr>
            </w:pPr>
            <w:proofErr w:type="spellStart"/>
            <w:r w:rsidRPr="00962192">
              <w:rPr>
                <w:rFonts w:cs="Times New Roman"/>
                <w:sz w:val="20"/>
                <w:u w:val="single"/>
              </w:rPr>
              <w:t>LeBel</w:t>
            </w:r>
            <w:proofErr w:type="spellEnd"/>
            <w:r w:rsidRPr="00962192">
              <w:rPr>
                <w:rFonts w:cs="Times New Roman"/>
                <w:sz w:val="20"/>
                <w:u w:val="single"/>
              </w:rPr>
              <w:t>, Fish and Cromwell JJ.</w:t>
            </w:r>
          </w:p>
          <w:p w:rsidR="00962192" w:rsidRPr="00962192" w:rsidRDefault="00962192" w:rsidP="00962192">
            <w:pPr>
              <w:rPr>
                <w:rFonts w:cs="Times New Roman"/>
                <w:sz w:val="20"/>
                <w:szCs w:val="20"/>
                <w:u w:val="single"/>
              </w:rPr>
            </w:pPr>
          </w:p>
        </w:tc>
      </w:tr>
      <w:tr w:rsidR="00962192" w:rsidRPr="00962192" w:rsidTr="00C17A52">
        <w:trPr>
          <w:cantSplit/>
        </w:trPr>
        <w:tc>
          <w:tcPr>
            <w:tcW w:w="9576" w:type="dxa"/>
            <w:gridSpan w:val="2"/>
          </w:tcPr>
          <w:p w:rsidR="00962192" w:rsidRPr="00962192" w:rsidRDefault="00962192" w:rsidP="00962192">
            <w:pPr>
              <w:ind w:firstLine="720"/>
              <w:jc w:val="both"/>
              <w:rPr>
                <w:rFonts w:cs="Times New Roman"/>
                <w:sz w:val="20"/>
                <w:szCs w:val="20"/>
              </w:rPr>
            </w:pPr>
            <w:r w:rsidRPr="00962192">
              <w:rPr>
                <w:rFonts w:cs="Times New Roman"/>
                <w:sz w:val="20"/>
                <w:szCs w:val="20"/>
              </w:rPr>
              <w:t>The application for leave to appeal from the judgment of the Court of Appeal for British Columbia (Vancouver), Number CA038259, 2011 BCCA 21, dated January 18, 2011, is dismissed with costs.</w:t>
            </w:r>
          </w:p>
          <w:p w:rsidR="00962192" w:rsidRPr="00962192" w:rsidRDefault="00962192" w:rsidP="00962192">
            <w:pPr>
              <w:jc w:val="both"/>
              <w:rPr>
                <w:rFonts w:cs="Times New Roman"/>
                <w:sz w:val="20"/>
                <w:szCs w:val="20"/>
              </w:rPr>
            </w:pPr>
          </w:p>
          <w:p w:rsidR="00962192" w:rsidRPr="00962192" w:rsidRDefault="00962192" w:rsidP="00962192">
            <w:pPr>
              <w:ind w:firstLine="720"/>
              <w:jc w:val="both"/>
              <w:rPr>
                <w:rFonts w:cs="Times New Roman"/>
                <w:sz w:val="20"/>
                <w:szCs w:val="20"/>
                <w:lang w:val="fr-CA"/>
              </w:rPr>
            </w:pPr>
            <w:r w:rsidRPr="00962192">
              <w:rPr>
                <w:rFonts w:cs="Times New Roman"/>
                <w:sz w:val="20"/>
                <w:szCs w:val="20"/>
                <w:lang w:val="fr-CA"/>
              </w:rPr>
              <w:t>La demande d’autorisation d’appel de l’arrêt de la Cour d’appel de la Colombie-Britannique (Vancouver), numéro CA038259, 2011 BCCA 21, daté du 18 janvier 2011, est rejetée avec dépens.</w:t>
            </w:r>
          </w:p>
        </w:tc>
      </w:tr>
    </w:tbl>
    <w:p w:rsidR="00177474" w:rsidRPr="00962192" w:rsidRDefault="00177474" w:rsidP="00177474">
      <w:pPr>
        <w:rPr>
          <w:sz w:val="20"/>
          <w:szCs w:val="20"/>
          <w:lang w:val="fr-CA"/>
        </w:rPr>
      </w:pPr>
    </w:p>
    <w:p w:rsidR="00177474" w:rsidRPr="00177474" w:rsidRDefault="00177474" w:rsidP="00177474">
      <w:pPr>
        <w:rPr>
          <w:sz w:val="20"/>
          <w:szCs w:val="20"/>
        </w:rPr>
      </w:pPr>
      <w:r>
        <w:rPr>
          <w:sz w:val="20"/>
          <w:szCs w:val="20"/>
          <w:u w:val="single"/>
        </w:rPr>
        <w:t>CASE SUMMARY</w:t>
      </w:r>
    </w:p>
    <w:p w:rsidR="00177474" w:rsidRDefault="00177474" w:rsidP="001774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C598D" w:rsidRPr="00273521" w:rsidTr="00366F6C">
        <w:tc>
          <w:tcPr>
            <w:tcW w:w="5000" w:type="pct"/>
            <w:gridSpan w:val="3"/>
          </w:tcPr>
          <w:p w:rsidR="00AC598D" w:rsidRPr="00273521" w:rsidRDefault="00AC598D" w:rsidP="00366F6C">
            <w:pPr>
              <w:jc w:val="both"/>
              <w:rPr>
                <w:rFonts w:eastAsia="Calibri"/>
                <w:sz w:val="20"/>
              </w:rPr>
            </w:pPr>
            <w:r w:rsidRPr="00273521">
              <w:rPr>
                <w:rFonts w:eastAsia="Calibri"/>
                <w:sz w:val="20"/>
              </w:rPr>
              <w:t xml:space="preserve">Class actions — Partial settlement — Approval of settlement agreement — Bar Order — Whether contribution and indemnity is available to </w:t>
            </w:r>
            <w:proofErr w:type="spellStart"/>
            <w:r w:rsidRPr="00273521">
              <w:rPr>
                <w:rFonts w:eastAsia="Calibri"/>
                <w:sz w:val="20"/>
              </w:rPr>
              <w:t>co</w:t>
            </w:r>
            <w:r w:rsidRPr="00273521">
              <w:rPr>
                <w:rFonts w:eastAsia="Calibri"/>
                <w:sz w:val="20"/>
              </w:rPr>
              <w:noBreakHyphen/>
              <w:t>conspirators</w:t>
            </w:r>
            <w:proofErr w:type="spellEnd"/>
            <w:r w:rsidRPr="00273521">
              <w:rPr>
                <w:rFonts w:eastAsia="Calibri"/>
                <w:sz w:val="20"/>
              </w:rPr>
              <w:t xml:space="preserve"> in Canada — Bar order provides that, if the Court determines that there is a right of contribution and indemnity, the plaintiff class cannot claim or recover damages attributable to settling defendants from the </w:t>
            </w:r>
            <w:proofErr w:type="spellStart"/>
            <w:r w:rsidRPr="00273521">
              <w:rPr>
                <w:rFonts w:eastAsia="Calibri"/>
                <w:sz w:val="20"/>
              </w:rPr>
              <w:t>non</w:t>
            </w:r>
            <w:r w:rsidRPr="00273521">
              <w:rPr>
                <w:rFonts w:eastAsia="Calibri"/>
                <w:sz w:val="20"/>
              </w:rPr>
              <w:noBreakHyphen/>
              <w:t>settling</w:t>
            </w:r>
            <w:proofErr w:type="spellEnd"/>
            <w:r w:rsidRPr="00273521">
              <w:rPr>
                <w:rFonts w:eastAsia="Calibri"/>
                <w:sz w:val="20"/>
              </w:rPr>
              <w:t xml:space="preserve"> defendants — What should be the appropriate model for Bar Orders in Canada — Where is the constitutional juridical, and tortuous intersection between provincial and Federal statutes — Putting a stop to comparison shopping for forums in Canada.</w:t>
            </w:r>
          </w:p>
        </w:tc>
      </w:tr>
      <w:tr w:rsidR="00AC598D" w:rsidRPr="00273521" w:rsidTr="00366F6C">
        <w:tc>
          <w:tcPr>
            <w:tcW w:w="5000" w:type="pct"/>
            <w:gridSpan w:val="3"/>
          </w:tcPr>
          <w:p w:rsidR="00AC598D" w:rsidRPr="00273521" w:rsidRDefault="00AC598D" w:rsidP="00366F6C">
            <w:pPr>
              <w:jc w:val="both"/>
              <w:rPr>
                <w:rFonts w:eastAsia="Calibri"/>
                <w:sz w:val="20"/>
              </w:rPr>
            </w:pPr>
          </w:p>
        </w:tc>
      </w:tr>
      <w:tr w:rsidR="00AC598D" w:rsidRPr="00273521" w:rsidTr="00366F6C">
        <w:tc>
          <w:tcPr>
            <w:tcW w:w="5000" w:type="pct"/>
            <w:gridSpan w:val="3"/>
          </w:tcPr>
          <w:p w:rsidR="00AC598D" w:rsidRPr="00273521" w:rsidRDefault="00AC598D" w:rsidP="00366F6C">
            <w:pPr>
              <w:jc w:val="both"/>
              <w:rPr>
                <w:rFonts w:eastAsia="Calibri"/>
                <w:sz w:val="20"/>
              </w:rPr>
            </w:pPr>
            <w:r w:rsidRPr="00273521">
              <w:rPr>
                <w:rFonts w:eastAsia="Calibri"/>
                <w:sz w:val="20"/>
              </w:rPr>
              <w:t>A class action alleged that four chocolate manufacturers (Cadbury, Hershey, Mars and Nestle) conspired to fix, and did fix, maintain or stabilize prices of chocolate confectionary products in Canada and that a chocolate distributor (</w:t>
            </w:r>
            <w:proofErr w:type="spellStart"/>
            <w:r w:rsidRPr="00273521">
              <w:rPr>
                <w:rFonts w:eastAsia="Calibri"/>
                <w:sz w:val="20"/>
              </w:rPr>
              <w:t>Itwal</w:t>
            </w:r>
            <w:proofErr w:type="spellEnd"/>
            <w:r w:rsidRPr="00273521">
              <w:rPr>
                <w:rFonts w:eastAsia="Calibri"/>
                <w:sz w:val="20"/>
              </w:rPr>
              <w:t xml:space="preserve"> Limited) engaged in price maintenance.  The causes of action were the intentional torts of conspiracy and interference with economic relations, and a statutory claim for damages under s. 36 of the </w:t>
            </w:r>
            <w:r w:rsidRPr="00273521">
              <w:rPr>
                <w:rFonts w:eastAsia="Calibri"/>
                <w:i/>
                <w:sz w:val="20"/>
              </w:rPr>
              <w:t>Competition Act</w:t>
            </w:r>
            <w:r w:rsidRPr="00273521">
              <w:rPr>
                <w:rFonts w:eastAsia="Calibri"/>
                <w:sz w:val="20"/>
              </w:rPr>
              <w:t>, R.S. 1985, c. C</w:t>
            </w:r>
            <w:r w:rsidRPr="00273521">
              <w:rPr>
                <w:rFonts w:eastAsia="Calibri"/>
                <w:sz w:val="20"/>
              </w:rPr>
              <w:noBreakHyphen/>
              <w:t>34, for conduct contrary to Part VI of that Act.</w:t>
            </w:r>
          </w:p>
          <w:p w:rsidR="00AC598D" w:rsidRPr="00273521" w:rsidRDefault="00AC598D" w:rsidP="00366F6C">
            <w:pPr>
              <w:jc w:val="both"/>
              <w:rPr>
                <w:rFonts w:eastAsia="Calibri"/>
                <w:sz w:val="20"/>
              </w:rPr>
            </w:pPr>
          </w:p>
          <w:p w:rsidR="00AC598D" w:rsidRPr="00273521" w:rsidRDefault="00AC598D" w:rsidP="00366F6C">
            <w:pPr>
              <w:jc w:val="both"/>
              <w:rPr>
                <w:rFonts w:eastAsia="Calibri"/>
                <w:sz w:val="20"/>
              </w:rPr>
            </w:pPr>
            <w:r w:rsidRPr="00273521">
              <w:rPr>
                <w:rFonts w:eastAsia="Calibri"/>
                <w:sz w:val="20"/>
              </w:rPr>
              <w:t xml:space="preserve">Mr. Main settled with Cadbury and </w:t>
            </w:r>
            <w:proofErr w:type="spellStart"/>
            <w:r w:rsidRPr="00273521">
              <w:rPr>
                <w:rFonts w:eastAsia="Calibri"/>
                <w:sz w:val="20"/>
              </w:rPr>
              <w:t>Itwal</w:t>
            </w:r>
            <w:proofErr w:type="spellEnd"/>
            <w:r w:rsidRPr="00273521">
              <w:rPr>
                <w:rFonts w:eastAsia="Calibri"/>
                <w:sz w:val="20"/>
              </w:rPr>
              <w:t xml:space="preserve">.  The settlement agreements contained, </w:t>
            </w:r>
            <w:r w:rsidRPr="00273521">
              <w:rPr>
                <w:rFonts w:eastAsia="Calibri"/>
                <w:i/>
                <w:sz w:val="20"/>
              </w:rPr>
              <w:t>inter alia</w:t>
            </w:r>
            <w:r w:rsidRPr="00273521">
              <w:rPr>
                <w:rFonts w:eastAsia="Calibri"/>
                <w:sz w:val="20"/>
              </w:rPr>
              <w:t xml:space="preserve">, a “bar order” which protects the settling defendant from claims for contribution and indemnity from its </w:t>
            </w:r>
            <w:proofErr w:type="spellStart"/>
            <w:r w:rsidRPr="00273521">
              <w:rPr>
                <w:rFonts w:eastAsia="Calibri"/>
                <w:sz w:val="20"/>
              </w:rPr>
              <w:t>co</w:t>
            </w:r>
            <w:r w:rsidRPr="00273521">
              <w:rPr>
                <w:rFonts w:eastAsia="Calibri"/>
                <w:sz w:val="20"/>
              </w:rPr>
              <w:noBreakHyphen/>
              <w:t>defendants</w:t>
            </w:r>
            <w:proofErr w:type="spellEnd"/>
            <w:r w:rsidRPr="00273521">
              <w:rPr>
                <w:rFonts w:eastAsia="Calibri"/>
                <w:sz w:val="20"/>
              </w:rPr>
              <w:t xml:space="preserve"> and provides that, “if the Court determines that there is a right of contribution and indemnity or other claim </w:t>
            </w:r>
            <w:proofErr w:type="gramStart"/>
            <w:r w:rsidRPr="00273521">
              <w:rPr>
                <w:rFonts w:eastAsia="Calibri"/>
                <w:sz w:val="20"/>
              </w:rPr>
              <w:t>over .</w:t>
            </w:r>
            <w:proofErr w:type="gramEnd"/>
            <w:r w:rsidRPr="00273521">
              <w:rPr>
                <w:rFonts w:eastAsia="Calibri"/>
                <w:sz w:val="20"/>
              </w:rPr>
              <w:t xml:space="preserve"> . . the [plaintiffs] shall not be entitled to claim or recover from the </w:t>
            </w:r>
            <w:proofErr w:type="spellStart"/>
            <w:r w:rsidRPr="00273521">
              <w:rPr>
                <w:rFonts w:eastAsia="Calibri"/>
                <w:sz w:val="20"/>
              </w:rPr>
              <w:t>Non</w:t>
            </w:r>
            <w:r w:rsidRPr="00273521">
              <w:rPr>
                <w:rFonts w:eastAsia="Calibri"/>
                <w:sz w:val="20"/>
              </w:rPr>
              <w:noBreakHyphen/>
              <w:t>Settling</w:t>
            </w:r>
            <w:proofErr w:type="spellEnd"/>
            <w:r w:rsidRPr="00273521">
              <w:rPr>
                <w:rFonts w:eastAsia="Calibri"/>
                <w:sz w:val="20"/>
              </w:rPr>
              <w:t xml:space="preserve"> Defendants that portion of any damages . . . that corresponds to the Proportionate Liability of the Cadbury </w:t>
            </w:r>
            <w:proofErr w:type="spellStart"/>
            <w:r w:rsidRPr="00273521">
              <w:rPr>
                <w:rFonts w:eastAsia="Calibri"/>
                <w:sz w:val="20"/>
              </w:rPr>
              <w:t>Releasees</w:t>
            </w:r>
            <w:proofErr w:type="spellEnd"/>
            <w:r w:rsidRPr="00273521">
              <w:rPr>
                <w:rFonts w:eastAsia="Calibri"/>
                <w:sz w:val="20"/>
              </w:rPr>
              <w:t xml:space="preserve">”.  The </w:t>
            </w:r>
            <w:proofErr w:type="spellStart"/>
            <w:r w:rsidRPr="00273521">
              <w:rPr>
                <w:rFonts w:eastAsia="Calibri"/>
                <w:sz w:val="20"/>
              </w:rPr>
              <w:t>non</w:t>
            </w:r>
            <w:r w:rsidRPr="00273521">
              <w:rPr>
                <w:rFonts w:eastAsia="Calibri"/>
                <w:sz w:val="20"/>
              </w:rPr>
              <w:noBreakHyphen/>
              <w:t>settling</w:t>
            </w:r>
            <w:proofErr w:type="spellEnd"/>
            <w:r w:rsidRPr="00273521">
              <w:rPr>
                <w:rFonts w:eastAsia="Calibri"/>
                <w:sz w:val="20"/>
              </w:rPr>
              <w:t xml:space="preserve"> defendants objected to the bar orders as proposed.</w:t>
            </w:r>
          </w:p>
          <w:p w:rsidR="00AC598D" w:rsidRPr="00273521" w:rsidRDefault="00AC598D" w:rsidP="00366F6C">
            <w:pPr>
              <w:jc w:val="both"/>
              <w:rPr>
                <w:rFonts w:eastAsia="Calibri"/>
                <w:sz w:val="20"/>
              </w:rPr>
            </w:pPr>
          </w:p>
          <w:p w:rsidR="00AC598D" w:rsidRPr="00273521" w:rsidRDefault="00AC598D" w:rsidP="00366F6C">
            <w:pPr>
              <w:jc w:val="both"/>
              <w:rPr>
                <w:rFonts w:eastAsia="Calibri"/>
                <w:sz w:val="20"/>
              </w:rPr>
            </w:pPr>
            <w:r w:rsidRPr="00273521">
              <w:rPr>
                <w:rFonts w:eastAsia="Calibri"/>
                <w:sz w:val="20"/>
              </w:rPr>
              <w:t xml:space="preserve">The case management judge, adopting and approving the reasons in </w:t>
            </w:r>
            <w:proofErr w:type="spellStart"/>
            <w:r w:rsidRPr="00273521">
              <w:rPr>
                <w:rFonts w:eastAsia="Calibri"/>
                <w:i/>
                <w:sz w:val="20"/>
              </w:rPr>
              <w:t>Osmun</w:t>
            </w:r>
            <w:proofErr w:type="spellEnd"/>
            <w:r w:rsidRPr="00273521">
              <w:rPr>
                <w:rFonts w:eastAsia="Calibri"/>
                <w:i/>
                <w:sz w:val="20"/>
              </w:rPr>
              <w:t xml:space="preserve"> v. Cadbury Adams Canada Inc.</w:t>
            </w:r>
            <w:r w:rsidRPr="00273521">
              <w:rPr>
                <w:rFonts w:eastAsia="Calibri"/>
                <w:sz w:val="20"/>
              </w:rPr>
              <w:t>, 2010 ONSC 2643, approved the settlement agreements.  The Court of Appeal dismissed the appeals.</w:t>
            </w:r>
          </w:p>
          <w:p w:rsidR="00AC598D" w:rsidRPr="00273521" w:rsidRDefault="00AC598D" w:rsidP="00366F6C">
            <w:pPr>
              <w:jc w:val="both"/>
              <w:rPr>
                <w:rFonts w:eastAsia="Calibri"/>
                <w:sz w:val="20"/>
              </w:rPr>
            </w:pPr>
          </w:p>
        </w:tc>
      </w:tr>
      <w:tr w:rsidR="00AC598D" w:rsidRPr="00273521" w:rsidTr="00366F6C">
        <w:tc>
          <w:tcPr>
            <w:tcW w:w="2427" w:type="pct"/>
          </w:tcPr>
          <w:p w:rsidR="00AC598D" w:rsidRPr="00273521" w:rsidRDefault="00AC598D" w:rsidP="00366F6C">
            <w:pPr>
              <w:jc w:val="both"/>
              <w:rPr>
                <w:rFonts w:eastAsia="Calibri"/>
                <w:sz w:val="20"/>
              </w:rPr>
            </w:pPr>
            <w:r w:rsidRPr="00273521">
              <w:rPr>
                <w:rFonts w:eastAsia="Calibri"/>
                <w:sz w:val="20"/>
              </w:rPr>
              <w:t>June 7, 2010</w:t>
            </w:r>
          </w:p>
          <w:p w:rsidR="00AC598D" w:rsidRPr="00273521" w:rsidRDefault="00AC598D" w:rsidP="00366F6C">
            <w:pPr>
              <w:jc w:val="both"/>
              <w:rPr>
                <w:rFonts w:eastAsia="Calibri"/>
                <w:sz w:val="20"/>
              </w:rPr>
            </w:pPr>
            <w:r w:rsidRPr="00273521">
              <w:rPr>
                <w:rFonts w:eastAsia="Calibri"/>
                <w:sz w:val="20"/>
              </w:rPr>
              <w:t>Supreme Court of British Columbia</w:t>
            </w:r>
          </w:p>
          <w:p w:rsidR="00AC598D" w:rsidRPr="00273521" w:rsidRDefault="00AC598D" w:rsidP="00366F6C">
            <w:pPr>
              <w:jc w:val="both"/>
              <w:rPr>
                <w:rFonts w:eastAsia="Calibri"/>
                <w:sz w:val="20"/>
              </w:rPr>
            </w:pPr>
            <w:r w:rsidRPr="00273521">
              <w:rPr>
                <w:rFonts w:eastAsia="Calibri"/>
                <w:sz w:val="20"/>
              </w:rPr>
              <w:t>(Butler J.)</w:t>
            </w:r>
          </w:p>
          <w:p w:rsidR="00AC598D" w:rsidRPr="00273521" w:rsidRDefault="00AC598D" w:rsidP="00366F6C">
            <w:pPr>
              <w:jc w:val="both"/>
              <w:rPr>
                <w:rFonts w:eastAsia="Calibri"/>
                <w:sz w:val="20"/>
              </w:rPr>
            </w:pPr>
            <w:r w:rsidRPr="00273521">
              <w:rPr>
                <w:rFonts w:eastAsia="Calibri"/>
                <w:sz w:val="20"/>
              </w:rPr>
              <w:t>Neutral citation: 2010 BCSC 816</w:t>
            </w:r>
          </w:p>
          <w:p w:rsidR="00AC598D" w:rsidRPr="00273521" w:rsidRDefault="00AC598D" w:rsidP="00366F6C">
            <w:pPr>
              <w:jc w:val="both"/>
              <w:rPr>
                <w:rFonts w:eastAsia="Calibri"/>
                <w:sz w:val="20"/>
              </w:rPr>
            </w:pPr>
          </w:p>
        </w:tc>
        <w:tc>
          <w:tcPr>
            <w:tcW w:w="243" w:type="pct"/>
          </w:tcPr>
          <w:p w:rsidR="00AC598D" w:rsidRPr="00273521" w:rsidRDefault="00AC598D" w:rsidP="00366F6C">
            <w:pPr>
              <w:jc w:val="both"/>
              <w:rPr>
                <w:rFonts w:eastAsia="Calibri"/>
                <w:sz w:val="20"/>
              </w:rPr>
            </w:pPr>
          </w:p>
        </w:tc>
        <w:tc>
          <w:tcPr>
            <w:tcW w:w="2330" w:type="pct"/>
          </w:tcPr>
          <w:p w:rsidR="00AC598D" w:rsidRPr="00273521" w:rsidRDefault="00AC598D" w:rsidP="00366F6C">
            <w:pPr>
              <w:jc w:val="both"/>
              <w:rPr>
                <w:rFonts w:eastAsia="Calibri"/>
                <w:sz w:val="20"/>
              </w:rPr>
            </w:pPr>
            <w:r w:rsidRPr="00273521">
              <w:rPr>
                <w:rFonts w:eastAsia="Calibri"/>
                <w:sz w:val="20"/>
              </w:rPr>
              <w:t>Settlement agreements approved</w:t>
            </w:r>
          </w:p>
          <w:p w:rsidR="00AC598D" w:rsidRPr="00273521" w:rsidRDefault="00AC598D" w:rsidP="00366F6C">
            <w:pPr>
              <w:jc w:val="both"/>
              <w:rPr>
                <w:rFonts w:eastAsia="Calibri"/>
                <w:sz w:val="20"/>
              </w:rPr>
            </w:pPr>
          </w:p>
        </w:tc>
      </w:tr>
      <w:tr w:rsidR="00AC598D" w:rsidRPr="00273521" w:rsidTr="00366F6C">
        <w:tc>
          <w:tcPr>
            <w:tcW w:w="2427" w:type="pct"/>
          </w:tcPr>
          <w:p w:rsidR="00AC598D" w:rsidRPr="00273521" w:rsidRDefault="00AC598D" w:rsidP="00366F6C">
            <w:pPr>
              <w:jc w:val="both"/>
              <w:rPr>
                <w:rFonts w:eastAsia="Calibri"/>
                <w:sz w:val="20"/>
              </w:rPr>
            </w:pPr>
            <w:r w:rsidRPr="00273521">
              <w:rPr>
                <w:rFonts w:eastAsia="Calibri"/>
                <w:sz w:val="20"/>
              </w:rPr>
              <w:t>January 18, 2011</w:t>
            </w:r>
          </w:p>
          <w:p w:rsidR="00AC598D" w:rsidRPr="00273521" w:rsidRDefault="00AC598D" w:rsidP="00366F6C">
            <w:pPr>
              <w:jc w:val="both"/>
              <w:rPr>
                <w:rFonts w:eastAsia="Calibri"/>
                <w:sz w:val="20"/>
              </w:rPr>
            </w:pPr>
            <w:r w:rsidRPr="00273521">
              <w:rPr>
                <w:rFonts w:eastAsia="Calibri"/>
                <w:sz w:val="20"/>
              </w:rPr>
              <w:t xml:space="preserve">Court of Appeal for British Columbia </w:t>
            </w:r>
          </w:p>
          <w:p w:rsidR="00AC598D" w:rsidRPr="00273521" w:rsidRDefault="00AC598D" w:rsidP="00366F6C">
            <w:pPr>
              <w:jc w:val="both"/>
              <w:rPr>
                <w:rFonts w:eastAsia="Calibri"/>
                <w:sz w:val="20"/>
              </w:rPr>
            </w:pPr>
            <w:r w:rsidRPr="00273521">
              <w:rPr>
                <w:rFonts w:eastAsia="Calibri"/>
                <w:sz w:val="20"/>
              </w:rPr>
              <w:t>(Vancouver)</w:t>
            </w:r>
          </w:p>
          <w:p w:rsidR="00AC598D" w:rsidRPr="00273521" w:rsidRDefault="00AC598D" w:rsidP="00366F6C">
            <w:pPr>
              <w:jc w:val="both"/>
              <w:rPr>
                <w:rFonts w:eastAsia="Calibri"/>
                <w:sz w:val="20"/>
              </w:rPr>
            </w:pPr>
            <w:r w:rsidRPr="00273521">
              <w:rPr>
                <w:rFonts w:eastAsia="Calibri"/>
                <w:sz w:val="20"/>
              </w:rPr>
              <w:t xml:space="preserve">(Hall, Levine, </w:t>
            </w:r>
            <w:proofErr w:type="spellStart"/>
            <w:r w:rsidRPr="00273521">
              <w:rPr>
                <w:rFonts w:eastAsia="Calibri"/>
                <w:sz w:val="20"/>
              </w:rPr>
              <w:t>Tysoe</w:t>
            </w:r>
            <w:proofErr w:type="spellEnd"/>
            <w:r w:rsidRPr="00273521">
              <w:rPr>
                <w:rFonts w:eastAsia="Calibri"/>
                <w:sz w:val="20"/>
              </w:rPr>
              <w:t xml:space="preserve"> JJ.A.)</w:t>
            </w:r>
          </w:p>
          <w:p w:rsidR="00AC598D" w:rsidRPr="00273521" w:rsidRDefault="00AC598D" w:rsidP="00366F6C">
            <w:pPr>
              <w:jc w:val="both"/>
              <w:rPr>
                <w:rFonts w:eastAsia="Calibri"/>
                <w:sz w:val="20"/>
              </w:rPr>
            </w:pPr>
            <w:r w:rsidRPr="00273521">
              <w:rPr>
                <w:rFonts w:eastAsia="Calibri"/>
                <w:sz w:val="20"/>
              </w:rPr>
              <w:t>Neutral citation: 2011 BCCA 21</w:t>
            </w:r>
          </w:p>
          <w:p w:rsidR="00AC598D" w:rsidRPr="00273521" w:rsidRDefault="00AC598D" w:rsidP="00366F6C">
            <w:pPr>
              <w:jc w:val="both"/>
              <w:rPr>
                <w:rFonts w:eastAsia="Calibri"/>
                <w:sz w:val="20"/>
              </w:rPr>
            </w:pPr>
          </w:p>
        </w:tc>
        <w:tc>
          <w:tcPr>
            <w:tcW w:w="243" w:type="pct"/>
          </w:tcPr>
          <w:p w:rsidR="00AC598D" w:rsidRPr="00273521" w:rsidRDefault="00AC598D" w:rsidP="00366F6C">
            <w:pPr>
              <w:jc w:val="both"/>
              <w:rPr>
                <w:rFonts w:eastAsia="Calibri"/>
                <w:sz w:val="20"/>
              </w:rPr>
            </w:pPr>
          </w:p>
        </w:tc>
        <w:tc>
          <w:tcPr>
            <w:tcW w:w="2330" w:type="pct"/>
          </w:tcPr>
          <w:p w:rsidR="00AC598D" w:rsidRPr="00273521" w:rsidRDefault="00AC598D" w:rsidP="00366F6C">
            <w:pPr>
              <w:jc w:val="both"/>
              <w:rPr>
                <w:rFonts w:eastAsia="Calibri"/>
                <w:sz w:val="20"/>
              </w:rPr>
            </w:pPr>
            <w:r w:rsidRPr="00273521">
              <w:rPr>
                <w:rFonts w:eastAsia="Calibri"/>
                <w:sz w:val="20"/>
              </w:rPr>
              <w:t>Appeals dismissed</w:t>
            </w:r>
          </w:p>
          <w:p w:rsidR="00AC598D" w:rsidRPr="00273521" w:rsidRDefault="00AC598D" w:rsidP="00366F6C">
            <w:pPr>
              <w:jc w:val="both"/>
              <w:rPr>
                <w:rFonts w:eastAsia="Calibri"/>
                <w:sz w:val="20"/>
              </w:rPr>
            </w:pPr>
          </w:p>
        </w:tc>
      </w:tr>
    </w:tbl>
    <w:p w:rsidR="00C17A52" w:rsidRDefault="00C17A52"/>
    <w:p w:rsidR="00C17A52" w:rsidRDefault="00C17A52">
      <w:r>
        <w:br w:type="page"/>
      </w:r>
    </w:p>
    <w:tbl>
      <w:tblPr>
        <w:tblW w:w="4952" w:type="pct"/>
        <w:tblLayout w:type="fixed"/>
        <w:tblCellMar>
          <w:left w:w="0" w:type="dxa"/>
          <w:bottom w:w="99" w:type="dxa"/>
          <w:right w:w="0" w:type="dxa"/>
        </w:tblCellMar>
        <w:tblLook w:val="04A0"/>
      </w:tblPr>
      <w:tblGrid>
        <w:gridCol w:w="4624"/>
        <w:gridCol w:w="463"/>
        <w:gridCol w:w="4440"/>
      </w:tblGrid>
      <w:tr w:rsidR="00AC598D" w:rsidRPr="00273521" w:rsidTr="00C17A52">
        <w:trPr>
          <w:cantSplit/>
        </w:trPr>
        <w:tc>
          <w:tcPr>
            <w:tcW w:w="2427" w:type="pct"/>
          </w:tcPr>
          <w:p w:rsidR="00AC598D" w:rsidRPr="00273521" w:rsidRDefault="00AC598D" w:rsidP="00366F6C">
            <w:pPr>
              <w:jc w:val="both"/>
              <w:rPr>
                <w:rFonts w:eastAsia="Calibri"/>
                <w:sz w:val="20"/>
              </w:rPr>
            </w:pPr>
            <w:r w:rsidRPr="00273521">
              <w:rPr>
                <w:rFonts w:eastAsia="Calibri"/>
                <w:sz w:val="20"/>
              </w:rPr>
              <w:lastRenderedPageBreak/>
              <w:t>March 16, 2011</w:t>
            </w:r>
          </w:p>
          <w:p w:rsidR="00AC598D" w:rsidRPr="00273521" w:rsidRDefault="00AC598D" w:rsidP="00366F6C">
            <w:pPr>
              <w:jc w:val="both"/>
              <w:rPr>
                <w:rFonts w:eastAsia="Calibri"/>
                <w:sz w:val="20"/>
              </w:rPr>
            </w:pPr>
            <w:r w:rsidRPr="00273521">
              <w:rPr>
                <w:rFonts w:eastAsia="Calibri"/>
                <w:sz w:val="20"/>
              </w:rPr>
              <w:t>Supreme Court of Canada</w:t>
            </w:r>
          </w:p>
        </w:tc>
        <w:tc>
          <w:tcPr>
            <w:tcW w:w="243" w:type="pct"/>
          </w:tcPr>
          <w:p w:rsidR="00AC598D" w:rsidRPr="00273521" w:rsidRDefault="00AC598D" w:rsidP="00366F6C">
            <w:pPr>
              <w:jc w:val="both"/>
              <w:rPr>
                <w:rFonts w:eastAsia="Calibri"/>
                <w:sz w:val="20"/>
              </w:rPr>
            </w:pPr>
          </w:p>
        </w:tc>
        <w:tc>
          <w:tcPr>
            <w:tcW w:w="2330" w:type="pct"/>
          </w:tcPr>
          <w:p w:rsidR="00AC598D" w:rsidRPr="00273521" w:rsidRDefault="00AC598D" w:rsidP="00366F6C">
            <w:pPr>
              <w:jc w:val="both"/>
              <w:rPr>
                <w:rFonts w:eastAsia="Calibri"/>
                <w:sz w:val="20"/>
              </w:rPr>
            </w:pPr>
            <w:r w:rsidRPr="00273521">
              <w:rPr>
                <w:rFonts w:eastAsia="Calibri"/>
                <w:sz w:val="20"/>
              </w:rPr>
              <w:t>Application for leave to appeal filed</w:t>
            </w:r>
          </w:p>
          <w:p w:rsidR="00AC598D" w:rsidRPr="00273521" w:rsidRDefault="00AC598D" w:rsidP="00366F6C">
            <w:pPr>
              <w:jc w:val="both"/>
              <w:rPr>
                <w:rFonts w:eastAsia="Calibri"/>
                <w:sz w:val="20"/>
              </w:rPr>
            </w:pPr>
          </w:p>
        </w:tc>
      </w:tr>
    </w:tbl>
    <w:p w:rsidR="00177474" w:rsidRDefault="00177474" w:rsidP="00177474">
      <w:pPr>
        <w:rPr>
          <w:sz w:val="20"/>
          <w:szCs w:val="20"/>
        </w:rPr>
      </w:pPr>
    </w:p>
    <w:p w:rsidR="00177474" w:rsidRDefault="009E364E" w:rsidP="00177474">
      <w:pPr>
        <w:rPr>
          <w:sz w:val="20"/>
          <w:szCs w:val="20"/>
          <w:lang w:val="fr-CA"/>
        </w:rPr>
      </w:pPr>
      <w:r w:rsidRPr="009E364E">
        <w:rPr>
          <w:sz w:val="20"/>
          <w:szCs w:val="20"/>
          <w:lang w:val="fr-CA"/>
        </w:rPr>
        <w:pict>
          <v:rect id="_x0000_i1052" style="width:2in;height:1pt" o:hrpct="0" o:hralign="center" o:hrstd="t" o:hrnoshade="t" o:hr="t" fillcolor="black [3213]" stroked="f"/>
        </w:pict>
      </w:r>
    </w:p>
    <w:p w:rsidR="00177474" w:rsidRDefault="00177474" w:rsidP="00177474">
      <w:pPr>
        <w:rPr>
          <w:sz w:val="20"/>
          <w:szCs w:val="20"/>
        </w:rPr>
      </w:pPr>
    </w:p>
    <w:p w:rsidR="00177474" w:rsidRPr="00177474" w:rsidRDefault="00177474" w:rsidP="00177474">
      <w:pPr>
        <w:rPr>
          <w:sz w:val="20"/>
          <w:szCs w:val="20"/>
        </w:rPr>
      </w:pPr>
      <w:r>
        <w:rPr>
          <w:sz w:val="20"/>
          <w:szCs w:val="20"/>
          <w:u w:val="single"/>
        </w:rPr>
        <w:t>RÉSUMÉ DE L’AFFAIRE</w:t>
      </w:r>
    </w:p>
    <w:p w:rsidR="00177474" w:rsidRDefault="00177474" w:rsidP="001774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C598D" w:rsidRPr="000536FB" w:rsidTr="00366F6C">
        <w:tc>
          <w:tcPr>
            <w:tcW w:w="5000" w:type="pct"/>
            <w:gridSpan w:val="3"/>
          </w:tcPr>
          <w:p w:rsidR="00AC598D" w:rsidRPr="00273521" w:rsidRDefault="00AC598D" w:rsidP="00366F6C">
            <w:pPr>
              <w:jc w:val="both"/>
              <w:rPr>
                <w:rFonts w:eastAsia="Calibri"/>
                <w:sz w:val="20"/>
                <w:lang w:val="fr-FR"/>
              </w:rPr>
            </w:pPr>
            <w:r w:rsidRPr="00273521">
              <w:rPr>
                <w:rFonts w:eastAsia="Calibri"/>
                <w:sz w:val="20"/>
                <w:lang w:val="fr-FR"/>
              </w:rPr>
              <w:t xml:space="preserve">Recours collectifs — Règlement partiel — Approbation de l’accord de règlement — Ordonnance d’interdiction de recours — Les coauteurs d’un complot </w:t>
            </w:r>
            <w:proofErr w:type="spellStart"/>
            <w:r w:rsidRPr="00273521">
              <w:rPr>
                <w:rFonts w:eastAsia="Calibri"/>
                <w:sz w:val="20"/>
                <w:lang w:val="fr-FR"/>
              </w:rPr>
              <w:t>peuvent</w:t>
            </w:r>
            <w:r w:rsidRPr="00273521">
              <w:rPr>
                <w:rFonts w:eastAsia="Calibri"/>
                <w:sz w:val="20"/>
                <w:lang w:val="fr-FR"/>
              </w:rPr>
              <w:noBreakHyphen/>
              <w:t>ils</w:t>
            </w:r>
            <w:proofErr w:type="spellEnd"/>
            <w:r w:rsidRPr="00273521">
              <w:rPr>
                <w:rFonts w:eastAsia="Calibri"/>
                <w:sz w:val="20"/>
                <w:lang w:val="fr-FR"/>
              </w:rPr>
              <w:t xml:space="preserve"> obtenir une contribution et une indemnité au Canada? — L’ordonnance d’interdiction de recours prévoit que, si la Cour décide qu’il est possible de recevoir une contribution et une indemnité, le groupe de demandeurs ne peut réclamer ou obtenir les </w:t>
            </w:r>
            <w:proofErr w:type="spellStart"/>
            <w:r w:rsidRPr="00273521">
              <w:rPr>
                <w:rFonts w:eastAsia="Calibri"/>
                <w:sz w:val="20"/>
                <w:lang w:val="fr-FR"/>
              </w:rPr>
              <w:t>dommages</w:t>
            </w:r>
            <w:r w:rsidRPr="00273521">
              <w:rPr>
                <w:rFonts w:eastAsia="Calibri"/>
                <w:sz w:val="20"/>
                <w:lang w:val="fr-FR"/>
              </w:rPr>
              <w:noBreakHyphen/>
              <w:t>intérêts</w:t>
            </w:r>
            <w:proofErr w:type="spellEnd"/>
            <w:r w:rsidRPr="00273521">
              <w:rPr>
                <w:rFonts w:eastAsia="Calibri"/>
                <w:sz w:val="20"/>
                <w:lang w:val="fr-FR"/>
              </w:rPr>
              <w:t xml:space="preserve"> que doivent verser les défenderesses non parties au règlement à celles qui y sont parties — Quel serait le modèle approprié d’ordonnance d’interdiction de recours au Canada? — Où se situe la ligne sinueuse sur les plans constitutionnel et juridique entre les lois provinciales et les lois fédérales? — Mettre un terme à la recherche du tribunal le plus favorable au Canada.</w:t>
            </w:r>
          </w:p>
        </w:tc>
      </w:tr>
      <w:tr w:rsidR="00AC598D" w:rsidRPr="000536FB" w:rsidTr="00366F6C">
        <w:tc>
          <w:tcPr>
            <w:tcW w:w="5000" w:type="pct"/>
            <w:gridSpan w:val="3"/>
          </w:tcPr>
          <w:p w:rsidR="00AC598D" w:rsidRPr="00273521" w:rsidRDefault="00AC598D" w:rsidP="00366F6C">
            <w:pPr>
              <w:jc w:val="both"/>
              <w:rPr>
                <w:rFonts w:eastAsia="Calibri"/>
                <w:sz w:val="20"/>
                <w:lang w:val="fr-FR"/>
              </w:rPr>
            </w:pPr>
          </w:p>
        </w:tc>
      </w:tr>
      <w:tr w:rsidR="00AC598D" w:rsidRPr="00273521" w:rsidTr="00366F6C">
        <w:tc>
          <w:tcPr>
            <w:tcW w:w="5000" w:type="pct"/>
            <w:gridSpan w:val="3"/>
          </w:tcPr>
          <w:p w:rsidR="00AC598D" w:rsidRPr="00273521" w:rsidRDefault="00AC598D" w:rsidP="00366F6C">
            <w:pPr>
              <w:jc w:val="both"/>
              <w:rPr>
                <w:rFonts w:eastAsia="Calibri"/>
                <w:sz w:val="20"/>
                <w:lang w:val="fr-FR"/>
              </w:rPr>
            </w:pPr>
            <w:r w:rsidRPr="00273521">
              <w:rPr>
                <w:rFonts w:eastAsia="Calibri"/>
                <w:sz w:val="20"/>
                <w:lang w:val="fr-FR"/>
              </w:rPr>
              <w:t>Un recours collectif allègue que quatre fabricants de chocolat (Cadbury, Hershey, Mars et Nestlé) ont comploté pour fixer et ont effectivement fixé et maintenu les prix de produits de confiserie en chocolat au Canada, et qu’un distributeur de chocolat (</w:t>
            </w:r>
            <w:proofErr w:type="spellStart"/>
            <w:r w:rsidRPr="00273521">
              <w:rPr>
                <w:rFonts w:eastAsia="Calibri"/>
                <w:sz w:val="20"/>
                <w:lang w:val="fr-FR"/>
              </w:rPr>
              <w:t>Itwal</w:t>
            </w:r>
            <w:proofErr w:type="spellEnd"/>
            <w:r w:rsidRPr="00273521">
              <w:rPr>
                <w:rFonts w:eastAsia="Calibri"/>
                <w:sz w:val="20"/>
                <w:lang w:val="fr-FR"/>
              </w:rPr>
              <w:t xml:space="preserve"> Limited) a participé au maintien des prix.  Les causes d’action étaient : les délits intentionnels de complot et d’ingérence dans les relations économiques ainsi qu’un recours en </w:t>
            </w:r>
            <w:proofErr w:type="spellStart"/>
            <w:r w:rsidRPr="00273521">
              <w:rPr>
                <w:rFonts w:eastAsia="Calibri"/>
                <w:sz w:val="20"/>
                <w:lang w:val="fr-FR"/>
              </w:rPr>
              <w:t>dommages</w:t>
            </w:r>
            <w:r w:rsidRPr="00273521">
              <w:rPr>
                <w:rFonts w:eastAsia="Calibri"/>
                <w:sz w:val="20"/>
                <w:lang w:val="fr-FR"/>
              </w:rPr>
              <w:noBreakHyphen/>
              <w:t>intérêts</w:t>
            </w:r>
            <w:proofErr w:type="spellEnd"/>
            <w:r w:rsidRPr="00273521">
              <w:rPr>
                <w:rFonts w:eastAsia="Calibri"/>
                <w:sz w:val="20"/>
                <w:lang w:val="fr-FR"/>
              </w:rPr>
              <w:t xml:space="preserve"> intenté en  vertu de l’art. 36 de la </w:t>
            </w:r>
            <w:r w:rsidRPr="00273521">
              <w:rPr>
                <w:rFonts w:eastAsia="Calibri"/>
                <w:i/>
                <w:sz w:val="20"/>
                <w:lang w:val="fr-FR"/>
              </w:rPr>
              <w:t>Loi sur la concurrence</w:t>
            </w:r>
            <w:r w:rsidRPr="00273521">
              <w:rPr>
                <w:rFonts w:eastAsia="Calibri"/>
                <w:sz w:val="20"/>
                <w:lang w:val="fr-FR"/>
              </w:rPr>
              <w:t>, L.R.C. 1985, ch. C</w:t>
            </w:r>
            <w:r w:rsidRPr="00273521">
              <w:rPr>
                <w:rFonts w:eastAsia="Calibri"/>
                <w:sz w:val="20"/>
                <w:lang w:val="fr-FR"/>
              </w:rPr>
              <w:noBreakHyphen/>
              <w:t>34, pour un comportement contraire à la partie VI de cette loi.</w:t>
            </w:r>
          </w:p>
          <w:p w:rsidR="00AC598D" w:rsidRPr="00273521" w:rsidRDefault="00AC598D" w:rsidP="00366F6C">
            <w:pPr>
              <w:jc w:val="both"/>
              <w:rPr>
                <w:rFonts w:eastAsia="Calibri"/>
                <w:sz w:val="20"/>
                <w:lang w:val="fr-FR"/>
              </w:rPr>
            </w:pPr>
          </w:p>
          <w:p w:rsidR="00AC598D" w:rsidRPr="00273521" w:rsidRDefault="00AC598D" w:rsidP="00366F6C">
            <w:pPr>
              <w:jc w:val="both"/>
              <w:rPr>
                <w:rFonts w:eastAsia="Calibri"/>
                <w:sz w:val="20"/>
                <w:lang w:val="fr-FR"/>
              </w:rPr>
            </w:pPr>
            <w:r w:rsidRPr="00273521">
              <w:rPr>
                <w:rFonts w:eastAsia="Calibri"/>
                <w:sz w:val="20"/>
                <w:lang w:val="fr-FR"/>
              </w:rPr>
              <w:t xml:space="preserve">M. Main est parvenu à un règlement avec Cadbury et </w:t>
            </w:r>
            <w:proofErr w:type="spellStart"/>
            <w:r w:rsidRPr="00273521">
              <w:rPr>
                <w:rFonts w:eastAsia="Calibri"/>
                <w:sz w:val="20"/>
                <w:lang w:val="fr-FR"/>
              </w:rPr>
              <w:t>Itwal</w:t>
            </w:r>
            <w:proofErr w:type="spellEnd"/>
            <w:r w:rsidRPr="00273521">
              <w:rPr>
                <w:rFonts w:eastAsia="Calibri"/>
                <w:sz w:val="20"/>
                <w:lang w:val="fr-FR"/>
              </w:rPr>
              <w:t xml:space="preserve">. Les accords de règlement comprenaient notamment une « ordonnance d’interdiction de recours » qui met la défenderesse partie au règlement à l’abri des demandes de contribution et d’indemnité de ses </w:t>
            </w:r>
            <w:proofErr w:type="spellStart"/>
            <w:r w:rsidRPr="00273521">
              <w:rPr>
                <w:rFonts w:eastAsia="Calibri"/>
                <w:sz w:val="20"/>
                <w:lang w:val="fr-FR"/>
              </w:rPr>
              <w:t>codéfenderesses</w:t>
            </w:r>
            <w:proofErr w:type="spellEnd"/>
            <w:r w:rsidRPr="00273521">
              <w:rPr>
                <w:rFonts w:eastAsia="Calibri"/>
                <w:sz w:val="20"/>
                <w:lang w:val="fr-FR"/>
              </w:rPr>
              <w:t xml:space="preserve"> et dispose que, [</w:t>
            </w:r>
            <w:r w:rsidRPr="00273521">
              <w:rPr>
                <w:rFonts w:eastAsia="Calibri"/>
                <w:smallCaps/>
                <w:sz w:val="20"/>
                <w:lang w:val="fr-FR"/>
              </w:rPr>
              <w:t>traduction</w:t>
            </w:r>
            <w:r w:rsidRPr="00273521">
              <w:rPr>
                <w:rFonts w:eastAsia="Calibri"/>
                <w:sz w:val="20"/>
                <w:lang w:val="fr-FR"/>
              </w:rPr>
              <w:t xml:space="preserve">] « si la Cour décide qu’il est possible de recevoir une contribution et une indemnité ou qu’il existe un autre recours en . . . les [demandeurs] ne peuvent réclamer aux défenderesses non parties au règlement ou obtenir auprès d’elles la partie des </w:t>
            </w:r>
            <w:proofErr w:type="spellStart"/>
            <w:r w:rsidRPr="00273521">
              <w:rPr>
                <w:rFonts w:eastAsia="Calibri"/>
                <w:sz w:val="20"/>
                <w:lang w:val="fr-FR"/>
              </w:rPr>
              <w:t>dommages</w:t>
            </w:r>
            <w:r w:rsidRPr="00273521">
              <w:rPr>
                <w:rFonts w:eastAsia="Calibri"/>
                <w:sz w:val="20"/>
                <w:lang w:val="fr-FR"/>
              </w:rPr>
              <w:noBreakHyphen/>
              <w:t>intérêts</w:t>
            </w:r>
            <w:proofErr w:type="spellEnd"/>
            <w:r w:rsidRPr="00273521">
              <w:rPr>
                <w:rFonts w:eastAsia="Calibri"/>
                <w:sz w:val="20"/>
                <w:lang w:val="fr-FR"/>
              </w:rPr>
              <w:t xml:space="preserve"> . . . qui correspond à la responsabilité proportionnelle des renonciataires de Cadbury ».  Les défenderesses non parties au règlement se sont opposées aux ordonnances d’interdiction de recours sollicitées. </w:t>
            </w:r>
          </w:p>
          <w:p w:rsidR="00AC598D" w:rsidRPr="00273521" w:rsidRDefault="00AC598D" w:rsidP="00366F6C">
            <w:pPr>
              <w:jc w:val="both"/>
              <w:rPr>
                <w:rFonts w:eastAsia="Calibri"/>
                <w:sz w:val="20"/>
                <w:lang w:val="fr-FR"/>
              </w:rPr>
            </w:pPr>
          </w:p>
          <w:p w:rsidR="00AC598D" w:rsidRPr="00273521" w:rsidRDefault="00AC598D" w:rsidP="00366F6C">
            <w:pPr>
              <w:jc w:val="both"/>
              <w:rPr>
                <w:rFonts w:eastAsia="Calibri"/>
                <w:sz w:val="20"/>
                <w:lang w:val="fr-FR"/>
              </w:rPr>
            </w:pPr>
            <w:r w:rsidRPr="00273521">
              <w:rPr>
                <w:rFonts w:eastAsia="Calibri"/>
                <w:sz w:val="20"/>
                <w:lang w:val="fr-FR"/>
              </w:rPr>
              <w:t xml:space="preserve">Faisant siens les motifs de la décision </w:t>
            </w:r>
            <w:proofErr w:type="spellStart"/>
            <w:r w:rsidRPr="00273521">
              <w:rPr>
                <w:rFonts w:eastAsia="Calibri"/>
                <w:i/>
                <w:sz w:val="20"/>
                <w:lang w:val="fr-FR"/>
              </w:rPr>
              <w:t>Osmun</w:t>
            </w:r>
            <w:proofErr w:type="spellEnd"/>
            <w:r w:rsidRPr="00273521">
              <w:rPr>
                <w:rFonts w:eastAsia="Calibri"/>
                <w:i/>
                <w:sz w:val="20"/>
                <w:lang w:val="fr-FR"/>
              </w:rPr>
              <w:t xml:space="preserve"> c. Cadbury Adams Canada Inc.</w:t>
            </w:r>
            <w:r w:rsidRPr="00273521">
              <w:rPr>
                <w:rFonts w:eastAsia="Calibri"/>
                <w:sz w:val="20"/>
                <w:lang w:val="fr-FR"/>
              </w:rPr>
              <w:t>, 2010 ONSC 2643, et souscrivant à ces motifs, le juge chargé de la gestion de l’instance a approuvé les accords de règlement.  La Cour d’appel a rejeté les appels.</w:t>
            </w:r>
          </w:p>
          <w:p w:rsidR="00AC598D" w:rsidRPr="00273521" w:rsidRDefault="00AC598D" w:rsidP="00366F6C">
            <w:pPr>
              <w:jc w:val="both"/>
              <w:rPr>
                <w:rFonts w:eastAsia="Calibri"/>
                <w:sz w:val="20"/>
                <w:lang w:val="fr-FR"/>
              </w:rPr>
            </w:pPr>
          </w:p>
        </w:tc>
      </w:tr>
      <w:tr w:rsidR="00AC598D" w:rsidRPr="00273521" w:rsidTr="00366F6C">
        <w:tc>
          <w:tcPr>
            <w:tcW w:w="2427" w:type="pct"/>
          </w:tcPr>
          <w:p w:rsidR="00AC598D" w:rsidRPr="00273521" w:rsidRDefault="00AC598D" w:rsidP="00366F6C">
            <w:pPr>
              <w:jc w:val="both"/>
              <w:rPr>
                <w:rFonts w:eastAsia="Calibri"/>
                <w:sz w:val="20"/>
                <w:lang w:val="fr-FR"/>
              </w:rPr>
            </w:pPr>
            <w:r w:rsidRPr="00273521">
              <w:rPr>
                <w:rFonts w:eastAsia="Calibri"/>
                <w:sz w:val="20"/>
                <w:lang w:val="fr-FR"/>
              </w:rPr>
              <w:t>7 juin 2010</w:t>
            </w:r>
          </w:p>
          <w:p w:rsidR="00AC598D" w:rsidRPr="00273521" w:rsidRDefault="00AC598D" w:rsidP="00366F6C">
            <w:pPr>
              <w:jc w:val="both"/>
              <w:rPr>
                <w:rFonts w:eastAsia="Calibri"/>
                <w:sz w:val="20"/>
                <w:lang w:val="fr-FR"/>
              </w:rPr>
            </w:pPr>
            <w:r w:rsidRPr="00273521">
              <w:rPr>
                <w:rFonts w:eastAsia="Calibri"/>
                <w:sz w:val="20"/>
                <w:lang w:val="fr-FR"/>
              </w:rPr>
              <w:t xml:space="preserve">Cour suprême de la </w:t>
            </w:r>
            <w:proofErr w:type="spellStart"/>
            <w:r w:rsidRPr="00273521">
              <w:rPr>
                <w:rFonts w:eastAsia="Calibri"/>
                <w:sz w:val="20"/>
                <w:lang w:val="fr-FR"/>
              </w:rPr>
              <w:t>Colombie</w:t>
            </w:r>
            <w:r w:rsidRPr="00273521">
              <w:rPr>
                <w:rFonts w:eastAsia="Calibri"/>
                <w:sz w:val="20"/>
                <w:lang w:val="fr-FR"/>
              </w:rPr>
              <w:noBreakHyphen/>
              <w:t>Britannique</w:t>
            </w:r>
            <w:proofErr w:type="spellEnd"/>
          </w:p>
          <w:p w:rsidR="00AC598D" w:rsidRPr="00273521" w:rsidRDefault="00AC598D" w:rsidP="00366F6C">
            <w:pPr>
              <w:jc w:val="both"/>
              <w:rPr>
                <w:rFonts w:eastAsia="Calibri"/>
                <w:sz w:val="20"/>
                <w:lang w:val="fr-FR"/>
              </w:rPr>
            </w:pPr>
            <w:r w:rsidRPr="00273521">
              <w:rPr>
                <w:rFonts w:eastAsia="Calibri"/>
                <w:sz w:val="20"/>
                <w:lang w:val="fr-FR"/>
              </w:rPr>
              <w:t>(Juge Butler)</w:t>
            </w:r>
          </w:p>
          <w:p w:rsidR="00AC598D" w:rsidRPr="00273521" w:rsidRDefault="00AC598D" w:rsidP="00366F6C">
            <w:pPr>
              <w:jc w:val="both"/>
              <w:rPr>
                <w:rFonts w:eastAsia="Calibri"/>
                <w:sz w:val="20"/>
                <w:lang w:val="fr-FR"/>
              </w:rPr>
            </w:pPr>
            <w:r w:rsidRPr="00273521">
              <w:rPr>
                <w:rFonts w:eastAsia="Calibri"/>
                <w:sz w:val="20"/>
                <w:lang w:val="fr-FR"/>
              </w:rPr>
              <w:t>Référence neutre : 2010 BCSC 816</w:t>
            </w:r>
          </w:p>
          <w:p w:rsidR="00AC598D" w:rsidRPr="00273521" w:rsidRDefault="00AC598D" w:rsidP="00366F6C">
            <w:pPr>
              <w:jc w:val="both"/>
              <w:rPr>
                <w:rFonts w:eastAsia="Calibri"/>
                <w:sz w:val="20"/>
                <w:lang w:val="fr-FR"/>
              </w:rPr>
            </w:pPr>
          </w:p>
        </w:tc>
        <w:tc>
          <w:tcPr>
            <w:tcW w:w="243" w:type="pct"/>
          </w:tcPr>
          <w:p w:rsidR="00AC598D" w:rsidRPr="00273521" w:rsidRDefault="00AC598D" w:rsidP="00366F6C">
            <w:pPr>
              <w:jc w:val="both"/>
              <w:rPr>
                <w:rFonts w:eastAsia="Calibri"/>
                <w:sz w:val="20"/>
                <w:lang w:val="fr-FR"/>
              </w:rPr>
            </w:pPr>
          </w:p>
        </w:tc>
        <w:tc>
          <w:tcPr>
            <w:tcW w:w="2330" w:type="pct"/>
          </w:tcPr>
          <w:p w:rsidR="00AC598D" w:rsidRPr="00273521" w:rsidRDefault="00AC598D" w:rsidP="00366F6C">
            <w:pPr>
              <w:jc w:val="both"/>
              <w:rPr>
                <w:rFonts w:eastAsia="Calibri"/>
                <w:sz w:val="20"/>
              </w:rPr>
            </w:pPr>
            <w:r w:rsidRPr="00273521">
              <w:rPr>
                <w:rFonts w:eastAsia="Calibri"/>
                <w:sz w:val="20"/>
                <w:lang w:val="fr-FR"/>
              </w:rPr>
              <w:t>Accords de règlement approuvés</w:t>
            </w:r>
          </w:p>
          <w:p w:rsidR="00AC598D" w:rsidRPr="00273521" w:rsidRDefault="00AC598D" w:rsidP="00366F6C">
            <w:pPr>
              <w:jc w:val="both"/>
              <w:rPr>
                <w:rFonts w:eastAsia="Calibri"/>
                <w:sz w:val="20"/>
              </w:rPr>
            </w:pPr>
          </w:p>
        </w:tc>
      </w:tr>
      <w:tr w:rsidR="00AC598D" w:rsidRPr="00273521" w:rsidTr="00366F6C">
        <w:tc>
          <w:tcPr>
            <w:tcW w:w="2427" w:type="pct"/>
          </w:tcPr>
          <w:p w:rsidR="00AC598D" w:rsidRPr="00273521" w:rsidRDefault="00AC598D" w:rsidP="00366F6C">
            <w:pPr>
              <w:jc w:val="both"/>
              <w:rPr>
                <w:rFonts w:eastAsia="Calibri"/>
                <w:sz w:val="20"/>
                <w:lang w:val="fr-FR"/>
              </w:rPr>
            </w:pPr>
            <w:r w:rsidRPr="00273521">
              <w:rPr>
                <w:rFonts w:eastAsia="Calibri"/>
                <w:sz w:val="20"/>
                <w:lang w:val="fr-FR"/>
              </w:rPr>
              <w:t>18 janvier 2011</w:t>
            </w:r>
          </w:p>
          <w:p w:rsidR="00AC598D" w:rsidRPr="00273521" w:rsidRDefault="00AC598D" w:rsidP="00366F6C">
            <w:pPr>
              <w:jc w:val="both"/>
              <w:rPr>
                <w:rFonts w:eastAsia="Calibri"/>
                <w:sz w:val="20"/>
                <w:lang w:val="fr-FR"/>
              </w:rPr>
            </w:pPr>
            <w:r w:rsidRPr="00273521">
              <w:rPr>
                <w:rFonts w:eastAsia="Calibri"/>
                <w:sz w:val="20"/>
                <w:lang w:val="fr-FR"/>
              </w:rPr>
              <w:t xml:space="preserve">Cour d’appel de la </w:t>
            </w:r>
            <w:proofErr w:type="spellStart"/>
            <w:r w:rsidRPr="00273521">
              <w:rPr>
                <w:rFonts w:eastAsia="Calibri"/>
                <w:sz w:val="20"/>
                <w:lang w:val="fr-FR"/>
              </w:rPr>
              <w:t>Colombie</w:t>
            </w:r>
            <w:r w:rsidRPr="00273521">
              <w:rPr>
                <w:rFonts w:eastAsia="Calibri"/>
                <w:sz w:val="20"/>
                <w:lang w:val="fr-FR"/>
              </w:rPr>
              <w:noBreakHyphen/>
              <w:t>Britannique</w:t>
            </w:r>
            <w:proofErr w:type="spellEnd"/>
            <w:r w:rsidRPr="00273521">
              <w:rPr>
                <w:rFonts w:eastAsia="Calibri"/>
                <w:sz w:val="20"/>
                <w:lang w:val="fr-FR"/>
              </w:rPr>
              <w:t xml:space="preserve">  </w:t>
            </w:r>
          </w:p>
          <w:p w:rsidR="00AC598D" w:rsidRPr="00273521" w:rsidRDefault="00AC598D" w:rsidP="00366F6C">
            <w:pPr>
              <w:jc w:val="both"/>
              <w:rPr>
                <w:rFonts w:eastAsia="Calibri"/>
                <w:sz w:val="20"/>
                <w:lang w:val="fr-FR"/>
              </w:rPr>
            </w:pPr>
            <w:r w:rsidRPr="00273521">
              <w:rPr>
                <w:rFonts w:eastAsia="Calibri"/>
                <w:sz w:val="20"/>
                <w:lang w:val="fr-FR"/>
              </w:rPr>
              <w:t>(Vancouver)</w:t>
            </w:r>
          </w:p>
          <w:p w:rsidR="00AC598D" w:rsidRPr="00273521" w:rsidRDefault="00AC598D" w:rsidP="00366F6C">
            <w:pPr>
              <w:jc w:val="both"/>
              <w:rPr>
                <w:rFonts w:eastAsia="Calibri"/>
                <w:sz w:val="20"/>
                <w:lang w:val="fr-FR"/>
              </w:rPr>
            </w:pPr>
            <w:r w:rsidRPr="00273521">
              <w:rPr>
                <w:rFonts w:eastAsia="Calibri"/>
                <w:sz w:val="20"/>
                <w:lang w:val="fr-FR"/>
              </w:rPr>
              <w:t xml:space="preserve">(Juges Hall, </w:t>
            </w:r>
            <w:proofErr w:type="spellStart"/>
            <w:r w:rsidRPr="00273521">
              <w:rPr>
                <w:rFonts w:eastAsia="Calibri"/>
                <w:sz w:val="20"/>
                <w:lang w:val="fr-FR"/>
              </w:rPr>
              <w:t>Levine</w:t>
            </w:r>
            <w:proofErr w:type="spellEnd"/>
            <w:r w:rsidRPr="00273521">
              <w:rPr>
                <w:rFonts w:eastAsia="Calibri"/>
                <w:sz w:val="20"/>
                <w:lang w:val="fr-FR"/>
              </w:rPr>
              <w:t xml:space="preserve"> et </w:t>
            </w:r>
            <w:proofErr w:type="spellStart"/>
            <w:r w:rsidRPr="00273521">
              <w:rPr>
                <w:rFonts w:eastAsia="Calibri"/>
                <w:sz w:val="20"/>
                <w:lang w:val="fr-FR"/>
              </w:rPr>
              <w:t>Tysoe</w:t>
            </w:r>
            <w:proofErr w:type="spellEnd"/>
            <w:r w:rsidRPr="00273521">
              <w:rPr>
                <w:rFonts w:eastAsia="Calibri"/>
                <w:sz w:val="20"/>
                <w:lang w:val="fr-FR"/>
              </w:rPr>
              <w:t>)</w:t>
            </w:r>
          </w:p>
          <w:p w:rsidR="00AC598D" w:rsidRPr="00273521" w:rsidRDefault="00AC598D" w:rsidP="00366F6C">
            <w:pPr>
              <w:jc w:val="both"/>
              <w:rPr>
                <w:rFonts w:eastAsia="Calibri"/>
                <w:sz w:val="20"/>
              </w:rPr>
            </w:pPr>
            <w:r w:rsidRPr="00273521">
              <w:rPr>
                <w:rFonts w:eastAsia="Calibri"/>
                <w:sz w:val="20"/>
                <w:lang w:val="fr-FR"/>
              </w:rPr>
              <w:t>Référence neutre :</w:t>
            </w:r>
            <w:r w:rsidRPr="00273521">
              <w:rPr>
                <w:rFonts w:eastAsia="Calibri"/>
                <w:sz w:val="20"/>
              </w:rPr>
              <w:t xml:space="preserve"> 2011 BCCA 21</w:t>
            </w:r>
          </w:p>
          <w:p w:rsidR="00AC598D" w:rsidRPr="00273521" w:rsidRDefault="00AC598D" w:rsidP="00366F6C">
            <w:pPr>
              <w:jc w:val="both"/>
              <w:rPr>
                <w:rFonts w:eastAsia="Calibri"/>
                <w:sz w:val="20"/>
              </w:rPr>
            </w:pPr>
          </w:p>
        </w:tc>
        <w:tc>
          <w:tcPr>
            <w:tcW w:w="243" w:type="pct"/>
          </w:tcPr>
          <w:p w:rsidR="00AC598D" w:rsidRPr="00273521" w:rsidRDefault="00AC598D" w:rsidP="00366F6C">
            <w:pPr>
              <w:jc w:val="both"/>
              <w:rPr>
                <w:rFonts w:eastAsia="Calibri"/>
                <w:sz w:val="20"/>
              </w:rPr>
            </w:pPr>
          </w:p>
        </w:tc>
        <w:tc>
          <w:tcPr>
            <w:tcW w:w="2330" w:type="pct"/>
          </w:tcPr>
          <w:p w:rsidR="00AC598D" w:rsidRPr="00273521" w:rsidRDefault="00AC598D" w:rsidP="00366F6C">
            <w:pPr>
              <w:jc w:val="both"/>
              <w:rPr>
                <w:rFonts w:eastAsia="Calibri"/>
                <w:sz w:val="20"/>
              </w:rPr>
            </w:pPr>
            <w:proofErr w:type="spellStart"/>
            <w:r w:rsidRPr="00273521">
              <w:rPr>
                <w:rFonts w:eastAsia="Calibri"/>
                <w:sz w:val="20"/>
              </w:rPr>
              <w:t>Appels</w:t>
            </w:r>
            <w:proofErr w:type="spellEnd"/>
            <w:r w:rsidRPr="00273521">
              <w:rPr>
                <w:rFonts w:eastAsia="Calibri"/>
                <w:sz w:val="20"/>
              </w:rPr>
              <w:t xml:space="preserve"> </w:t>
            </w:r>
            <w:proofErr w:type="spellStart"/>
            <w:r w:rsidRPr="00273521">
              <w:rPr>
                <w:rFonts w:eastAsia="Calibri"/>
                <w:sz w:val="20"/>
              </w:rPr>
              <w:t>rejetés</w:t>
            </w:r>
            <w:proofErr w:type="spellEnd"/>
          </w:p>
          <w:p w:rsidR="00AC598D" w:rsidRPr="00273521" w:rsidRDefault="00AC598D" w:rsidP="00366F6C">
            <w:pPr>
              <w:jc w:val="both"/>
              <w:rPr>
                <w:rFonts w:eastAsia="Calibri"/>
                <w:sz w:val="20"/>
              </w:rPr>
            </w:pPr>
          </w:p>
        </w:tc>
      </w:tr>
      <w:tr w:rsidR="00AC598D" w:rsidRPr="00273521" w:rsidTr="00366F6C">
        <w:tc>
          <w:tcPr>
            <w:tcW w:w="2427" w:type="pct"/>
          </w:tcPr>
          <w:p w:rsidR="00AC598D" w:rsidRPr="00273521" w:rsidRDefault="00AC598D" w:rsidP="00366F6C">
            <w:pPr>
              <w:jc w:val="both"/>
              <w:rPr>
                <w:rFonts w:eastAsia="Calibri"/>
                <w:sz w:val="20"/>
                <w:lang w:val="fr-FR"/>
              </w:rPr>
            </w:pPr>
            <w:r w:rsidRPr="00273521">
              <w:rPr>
                <w:rFonts w:eastAsia="Calibri"/>
                <w:sz w:val="20"/>
                <w:lang w:val="fr-FR"/>
              </w:rPr>
              <w:t>16 mars 2011</w:t>
            </w:r>
          </w:p>
          <w:p w:rsidR="00AC598D" w:rsidRPr="00273521" w:rsidRDefault="00AC598D" w:rsidP="00366F6C">
            <w:pPr>
              <w:jc w:val="both"/>
              <w:rPr>
                <w:rFonts w:eastAsia="Calibri"/>
                <w:sz w:val="20"/>
                <w:lang w:val="fr-FR"/>
              </w:rPr>
            </w:pPr>
            <w:r w:rsidRPr="00273521">
              <w:rPr>
                <w:rFonts w:eastAsia="Calibri"/>
                <w:sz w:val="20"/>
                <w:lang w:val="fr-FR"/>
              </w:rPr>
              <w:t>Cour suprême du Canada</w:t>
            </w:r>
          </w:p>
        </w:tc>
        <w:tc>
          <w:tcPr>
            <w:tcW w:w="243" w:type="pct"/>
          </w:tcPr>
          <w:p w:rsidR="00AC598D" w:rsidRPr="00273521" w:rsidRDefault="00AC598D" w:rsidP="00366F6C">
            <w:pPr>
              <w:jc w:val="both"/>
              <w:rPr>
                <w:rFonts w:eastAsia="Calibri"/>
                <w:sz w:val="20"/>
                <w:lang w:val="fr-FR"/>
              </w:rPr>
            </w:pPr>
          </w:p>
        </w:tc>
        <w:tc>
          <w:tcPr>
            <w:tcW w:w="2330" w:type="pct"/>
          </w:tcPr>
          <w:p w:rsidR="00AC598D" w:rsidRPr="00273521" w:rsidRDefault="00AC598D" w:rsidP="00366F6C">
            <w:pPr>
              <w:jc w:val="both"/>
              <w:rPr>
                <w:rFonts w:eastAsia="Calibri"/>
                <w:sz w:val="20"/>
              </w:rPr>
            </w:pPr>
            <w:proofErr w:type="spellStart"/>
            <w:r w:rsidRPr="00273521">
              <w:rPr>
                <w:rFonts w:eastAsia="Calibri"/>
                <w:sz w:val="20"/>
              </w:rPr>
              <w:t>Demande</w:t>
            </w:r>
            <w:proofErr w:type="spellEnd"/>
            <w:r w:rsidRPr="00273521">
              <w:rPr>
                <w:rFonts w:eastAsia="Calibri"/>
                <w:sz w:val="20"/>
              </w:rPr>
              <w:t xml:space="preserve"> </w:t>
            </w:r>
            <w:proofErr w:type="spellStart"/>
            <w:r w:rsidRPr="00273521">
              <w:rPr>
                <w:rFonts w:eastAsia="Calibri"/>
                <w:sz w:val="20"/>
              </w:rPr>
              <w:t>d’autorisation</w:t>
            </w:r>
            <w:proofErr w:type="spellEnd"/>
            <w:r w:rsidRPr="00273521">
              <w:rPr>
                <w:rFonts w:eastAsia="Calibri"/>
                <w:sz w:val="20"/>
              </w:rPr>
              <w:t xml:space="preserve"> </w:t>
            </w:r>
            <w:proofErr w:type="spellStart"/>
            <w:r w:rsidRPr="00273521">
              <w:rPr>
                <w:rFonts w:eastAsia="Calibri"/>
                <w:sz w:val="20"/>
              </w:rPr>
              <w:t>d’appel</w:t>
            </w:r>
            <w:proofErr w:type="spellEnd"/>
            <w:r w:rsidRPr="00273521">
              <w:rPr>
                <w:rFonts w:eastAsia="Calibri"/>
                <w:sz w:val="20"/>
              </w:rPr>
              <w:t xml:space="preserve"> </w:t>
            </w:r>
            <w:proofErr w:type="spellStart"/>
            <w:r w:rsidRPr="00273521">
              <w:rPr>
                <w:rFonts w:eastAsia="Calibri"/>
                <w:sz w:val="20"/>
              </w:rPr>
              <w:t>déposée</w:t>
            </w:r>
            <w:proofErr w:type="spellEnd"/>
            <w:r w:rsidRPr="00273521">
              <w:rPr>
                <w:rFonts w:eastAsia="Calibri"/>
                <w:sz w:val="20"/>
              </w:rPr>
              <w:t xml:space="preserve"> </w:t>
            </w:r>
          </w:p>
          <w:p w:rsidR="00AC598D" w:rsidRPr="00273521" w:rsidRDefault="00AC598D" w:rsidP="00366F6C">
            <w:pPr>
              <w:jc w:val="both"/>
              <w:rPr>
                <w:rFonts w:eastAsia="Calibri"/>
                <w:sz w:val="20"/>
              </w:rPr>
            </w:pPr>
          </w:p>
        </w:tc>
      </w:tr>
    </w:tbl>
    <w:p w:rsidR="00177474" w:rsidRDefault="00177474" w:rsidP="00177474">
      <w:pPr>
        <w:rPr>
          <w:sz w:val="20"/>
          <w:szCs w:val="20"/>
        </w:rPr>
      </w:pPr>
    </w:p>
    <w:p w:rsidR="00177474" w:rsidRDefault="009E364E" w:rsidP="00177474">
      <w:pPr>
        <w:rPr>
          <w:sz w:val="20"/>
          <w:szCs w:val="20"/>
          <w:lang w:val="fr-CA"/>
        </w:rPr>
      </w:pPr>
      <w:r w:rsidRPr="009E364E">
        <w:rPr>
          <w:sz w:val="20"/>
          <w:szCs w:val="20"/>
          <w:lang w:val="fr-CA"/>
        </w:rPr>
        <w:pict>
          <v:rect id="_x0000_i1053" style="width:2in;height:1pt" o:hrpct="0" o:hralign="center" o:hrstd="t" o:hrnoshade="t" o:hr="t" fillcolor="black [3213]" stroked="f"/>
        </w:pict>
      </w:r>
    </w:p>
    <w:p w:rsidR="00177474" w:rsidRDefault="00177474" w:rsidP="00177474">
      <w:pPr>
        <w:rPr>
          <w:sz w:val="20"/>
          <w:szCs w:val="20"/>
          <w:lang w:val="fr-CA"/>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17A52" w:rsidRPr="00C17A52" w:rsidTr="00C17A52">
        <w:trPr>
          <w:cantSplit/>
        </w:trPr>
        <w:tc>
          <w:tcPr>
            <w:tcW w:w="1458" w:type="dxa"/>
          </w:tcPr>
          <w:p w:rsidR="00C17A52" w:rsidRPr="00C17A52" w:rsidRDefault="00C17A52" w:rsidP="00C17A52">
            <w:pPr>
              <w:rPr>
                <w:rFonts w:cs="Times New Roman"/>
                <w:sz w:val="20"/>
                <w:szCs w:val="20"/>
              </w:rPr>
            </w:pPr>
            <w:r w:rsidRPr="00C17A52">
              <w:rPr>
                <w:rFonts w:cs="Times New Roman"/>
                <w:b/>
                <w:sz w:val="20"/>
                <w:lang w:val="fr-CA"/>
              </w:rPr>
              <w:lastRenderedPageBreak/>
              <w:t>34149</w:t>
            </w:r>
          </w:p>
          <w:p w:rsidR="00C17A52" w:rsidRPr="00C17A52" w:rsidRDefault="00C17A52" w:rsidP="00C17A52">
            <w:pPr>
              <w:rPr>
                <w:rFonts w:cs="Times New Roman"/>
                <w:b/>
                <w:sz w:val="20"/>
                <w:szCs w:val="20"/>
                <w:lang w:val="fr-CA"/>
              </w:rPr>
            </w:pPr>
          </w:p>
        </w:tc>
        <w:tc>
          <w:tcPr>
            <w:tcW w:w="8118" w:type="dxa"/>
          </w:tcPr>
          <w:p w:rsidR="00C17A52" w:rsidRPr="00C17A52" w:rsidRDefault="00C17A52" w:rsidP="00C17A52">
            <w:pPr>
              <w:jc w:val="both"/>
              <w:rPr>
                <w:rFonts w:cs="Times New Roman"/>
                <w:sz w:val="20"/>
                <w:szCs w:val="20"/>
              </w:rPr>
            </w:pPr>
            <w:proofErr w:type="spellStart"/>
            <w:r w:rsidRPr="00C17A52">
              <w:rPr>
                <w:rFonts w:cs="Times New Roman"/>
                <w:b/>
                <w:sz w:val="20"/>
                <w:u w:val="single"/>
              </w:rPr>
              <w:t>Danyang</w:t>
            </w:r>
            <w:proofErr w:type="spellEnd"/>
            <w:r w:rsidRPr="00C17A52">
              <w:rPr>
                <w:rFonts w:cs="Times New Roman"/>
                <w:b/>
                <w:sz w:val="20"/>
                <w:u w:val="single"/>
              </w:rPr>
              <w:t xml:space="preserve"> Liu</w:t>
            </w:r>
            <w:r>
              <w:rPr>
                <w:rFonts w:cs="Times New Roman"/>
                <w:b/>
                <w:sz w:val="20"/>
                <w:u w:val="single"/>
              </w:rPr>
              <w:t xml:space="preserve"> and</w:t>
            </w:r>
            <w:r w:rsidRPr="00C17A52">
              <w:rPr>
                <w:rFonts w:cs="Times New Roman"/>
                <w:b/>
                <w:sz w:val="20"/>
                <w:u w:val="single"/>
              </w:rPr>
              <w:t xml:space="preserve"> Andy Liu v. </w:t>
            </w:r>
            <w:proofErr w:type="spellStart"/>
            <w:r w:rsidRPr="00C17A52">
              <w:rPr>
                <w:rFonts w:cs="Times New Roman"/>
                <w:b/>
                <w:sz w:val="20"/>
                <w:u w:val="single"/>
              </w:rPr>
              <w:t>Matrikon</w:t>
            </w:r>
            <w:proofErr w:type="spellEnd"/>
            <w:r w:rsidRPr="00C17A52">
              <w:rPr>
                <w:rFonts w:cs="Times New Roman"/>
                <w:b/>
                <w:sz w:val="20"/>
                <w:u w:val="single"/>
              </w:rPr>
              <w:t xml:space="preserve"> Inc., </w:t>
            </w:r>
            <w:proofErr w:type="spellStart"/>
            <w:r w:rsidRPr="00C17A52">
              <w:rPr>
                <w:rFonts w:cs="Times New Roman"/>
                <w:b/>
                <w:sz w:val="20"/>
                <w:u w:val="single"/>
              </w:rPr>
              <w:t>Arun</w:t>
            </w:r>
            <w:proofErr w:type="spellEnd"/>
            <w:r w:rsidRPr="00C17A52">
              <w:rPr>
                <w:rFonts w:cs="Times New Roman"/>
                <w:b/>
                <w:sz w:val="20"/>
                <w:u w:val="single"/>
              </w:rPr>
              <w:t xml:space="preserve"> </w:t>
            </w:r>
            <w:proofErr w:type="spellStart"/>
            <w:r w:rsidRPr="00C17A52">
              <w:rPr>
                <w:rFonts w:cs="Times New Roman"/>
                <w:b/>
                <w:sz w:val="20"/>
                <w:u w:val="single"/>
              </w:rPr>
              <w:t>Tangirala</w:t>
            </w:r>
            <w:proofErr w:type="spellEnd"/>
            <w:r w:rsidRPr="00C17A52">
              <w:rPr>
                <w:rFonts w:cs="Times New Roman"/>
                <w:b/>
                <w:sz w:val="20"/>
                <w:u w:val="single"/>
              </w:rPr>
              <w:t xml:space="preserve">, </w:t>
            </w:r>
            <w:proofErr w:type="spellStart"/>
            <w:r w:rsidRPr="00C17A52">
              <w:rPr>
                <w:rFonts w:cs="Times New Roman"/>
                <w:b/>
                <w:sz w:val="20"/>
                <w:u w:val="single"/>
              </w:rPr>
              <w:t>Sirish</w:t>
            </w:r>
            <w:proofErr w:type="spellEnd"/>
            <w:r w:rsidRPr="00C17A52">
              <w:rPr>
                <w:rFonts w:cs="Times New Roman"/>
                <w:b/>
                <w:sz w:val="20"/>
                <w:u w:val="single"/>
              </w:rPr>
              <w:t xml:space="preserve"> Shah, Biao Huang, Governors of University of Alberta, </w:t>
            </w:r>
            <w:proofErr w:type="spellStart"/>
            <w:r w:rsidRPr="00C17A52">
              <w:rPr>
                <w:rFonts w:cs="Times New Roman"/>
                <w:b/>
                <w:sz w:val="20"/>
                <w:u w:val="single"/>
              </w:rPr>
              <w:t>Nizar</w:t>
            </w:r>
            <w:proofErr w:type="spellEnd"/>
            <w:r w:rsidRPr="00C17A52">
              <w:rPr>
                <w:rFonts w:cs="Times New Roman"/>
                <w:b/>
                <w:sz w:val="20"/>
                <w:u w:val="single"/>
              </w:rPr>
              <w:t xml:space="preserve"> </w:t>
            </w:r>
            <w:proofErr w:type="spellStart"/>
            <w:r w:rsidRPr="00C17A52">
              <w:rPr>
                <w:rFonts w:cs="Times New Roman"/>
                <w:b/>
                <w:sz w:val="20"/>
                <w:u w:val="single"/>
              </w:rPr>
              <w:t>Somji</w:t>
            </w:r>
            <w:proofErr w:type="spellEnd"/>
            <w:r w:rsidRPr="00C17A52">
              <w:rPr>
                <w:rFonts w:cs="Times New Roman"/>
                <w:b/>
                <w:sz w:val="20"/>
                <w:u w:val="single"/>
              </w:rPr>
              <w:t xml:space="preserve">, </w:t>
            </w:r>
            <w:proofErr w:type="spellStart"/>
            <w:r w:rsidRPr="00C17A52">
              <w:rPr>
                <w:rFonts w:cs="Times New Roman"/>
                <w:b/>
                <w:sz w:val="20"/>
                <w:u w:val="single"/>
              </w:rPr>
              <w:t>Haitao</w:t>
            </w:r>
            <w:proofErr w:type="spellEnd"/>
            <w:r w:rsidRPr="00C17A52">
              <w:rPr>
                <w:rFonts w:cs="Times New Roman"/>
                <w:b/>
                <w:sz w:val="20"/>
                <w:u w:val="single"/>
              </w:rPr>
              <w:t xml:space="preserve"> Zhang, Graham Goodwin, Richard Middleton, James Welsh, Greg Adams, University of Newcastle, Attorney General of Canada</w:t>
            </w:r>
            <w:r w:rsidR="00851D4F">
              <w:rPr>
                <w:rFonts w:cs="Times New Roman"/>
                <w:b/>
                <w:sz w:val="20"/>
                <w:u w:val="single"/>
              </w:rPr>
              <w:t xml:space="preserve"> and</w:t>
            </w:r>
            <w:r w:rsidRPr="00C17A52">
              <w:rPr>
                <w:rFonts w:cs="Times New Roman"/>
                <w:b/>
                <w:sz w:val="20"/>
                <w:u w:val="single"/>
              </w:rPr>
              <w:t xml:space="preserve"> Chief of Police of Edmonton Police Service</w:t>
            </w:r>
            <w:r w:rsidRPr="00C17A52">
              <w:rPr>
                <w:rFonts w:cs="Times New Roman"/>
                <w:sz w:val="20"/>
                <w:szCs w:val="20"/>
              </w:rPr>
              <w:t xml:space="preserve"> (Alta.) (Civil) (By Leave)</w:t>
            </w:r>
          </w:p>
          <w:p w:rsidR="00C17A52" w:rsidRPr="00C17A52" w:rsidRDefault="00C17A52" w:rsidP="00C17A52">
            <w:pPr>
              <w:rPr>
                <w:rFonts w:cs="Times New Roman"/>
                <w:sz w:val="20"/>
                <w:szCs w:val="20"/>
              </w:rPr>
            </w:pPr>
          </w:p>
        </w:tc>
      </w:tr>
      <w:tr w:rsidR="00C17A52" w:rsidRPr="00C17A52" w:rsidTr="00C17A52">
        <w:trPr>
          <w:cantSplit/>
        </w:trPr>
        <w:tc>
          <w:tcPr>
            <w:tcW w:w="1458" w:type="dxa"/>
          </w:tcPr>
          <w:p w:rsidR="00C17A52" w:rsidRPr="00C17A52" w:rsidRDefault="00C17A52" w:rsidP="00C17A52">
            <w:pPr>
              <w:rPr>
                <w:rFonts w:cs="Times New Roman"/>
                <w:sz w:val="20"/>
                <w:szCs w:val="20"/>
              </w:rPr>
            </w:pPr>
            <w:r w:rsidRPr="00C17A52">
              <w:rPr>
                <w:rFonts w:cs="Times New Roman"/>
                <w:sz w:val="20"/>
                <w:szCs w:val="20"/>
              </w:rPr>
              <w:t>Coram :</w:t>
            </w:r>
          </w:p>
        </w:tc>
        <w:tc>
          <w:tcPr>
            <w:tcW w:w="8118" w:type="dxa"/>
          </w:tcPr>
          <w:p w:rsidR="00C17A52" w:rsidRPr="00C17A52" w:rsidRDefault="00C17A52" w:rsidP="00C17A52">
            <w:pPr>
              <w:rPr>
                <w:rFonts w:cs="Times New Roman"/>
                <w:sz w:val="20"/>
                <w:szCs w:val="20"/>
              </w:rPr>
            </w:pPr>
            <w:proofErr w:type="spellStart"/>
            <w:r w:rsidRPr="00C17A52">
              <w:rPr>
                <w:rFonts w:cs="Times New Roman"/>
                <w:sz w:val="20"/>
                <w:u w:val="single"/>
              </w:rPr>
              <w:t>Binnie</w:t>
            </w:r>
            <w:proofErr w:type="spellEnd"/>
            <w:r w:rsidRPr="00C17A52">
              <w:rPr>
                <w:rFonts w:cs="Times New Roman"/>
                <w:sz w:val="20"/>
                <w:u w:val="single"/>
              </w:rPr>
              <w:t xml:space="preserve">, </w:t>
            </w:r>
            <w:proofErr w:type="spellStart"/>
            <w:r w:rsidRPr="00C17A52">
              <w:rPr>
                <w:rFonts w:cs="Times New Roman"/>
                <w:sz w:val="20"/>
                <w:u w:val="single"/>
              </w:rPr>
              <w:t>Abella</w:t>
            </w:r>
            <w:proofErr w:type="spellEnd"/>
            <w:r w:rsidRPr="00C17A52">
              <w:rPr>
                <w:rFonts w:cs="Times New Roman"/>
                <w:sz w:val="20"/>
                <w:u w:val="single"/>
              </w:rPr>
              <w:t xml:space="preserve"> and Rothstein JJ.</w:t>
            </w:r>
          </w:p>
          <w:p w:rsidR="00C17A52" w:rsidRPr="00C17A52" w:rsidRDefault="00C17A52" w:rsidP="00C17A52">
            <w:pPr>
              <w:rPr>
                <w:rFonts w:cs="Times New Roman"/>
                <w:sz w:val="20"/>
                <w:szCs w:val="20"/>
                <w:u w:val="single"/>
              </w:rPr>
            </w:pPr>
          </w:p>
        </w:tc>
      </w:tr>
      <w:tr w:rsidR="00C17A52" w:rsidRPr="00C17A52" w:rsidTr="00C17A52">
        <w:trPr>
          <w:cantSplit/>
        </w:trPr>
        <w:tc>
          <w:tcPr>
            <w:tcW w:w="9576" w:type="dxa"/>
            <w:gridSpan w:val="2"/>
          </w:tcPr>
          <w:p w:rsidR="00C17A52" w:rsidRPr="00C17A52" w:rsidRDefault="00C17A52" w:rsidP="00C17A52">
            <w:pPr>
              <w:ind w:firstLine="720"/>
              <w:jc w:val="both"/>
              <w:rPr>
                <w:rFonts w:cs="Times New Roman"/>
                <w:sz w:val="20"/>
                <w:szCs w:val="20"/>
              </w:rPr>
            </w:pPr>
            <w:r w:rsidRPr="00C17A52">
              <w:rPr>
                <w:rFonts w:cs="Times New Roman"/>
                <w:sz w:val="20"/>
                <w:szCs w:val="20"/>
              </w:rPr>
              <w:t xml:space="preserve">The motion for an extension of time to serve and file the application for leave to appeal is granted.  The application for leave to appeal from the judgment of the Court of Appeal of Alberta (Edmonton), Number 0903-0241-AC, 2010 ABCA 383, dated December 15, 2010, is dismissed with costs to the respondents </w:t>
            </w:r>
            <w:proofErr w:type="spellStart"/>
            <w:r w:rsidRPr="00C17A52">
              <w:rPr>
                <w:rFonts w:cs="Times New Roman"/>
                <w:sz w:val="20"/>
                <w:szCs w:val="20"/>
              </w:rPr>
              <w:t>Matrikon</w:t>
            </w:r>
            <w:proofErr w:type="spellEnd"/>
            <w:r w:rsidRPr="00C17A52">
              <w:rPr>
                <w:rFonts w:cs="Times New Roman"/>
                <w:sz w:val="20"/>
                <w:szCs w:val="20"/>
              </w:rPr>
              <w:t xml:space="preserve"> Inc., </w:t>
            </w:r>
            <w:proofErr w:type="spellStart"/>
            <w:r w:rsidRPr="00C17A52">
              <w:rPr>
                <w:rFonts w:cs="Times New Roman"/>
                <w:sz w:val="20"/>
                <w:szCs w:val="20"/>
              </w:rPr>
              <w:t>Nizar</w:t>
            </w:r>
            <w:proofErr w:type="spellEnd"/>
            <w:r w:rsidRPr="00C17A52">
              <w:rPr>
                <w:rFonts w:cs="Times New Roman"/>
                <w:sz w:val="20"/>
                <w:szCs w:val="20"/>
              </w:rPr>
              <w:t xml:space="preserve"> </w:t>
            </w:r>
            <w:proofErr w:type="spellStart"/>
            <w:r w:rsidRPr="00C17A52">
              <w:rPr>
                <w:rFonts w:cs="Times New Roman"/>
                <w:sz w:val="20"/>
                <w:szCs w:val="20"/>
              </w:rPr>
              <w:t>Somji</w:t>
            </w:r>
            <w:proofErr w:type="spellEnd"/>
            <w:r w:rsidRPr="00C17A52">
              <w:rPr>
                <w:rFonts w:cs="Times New Roman"/>
                <w:sz w:val="20"/>
                <w:szCs w:val="20"/>
              </w:rPr>
              <w:t xml:space="preserve">, </w:t>
            </w:r>
            <w:proofErr w:type="spellStart"/>
            <w:r w:rsidRPr="00C17A52">
              <w:rPr>
                <w:rFonts w:cs="Times New Roman"/>
                <w:sz w:val="20"/>
                <w:szCs w:val="20"/>
              </w:rPr>
              <w:t>Haitao</w:t>
            </w:r>
            <w:proofErr w:type="spellEnd"/>
            <w:r w:rsidRPr="00C17A52">
              <w:rPr>
                <w:rFonts w:cs="Times New Roman"/>
                <w:sz w:val="20"/>
                <w:szCs w:val="20"/>
              </w:rPr>
              <w:t xml:space="preserve"> Zhang, Attorney General of Canada and Chief of Police of the Edmonton Police Service.</w:t>
            </w:r>
          </w:p>
          <w:p w:rsidR="00C17A52" w:rsidRPr="00C17A52" w:rsidRDefault="00C17A52" w:rsidP="00C17A52">
            <w:pPr>
              <w:jc w:val="both"/>
              <w:rPr>
                <w:rFonts w:cs="Times New Roman"/>
                <w:sz w:val="20"/>
                <w:szCs w:val="20"/>
              </w:rPr>
            </w:pPr>
          </w:p>
          <w:p w:rsidR="00C17A52" w:rsidRPr="00C17A52" w:rsidRDefault="00C17A52" w:rsidP="00C17A52">
            <w:pPr>
              <w:ind w:firstLine="720"/>
              <w:jc w:val="both"/>
              <w:rPr>
                <w:rFonts w:cs="Times New Roman"/>
                <w:sz w:val="20"/>
                <w:szCs w:val="20"/>
                <w:lang w:val="fr-CA"/>
              </w:rPr>
            </w:pPr>
            <w:r w:rsidRPr="00C17A52">
              <w:rPr>
                <w:rFonts w:cs="Times New Roman"/>
                <w:sz w:val="20"/>
                <w:szCs w:val="20"/>
                <w:lang w:val="fr-CA"/>
              </w:rPr>
              <w:t xml:space="preserve">La requête en prorogation du délai de signification et de dépôt de la demande d’autorisation d’appel est accordée.  La demande d’autorisation d’appel de l’arrêt de la Cour d’appel de l’Alberta (Edmonton), numéro 0903-0241-AC, 2010 ABCA 383, daté du 15 décembre 2010, est rejetée avec dépens en faveur des intimés </w:t>
            </w:r>
            <w:proofErr w:type="spellStart"/>
            <w:r w:rsidRPr="00C17A52">
              <w:rPr>
                <w:rFonts w:cs="Times New Roman"/>
                <w:sz w:val="20"/>
                <w:szCs w:val="20"/>
                <w:lang w:val="fr-CA"/>
              </w:rPr>
              <w:t>Matrikon</w:t>
            </w:r>
            <w:proofErr w:type="spellEnd"/>
            <w:r w:rsidRPr="00C17A52">
              <w:rPr>
                <w:rFonts w:cs="Times New Roman"/>
                <w:sz w:val="20"/>
                <w:szCs w:val="20"/>
                <w:lang w:val="fr-CA"/>
              </w:rPr>
              <w:t xml:space="preserve"> Inc., </w:t>
            </w:r>
            <w:proofErr w:type="spellStart"/>
            <w:r w:rsidRPr="00C17A52">
              <w:rPr>
                <w:rFonts w:cs="Times New Roman"/>
                <w:sz w:val="20"/>
                <w:szCs w:val="20"/>
                <w:lang w:val="fr-CA"/>
              </w:rPr>
              <w:t>Nizar</w:t>
            </w:r>
            <w:proofErr w:type="spellEnd"/>
            <w:r w:rsidRPr="00C17A52">
              <w:rPr>
                <w:rFonts w:cs="Times New Roman"/>
                <w:sz w:val="20"/>
                <w:szCs w:val="20"/>
                <w:lang w:val="fr-CA"/>
              </w:rPr>
              <w:t xml:space="preserve"> </w:t>
            </w:r>
            <w:proofErr w:type="spellStart"/>
            <w:r w:rsidRPr="00C17A52">
              <w:rPr>
                <w:rFonts w:cs="Times New Roman"/>
                <w:sz w:val="20"/>
                <w:szCs w:val="20"/>
                <w:lang w:val="fr-CA"/>
              </w:rPr>
              <w:t>Somji</w:t>
            </w:r>
            <w:proofErr w:type="spellEnd"/>
            <w:r w:rsidRPr="00C17A52">
              <w:rPr>
                <w:rFonts w:cs="Times New Roman"/>
                <w:sz w:val="20"/>
                <w:szCs w:val="20"/>
                <w:lang w:val="fr-CA"/>
              </w:rPr>
              <w:t xml:space="preserve">, </w:t>
            </w:r>
            <w:proofErr w:type="spellStart"/>
            <w:r w:rsidRPr="00C17A52">
              <w:rPr>
                <w:rFonts w:cs="Times New Roman"/>
                <w:sz w:val="20"/>
                <w:szCs w:val="20"/>
                <w:lang w:val="fr-CA"/>
              </w:rPr>
              <w:t>Haitao</w:t>
            </w:r>
            <w:proofErr w:type="spellEnd"/>
            <w:r w:rsidRPr="00C17A52">
              <w:rPr>
                <w:rFonts w:cs="Times New Roman"/>
                <w:sz w:val="20"/>
                <w:szCs w:val="20"/>
                <w:lang w:val="fr-CA"/>
              </w:rPr>
              <w:t xml:space="preserve"> Zhang, Procureur général du Canada et Chef du service de police d’Edmonton.</w:t>
            </w:r>
          </w:p>
        </w:tc>
      </w:tr>
    </w:tbl>
    <w:p w:rsidR="00177474" w:rsidRPr="00C17A52" w:rsidRDefault="00177474" w:rsidP="00177474">
      <w:pPr>
        <w:rPr>
          <w:sz w:val="20"/>
          <w:szCs w:val="20"/>
          <w:lang w:val="fr-CA"/>
        </w:rPr>
      </w:pPr>
    </w:p>
    <w:p w:rsidR="00177474" w:rsidRPr="00177474" w:rsidRDefault="00177474" w:rsidP="00177474">
      <w:pPr>
        <w:rPr>
          <w:sz w:val="20"/>
          <w:szCs w:val="20"/>
        </w:rPr>
      </w:pPr>
      <w:r>
        <w:rPr>
          <w:sz w:val="20"/>
          <w:szCs w:val="20"/>
          <w:u w:val="single"/>
        </w:rPr>
        <w:t>CASE SUMMARY</w:t>
      </w:r>
    </w:p>
    <w:p w:rsidR="00177474" w:rsidRDefault="00177474" w:rsidP="001774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C598D" w:rsidRPr="00273521" w:rsidTr="00366F6C">
        <w:tc>
          <w:tcPr>
            <w:tcW w:w="5000" w:type="pct"/>
            <w:gridSpan w:val="3"/>
          </w:tcPr>
          <w:p w:rsidR="00AC598D" w:rsidRPr="00273521" w:rsidRDefault="00AC598D" w:rsidP="00366F6C">
            <w:pPr>
              <w:jc w:val="both"/>
              <w:rPr>
                <w:sz w:val="20"/>
              </w:rPr>
            </w:pPr>
            <w:r w:rsidRPr="00273521">
              <w:rPr>
                <w:i/>
                <w:sz w:val="20"/>
              </w:rPr>
              <w:t>Charter of Rights</w:t>
            </w:r>
            <w:r w:rsidRPr="00273521">
              <w:rPr>
                <w:sz w:val="20"/>
              </w:rPr>
              <w:t xml:space="preserve"> — Right to equality — Civil procedure — Discontinuance — Whether lower courts erred in dismissing action and in failing to permit Applicant to file amended </w:t>
            </w:r>
            <w:proofErr w:type="spellStart"/>
            <w:r w:rsidRPr="00273521">
              <w:rPr>
                <w:sz w:val="20"/>
              </w:rPr>
              <w:t>amended</w:t>
            </w:r>
            <w:proofErr w:type="spellEnd"/>
            <w:r w:rsidRPr="00273521">
              <w:rPr>
                <w:sz w:val="20"/>
              </w:rPr>
              <w:t xml:space="preserve"> </w:t>
            </w:r>
            <w:proofErr w:type="spellStart"/>
            <w:r w:rsidRPr="00273521">
              <w:rPr>
                <w:sz w:val="20"/>
              </w:rPr>
              <w:t>amended</w:t>
            </w:r>
            <w:proofErr w:type="spellEnd"/>
            <w:r w:rsidRPr="00273521">
              <w:rPr>
                <w:sz w:val="20"/>
              </w:rPr>
              <w:t xml:space="preserve"> statement of claim.</w:t>
            </w:r>
          </w:p>
        </w:tc>
      </w:tr>
      <w:tr w:rsidR="00AC598D" w:rsidRPr="00273521" w:rsidTr="00366F6C">
        <w:tc>
          <w:tcPr>
            <w:tcW w:w="5000" w:type="pct"/>
            <w:gridSpan w:val="3"/>
          </w:tcPr>
          <w:p w:rsidR="00AC598D" w:rsidRPr="00273521" w:rsidRDefault="00AC598D" w:rsidP="00366F6C">
            <w:pPr>
              <w:ind w:left="360" w:hanging="360"/>
              <w:rPr>
                <w:sz w:val="20"/>
              </w:rPr>
            </w:pPr>
          </w:p>
        </w:tc>
      </w:tr>
      <w:tr w:rsidR="00AC598D" w:rsidRPr="00273521" w:rsidTr="00366F6C">
        <w:tc>
          <w:tcPr>
            <w:tcW w:w="5000" w:type="pct"/>
            <w:gridSpan w:val="3"/>
          </w:tcPr>
          <w:p w:rsidR="00AC598D" w:rsidRPr="00273521" w:rsidRDefault="00AC598D" w:rsidP="00366F6C">
            <w:pPr>
              <w:jc w:val="both"/>
              <w:rPr>
                <w:sz w:val="20"/>
              </w:rPr>
            </w:pPr>
            <w:r w:rsidRPr="00273521">
              <w:rPr>
                <w:sz w:val="20"/>
              </w:rPr>
              <w:t xml:space="preserve">In 2000, Dr. Liu obtained a three month position with </w:t>
            </w:r>
            <w:proofErr w:type="spellStart"/>
            <w:r w:rsidRPr="00273521">
              <w:rPr>
                <w:sz w:val="20"/>
              </w:rPr>
              <w:t>Matrikon</w:t>
            </w:r>
            <w:proofErr w:type="spellEnd"/>
            <w:r w:rsidRPr="00273521">
              <w:rPr>
                <w:sz w:val="20"/>
              </w:rPr>
              <w:t xml:space="preserve"> Inc. (“</w:t>
            </w:r>
            <w:proofErr w:type="spellStart"/>
            <w:r w:rsidRPr="00273521">
              <w:rPr>
                <w:sz w:val="20"/>
              </w:rPr>
              <w:t>Matrikon</w:t>
            </w:r>
            <w:proofErr w:type="spellEnd"/>
            <w:r w:rsidRPr="00273521">
              <w:rPr>
                <w:sz w:val="20"/>
              </w:rPr>
              <w:t xml:space="preserve">”), but was dismissed after only six weeks.  He sued </w:t>
            </w:r>
            <w:proofErr w:type="spellStart"/>
            <w:r w:rsidRPr="00273521">
              <w:rPr>
                <w:sz w:val="20"/>
              </w:rPr>
              <w:t>Matrikon</w:t>
            </w:r>
            <w:proofErr w:type="spellEnd"/>
            <w:r w:rsidRPr="00273521">
              <w:rPr>
                <w:sz w:val="20"/>
              </w:rPr>
              <w:t xml:space="preserve"> in November 2001.  Since then, he brought 24 applications in his action and sought leave to commence seven appeals. </w:t>
            </w:r>
            <w:proofErr w:type="spellStart"/>
            <w:r w:rsidRPr="00273521">
              <w:rPr>
                <w:sz w:val="20"/>
              </w:rPr>
              <w:t>Matrikon</w:t>
            </w:r>
            <w:proofErr w:type="spellEnd"/>
            <w:r w:rsidRPr="00273521">
              <w:rPr>
                <w:sz w:val="20"/>
              </w:rPr>
              <w:t xml:space="preserve"> obtained a partial summary judgment against him, requiring Dr. Liu to delete certain allegations from his statement of claim.  This decision was overturned on appeal and Dt. Liu applied to restore the allegations.  Before that application was heard, however, the case management judge dismissed his action in its entirety for failure to post security for costs. His appeal was dismissed in October 2007. One month earlier, Dr. Liu had commenced a Federal Court action containing many of the same allegations.  That action was stayed in February 2008, and Dr. Liu was ordered to post security for costs.  He also filed another statement of claim against </w:t>
            </w:r>
            <w:proofErr w:type="spellStart"/>
            <w:r w:rsidRPr="00273521">
              <w:rPr>
                <w:sz w:val="20"/>
              </w:rPr>
              <w:t>Matrikon</w:t>
            </w:r>
            <w:proofErr w:type="spellEnd"/>
            <w:r w:rsidRPr="00273521">
              <w:rPr>
                <w:sz w:val="20"/>
              </w:rPr>
              <w:t xml:space="preserve">, based on the same claims.  That action was stayed by the order under appeal.  Dr. Liu then applied for an order allowing him to file an amended </w:t>
            </w:r>
            <w:proofErr w:type="spellStart"/>
            <w:r w:rsidRPr="00273521">
              <w:rPr>
                <w:sz w:val="20"/>
              </w:rPr>
              <w:t>amended</w:t>
            </w:r>
            <w:proofErr w:type="spellEnd"/>
            <w:r w:rsidRPr="00273521">
              <w:rPr>
                <w:sz w:val="20"/>
              </w:rPr>
              <w:t xml:space="preserve"> </w:t>
            </w:r>
            <w:proofErr w:type="spellStart"/>
            <w:r w:rsidRPr="00273521">
              <w:rPr>
                <w:sz w:val="20"/>
              </w:rPr>
              <w:t>amended</w:t>
            </w:r>
            <w:proofErr w:type="spellEnd"/>
            <w:r w:rsidRPr="00273521">
              <w:rPr>
                <w:sz w:val="20"/>
              </w:rPr>
              <w:t xml:space="preserve"> statement of claim in the original Alberta action.</w:t>
            </w:r>
          </w:p>
          <w:p w:rsidR="00AC598D" w:rsidRPr="00273521" w:rsidRDefault="00AC598D" w:rsidP="00366F6C">
            <w:pPr>
              <w:ind w:left="360" w:hanging="360"/>
              <w:rPr>
                <w:sz w:val="20"/>
              </w:rPr>
            </w:pPr>
          </w:p>
        </w:tc>
      </w:tr>
      <w:tr w:rsidR="00AC598D" w:rsidRPr="00273521" w:rsidTr="00366F6C">
        <w:tc>
          <w:tcPr>
            <w:tcW w:w="2427" w:type="pct"/>
          </w:tcPr>
          <w:p w:rsidR="00AC598D" w:rsidRPr="00273521" w:rsidRDefault="00AC598D" w:rsidP="00366F6C">
            <w:pPr>
              <w:ind w:left="360" w:hanging="360"/>
              <w:rPr>
                <w:sz w:val="20"/>
              </w:rPr>
            </w:pPr>
            <w:r w:rsidRPr="00273521">
              <w:rPr>
                <w:sz w:val="20"/>
              </w:rPr>
              <w:t>April 29, 2009</w:t>
            </w:r>
          </w:p>
          <w:p w:rsidR="00AC598D" w:rsidRPr="00273521" w:rsidRDefault="00AC598D" w:rsidP="00366F6C">
            <w:pPr>
              <w:ind w:left="360" w:hanging="360"/>
              <w:rPr>
                <w:sz w:val="20"/>
              </w:rPr>
            </w:pPr>
            <w:r w:rsidRPr="00273521">
              <w:rPr>
                <w:sz w:val="20"/>
              </w:rPr>
              <w:t>Court of Queen’s Bench of Alberta</w:t>
            </w:r>
          </w:p>
          <w:p w:rsidR="00AC598D" w:rsidRPr="00273521" w:rsidRDefault="00AC598D" w:rsidP="00366F6C">
            <w:pPr>
              <w:ind w:left="360" w:hanging="360"/>
              <w:rPr>
                <w:sz w:val="20"/>
              </w:rPr>
            </w:pPr>
            <w:r w:rsidRPr="00273521">
              <w:rPr>
                <w:sz w:val="20"/>
              </w:rPr>
              <w:t>(</w:t>
            </w:r>
            <w:proofErr w:type="spellStart"/>
            <w:r w:rsidRPr="00273521">
              <w:rPr>
                <w:sz w:val="20"/>
              </w:rPr>
              <w:t>Clackson</w:t>
            </w:r>
            <w:proofErr w:type="spellEnd"/>
            <w:r w:rsidRPr="00273521">
              <w:rPr>
                <w:sz w:val="20"/>
              </w:rPr>
              <w:t xml:space="preserve"> J.)</w:t>
            </w:r>
          </w:p>
          <w:p w:rsidR="00AC598D" w:rsidRPr="00273521" w:rsidRDefault="00AC598D" w:rsidP="00366F6C">
            <w:pPr>
              <w:ind w:left="360" w:hanging="360"/>
              <w:rPr>
                <w:sz w:val="20"/>
              </w:rPr>
            </w:pPr>
          </w:p>
        </w:tc>
        <w:tc>
          <w:tcPr>
            <w:tcW w:w="243" w:type="pct"/>
          </w:tcPr>
          <w:p w:rsidR="00AC598D" w:rsidRPr="00273521" w:rsidRDefault="00AC598D" w:rsidP="00366F6C">
            <w:pPr>
              <w:ind w:left="360" w:hanging="360"/>
              <w:rPr>
                <w:sz w:val="20"/>
              </w:rPr>
            </w:pPr>
          </w:p>
        </w:tc>
        <w:tc>
          <w:tcPr>
            <w:tcW w:w="2330" w:type="pct"/>
          </w:tcPr>
          <w:p w:rsidR="00AC598D" w:rsidRPr="00273521" w:rsidRDefault="00AC598D" w:rsidP="00AC598D">
            <w:pPr>
              <w:jc w:val="both"/>
              <w:rPr>
                <w:sz w:val="20"/>
              </w:rPr>
            </w:pPr>
            <w:r w:rsidRPr="00273521">
              <w:rPr>
                <w:sz w:val="20"/>
              </w:rPr>
              <w:t>Application dismissed and Applicant declared a vexatious litigant</w:t>
            </w:r>
          </w:p>
          <w:p w:rsidR="00AC598D" w:rsidRPr="00273521" w:rsidRDefault="00AC598D" w:rsidP="00366F6C">
            <w:pPr>
              <w:ind w:left="360" w:hanging="360"/>
              <w:rPr>
                <w:sz w:val="20"/>
              </w:rPr>
            </w:pPr>
          </w:p>
        </w:tc>
      </w:tr>
      <w:tr w:rsidR="00AC598D" w:rsidRPr="00273521" w:rsidTr="00366F6C">
        <w:tc>
          <w:tcPr>
            <w:tcW w:w="2427" w:type="pct"/>
          </w:tcPr>
          <w:p w:rsidR="00AC598D" w:rsidRPr="00273521" w:rsidRDefault="00AC598D" w:rsidP="00366F6C">
            <w:pPr>
              <w:ind w:left="360" w:hanging="360"/>
              <w:rPr>
                <w:sz w:val="20"/>
              </w:rPr>
            </w:pPr>
            <w:r w:rsidRPr="00273521">
              <w:rPr>
                <w:sz w:val="20"/>
              </w:rPr>
              <w:t>December 15, 2010</w:t>
            </w:r>
          </w:p>
          <w:p w:rsidR="00AC598D" w:rsidRPr="00273521" w:rsidRDefault="00AC598D" w:rsidP="00366F6C">
            <w:pPr>
              <w:ind w:left="360" w:hanging="360"/>
              <w:rPr>
                <w:sz w:val="20"/>
              </w:rPr>
            </w:pPr>
            <w:r w:rsidRPr="00273521">
              <w:rPr>
                <w:sz w:val="20"/>
              </w:rPr>
              <w:t>Court of Appeal of Alberta (Edmonton)</w:t>
            </w:r>
          </w:p>
          <w:p w:rsidR="00AC598D" w:rsidRPr="00273521" w:rsidRDefault="00AC598D" w:rsidP="00366F6C">
            <w:pPr>
              <w:ind w:left="360" w:hanging="360"/>
              <w:rPr>
                <w:sz w:val="20"/>
              </w:rPr>
            </w:pPr>
            <w:r w:rsidRPr="00273521">
              <w:rPr>
                <w:sz w:val="20"/>
              </w:rPr>
              <w:t>(</w:t>
            </w:r>
            <w:proofErr w:type="spellStart"/>
            <w:r w:rsidRPr="00273521">
              <w:rPr>
                <w:sz w:val="20"/>
              </w:rPr>
              <w:t>Slatter</w:t>
            </w:r>
            <w:proofErr w:type="spellEnd"/>
            <w:r w:rsidRPr="00273521">
              <w:rPr>
                <w:sz w:val="20"/>
              </w:rPr>
              <w:t xml:space="preserve">, </w:t>
            </w:r>
            <w:proofErr w:type="spellStart"/>
            <w:r w:rsidRPr="00273521">
              <w:rPr>
                <w:sz w:val="20"/>
              </w:rPr>
              <w:t>Rowbotham</w:t>
            </w:r>
            <w:proofErr w:type="spellEnd"/>
            <w:r w:rsidRPr="00273521">
              <w:rPr>
                <w:sz w:val="20"/>
              </w:rPr>
              <w:t xml:space="preserve"> and </w:t>
            </w:r>
            <w:proofErr w:type="spellStart"/>
            <w:r w:rsidRPr="00273521">
              <w:rPr>
                <w:sz w:val="20"/>
              </w:rPr>
              <w:t>Bielby</w:t>
            </w:r>
            <w:proofErr w:type="spellEnd"/>
            <w:r w:rsidRPr="00273521">
              <w:rPr>
                <w:sz w:val="20"/>
              </w:rPr>
              <w:t xml:space="preserve"> JJ.A.)</w:t>
            </w:r>
          </w:p>
          <w:p w:rsidR="00AC598D" w:rsidRPr="00273521" w:rsidRDefault="00AC598D" w:rsidP="00366F6C">
            <w:pPr>
              <w:ind w:left="360" w:hanging="360"/>
              <w:rPr>
                <w:sz w:val="20"/>
              </w:rPr>
            </w:pPr>
          </w:p>
        </w:tc>
        <w:tc>
          <w:tcPr>
            <w:tcW w:w="243" w:type="pct"/>
          </w:tcPr>
          <w:p w:rsidR="00AC598D" w:rsidRPr="00273521" w:rsidRDefault="00AC598D" w:rsidP="00366F6C">
            <w:pPr>
              <w:ind w:left="360" w:hanging="360"/>
              <w:rPr>
                <w:sz w:val="20"/>
              </w:rPr>
            </w:pPr>
          </w:p>
        </w:tc>
        <w:tc>
          <w:tcPr>
            <w:tcW w:w="2330" w:type="pct"/>
          </w:tcPr>
          <w:p w:rsidR="00AC598D" w:rsidRPr="00273521" w:rsidRDefault="00AC598D" w:rsidP="00366F6C">
            <w:pPr>
              <w:ind w:left="360" w:hanging="360"/>
              <w:rPr>
                <w:sz w:val="20"/>
              </w:rPr>
            </w:pPr>
            <w:r w:rsidRPr="00273521">
              <w:rPr>
                <w:sz w:val="20"/>
              </w:rPr>
              <w:t>Appeal dismissed</w:t>
            </w:r>
          </w:p>
          <w:p w:rsidR="00AC598D" w:rsidRPr="00273521" w:rsidRDefault="00AC598D" w:rsidP="00366F6C">
            <w:pPr>
              <w:ind w:left="360" w:hanging="360"/>
              <w:rPr>
                <w:sz w:val="20"/>
              </w:rPr>
            </w:pPr>
          </w:p>
        </w:tc>
      </w:tr>
      <w:tr w:rsidR="00AC598D" w:rsidRPr="00273521" w:rsidTr="00366F6C">
        <w:tc>
          <w:tcPr>
            <w:tcW w:w="2427" w:type="pct"/>
          </w:tcPr>
          <w:p w:rsidR="00AC598D" w:rsidRPr="00273521" w:rsidRDefault="00AC598D" w:rsidP="00366F6C">
            <w:pPr>
              <w:ind w:left="360" w:hanging="360"/>
              <w:rPr>
                <w:sz w:val="20"/>
              </w:rPr>
            </w:pPr>
            <w:r w:rsidRPr="00273521">
              <w:rPr>
                <w:sz w:val="20"/>
              </w:rPr>
              <w:t>February 23, 2011</w:t>
            </w:r>
          </w:p>
          <w:p w:rsidR="00AC598D" w:rsidRPr="00273521" w:rsidRDefault="00AC598D" w:rsidP="00366F6C">
            <w:pPr>
              <w:ind w:left="360" w:hanging="360"/>
              <w:rPr>
                <w:sz w:val="20"/>
              </w:rPr>
            </w:pPr>
            <w:r w:rsidRPr="00273521">
              <w:rPr>
                <w:sz w:val="20"/>
              </w:rPr>
              <w:t>Supreme Court of Canada</w:t>
            </w:r>
          </w:p>
        </w:tc>
        <w:tc>
          <w:tcPr>
            <w:tcW w:w="243" w:type="pct"/>
          </w:tcPr>
          <w:p w:rsidR="00AC598D" w:rsidRPr="00273521" w:rsidRDefault="00AC598D" w:rsidP="00366F6C">
            <w:pPr>
              <w:ind w:left="360" w:hanging="360"/>
              <w:rPr>
                <w:sz w:val="20"/>
              </w:rPr>
            </w:pPr>
          </w:p>
        </w:tc>
        <w:tc>
          <w:tcPr>
            <w:tcW w:w="2330" w:type="pct"/>
          </w:tcPr>
          <w:p w:rsidR="00AC598D" w:rsidRPr="00273521" w:rsidRDefault="00AC598D" w:rsidP="00AC598D">
            <w:pPr>
              <w:jc w:val="both"/>
              <w:rPr>
                <w:sz w:val="20"/>
              </w:rPr>
            </w:pPr>
            <w:r w:rsidRPr="00273521">
              <w:rPr>
                <w:sz w:val="20"/>
              </w:rPr>
              <w:t>Application for leave to appeal and motion for extension of time in which to file leave application filed</w:t>
            </w:r>
          </w:p>
        </w:tc>
      </w:tr>
    </w:tbl>
    <w:p w:rsidR="00177474" w:rsidRDefault="00177474" w:rsidP="00177474">
      <w:pPr>
        <w:rPr>
          <w:sz w:val="20"/>
          <w:szCs w:val="20"/>
        </w:rPr>
      </w:pPr>
    </w:p>
    <w:p w:rsidR="00177474" w:rsidRDefault="009E364E" w:rsidP="00177474">
      <w:pPr>
        <w:rPr>
          <w:sz w:val="20"/>
          <w:szCs w:val="20"/>
          <w:lang w:val="fr-CA"/>
        </w:rPr>
      </w:pPr>
      <w:r w:rsidRPr="009E364E">
        <w:rPr>
          <w:sz w:val="20"/>
          <w:szCs w:val="20"/>
          <w:lang w:val="fr-CA"/>
        </w:rPr>
        <w:pict>
          <v:rect id="_x0000_i1054" style="width:2in;height:1pt" o:hrpct="0" o:hralign="center" o:hrstd="t" o:hrnoshade="t" o:hr="t" fillcolor="black [3213]" stroked="f"/>
        </w:pict>
      </w:r>
    </w:p>
    <w:p w:rsidR="00177474" w:rsidRDefault="00177474" w:rsidP="00177474">
      <w:pPr>
        <w:rPr>
          <w:sz w:val="20"/>
          <w:szCs w:val="20"/>
        </w:rPr>
      </w:pPr>
    </w:p>
    <w:p w:rsidR="00177474" w:rsidRPr="00177474" w:rsidRDefault="00177474" w:rsidP="00177474">
      <w:pPr>
        <w:rPr>
          <w:sz w:val="20"/>
          <w:szCs w:val="20"/>
        </w:rPr>
      </w:pPr>
      <w:r>
        <w:rPr>
          <w:sz w:val="20"/>
          <w:szCs w:val="20"/>
          <w:u w:val="single"/>
        </w:rPr>
        <w:t>RÉSUMÉ DE L’AFFAIRE</w:t>
      </w:r>
    </w:p>
    <w:p w:rsidR="00177474" w:rsidRDefault="00177474" w:rsidP="001774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C598D" w:rsidRPr="000536FB" w:rsidTr="00366F6C">
        <w:tc>
          <w:tcPr>
            <w:tcW w:w="5000" w:type="pct"/>
            <w:gridSpan w:val="3"/>
          </w:tcPr>
          <w:p w:rsidR="00AC598D" w:rsidRPr="00AC598D" w:rsidRDefault="00AC598D" w:rsidP="00366F6C">
            <w:pPr>
              <w:jc w:val="both"/>
              <w:rPr>
                <w:sz w:val="20"/>
                <w:lang w:val="fr-CA"/>
              </w:rPr>
            </w:pPr>
            <w:r w:rsidRPr="00AC598D">
              <w:rPr>
                <w:i/>
                <w:sz w:val="20"/>
                <w:lang w:val="fr-CA"/>
              </w:rPr>
              <w:t>Charte des droits</w:t>
            </w:r>
            <w:r w:rsidRPr="00AC598D">
              <w:rPr>
                <w:sz w:val="20"/>
                <w:lang w:val="fr-CA"/>
              </w:rPr>
              <w:t xml:space="preserve"> — Droit à l’égalité — Procédure civile — Désistement — Les juridictions inférieures ont-elles eu </w:t>
            </w:r>
            <w:r w:rsidRPr="00AC598D">
              <w:rPr>
                <w:sz w:val="20"/>
                <w:lang w:val="fr-CA"/>
              </w:rPr>
              <w:lastRenderedPageBreak/>
              <w:t xml:space="preserve">tort de rejeter l’action et de ne pas permettre au demandeur de déposer une déclaration modifiée? </w:t>
            </w:r>
          </w:p>
        </w:tc>
      </w:tr>
      <w:tr w:rsidR="00AC598D" w:rsidRPr="000536FB" w:rsidTr="00366F6C">
        <w:tc>
          <w:tcPr>
            <w:tcW w:w="5000" w:type="pct"/>
            <w:gridSpan w:val="3"/>
          </w:tcPr>
          <w:p w:rsidR="00AC598D" w:rsidRPr="00AC598D" w:rsidRDefault="00AC598D" w:rsidP="00366F6C">
            <w:pPr>
              <w:rPr>
                <w:sz w:val="20"/>
                <w:lang w:val="fr-CA"/>
              </w:rPr>
            </w:pPr>
          </w:p>
        </w:tc>
      </w:tr>
      <w:tr w:rsidR="00AC598D" w:rsidRPr="000536FB" w:rsidTr="00366F6C">
        <w:tc>
          <w:tcPr>
            <w:tcW w:w="5000" w:type="pct"/>
            <w:gridSpan w:val="3"/>
          </w:tcPr>
          <w:p w:rsidR="00AC598D" w:rsidRPr="00AC598D" w:rsidRDefault="00AC598D" w:rsidP="00366F6C">
            <w:pPr>
              <w:pStyle w:val="loose"/>
              <w:spacing w:before="0"/>
              <w:jc w:val="both"/>
              <w:rPr>
                <w:color w:val="000000"/>
                <w:sz w:val="20"/>
                <w:szCs w:val="20"/>
                <w:lang w:val="fr-CA"/>
              </w:rPr>
            </w:pPr>
            <w:r w:rsidRPr="00AC598D">
              <w:rPr>
                <w:color w:val="000000"/>
                <w:sz w:val="20"/>
                <w:szCs w:val="20"/>
                <w:lang w:val="fr-CA"/>
              </w:rPr>
              <w:t xml:space="preserve">M. Liu a obtenu un poste d’une durée de trois mois chez </w:t>
            </w:r>
            <w:proofErr w:type="spellStart"/>
            <w:r w:rsidRPr="00AC598D">
              <w:rPr>
                <w:color w:val="000000"/>
                <w:sz w:val="20"/>
                <w:szCs w:val="20"/>
                <w:lang w:val="fr-CA"/>
              </w:rPr>
              <w:t>Matrikon</w:t>
            </w:r>
            <w:proofErr w:type="spellEnd"/>
            <w:r w:rsidRPr="00AC598D">
              <w:rPr>
                <w:color w:val="000000"/>
                <w:sz w:val="20"/>
                <w:szCs w:val="20"/>
                <w:lang w:val="fr-CA"/>
              </w:rPr>
              <w:t xml:space="preserve"> Inc. (« </w:t>
            </w:r>
            <w:proofErr w:type="spellStart"/>
            <w:r w:rsidRPr="00AC598D">
              <w:rPr>
                <w:color w:val="000000"/>
                <w:sz w:val="20"/>
                <w:szCs w:val="20"/>
                <w:lang w:val="fr-CA"/>
              </w:rPr>
              <w:t>Matrikon</w:t>
            </w:r>
            <w:proofErr w:type="spellEnd"/>
            <w:r w:rsidRPr="00AC598D">
              <w:rPr>
                <w:color w:val="000000"/>
                <w:sz w:val="20"/>
                <w:szCs w:val="20"/>
                <w:lang w:val="fr-CA"/>
              </w:rPr>
              <w:t xml:space="preserve"> ») en 2000, mais il a été congédié seulement six semaines plus tard.  Il a poursuivi en justice </w:t>
            </w:r>
            <w:proofErr w:type="spellStart"/>
            <w:r w:rsidRPr="00AC598D">
              <w:rPr>
                <w:color w:val="000000"/>
                <w:sz w:val="20"/>
                <w:szCs w:val="20"/>
                <w:lang w:val="fr-CA"/>
              </w:rPr>
              <w:t>Matrikon</w:t>
            </w:r>
            <w:proofErr w:type="spellEnd"/>
            <w:r w:rsidRPr="00AC598D">
              <w:rPr>
                <w:color w:val="000000"/>
                <w:sz w:val="20"/>
                <w:szCs w:val="20"/>
                <w:lang w:val="fr-CA"/>
              </w:rPr>
              <w:t xml:space="preserve"> en novembre 2001.  Il a depuis présenté 24 demandes dans le cadre de son action et demander l’autorisation d’interjeter sept appels.  </w:t>
            </w:r>
            <w:proofErr w:type="spellStart"/>
            <w:r w:rsidRPr="00AC598D">
              <w:rPr>
                <w:color w:val="000000"/>
                <w:sz w:val="20"/>
                <w:szCs w:val="20"/>
                <w:lang w:val="fr-CA"/>
              </w:rPr>
              <w:t>Matrikon</w:t>
            </w:r>
            <w:proofErr w:type="spellEnd"/>
            <w:r w:rsidRPr="00AC598D">
              <w:rPr>
                <w:color w:val="000000"/>
                <w:sz w:val="20"/>
                <w:szCs w:val="20"/>
                <w:lang w:val="fr-CA"/>
              </w:rPr>
              <w:t xml:space="preserve"> a obtenu contre lui un jugement sommaire partiel l’enjoignant à supprimer certaines allégations de sa déclaration.  Cette décision a été infirmée en appel, et M. Liu a sollicité l’autorisation de rétablir les allégations. Mais avant que cette demande ne soit entendue, le juge chargé de la gestion de l’instance a rejeté l’action dans sa totalité pour omission de déposer un cautionnement pour dépens. L’appel de M. Liu a été rejeté en octobre 2007.  Un mois plus tard, M. Liu a intenté en Cour fédérale une action portant sur une bonne partie des mêmes allégations.  La Cour fédérale a suspendu cette action en février 2008 et a ordonné à M. Liu de déposer un cautionnement pour dépens.  M. Liu a aussi déposé contre </w:t>
            </w:r>
            <w:proofErr w:type="spellStart"/>
            <w:r w:rsidRPr="00AC598D">
              <w:rPr>
                <w:color w:val="000000"/>
                <w:sz w:val="20"/>
                <w:szCs w:val="20"/>
                <w:lang w:val="fr-CA"/>
              </w:rPr>
              <w:t>Matrikon</w:t>
            </w:r>
            <w:proofErr w:type="spellEnd"/>
            <w:r w:rsidRPr="00AC598D">
              <w:rPr>
                <w:color w:val="000000"/>
                <w:sz w:val="20"/>
                <w:szCs w:val="20"/>
                <w:lang w:val="fr-CA"/>
              </w:rPr>
              <w:t xml:space="preserve"> une autre déclaration fondée sur les mêmes allégations.  L’ordonnance faisant l’objet de l’appel a suspendu cette action.  M. Liu a ensuite demandé une ordonnance l’autorisant à déposer une déclaration modifiée dans l’action qu’il avait intentée au départ en Alberta.</w:t>
            </w:r>
          </w:p>
          <w:p w:rsidR="00AC598D" w:rsidRPr="00AC598D" w:rsidRDefault="00AC598D" w:rsidP="00366F6C">
            <w:pPr>
              <w:pStyle w:val="loose"/>
              <w:spacing w:before="0"/>
              <w:ind w:right="161" w:hanging="19"/>
              <w:jc w:val="both"/>
              <w:rPr>
                <w:sz w:val="20"/>
                <w:szCs w:val="20"/>
                <w:lang w:val="fr-CA"/>
              </w:rPr>
            </w:pPr>
          </w:p>
        </w:tc>
      </w:tr>
      <w:tr w:rsidR="00AC598D" w:rsidRPr="000536FB" w:rsidTr="00366F6C">
        <w:tc>
          <w:tcPr>
            <w:tcW w:w="2427" w:type="pct"/>
          </w:tcPr>
          <w:p w:rsidR="00AC598D" w:rsidRPr="00AC598D" w:rsidRDefault="00AC598D" w:rsidP="00366F6C">
            <w:pPr>
              <w:rPr>
                <w:sz w:val="20"/>
                <w:lang w:val="fr-CA"/>
              </w:rPr>
            </w:pPr>
            <w:r w:rsidRPr="00AC598D">
              <w:rPr>
                <w:sz w:val="20"/>
                <w:lang w:val="fr-CA"/>
              </w:rPr>
              <w:t>29 avril 2009</w:t>
            </w:r>
          </w:p>
          <w:p w:rsidR="00AC598D" w:rsidRPr="00AC598D" w:rsidRDefault="00AC598D" w:rsidP="00366F6C">
            <w:pPr>
              <w:rPr>
                <w:sz w:val="20"/>
                <w:lang w:val="fr-CA"/>
              </w:rPr>
            </w:pPr>
            <w:r w:rsidRPr="00AC598D">
              <w:rPr>
                <w:sz w:val="20"/>
                <w:lang w:val="fr-CA"/>
              </w:rPr>
              <w:t>Cour du Banc de la Reine de l’Alberta</w:t>
            </w:r>
          </w:p>
          <w:p w:rsidR="00AC598D" w:rsidRPr="00AC598D" w:rsidRDefault="00AC598D" w:rsidP="00366F6C">
            <w:pPr>
              <w:rPr>
                <w:sz w:val="20"/>
                <w:lang w:val="fr-CA"/>
              </w:rPr>
            </w:pPr>
            <w:r w:rsidRPr="00AC598D">
              <w:rPr>
                <w:sz w:val="20"/>
                <w:lang w:val="fr-CA"/>
              </w:rPr>
              <w:t>(Juge Clackson)</w:t>
            </w:r>
          </w:p>
          <w:p w:rsidR="00AC598D" w:rsidRPr="00AC598D" w:rsidRDefault="00AC598D" w:rsidP="00366F6C">
            <w:pPr>
              <w:rPr>
                <w:sz w:val="20"/>
                <w:lang w:val="fr-CA"/>
              </w:rPr>
            </w:pPr>
          </w:p>
        </w:tc>
        <w:tc>
          <w:tcPr>
            <w:tcW w:w="243" w:type="pct"/>
          </w:tcPr>
          <w:p w:rsidR="00AC598D" w:rsidRPr="00AC598D" w:rsidRDefault="00AC598D" w:rsidP="00366F6C">
            <w:pPr>
              <w:rPr>
                <w:sz w:val="20"/>
                <w:lang w:val="fr-CA"/>
              </w:rPr>
            </w:pPr>
          </w:p>
        </w:tc>
        <w:tc>
          <w:tcPr>
            <w:tcW w:w="2330" w:type="pct"/>
          </w:tcPr>
          <w:p w:rsidR="00AC598D" w:rsidRPr="00AC598D" w:rsidRDefault="00AC598D" w:rsidP="00366F6C">
            <w:pPr>
              <w:ind w:right="90"/>
              <w:jc w:val="both"/>
              <w:rPr>
                <w:sz w:val="20"/>
                <w:lang w:val="fr-CA"/>
              </w:rPr>
            </w:pPr>
            <w:r w:rsidRPr="00AC598D">
              <w:rPr>
                <w:sz w:val="20"/>
                <w:lang w:val="fr-CA"/>
              </w:rPr>
              <w:t xml:space="preserve">Requête rejetée et demandeur déclaré plaideur quérulent </w:t>
            </w:r>
          </w:p>
          <w:p w:rsidR="00AC598D" w:rsidRPr="00AC598D" w:rsidRDefault="00AC598D" w:rsidP="00366F6C">
            <w:pPr>
              <w:rPr>
                <w:sz w:val="20"/>
                <w:lang w:val="fr-CA"/>
              </w:rPr>
            </w:pPr>
          </w:p>
        </w:tc>
      </w:tr>
      <w:tr w:rsidR="00AC598D" w:rsidRPr="00AC598D" w:rsidTr="00366F6C">
        <w:tc>
          <w:tcPr>
            <w:tcW w:w="2427" w:type="pct"/>
          </w:tcPr>
          <w:p w:rsidR="00AC598D" w:rsidRPr="00AC598D" w:rsidRDefault="00AC598D" w:rsidP="00366F6C">
            <w:pPr>
              <w:rPr>
                <w:sz w:val="20"/>
                <w:lang w:val="fr-CA"/>
              </w:rPr>
            </w:pPr>
            <w:r w:rsidRPr="00AC598D">
              <w:rPr>
                <w:sz w:val="20"/>
                <w:lang w:val="fr-CA"/>
              </w:rPr>
              <w:t>15 décembre 2010</w:t>
            </w:r>
          </w:p>
          <w:p w:rsidR="00AC598D" w:rsidRPr="00AC598D" w:rsidRDefault="00AC598D" w:rsidP="00366F6C">
            <w:pPr>
              <w:rPr>
                <w:sz w:val="20"/>
                <w:lang w:val="fr-CA"/>
              </w:rPr>
            </w:pPr>
            <w:r w:rsidRPr="00AC598D">
              <w:rPr>
                <w:sz w:val="20"/>
                <w:lang w:val="fr-CA"/>
              </w:rPr>
              <w:t>Cour d’appel de l’Alberta (Edmonton)</w:t>
            </w:r>
          </w:p>
          <w:p w:rsidR="00AC598D" w:rsidRPr="00AC598D" w:rsidRDefault="00AC598D" w:rsidP="00366F6C">
            <w:pPr>
              <w:rPr>
                <w:sz w:val="20"/>
                <w:lang w:val="fr-CA"/>
              </w:rPr>
            </w:pPr>
            <w:r w:rsidRPr="00AC598D">
              <w:rPr>
                <w:sz w:val="20"/>
                <w:lang w:val="fr-CA"/>
              </w:rPr>
              <w:t xml:space="preserve">(Juges </w:t>
            </w:r>
            <w:proofErr w:type="spellStart"/>
            <w:r w:rsidRPr="00AC598D">
              <w:rPr>
                <w:sz w:val="20"/>
                <w:lang w:val="fr-CA"/>
              </w:rPr>
              <w:t>Slatter</w:t>
            </w:r>
            <w:proofErr w:type="spellEnd"/>
            <w:r w:rsidRPr="00AC598D">
              <w:rPr>
                <w:sz w:val="20"/>
                <w:lang w:val="fr-CA"/>
              </w:rPr>
              <w:t xml:space="preserve">, </w:t>
            </w:r>
            <w:proofErr w:type="spellStart"/>
            <w:r w:rsidRPr="00AC598D">
              <w:rPr>
                <w:sz w:val="20"/>
                <w:lang w:val="fr-CA"/>
              </w:rPr>
              <w:t>Rowbotham</w:t>
            </w:r>
            <w:proofErr w:type="spellEnd"/>
            <w:r w:rsidRPr="00AC598D">
              <w:rPr>
                <w:sz w:val="20"/>
                <w:lang w:val="fr-CA"/>
              </w:rPr>
              <w:t xml:space="preserve"> et </w:t>
            </w:r>
            <w:proofErr w:type="spellStart"/>
            <w:r w:rsidRPr="00AC598D">
              <w:rPr>
                <w:sz w:val="20"/>
                <w:lang w:val="fr-CA"/>
              </w:rPr>
              <w:t>Bielby</w:t>
            </w:r>
            <w:proofErr w:type="spellEnd"/>
            <w:r w:rsidRPr="00AC598D">
              <w:rPr>
                <w:sz w:val="20"/>
                <w:lang w:val="fr-CA"/>
              </w:rPr>
              <w:t>)</w:t>
            </w:r>
          </w:p>
          <w:p w:rsidR="00AC598D" w:rsidRPr="00AC598D" w:rsidRDefault="00AC598D" w:rsidP="00366F6C">
            <w:pPr>
              <w:rPr>
                <w:sz w:val="20"/>
                <w:lang w:val="fr-CA"/>
              </w:rPr>
            </w:pPr>
          </w:p>
        </w:tc>
        <w:tc>
          <w:tcPr>
            <w:tcW w:w="243" w:type="pct"/>
          </w:tcPr>
          <w:p w:rsidR="00AC598D" w:rsidRPr="00AC598D" w:rsidRDefault="00AC598D" w:rsidP="00366F6C">
            <w:pPr>
              <w:rPr>
                <w:sz w:val="20"/>
                <w:lang w:val="fr-CA"/>
              </w:rPr>
            </w:pPr>
          </w:p>
        </w:tc>
        <w:tc>
          <w:tcPr>
            <w:tcW w:w="2330" w:type="pct"/>
          </w:tcPr>
          <w:p w:rsidR="00AC598D" w:rsidRPr="00AC598D" w:rsidRDefault="00AC598D" w:rsidP="00366F6C">
            <w:pPr>
              <w:rPr>
                <w:sz w:val="20"/>
                <w:lang w:val="fr-CA"/>
              </w:rPr>
            </w:pPr>
            <w:r w:rsidRPr="00AC598D">
              <w:rPr>
                <w:sz w:val="20"/>
                <w:lang w:val="fr-CA"/>
              </w:rPr>
              <w:t>Appel rejeté</w:t>
            </w:r>
          </w:p>
          <w:p w:rsidR="00AC598D" w:rsidRPr="00AC598D" w:rsidRDefault="00AC598D" w:rsidP="00366F6C">
            <w:pPr>
              <w:rPr>
                <w:sz w:val="20"/>
                <w:lang w:val="fr-CA"/>
              </w:rPr>
            </w:pPr>
          </w:p>
        </w:tc>
      </w:tr>
      <w:tr w:rsidR="00AC598D" w:rsidRPr="00F24E73" w:rsidTr="00366F6C">
        <w:tc>
          <w:tcPr>
            <w:tcW w:w="2427" w:type="pct"/>
          </w:tcPr>
          <w:p w:rsidR="00AC598D" w:rsidRPr="00AC598D" w:rsidRDefault="00AC598D" w:rsidP="00366F6C">
            <w:pPr>
              <w:rPr>
                <w:sz w:val="20"/>
                <w:lang w:val="fr-CA"/>
              </w:rPr>
            </w:pPr>
            <w:r w:rsidRPr="00AC598D">
              <w:rPr>
                <w:sz w:val="20"/>
                <w:lang w:val="fr-CA"/>
              </w:rPr>
              <w:t>23 février 2011</w:t>
            </w:r>
          </w:p>
          <w:p w:rsidR="00AC598D" w:rsidRPr="00AC598D" w:rsidRDefault="00AC598D" w:rsidP="00366F6C">
            <w:pPr>
              <w:rPr>
                <w:sz w:val="20"/>
                <w:lang w:val="fr-CA"/>
              </w:rPr>
            </w:pPr>
            <w:r w:rsidRPr="00AC598D">
              <w:rPr>
                <w:sz w:val="20"/>
                <w:lang w:val="fr-CA"/>
              </w:rPr>
              <w:t>Cour suprême du Canada</w:t>
            </w:r>
          </w:p>
          <w:p w:rsidR="00AC598D" w:rsidRPr="00AC598D" w:rsidRDefault="00AC598D" w:rsidP="00366F6C">
            <w:pPr>
              <w:rPr>
                <w:sz w:val="20"/>
                <w:lang w:val="fr-CA"/>
              </w:rPr>
            </w:pPr>
          </w:p>
        </w:tc>
        <w:tc>
          <w:tcPr>
            <w:tcW w:w="243" w:type="pct"/>
          </w:tcPr>
          <w:p w:rsidR="00AC598D" w:rsidRPr="00AC598D" w:rsidRDefault="00AC598D" w:rsidP="00366F6C">
            <w:pPr>
              <w:rPr>
                <w:sz w:val="20"/>
                <w:lang w:val="fr-CA"/>
              </w:rPr>
            </w:pPr>
          </w:p>
        </w:tc>
        <w:tc>
          <w:tcPr>
            <w:tcW w:w="2330" w:type="pct"/>
          </w:tcPr>
          <w:p w:rsidR="00AC598D" w:rsidRPr="00AC598D" w:rsidRDefault="00AC598D" w:rsidP="00366F6C">
            <w:pPr>
              <w:jc w:val="both"/>
              <w:rPr>
                <w:sz w:val="20"/>
                <w:lang w:val="fr-CA"/>
              </w:rPr>
            </w:pPr>
            <w:r w:rsidRPr="00AC598D">
              <w:rPr>
                <w:sz w:val="20"/>
                <w:lang w:val="fr-CA"/>
              </w:rPr>
              <w:t xml:space="preserve">Demande d’autorisation d’appel et requête en prorogation du délai pour déposer la demande </w:t>
            </w:r>
            <w:proofErr w:type="gramStart"/>
            <w:r w:rsidRPr="00AC598D">
              <w:rPr>
                <w:sz w:val="20"/>
                <w:lang w:val="fr-CA"/>
              </w:rPr>
              <w:t>d’autorisation déposées</w:t>
            </w:r>
            <w:proofErr w:type="gramEnd"/>
          </w:p>
        </w:tc>
      </w:tr>
    </w:tbl>
    <w:p w:rsidR="00177474" w:rsidRPr="00AC598D" w:rsidRDefault="00177474" w:rsidP="00177474">
      <w:pPr>
        <w:rPr>
          <w:sz w:val="20"/>
          <w:szCs w:val="20"/>
          <w:lang w:val="fr-CA"/>
        </w:rPr>
      </w:pPr>
    </w:p>
    <w:p w:rsidR="00177474" w:rsidRDefault="009E364E" w:rsidP="00177474">
      <w:pPr>
        <w:rPr>
          <w:sz w:val="20"/>
          <w:szCs w:val="20"/>
          <w:lang w:val="fr-CA"/>
        </w:rPr>
      </w:pPr>
      <w:r w:rsidRPr="009E364E">
        <w:rPr>
          <w:sz w:val="20"/>
          <w:szCs w:val="20"/>
          <w:lang w:val="fr-CA"/>
        </w:rPr>
        <w:pict>
          <v:rect id="_x0000_i1055" style="width:2in;height:1pt" o:hrpct="0" o:hralign="center" o:hrstd="t" o:hrnoshade="t" o:hr="t" fillcolor="black [3213]" stroked="f"/>
        </w:pict>
      </w:r>
    </w:p>
    <w:p w:rsidR="00177474" w:rsidRDefault="00177474" w:rsidP="00177474">
      <w:pPr>
        <w:rPr>
          <w:sz w:val="20"/>
          <w:szCs w:val="20"/>
          <w:lang w:val="fr-CA"/>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26742" w:rsidRPr="00A26742" w:rsidTr="000C6D17">
        <w:trPr>
          <w:cantSplit/>
        </w:trPr>
        <w:tc>
          <w:tcPr>
            <w:tcW w:w="1458" w:type="dxa"/>
          </w:tcPr>
          <w:p w:rsidR="00A26742" w:rsidRPr="00A26742" w:rsidRDefault="00A26742" w:rsidP="00A26742">
            <w:pPr>
              <w:rPr>
                <w:rFonts w:cs="Times New Roman"/>
                <w:sz w:val="20"/>
                <w:szCs w:val="20"/>
              </w:rPr>
            </w:pPr>
            <w:r w:rsidRPr="00A26742">
              <w:rPr>
                <w:rFonts w:cs="Times New Roman"/>
                <w:b/>
                <w:sz w:val="20"/>
                <w:lang w:val="fr-CA"/>
              </w:rPr>
              <w:t>34203</w:t>
            </w:r>
          </w:p>
          <w:p w:rsidR="00A26742" w:rsidRPr="00A26742" w:rsidRDefault="00A26742" w:rsidP="00A26742">
            <w:pPr>
              <w:rPr>
                <w:rFonts w:cs="Times New Roman"/>
                <w:b/>
                <w:sz w:val="20"/>
                <w:szCs w:val="20"/>
                <w:lang w:val="fr-CA"/>
              </w:rPr>
            </w:pPr>
          </w:p>
        </w:tc>
        <w:tc>
          <w:tcPr>
            <w:tcW w:w="8118" w:type="dxa"/>
          </w:tcPr>
          <w:p w:rsidR="00A26742" w:rsidRPr="00A26742" w:rsidRDefault="00A26742" w:rsidP="00A26742">
            <w:pPr>
              <w:rPr>
                <w:rFonts w:cs="Times New Roman"/>
                <w:sz w:val="20"/>
                <w:szCs w:val="20"/>
              </w:rPr>
            </w:pPr>
            <w:proofErr w:type="spellStart"/>
            <w:r w:rsidRPr="00A26742">
              <w:rPr>
                <w:rFonts w:cs="Times New Roman"/>
                <w:b/>
                <w:sz w:val="20"/>
                <w:u w:val="single"/>
              </w:rPr>
              <w:t>Harjit</w:t>
            </w:r>
            <w:proofErr w:type="spellEnd"/>
            <w:r w:rsidRPr="00A26742">
              <w:rPr>
                <w:rFonts w:cs="Times New Roman"/>
                <w:b/>
                <w:sz w:val="20"/>
                <w:u w:val="single"/>
              </w:rPr>
              <w:t xml:space="preserve"> </w:t>
            </w:r>
            <w:proofErr w:type="spellStart"/>
            <w:r w:rsidRPr="00A26742">
              <w:rPr>
                <w:rFonts w:cs="Times New Roman"/>
                <w:b/>
                <w:sz w:val="20"/>
                <w:u w:val="single"/>
              </w:rPr>
              <w:t>Matharu</w:t>
            </w:r>
            <w:proofErr w:type="spellEnd"/>
            <w:r w:rsidRPr="00A26742">
              <w:rPr>
                <w:rFonts w:cs="Times New Roman"/>
                <w:b/>
                <w:sz w:val="20"/>
                <w:u w:val="single"/>
              </w:rPr>
              <w:t xml:space="preserve"> v. Her Majesty the Queen</w:t>
            </w:r>
            <w:r w:rsidRPr="00A26742">
              <w:rPr>
                <w:rFonts w:cs="Times New Roman"/>
                <w:sz w:val="20"/>
                <w:szCs w:val="20"/>
              </w:rPr>
              <w:t xml:space="preserve"> (Ont.) (Criminal) (By Leave)</w:t>
            </w:r>
          </w:p>
          <w:p w:rsidR="00A26742" w:rsidRPr="00A26742" w:rsidRDefault="00A26742" w:rsidP="00A26742">
            <w:pPr>
              <w:rPr>
                <w:rFonts w:cs="Times New Roman"/>
                <w:sz w:val="20"/>
                <w:szCs w:val="20"/>
              </w:rPr>
            </w:pPr>
          </w:p>
        </w:tc>
      </w:tr>
      <w:tr w:rsidR="00A26742" w:rsidRPr="00A26742" w:rsidTr="000C6D17">
        <w:trPr>
          <w:cantSplit/>
        </w:trPr>
        <w:tc>
          <w:tcPr>
            <w:tcW w:w="1458" w:type="dxa"/>
          </w:tcPr>
          <w:p w:rsidR="00A26742" w:rsidRPr="00A26742" w:rsidRDefault="00A26742" w:rsidP="00A26742">
            <w:pPr>
              <w:rPr>
                <w:rFonts w:cs="Times New Roman"/>
                <w:sz w:val="20"/>
                <w:szCs w:val="20"/>
              </w:rPr>
            </w:pPr>
            <w:r w:rsidRPr="00A26742">
              <w:rPr>
                <w:rFonts w:cs="Times New Roman"/>
                <w:sz w:val="20"/>
                <w:szCs w:val="20"/>
              </w:rPr>
              <w:t>Coram :</w:t>
            </w:r>
          </w:p>
        </w:tc>
        <w:tc>
          <w:tcPr>
            <w:tcW w:w="8118" w:type="dxa"/>
          </w:tcPr>
          <w:p w:rsidR="00A26742" w:rsidRPr="00A26742" w:rsidRDefault="00A26742" w:rsidP="00A26742">
            <w:pPr>
              <w:rPr>
                <w:rFonts w:cs="Times New Roman"/>
                <w:sz w:val="20"/>
                <w:szCs w:val="20"/>
              </w:rPr>
            </w:pPr>
            <w:proofErr w:type="spellStart"/>
            <w:r w:rsidRPr="00A26742">
              <w:rPr>
                <w:rFonts w:cs="Times New Roman"/>
                <w:sz w:val="20"/>
                <w:u w:val="single"/>
              </w:rPr>
              <w:t>Binnie</w:t>
            </w:r>
            <w:proofErr w:type="spellEnd"/>
            <w:r w:rsidRPr="00A26742">
              <w:rPr>
                <w:rFonts w:cs="Times New Roman"/>
                <w:sz w:val="20"/>
                <w:u w:val="single"/>
              </w:rPr>
              <w:t xml:space="preserve">, </w:t>
            </w:r>
            <w:proofErr w:type="spellStart"/>
            <w:r w:rsidRPr="00A26742">
              <w:rPr>
                <w:rFonts w:cs="Times New Roman"/>
                <w:sz w:val="20"/>
                <w:u w:val="single"/>
              </w:rPr>
              <w:t>Abella</w:t>
            </w:r>
            <w:proofErr w:type="spellEnd"/>
            <w:r w:rsidRPr="00A26742">
              <w:rPr>
                <w:rFonts w:cs="Times New Roman"/>
                <w:sz w:val="20"/>
                <w:u w:val="single"/>
              </w:rPr>
              <w:t xml:space="preserve"> and Rothstein JJ.</w:t>
            </w:r>
          </w:p>
          <w:p w:rsidR="00A26742" w:rsidRPr="00A26742" w:rsidRDefault="00A26742" w:rsidP="00A26742">
            <w:pPr>
              <w:rPr>
                <w:rFonts w:cs="Times New Roman"/>
                <w:sz w:val="20"/>
                <w:szCs w:val="20"/>
                <w:u w:val="single"/>
              </w:rPr>
            </w:pPr>
          </w:p>
        </w:tc>
      </w:tr>
      <w:tr w:rsidR="00A26742" w:rsidRPr="00A26742" w:rsidTr="000C6D17">
        <w:trPr>
          <w:cantSplit/>
        </w:trPr>
        <w:tc>
          <w:tcPr>
            <w:tcW w:w="9576" w:type="dxa"/>
            <w:gridSpan w:val="2"/>
          </w:tcPr>
          <w:p w:rsidR="00A26742" w:rsidRPr="00A26742" w:rsidRDefault="00A26742" w:rsidP="00A26742">
            <w:pPr>
              <w:ind w:firstLine="720"/>
              <w:jc w:val="both"/>
              <w:rPr>
                <w:rFonts w:cs="Times New Roman"/>
                <w:sz w:val="20"/>
                <w:szCs w:val="20"/>
              </w:rPr>
            </w:pPr>
            <w:r w:rsidRPr="00A26742">
              <w:rPr>
                <w:rFonts w:cs="Times New Roman"/>
                <w:sz w:val="20"/>
                <w:szCs w:val="20"/>
              </w:rPr>
              <w:t>The motion for an extension of time to serve and file the application for leave to appeal is granted.  The application for leave to appeal from the judgment of the Court of Appeal for Ontario, Number C46219, 2010 ONCA 869, dated December 17, 2010, is dismissed without costs.</w:t>
            </w:r>
          </w:p>
          <w:p w:rsidR="00A26742" w:rsidRPr="00A26742" w:rsidRDefault="00A26742" w:rsidP="00A26742">
            <w:pPr>
              <w:jc w:val="both"/>
              <w:rPr>
                <w:rFonts w:cs="Times New Roman"/>
                <w:sz w:val="20"/>
                <w:szCs w:val="20"/>
              </w:rPr>
            </w:pPr>
          </w:p>
          <w:p w:rsidR="00A26742" w:rsidRPr="00A26742" w:rsidRDefault="00A26742" w:rsidP="00A26742">
            <w:pPr>
              <w:ind w:firstLine="720"/>
              <w:jc w:val="both"/>
              <w:rPr>
                <w:rFonts w:cs="Times New Roman"/>
                <w:sz w:val="20"/>
                <w:szCs w:val="20"/>
                <w:lang w:val="fr-CA"/>
              </w:rPr>
            </w:pPr>
            <w:r w:rsidRPr="00A26742">
              <w:rPr>
                <w:rFonts w:cs="Times New Roman"/>
                <w:sz w:val="20"/>
                <w:szCs w:val="20"/>
                <w:lang w:val="fr-CA"/>
              </w:rPr>
              <w:t>La requête en prorogation du délai de signification et de dépôt de la demande d’autorisation d’appel est accordée.  La demande d’autorisation d’appel de l’arrêt de la Cour d’appel de l’Ontario, numéro C46219, 2010 ONCA 869, daté du 17 décembre 2010, est rejetée sans dépens.</w:t>
            </w:r>
          </w:p>
        </w:tc>
      </w:tr>
    </w:tbl>
    <w:p w:rsidR="00177474" w:rsidRPr="00A26742" w:rsidRDefault="00177474" w:rsidP="00177474">
      <w:pPr>
        <w:rPr>
          <w:sz w:val="20"/>
          <w:szCs w:val="20"/>
          <w:lang w:val="fr-CA"/>
        </w:rPr>
      </w:pPr>
    </w:p>
    <w:p w:rsidR="00177474" w:rsidRPr="00177474" w:rsidRDefault="00177474" w:rsidP="00177474">
      <w:pPr>
        <w:rPr>
          <w:sz w:val="20"/>
          <w:szCs w:val="20"/>
        </w:rPr>
      </w:pPr>
      <w:r>
        <w:rPr>
          <w:sz w:val="20"/>
          <w:szCs w:val="20"/>
          <w:u w:val="single"/>
        </w:rPr>
        <w:t>CASE SUMMARY</w:t>
      </w:r>
    </w:p>
    <w:p w:rsidR="00177474" w:rsidRDefault="00177474" w:rsidP="001774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C598D" w:rsidRPr="00273521" w:rsidTr="00366F6C">
        <w:tc>
          <w:tcPr>
            <w:tcW w:w="5000" w:type="pct"/>
            <w:gridSpan w:val="3"/>
          </w:tcPr>
          <w:p w:rsidR="00AC598D" w:rsidRPr="00273521" w:rsidRDefault="00AC598D" w:rsidP="00366F6C">
            <w:pPr>
              <w:jc w:val="both"/>
              <w:rPr>
                <w:rFonts w:eastAsia="Calibri"/>
                <w:sz w:val="20"/>
              </w:rPr>
            </w:pPr>
            <w:r w:rsidRPr="00273521">
              <w:rPr>
                <w:rFonts w:eastAsia="Calibri"/>
                <w:sz w:val="20"/>
              </w:rPr>
              <w:t xml:space="preserve">Criminal law — Trial — Charge to jury — Defences — Causation — Defence position on pathologist’s testimony — Applicant convicted of second degree murder while </w:t>
            </w:r>
            <w:proofErr w:type="spellStart"/>
            <w:r w:rsidRPr="00273521">
              <w:rPr>
                <w:rFonts w:eastAsia="Calibri"/>
                <w:sz w:val="20"/>
              </w:rPr>
              <w:t>co</w:t>
            </w:r>
            <w:r w:rsidRPr="00273521">
              <w:rPr>
                <w:rFonts w:eastAsia="Calibri"/>
                <w:sz w:val="20"/>
              </w:rPr>
              <w:noBreakHyphen/>
              <w:t>accused</w:t>
            </w:r>
            <w:proofErr w:type="spellEnd"/>
            <w:r w:rsidRPr="00273521">
              <w:rPr>
                <w:rFonts w:eastAsia="Calibri"/>
                <w:sz w:val="20"/>
              </w:rPr>
              <w:t xml:space="preserve"> convicted of first degree murder — Applicant’s appeal dismissed while </w:t>
            </w:r>
            <w:proofErr w:type="spellStart"/>
            <w:r w:rsidRPr="00273521">
              <w:rPr>
                <w:rFonts w:eastAsia="Calibri"/>
                <w:sz w:val="20"/>
              </w:rPr>
              <w:t>co</w:t>
            </w:r>
            <w:r w:rsidRPr="00273521">
              <w:rPr>
                <w:rFonts w:eastAsia="Calibri"/>
                <w:sz w:val="20"/>
              </w:rPr>
              <w:noBreakHyphen/>
              <w:t>accused’s</w:t>
            </w:r>
            <w:proofErr w:type="spellEnd"/>
            <w:r w:rsidRPr="00273521">
              <w:rPr>
                <w:rFonts w:eastAsia="Calibri"/>
                <w:sz w:val="20"/>
              </w:rPr>
              <w:t xml:space="preserve"> appeal allowed and conviction of second degree murder substituted — Prosecution brings appeal as of right before this Court — Whether applicant denied fair trial when trial judge presented defence erroneously to jury by suggesting it involved attack on testimony of expert witness and by suggesting defence of causation never put forward by defence — Whether applicant’s conviction should have been set aside once first degree murder conviction of </w:t>
            </w:r>
            <w:proofErr w:type="spellStart"/>
            <w:r w:rsidRPr="00273521">
              <w:rPr>
                <w:rFonts w:eastAsia="Calibri"/>
                <w:sz w:val="20"/>
              </w:rPr>
              <w:t>co</w:t>
            </w:r>
            <w:r w:rsidRPr="00273521">
              <w:rPr>
                <w:rFonts w:eastAsia="Calibri"/>
                <w:sz w:val="20"/>
              </w:rPr>
              <w:noBreakHyphen/>
              <w:t>accused</w:t>
            </w:r>
            <w:proofErr w:type="spellEnd"/>
            <w:r w:rsidRPr="00273521">
              <w:rPr>
                <w:rFonts w:eastAsia="Calibri"/>
                <w:sz w:val="20"/>
              </w:rPr>
              <w:t xml:space="preserve"> reduced to second degree murder.</w:t>
            </w:r>
          </w:p>
        </w:tc>
      </w:tr>
      <w:tr w:rsidR="00AC598D" w:rsidRPr="00273521" w:rsidTr="00366F6C">
        <w:tc>
          <w:tcPr>
            <w:tcW w:w="5000" w:type="pct"/>
            <w:gridSpan w:val="3"/>
          </w:tcPr>
          <w:p w:rsidR="00AC598D" w:rsidRPr="00273521" w:rsidRDefault="00AC598D" w:rsidP="00366F6C">
            <w:pPr>
              <w:jc w:val="both"/>
              <w:rPr>
                <w:rFonts w:eastAsia="Calibri"/>
                <w:sz w:val="20"/>
              </w:rPr>
            </w:pPr>
          </w:p>
        </w:tc>
      </w:tr>
      <w:tr w:rsidR="00AC598D" w:rsidRPr="00273521" w:rsidTr="00366F6C">
        <w:tc>
          <w:tcPr>
            <w:tcW w:w="5000" w:type="pct"/>
            <w:gridSpan w:val="3"/>
          </w:tcPr>
          <w:p w:rsidR="00AC598D" w:rsidRPr="00273521" w:rsidRDefault="00AC598D" w:rsidP="00366F6C">
            <w:pPr>
              <w:jc w:val="both"/>
              <w:rPr>
                <w:rFonts w:eastAsia="Calibri"/>
                <w:sz w:val="20"/>
              </w:rPr>
            </w:pPr>
            <w:r w:rsidRPr="00273521">
              <w:rPr>
                <w:rFonts w:eastAsia="Calibri"/>
                <w:sz w:val="20"/>
              </w:rPr>
              <w:t>The applicant, Mr. </w:t>
            </w:r>
            <w:proofErr w:type="spellStart"/>
            <w:r w:rsidRPr="00273521">
              <w:rPr>
                <w:rFonts w:eastAsia="Calibri"/>
                <w:sz w:val="20"/>
              </w:rPr>
              <w:t>Matharu</w:t>
            </w:r>
            <w:proofErr w:type="spellEnd"/>
            <w:r w:rsidRPr="00273521">
              <w:rPr>
                <w:rFonts w:eastAsia="Calibri"/>
                <w:sz w:val="20"/>
              </w:rPr>
              <w:t xml:space="preserve">, and several others, attacked and brutally beat a man into unconsciousness with various weapons, including a hammer, a wooden </w:t>
            </w:r>
            <w:proofErr w:type="spellStart"/>
            <w:r w:rsidRPr="00273521">
              <w:rPr>
                <w:rFonts w:eastAsia="Calibri"/>
                <w:sz w:val="20"/>
              </w:rPr>
              <w:t>two</w:t>
            </w:r>
            <w:r w:rsidRPr="00273521">
              <w:rPr>
                <w:rFonts w:eastAsia="Calibri"/>
                <w:sz w:val="20"/>
              </w:rPr>
              <w:noBreakHyphen/>
              <w:t>by</w:t>
            </w:r>
            <w:r w:rsidRPr="00273521">
              <w:rPr>
                <w:rFonts w:eastAsia="Calibri"/>
                <w:sz w:val="20"/>
              </w:rPr>
              <w:noBreakHyphen/>
              <w:t>four</w:t>
            </w:r>
            <w:proofErr w:type="spellEnd"/>
            <w:r w:rsidRPr="00273521">
              <w:rPr>
                <w:rFonts w:eastAsia="Calibri"/>
                <w:sz w:val="20"/>
              </w:rPr>
              <w:t xml:space="preserve"> and possibly a metal pipe.  It is alleged that Mr. </w:t>
            </w:r>
            <w:proofErr w:type="spellStart"/>
            <w:r w:rsidRPr="00273521">
              <w:rPr>
                <w:rFonts w:eastAsia="Calibri"/>
                <w:sz w:val="20"/>
              </w:rPr>
              <w:t>Matharu</w:t>
            </w:r>
            <w:proofErr w:type="spellEnd"/>
            <w:r w:rsidRPr="00273521">
              <w:rPr>
                <w:rFonts w:eastAsia="Calibri"/>
                <w:sz w:val="20"/>
              </w:rPr>
              <w:t xml:space="preserve"> carried the pipe.  The victim died of pneumonia several weeks later while hospitalized for his injuries.  Mr. </w:t>
            </w:r>
            <w:proofErr w:type="spellStart"/>
            <w:r w:rsidRPr="00273521">
              <w:rPr>
                <w:rFonts w:eastAsia="Calibri"/>
                <w:sz w:val="20"/>
              </w:rPr>
              <w:t>Matharu</w:t>
            </w:r>
            <w:proofErr w:type="spellEnd"/>
            <w:r w:rsidRPr="00273521">
              <w:rPr>
                <w:rFonts w:eastAsia="Calibri"/>
                <w:sz w:val="20"/>
              </w:rPr>
              <w:t xml:space="preserve"> was convicted of second degree murder, and one of his </w:t>
            </w:r>
            <w:proofErr w:type="spellStart"/>
            <w:r w:rsidRPr="00273521">
              <w:rPr>
                <w:rFonts w:eastAsia="Calibri"/>
                <w:sz w:val="20"/>
              </w:rPr>
              <w:t>co</w:t>
            </w:r>
            <w:r w:rsidRPr="00273521">
              <w:rPr>
                <w:rFonts w:eastAsia="Calibri"/>
                <w:sz w:val="20"/>
              </w:rPr>
              <w:noBreakHyphen/>
              <w:t>accuseds</w:t>
            </w:r>
            <w:proofErr w:type="spellEnd"/>
            <w:r w:rsidRPr="00273521">
              <w:rPr>
                <w:rFonts w:eastAsia="Calibri"/>
                <w:sz w:val="20"/>
              </w:rPr>
              <w:t xml:space="preserve"> was convicted of first degree murder.  Mr. </w:t>
            </w:r>
            <w:proofErr w:type="spellStart"/>
            <w:r w:rsidRPr="00273521">
              <w:rPr>
                <w:rFonts w:eastAsia="Calibri"/>
                <w:sz w:val="20"/>
              </w:rPr>
              <w:t>Matharu</w:t>
            </w:r>
            <w:proofErr w:type="spellEnd"/>
            <w:r w:rsidRPr="00273521">
              <w:rPr>
                <w:rFonts w:eastAsia="Calibri"/>
                <w:sz w:val="20"/>
              </w:rPr>
              <w:t xml:space="preserve"> appealed his conviction, arguing that (1) the trial judge misrepresented to the jury his position on causation and on the pathologist’s </w:t>
            </w:r>
            <w:proofErr w:type="gramStart"/>
            <w:r w:rsidRPr="00273521">
              <w:rPr>
                <w:rFonts w:eastAsia="Calibri"/>
                <w:sz w:val="20"/>
              </w:rPr>
              <w:t>credibility,</w:t>
            </w:r>
            <w:proofErr w:type="gramEnd"/>
            <w:r w:rsidRPr="00273521">
              <w:rPr>
                <w:rFonts w:eastAsia="Calibri"/>
                <w:sz w:val="20"/>
              </w:rPr>
              <w:t xml:space="preserve"> (2) the trial judge erred in finding that his statements to the police were voluntary, and (3) that the verdict was unreasonable.  The Court of Appeal unanimously dismissed Mr. </w:t>
            </w:r>
            <w:proofErr w:type="spellStart"/>
            <w:r w:rsidRPr="00273521">
              <w:rPr>
                <w:rFonts w:eastAsia="Calibri"/>
                <w:sz w:val="20"/>
              </w:rPr>
              <w:t>Matharu’s</w:t>
            </w:r>
            <w:proofErr w:type="spellEnd"/>
            <w:r w:rsidRPr="00273521">
              <w:rPr>
                <w:rFonts w:eastAsia="Calibri"/>
                <w:sz w:val="20"/>
              </w:rPr>
              <w:t xml:space="preserve"> appeal.  However, a majority of the Court of Appeal gave effect to the </w:t>
            </w:r>
            <w:proofErr w:type="spellStart"/>
            <w:r w:rsidRPr="00273521">
              <w:rPr>
                <w:rFonts w:eastAsia="Calibri"/>
                <w:sz w:val="20"/>
              </w:rPr>
              <w:t>co</w:t>
            </w:r>
            <w:r w:rsidRPr="00273521">
              <w:rPr>
                <w:rFonts w:eastAsia="Calibri"/>
                <w:sz w:val="20"/>
              </w:rPr>
              <w:noBreakHyphen/>
              <w:t>accused’s</w:t>
            </w:r>
            <w:proofErr w:type="spellEnd"/>
            <w:r w:rsidRPr="00273521">
              <w:rPr>
                <w:rFonts w:eastAsia="Calibri"/>
                <w:sz w:val="20"/>
              </w:rPr>
              <w:t xml:space="preserve"> appeal and substituted a verdict of second degree murder on the basis that the trial judge erred in his charge to the jury on the relationship between planning and deliberation and murder.  Finding the jury charge unassailable, the dissenting judge would have dismissed the </w:t>
            </w:r>
            <w:proofErr w:type="spellStart"/>
            <w:r w:rsidRPr="00273521">
              <w:rPr>
                <w:rFonts w:eastAsia="Calibri"/>
                <w:sz w:val="20"/>
              </w:rPr>
              <w:t>co</w:t>
            </w:r>
            <w:r w:rsidRPr="00273521">
              <w:rPr>
                <w:rFonts w:eastAsia="Calibri"/>
                <w:sz w:val="20"/>
              </w:rPr>
              <w:noBreakHyphen/>
              <w:t>accused’s</w:t>
            </w:r>
            <w:proofErr w:type="spellEnd"/>
            <w:r w:rsidRPr="00273521">
              <w:rPr>
                <w:rFonts w:eastAsia="Calibri"/>
                <w:sz w:val="20"/>
              </w:rPr>
              <w:t xml:space="preserve"> appeal entirely.  An appeal as of right brought by the Crown against the </w:t>
            </w:r>
            <w:proofErr w:type="spellStart"/>
            <w:r w:rsidRPr="00273521">
              <w:rPr>
                <w:rFonts w:eastAsia="Calibri"/>
                <w:sz w:val="20"/>
              </w:rPr>
              <w:t>co</w:t>
            </w:r>
            <w:r w:rsidRPr="00273521">
              <w:rPr>
                <w:rFonts w:eastAsia="Calibri"/>
                <w:sz w:val="20"/>
              </w:rPr>
              <w:noBreakHyphen/>
              <w:t>accused</w:t>
            </w:r>
            <w:proofErr w:type="spellEnd"/>
            <w:r w:rsidRPr="00273521">
              <w:rPr>
                <w:rFonts w:eastAsia="Calibri"/>
                <w:sz w:val="20"/>
              </w:rPr>
              <w:t xml:space="preserve"> pursuant to s. 693(1</w:t>
            </w:r>
            <w:proofErr w:type="gramStart"/>
            <w:r w:rsidRPr="00273521">
              <w:rPr>
                <w:rFonts w:eastAsia="Calibri"/>
                <w:sz w:val="20"/>
              </w:rPr>
              <w:t>)(</w:t>
            </w:r>
            <w:proofErr w:type="gramEnd"/>
            <w:r w:rsidRPr="00273521">
              <w:rPr>
                <w:rFonts w:eastAsia="Calibri"/>
                <w:sz w:val="20"/>
              </w:rPr>
              <w:t xml:space="preserve">a) of the </w:t>
            </w:r>
            <w:r w:rsidRPr="00273521">
              <w:rPr>
                <w:rFonts w:eastAsia="Calibri"/>
                <w:i/>
                <w:sz w:val="20"/>
              </w:rPr>
              <w:t>Criminal Code</w:t>
            </w:r>
            <w:r w:rsidRPr="00273521">
              <w:rPr>
                <w:rFonts w:eastAsia="Calibri"/>
                <w:sz w:val="20"/>
              </w:rPr>
              <w:t xml:space="preserve"> is currently pending before this Court.</w:t>
            </w:r>
          </w:p>
          <w:p w:rsidR="00AC598D" w:rsidRPr="00273521" w:rsidRDefault="00AC598D" w:rsidP="00366F6C">
            <w:pPr>
              <w:jc w:val="both"/>
              <w:rPr>
                <w:rFonts w:eastAsia="Calibri"/>
                <w:sz w:val="20"/>
              </w:rPr>
            </w:pPr>
          </w:p>
        </w:tc>
      </w:tr>
      <w:tr w:rsidR="00AC598D" w:rsidRPr="00273521" w:rsidTr="00366F6C">
        <w:tc>
          <w:tcPr>
            <w:tcW w:w="2427" w:type="pct"/>
          </w:tcPr>
          <w:p w:rsidR="00AC598D" w:rsidRPr="00273521" w:rsidRDefault="00AC598D" w:rsidP="00366F6C">
            <w:pPr>
              <w:jc w:val="both"/>
              <w:rPr>
                <w:rFonts w:eastAsia="Calibri"/>
                <w:sz w:val="20"/>
              </w:rPr>
            </w:pPr>
            <w:r w:rsidRPr="00273521">
              <w:rPr>
                <w:rFonts w:eastAsia="Calibri"/>
                <w:sz w:val="20"/>
              </w:rPr>
              <w:t>January 12, 2006</w:t>
            </w:r>
          </w:p>
          <w:p w:rsidR="00AC598D" w:rsidRPr="00273521" w:rsidRDefault="00AC598D" w:rsidP="00366F6C">
            <w:pPr>
              <w:jc w:val="both"/>
              <w:rPr>
                <w:rFonts w:eastAsia="Calibri"/>
                <w:sz w:val="20"/>
              </w:rPr>
            </w:pPr>
            <w:r w:rsidRPr="00273521">
              <w:rPr>
                <w:rFonts w:eastAsia="Calibri"/>
                <w:sz w:val="20"/>
              </w:rPr>
              <w:t>Superior Court of Justice of Ontario</w:t>
            </w:r>
          </w:p>
          <w:p w:rsidR="00AC598D" w:rsidRPr="00273521" w:rsidRDefault="00AC598D" w:rsidP="00366F6C">
            <w:pPr>
              <w:jc w:val="both"/>
              <w:rPr>
                <w:rFonts w:eastAsia="Calibri"/>
                <w:sz w:val="20"/>
              </w:rPr>
            </w:pPr>
            <w:r w:rsidRPr="00273521">
              <w:rPr>
                <w:rFonts w:eastAsia="Calibri"/>
                <w:sz w:val="20"/>
              </w:rPr>
              <w:t>(Trafford J.)</w:t>
            </w:r>
          </w:p>
          <w:p w:rsidR="00AC598D" w:rsidRPr="00273521" w:rsidRDefault="00AC598D" w:rsidP="00366F6C">
            <w:pPr>
              <w:jc w:val="both"/>
              <w:rPr>
                <w:rFonts w:eastAsia="Calibri"/>
                <w:sz w:val="20"/>
              </w:rPr>
            </w:pPr>
          </w:p>
        </w:tc>
        <w:tc>
          <w:tcPr>
            <w:tcW w:w="243" w:type="pct"/>
          </w:tcPr>
          <w:p w:rsidR="00AC598D" w:rsidRPr="00273521" w:rsidRDefault="00AC598D" w:rsidP="00366F6C">
            <w:pPr>
              <w:jc w:val="both"/>
              <w:rPr>
                <w:rFonts w:eastAsia="Calibri"/>
                <w:sz w:val="20"/>
              </w:rPr>
            </w:pPr>
          </w:p>
        </w:tc>
        <w:tc>
          <w:tcPr>
            <w:tcW w:w="2330" w:type="pct"/>
          </w:tcPr>
          <w:p w:rsidR="00AC598D" w:rsidRPr="00273521" w:rsidRDefault="00AC598D" w:rsidP="00366F6C">
            <w:pPr>
              <w:jc w:val="both"/>
              <w:rPr>
                <w:rFonts w:eastAsia="Calibri"/>
                <w:sz w:val="20"/>
              </w:rPr>
            </w:pPr>
            <w:r w:rsidRPr="00273521">
              <w:rPr>
                <w:rFonts w:eastAsia="Calibri"/>
                <w:sz w:val="20"/>
              </w:rPr>
              <w:t>Applicant convicted of second degree murder</w:t>
            </w:r>
          </w:p>
          <w:p w:rsidR="00AC598D" w:rsidRPr="00273521" w:rsidRDefault="00AC598D" w:rsidP="00366F6C">
            <w:pPr>
              <w:jc w:val="both"/>
              <w:rPr>
                <w:rFonts w:eastAsia="Calibri"/>
                <w:sz w:val="20"/>
              </w:rPr>
            </w:pPr>
          </w:p>
          <w:p w:rsidR="00AC598D" w:rsidRPr="00273521" w:rsidRDefault="00AC598D" w:rsidP="00366F6C">
            <w:pPr>
              <w:jc w:val="both"/>
              <w:rPr>
                <w:rFonts w:eastAsia="Calibri"/>
                <w:sz w:val="20"/>
              </w:rPr>
            </w:pPr>
          </w:p>
          <w:p w:rsidR="00AC598D" w:rsidRPr="00273521" w:rsidRDefault="00AC598D" w:rsidP="00366F6C">
            <w:pPr>
              <w:jc w:val="both"/>
              <w:rPr>
                <w:rFonts w:eastAsia="Calibri"/>
                <w:sz w:val="20"/>
              </w:rPr>
            </w:pPr>
          </w:p>
        </w:tc>
      </w:tr>
      <w:tr w:rsidR="00AC598D" w:rsidRPr="00273521" w:rsidTr="00366F6C">
        <w:tc>
          <w:tcPr>
            <w:tcW w:w="2427" w:type="pct"/>
          </w:tcPr>
          <w:p w:rsidR="00AC598D" w:rsidRPr="00273521" w:rsidRDefault="00AC598D" w:rsidP="00366F6C">
            <w:pPr>
              <w:jc w:val="both"/>
              <w:rPr>
                <w:rFonts w:eastAsia="Calibri"/>
                <w:sz w:val="20"/>
              </w:rPr>
            </w:pPr>
            <w:r w:rsidRPr="00273521">
              <w:rPr>
                <w:rFonts w:eastAsia="Calibri"/>
                <w:sz w:val="20"/>
              </w:rPr>
              <w:t>December 17, 2010</w:t>
            </w:r>
          </w:p>
          <w:p w:rsidR="00AC598D" w:rsidRPr="00273521" w:rsidRDefault="00AC598D" w:rsidP="00366F6C">
            <w:pPr>
              <w:jc w:val="both"/>
              <w:rPr>
                <w:rFonts w:eastAsia="Calibri"/>
                <w:sz w:val="20"/>
              </w:rPr>
            </w:pPr>
            <w:r w:rsidRPr="00273521">
              <w:rPr>
                <w:rFonts w:eastAsia="Calibri"/>
                <w:sz w:val="20"/>
              </w:rPr>
              <w:t>Court of Appeal for Ontario</w:t>
            </w:r>
          </w:p>
          <w:p w:rsidR="00AC598D" w:rsidRPr="00273521" w:rsidRDefault="00AC598D" w:rsidP="00366F6C">
            <w:pPr>
              <w:jc w:val="both"/>
              <w:rPr>
                <w:rFonts w:eastAsia="Calibri"/>
                <w:sz w:val="20"/>
              </w:rPr>
            </w:pPr>
            <w:r w:rsidRPr="00273521">
              <w:rPr>
                <w:rFonts w:eastAsia="Calibri"/>
                <w:sz w:val="20"/>
              </w:rPr>
              <w:t>(</w:t>
            </w:r>
            <w:proofErr w:type="spellStart"/>
            <w:r w:rsidRPr="00273521">
              <w:rPr>
                <w:rFonts w:eastAsia="Calibri"/>
                <w:sz w:val="20"/>
              </w:rPr>
              <w:t>Laskin</w:t>
            </w:r>
            <w:proofErr w:type="spellEnd"/>
            <w:r w:rsidRPr="00273521">
              <w:rPr>
                <w:rFonts w:eastAsia="Calibri"/>
                <w:sz w:val="20"/>
              </w:rPr>
              <w:t xml:space="preserve">, </w:t>
            </w:r>
            <w:proofErr w:type="spellStart"/>
            <w:r w:rsidRPr="00273521">
              <w:rPr>
                <w:rFonts w:eastAsia="Calibri"/>
                <w:sz w:val="20"/>
              </w:rPr>
              <w:t>MacPherson</w:t>
            </w:r>
            <w:proofErr w:type="spellEnd"/>
            <w:r w:rsidRPr="00273521">
              <w:rPr>
                <w:rFonts w:eastAsia="Calibri"/>
                <w:sz w:val="20"/>
              </w:rPr>
              <w:t xml:space="preserve"> and Simmons JJ.A.)</w:t>
            </w:r>
          </w:p>
          <w:p w:rsidR="00AC598D" w:rsidRPr="00273521" w:rsidRDefault="00AC598D" w:rsidP="00366F6C">
            <w:pPr>
              <w:jc w:val="both"/>
              <w:rPr>
                <w:rFonts w:eastAsia="Calibri"/>
                <w:sz w:val="20"/>
              </w:rPr>
            </w:pPr>
            <w:r w:rsidRPr="00273521">
              <w:rPr>
                <w:rFonts w:eastAsia="Calibri"/>
                <w:sz w:val="20"/>
              </w:rPr>
              <w:t>2010 ONCA 869</w:t>
            </w:r>
          </w:p>
          <w:p w:rsidR="00AC598D" w:rsidRPr="00273521" w:rsidRDefault="00AC598D" w:rsidP="00366F6C">
            <w:pPr>
              <w:jc w:val="both"/>
              <w:rPr>
                <w:rFonts w:eastAsia="Calibri"/>
                <w:sz w:val="20"/>
              </w:rPr>
            </w:pPr>
          </w:p>
        </w:tc>
        <w:tc>
          <w:tcPr>
            <w:tcW w:w="243" w:type="pct"/>
          </w:tcPr>
          <w:p w:rsidR="00AC598D" w:rsidRPr="00273521" w:rsidRDefault="00AC598D" w:rsidP="00366F6C">
            <w:pPr>
              <w:jc w:val="both"/>
              <w:rPr>
                <w:rFonts w:eastAsia="Calibri"/>
                <w:sz w:val="20"/>
              </w:rPr>
            </w:pPr>
          </w:p>
        </w:tc>
        <w:tc>
          <w:tcPr>
            <w:tcW w:w="2330" w:type="pct"/>
          </w:tcPr>
          <w:p w:rsidR="00AC598D" w:rsidRPr="00273521" w:rsidRDefault="00AC598D" w:rsidP="00366F6C">
            <w:pPr>
              <w:jc w:val="both"/>
              <w:rPr>
                <w:rFonts w:eastAsia="Calibri"/>
                <w:sz w:val="20"/>
              </w:rPr>
            </w:pPr>
            <w:r w:rsidRPr="00273521">
              <w:rPr>
                <w:rFonts w:eastAsia="Calibri"/>
                <w:sz w:val="20"/>
              </w:rPr>
              <w:t>Appeal dismissed</w:t>
            </w:r>
          </w:p>
        </w:tc>
      </w:tr>
      <w:tr w:rsidR="00AC598D" w:rsidRPr="00273521" w:rsidTr="00366F6C">
        <w:tc>
          <w:tcPr>
            <w:tcW w:w="2427" w:type="pct"/>
          </w:tcPr>
          <w:p w:rsidR="00AC598D" w:rsidRPr="00273521" w:rsidRDefault="00AC598D" w:rsidP="00366F6C">
            <w:pPr>
              <w:jc w:val="both"/>
              <w:rPr>
                <w:rFonts w:eastAsia="Calibri"/>
                <w:sz w:val="20"/>
              </w:rPr>
            </w:pPr>
            <w:r w:rsidRPr="00273521">
              <w:rPr>
                <w:rFonts w:eastAsia="Calibri"/>
                <w:sz w:val="20"/>
              </w:rPr>
              <w:t>April 14, 2011</w:t>
            </w:r>
          </w:p>
          <w:p w:rsidR="00AC598D" w:rsidRPr="00273521" w:rsidRDefault="00AC598D" w:rsidP="00366F6C">
            <w:pPr>
              <w:jc w:val="both"/>
              <w:rPr>
                <w:rFonts w:eastAsia="Calibri"/>
                <w:sz w:val="20"/>
              </w:rPr>
            </w:pPr>
            <w:r w:rsidRPr="00273521">
              <w:rPr>
                <w:rFonts w:eastAsia="Calibri"/>
                <w:sz w:val="20"/>
              </w:rPr>
              <w:t>Supreme Court of Canada</w:t>
            </w:r>
          </w:p>
        </w:tc>
        <w:tc>
          <w:tcPr>
            <w:tcW w:w="243" w:type="pct"/>
          </w:tcPr>
          <w:p w:rsidR="00AC598D" w:rsidRPr="00273521" w:rsidRDefault="00AC598D" w:rsidP="00366F6C">
            <w:pPr>
              <w:jc w:val="both"/>
              <w:rPr>
                <w:rFonts w:eastAsia="Calibri"/>
                <w:sz w:val="20"/>
              </w:rPr>
            </w:pPr>
          </w:p>
        </w:tc>
        <w:tc>
          <w:tcPr>
            <w:tcW w:w="2330" w:type="pct"/>
          </w:tcPr>
          <w:p w:rsidR="00AC598D" w:rsidRPr="00273521" w:rsidRDefault="00AC598D" w:rsidP="00366F6C">
            <w:pPr>
              <w:jc w:val="both"/>
              <w:rPr>
                <w:rFonts w:eastAsia="Calibri"/>
                <w:sz w:val="20"/>
              </w:rPr>
            </w:pPr>
            <w:r w:rsidRPr="00273521">
              <w:rPr>
                <w:rFonts w:eastAsia="Calibri"/>
                <w:sz w:val="20"/>
              </w:rPr>
              <w:t>Motion for extension of time and application for leave to appeal filed</w:t>
            </w:r>
          </w:p>
        </w:tc>
      </w:tr>
    </w:tbl>
    <w:p w:rsidR="00177474" w:rsidRDefault="00177474" w:rsidP="00177474">
      <w:pPr>
        <w:rPr>
          <w:sz w:val="20"/>
          <w:szCs w:val="20"/>
        </w:rPr>
      </w:pPr>
    </w:p>
    <w:p w:rsidR="00177474" w:rsidRDefault="009E364E" w:rsidP="00177474">
      <w:pPr>
        <w:rPr>
          <w:sz w:val="20"/>
          <w:szCs w:val="20"/>
          <w:lang w:val="fr-CA"/>
        </w:rPr>
      </w:pPr>
      <w:r w:rsidRPr="009E364E">
        <w:rPr>
          <w:sz w:val="20"/>
          <w:szCs w:val="20"/>
          <w:lang w:val="fr-CA"/>
        </w:rPr>
        <w:pict>
          <v:rect id="_x0000_i1056" style="width:2in;height:1pt" o:hrpct="0" o:hralign="center" o:hrstd="t" o:hrnoshade="t" o:hr="t" fillcolor="black [3213]" stroked="f"/>
        </w:pict>
      </w:r>
    </w:p>
    <w:p w:rsidR="00177474" w:rsidRDefault="00177474" w:rsidP="00177474">
      <w:pPr>
        <w:rPr>
          <w:sz w:val="20"/>
          <w:szCs w:val="20"/>
        </w:rPr>
      </w:pPr>
    </w:p>
    <w:p w:rsidR="00177474" w:rsidRPr="00177474" w:rsidRDefault="00177474" w:rsidP="00177474">
      <w:pPr>
        <w:rPr>
          <w:sz w:val="20"/>
          <w:szCs w:val="20"/>
        </w:rPr>
      </w:pPr>
      <w:r>
        <w:rPr>
          <w:sz w:val="20"/>
          <w:szCs w:val="20"/>
          <w:u w:val="single"/>
        </w:rPr>
        <w:t>RÉSUMÉ DE L’AFFAIRE</w:t>
      </w:r>
    </w:p>
    <w:p w:rsidR="00177474" w:rsidRDefault="00177474" w:rsidP="0017747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C598D" w:rsidRPr="000536FB" w:rsidTr="00366F6C">
        <w:tc>
          <w:tcPr>
            <w:tcW w:w="5000" w:type="pct"/>
            <w:gridSpan w:val="3"/>
          </w:tcPr>
          <w:p w:rsidR="00AC598D" w:rsidRPr="00273521" w:rsidRDefault="00AC598D" w:rsidP="00366F6C">
            <w:pPr>
              <w:jc w:val="both"/>
              <w:rPr>
                <w:sz w:val="20"/>
                <w:lang w:val="fr-CA"/>
              </w:rPr>
            </w:pPr>
            <w:r w:rsidRPr="00273521">
              <w:rPr>
                <w:sz w:val="20"/>
                <w:lang w:val="fr-CA"/>
              </w:rPr>
              <w:t>Droit criminel — Procès — Exposé au jury — Moyens de défense — Lien de causalité — Position de la défense à l’égard du témoignage du pathologiste — Le demandeur a été déclaré coupable de meurtre au deuxième degré alors que le coaccusé a été déclaré coupable de meurtre au premier degré — L’appel du demandeur a été rejeté alors que l’appel du coaccusé a été accueilli et une déclaration de culpabilité de meurtre au deuxième degré s’est substituée au verdict de première instance — La poursuite interjette appel de plein droit à cette Cour — Le demandeur s’est-il vu priver d’un procès équitable lorsque le juge du procès a présenté erronément le moyen de défense au jury en prétendant qu’il impliquait une contestation du témoignage du témoin expert et en prétendant que la défense n’avait jamais fait valoir le moyen de défense fondé sur le lien de causalité? — La déclaration de culpabilité prononcée contre le demandeur aurait-elle dû être annulée dès lors que la déclaration de culpabilité de meurtre au premier degré prononcée contre le coaccusé a été réduite à une déclaration de culpabilité de meurtre au deuxième degré?</w:t>
            </w:r>
          </w:p>
        </w:tc>
      </w:tr>
      <w:tr w:rsidR="00AC598D" w:rsidRPr="000536FB" w:rsidTr="00366F6C">
        <w:tc>
          <w:tcPr>
            <w:tcW w:w="5000" w:type="pct"/>
            <w:gridSpan w:val="3"/>
          </w:tcPr>
          <w:p w:rsidR="00AC598D" w:rsidRPr="00273521" w:rsidRDefault="00AC598D" w:rsidP="00366F6C">
            <w:pPr>
              <w:rPr>
                <w:sz w:val="20"/>
                <w:lang w:val="fr-CA"/>
              </w:rPr>
            </w:pPr>
          </w:p>
        </w:tc>
      </w:tr>
      <w:tr w:rsidR="00AC598D" w:rsidRPr="000536FB" w:rsidTr="00366F6C">
        <w:tc>
          <w:tcPr>
            <w:tcW w:w="5000" w:type="pct"/>
            <w:gridSpan w:val="3"/>
          </w:tcPr>
          <w:p w:rsidR="00AC598D" w:rsidRPr="00273521" w:rsidRDefault="00AC598D" w:rsidP="00366F6C">
            <w:pPr>
              <w:jc w:val="both"/>
              <w:rPr>
                <w:sz w:val="20"/>
                <w:lang w:val="fr-CA"/>
              </w:rPr>
            </w:pPr>
            <w:r w:rsidRPr="00273521">
              <w:rPr>
                <w:sz w:val="20"/>
                <w:lang w:val="fr-CA"/>
              </w:rPr>
              <w:t>Le demandeur, M. </w:t>
            </w:r>
            <w:proofErr w:type="spellStart"/>
            <w:r w:rsidRPr="00273521">
              <w:rPr>
                <w:sz w:val="20"/>
                <w:lang w:val="fr-CA"/>
              </w:rPr>
              <w:t>Matharu</w:t>
            </w:r>
            <w:proofErr w:type="spellEnd"/>
            <w:r w:rsidRPr="00273521">
              <w:rPr>
                <w:sz w:val="20"/>
                <w:lang w:val="fr-CA"/>
              </w:rPr>
              <w:t>, et plusieurs autres ont agressé et brutalement battu un homme jusqu’à ce qu’il perde connaissance au moyen de diverses armes, y compris un marteau, une pièce de bois de deux-par-quatre et possiblement un tuyau de métal.  Il est allégué que M. </w:t>
            </w:r>
            <w:proofErr w:type="spellStart"/>
            <w:r w:rsidRPr="00273521">
              <w:rPr>
                <w:sz w:val="20"/>
                <w:lang w:val="fr-CA"/>
              </w:rPr>
              <w:t>Matharu</w:t>
            </w:r>
            <w:proofErr w:type="spellEnd"/>
            <w:r w:rsidRPr="00273521">
              <w:rPr>
                <w:sz w:val="20"/>
                <w:lang w:val="fr-CA"/>
              </w:rPr>
              <w:t xml:space="preserve"> transportait le tuyau.  La victime est décédée de pneumonie plusieurs semaines plus tard alors qu’il était hospitalisé pour ses blessures.  Monsieur </w:t>
            </w:r>
            <w:proofErr w:type="spellStart"/>
            <w:r w:rsidRPr="00273521">
              <w:rPr>
                <w:sz w:val="20"/>
                <w:lang w:val="fr-CA"/>
              </w:rPr>
              <w:t>Matharu</w:t>
            </w:r>
            <w:proofErr w:type="spellEnd"/>
            <w:r w:rsidRPr="00273521">
              <w:rPr>
                <w:sz w:val="20"/>
                <w:lang w:val="fr-CA"/>
              </w:rPr>
              <w:t xml:space="preserve"> a été déclaré coupable de meurtre au deuxième degré et un de ses coaccusés a été déclaré coupable de meurtre au premier degré.  Monsieur </w:t>
            </w:r>
            <w:proofErr w:type="spellStart"/>
            <w:r w:rsidRPr="00273521">
              <w:rPr>
                <w:sz w:val="20"/>
                <w:lang w:val="fr-CA"/>
              </w:rPr>
              <w:t>Matharu</w:t>
            </w:r>
            <w:proofErr w:type="spellEnd"/>
            <w:r w:rsidRPr="00273521">
              <w:rPr>
                <w:sz w:val="20"/>
                <w:lang w:val="fr-CA"/>
              </w:rPr>
              <w:t xml:space="preserve"> a interjeté appel de sa déclaration de culpabilité, plaidant (1) que le juge du procès avait mal présenté au jury sa position sur le lien de causalité et sur la crédibilité du pathologiste, (2) que le juge du procès avait eu tort de conclure que ses déclarations à la police étaient volontaires et (3) que le verdict était déraisonnable.  La Cour d’appel a rejeté à l’unanimité l’appel de M. </w:t>
            </w:r>
            <w:proofErr w:type="spellStart"/>
            <w:r w:rsidRPr="00273521">
              <w:rPr>
                <w:sz w:val="20"/>
                <w:lang w:val="fr-CA"/>
              </w:rPr>
              <w:t>Matharu</w:t>
            </w:r>
            <w:proofErr w:type="spellEnd"/>
            <w:r w:rsidRPr="00273521">
              <w:rPr>
                <w:sz w:val="20"/>
                <w:lang w:val="fr-CA"/>
              </w:rPr>
              <w:t xml:space="preserve">.  Toutefois, les juges majoritaires de la Cour d’appel ont accueilli l’appel du coaccusé et ont substitué un verdict de meurtre au deuxième degré au motif que le juge procès s’était </w:t>
            </w:r>
            <w:r w:rsidRPr="00273521">
              <w:rPr>
                <w:sz w:val="20"/>
                <w:lang w:val="fr-CA"/>
              </w:rPr>
              <w:lastRenderedPageBreak/>
              <w:t>trompé dans son exposé au jury sur le lien entre la planification, la délibération et le meurtre.  Concluant que l’exposé au jury était inattaquable, le juge dissident aurait rejeté entièrement l’appel du coaccusé. Le ministère public a interjeté appel de plein droit contre le coaccusé en vertu de l’al. 693(1) a) du</w:t>
            </w:r>
            <w:r w:rsidRPr="00273521">
              <w:rPr>
                <w:i/>
                <w:sz w:val="20"/>
                <w:lang w:val="fr-CA"/>
              </w:rPr>
              <w:t xml:space="preserve"> Code criminel</w:t>
            </w:r>
            <w:r w:rsidRPr="00273521">
              <w:rPr>
                <w:sz w:val="20"/>
                <w:lang w:val="fr-CA"/>
              </w:rPr>
              <w:t>, un appel présentement en instance devant cette Cour.</w:t>
            </w:r>
          </w:p>
          <w:p w:rsidR="00AC598D" w:rsidRPr="00273521" w:rsidRDefault="00AC598D" w:rsidP="00366F6C">
            <w:pPr>
              <w:rPr>
                <w:sz w:val="20"/>
                <w:lang w:val="fr-CA"/>
              </w:rPr>
            </w:pPr>
          </w:p>
        </w:tc>
      </w:tr>
      <w:tr w:rsidR="00AC598D" w:rsidRPr="000536FB" w:rsidTr="00366F6C">
        <w:tc>
          <w:tcPr>
            <w:tcW w:w="2427" w:type="pct"/>
          </w:tcPr>
          <w:p w:rsidR="00AC598D" w:rsidRPr="00273521" w:rsidRDefault="00AC598D" w:rsidP="00366F6C">
            <w:pPr>
              <w:rPr>
                <w:sz w:val="20"/>
                <w:lang w:val="fr-CA"/>
              </w:rPr>
            </w:pPr>
            <w:r w:rsidRPr="00273521">
              <w:rPr>
                <w:sz w:val="20"/>
                <w:lang w:val="fr-CA"/>
              </w:rPr>
              <w:lastRenderedPageBreak/>
              <w:t>12 janvier 2006</w:t>
            </w:r>
          </w:p>
          <w:p w:rsidR="00AC598D" w:rsidRPr="00273521" w:rsidRDefault="00AC598D" w:rsidP="00366F6C">
            <w:pPr>
              <w:rPr>
                <w:sz w:val="20"/>
                <w:lang w:val="fr-CA"/>
              </w:rPr>
            </w:pPr>
            <w:r w:rsidRPr="00273521">
              <w:rPr>
                <w:sz w:val="20"/>
                <w:lang w:val="fr-CA"/>
              </w:rPr>
              <w:t>Cour supérieure de justice de l’Ontario</w:t>
            </w:r>
          </w:p>
          <w:p w:rsidR="00AC598D" w:rsidRPr="00273521" w:rsidRDefault="00AC598D" w:rsidP="00366F6C">
            <w:pPr>
              <w:rPr>
                <w:sz w:val="20"/>
                <w:lang w:val="fr-CA"/>
              </w:rPr>
            </w:pPr>
            <w:r w:rsidRPr="00273521">
              <w:rPr>
                <w:sz w:val="20"/>
                <w:lang w:val="fr-CA"/>
              </w:rPr>
              <w:t xml:space="preserve">(Juge </w:t>
            </w:r>
            <w:proofErr w:type="spellStart"/>
            <w:r w:rsidRPr="00273521">
              <w:rPr>
                <w:sz w:val="20"/>
                <w:lang w:val="fr-CA"/>
              </w:rPr>
              <w:t>Trafford</w:t>
            </w:r>
            <w:proofErr w:type="spellEnd"/>
            <w:r w:rsidRPr="00273521">
              <w:rPr>
                <w:sz w:val="20"/>
                <w:lang w:val="fr-CA"/>
              </w:rPr>
              <w:t>)</w:t>
            </w:r>
          </w:p>
          <w:p w:rsidR="00AC598D" w:rsidRPr="00273521" w:rsidRDefault="00AC598D" w:rsidP="00366F6C">
            <w:pPr>
              <w:rPr>
                <w:sz w:val="20"/>
                <w:lang w:val="fr-CA"/>
              </w:rPr>
            </w:pPr>
          </w:p>
        </w:tc>
        <w:tc>
          <w:tcPr>
            <w:tcW w:w="243" w:type="pct"/>
          </w:tcPr>
          <w:p w:rsidR="00AC598D" w:rsidRPr="00273521" w:rsidRDefault="00AC598D" w:rsidP="00366F6C">
            <w:pPr>
              <w:rPr>
                <w:sz w:val="20"/>
                <w:lang w:val="fr-CA"/>
              </w:rPr>
            </w:pPr>
          </w:p>
        </w:tc>
        <w:tc>
          <w:tcPr>
            <w:tcW w:w="2330" w:type="pct"/>
          </w:tcPr>
          <w:p w:rsidR="00AC598D" w:rsidRPr="00273521" w:rsidRDefault="00AC598D" w:rsidP="00366F6C">
            <w:pPr>
              <w:jc w:val="both"/>
              <w:rPr>
                <w:sz w:val="20"/>
                <w:lang w:val="fr-CA"/>
              </w:rPr>
            </w:pPr>
            <w:r w:rsidRPr="00273521">
              <w:rPr>
                <w:sz w:val="20"/>
                <w:lang w:val="fr-CA"/>
              </w:rPr>
              <w:t>Demandeur déclaré coupable de meurtre au deuxième degré</w:t>
            </w:r>
          </w:p>
          <w:p w:rsidR="00AC598D" w:rsidRPr="00273521" w:rsidRDefault="00AC598D" w:rsidP="00366F6C">
            <w:pPr>
              <w:jc w:val="both"/>
              <w:rPr>
                <w:sz w:val="20"/>
                <w:lang w:val="fr-CA"/>
              </w:rPr>
            </w:pPr>
          </w:p>
          <w:p w:rsidR="00AC598D" w:rsidRPr="00273521" w:rsidRDefault="00AC598D" w:rsidP="00366F6C">
            <w:pPr>
              <w:rPr>
                <w:sz w:val="20"/>
                <w:lang w:val="fr-CA"/>
              </w:rPr>
            </w:pPr>
          </w:p>
        </w:tc>
      </w:tr>
      <w:tr w:rsidR="00AC598D" w:rsidRPr="00273521" w:rsidTr="00366F6C">
        <w:tc>
          <w:tcPr>
            <w:tcW w:w="2427" w:type="pct"/>
          </w:tcPr>
          <w:p w:rsidR="00AC598D" w:rsidRPr="00273521" w:rsidRDefault="00AC598D" w:rsidP="00366F6C">
            <w:pPr>
              <w:rPr>
                <w:sz w:val="20"/>
                <w:lang w:val="fr-CA"/>
              </w:rPr>
            </w:pPr>
            <w:r w:rsidRPr="00273521">
              <w:rPr>
                <w:sz w:val="20"/>
                <w:lang w:val="fr-CA"/>
              </w:rPr>
              <w:t>17 décembre 2010</w:t>
            </w:r>
          </w:p>
          <w:p w:rsidR="00AC598D" w:rsidRPr="00273521" w:rsidRDefault="00AC598D" w:rsidP="00366F6C">
            <w:pPr>
              <w:rPr>
                <w:sz w:val="20"/>
                <w:lang w:val="fr-CA"/>
              </w:rPr>
            </w:pPr>
            <w:r w:rsidRPr="00273521">
              <w:rPr>
                <w:sz w:val="20"/>
                <w:lang w:val="fr-CA"/>
              </w:rPr>
              <w:t>Cour d’appel de l’Ontario</w:t>
            </w:r>
          </w:p>
          <w:p w:rsidR="00AC598D" w:rsidRPr="00273521" w:rsidRDefault="00AC598D" w:rsidP="00366F6C">
            <w:pPr>
              <w:rPr>
                <w:sz w:val="20"/>
                <w:lang w:val="fr-CA"/>
              </w:rPr>
            </w:pPr>
            <w:r w:rsidRPr="00273521">
              <w:rPr>
                <w:sz w:val="20"/>
                <w:lang w:val="fr-CA"/>
              </w:rPr>
              <w:t xml:space="preserve">(Juges </w:t>
            </w:r>
            <w:proofErr w:type="spellStart"/>
            <w:r w:rsidRPr="00273521">
              <w:rPr>
                <w:sz w:val="20"/>
                <w:lang w:val="fr-CA"/>
              </w:rPr>
              <w:t>Laskin</w:t>
            </w:r>
            <w:proofErr w:type="spellEnd"/>
            <w:r w:rsidRPr="00273521">
              <w:rPr>
                <w:sz w:val="20"/>
                <w:lang w:val="fr-CA"/>
              </w:rPr>
              <w:t xml:space="preserve">, </w:t>
            </w:r>
            <w:proofErr w:type="spellStart"/>
            <w:r w:rsidRPr="00273521">
              <w:rPr>
                <w:sz w:val="20"/>
                <w:lang w:val="fr-CA"/>
              </w:rPr>
              <w:t>MacPherson</w:t>
            </w:r>
            <w:proofErr w:type="spellEnd"/>
            <w:r w:rsidRPr="00273521">
              <w:rPr>
                <w:sz w:val="20"/>
                <w:lang w:val="fr-CA"/>
              </w:rPr>
              <w:t xml:space="preserve"> et Simmons)</w:t>
            </w:r>
          </w:p>
          <w:p w:rsidR="00AC598D" w:rsidRPr="00273521" w:rsidRDefault="00AC598D" w:rsidP="00366F6C">
            <w:pPr>
              <w:rPr>
                <w:sz w:val="20"/>
                <w:lang w:val="fr-CA"/>
              </w:rPr>
            </w:pPr>
            <w:r w:rsidRPr="00273521">
              <w:rPr>
                <w:sz w:val="20"/>
                <w:lang w:val="fr-CA"/>
              </w:rPr>
              <w:t>2010 ONCA 869</w:t>
            </w:r>
          </w:p>
          <w:p w:rsidR="00AC598D" w:rsidRPr="00273521" w:rsidRDefault="00AC598D" w:rsidP="00366F6C">
            <w:pPr>
              <w:rPr>
                <w:sz w:val="20"/>
                <w:lang w:val="fr-CA"/>
              </w:rPr>
            </w:pPr>
          </w:p>
        </w:tc>
        <w:tc>
          <w:tcPr>
            <w:tcW w:w="243" w:type="pct"/>
          </w:tcPr>
          <w:p w:rsidR="00AC598D" w:rsidRPr="00273521" w:rsidRDefault="00AC598D" w:rsidP="00366F6C">
            <w:pPr>
              <w:rPr>
                <w:sz w:val="20"/>
                <w:lang w:val="fr-CA"/>
              </w:rPr>
            </w:pPr>
          </w:p>
        </w:tc>
        <w:tc>
          <w:tcPr>
            <w:tcW w:w="2330" w:type="pct"/>
          </w:tcPr>
          <w:p w:rsidR="00AC598D" w:rsidRPr="00273521" w:rsidRDefault="00AC598D" w:rsidP="00366F6C">
            <w:pPr>
              <w:rPr>
                <w:sz w:val="20"/>
                <w:lang w:val="fr-CA"/>
              </w:rPr>
            </w:pPr>
            <w:r w:rsidRPr="00273521">
              <w:rPr>
                <w:sz w:val="20"/>
                <w:lang w:val="fr-CA"/>
              </w:rPr>
              <w:t>Appel rejeté</w:t>
            </w:r>
          </w:p>
        </w:tc>
      </w:tr>
      <w:tr w:rsidR="00AC598D" w:rsidRPr="000536FB" w:rsidTr="00366F6C">
        <w:tc>
          <w:tcPr>
            <w:tcW w:w="2427" w:type="pct"/>
          </w:tcPr>
          <w:p w:rsidR="00AC598D" w:rsidRPr="00273521" w:rsidRDefault="00AC598D" w:rsidP="00366F6C">
            <w:pPr>
              <w:rPr>
                <w:sz w:val="20"/>
                <w:lang w:val="fr-CA"/>
              </w:rPr>
            </w:pPr>
            <w:r w:rsidRPr="00273521">
              <w:rPr>
                <w:sz w:val="20"/>
                <w:lang w:val="fr-CA"/>
              </w:rPr>
              <w:t>14 avril 2011</w:t>
            </w:r>
          </w:p>
          <w:p w:rsidR="00AC598D" w:rsidRPr="00273521" w:rsidRDefault="00AC598D" w:rsidP="00366F6C">
            <w:pPr>
              <w:rPr>
                <w:sz w:val="20"/>
                <w:lang w:val="fr-CA"/>
              </w:rPr>
            </w:pPr>
            <w:r w:rsidRPr="00273521">
              <w:rPr>
                <w:sz w:val="20"/>
                <w:lang w:val="fr-CA"/>
              </w:rPr>
              <w:t>Cour suprême du Canada</w:t>
            </w:r>
          </w:p>
        </w:tc>
        <w:tc>
          <w:tcPr>
            <w:tcW w:w="243" w:type="pct"/>
          </w:tcPr>
          <w:p w:rsidR="00AC598D" w:rsidRPr="00273521" w:rsidRDefault="00AC598D" w:rsidP="00366F6C">
            <w:pPr>
              <w:rPr>
                <w:sz w:val="20"/>
                <w:lang w:val="fr-CA"/>
              </w:rPr>
            </w:pPr>
          </w:p>
        </w:tc>
        <w:tc>
          <w:tcPr>
            <w:tcW w:w="2330" w:type="pct"/>
          </w:tcPr>
          <w:p w:rsidR="00AC598D" w:rsidRPr="00273521" w:rsidRDefault="00AC598D" w:rsidP="00366F6C">
            <w:pPr>
              <w:jc w:val="both"/>
              <w:rPr>
                <w:sz w:val="20"/>
                <w:lang w:val="fr-CA"/>
              </w:rPr>
            </w:pPr>
            <w:r w:rsidRPr="00273521">
              <w:rPr>
                <w:sz w:val="20"/>
                <w:lang w:val="fr-CA"/>
              </w:rPr>
              <w:t>Requête en prorogation du délai et demande d’autorisation d’appel, déposées</w:t>
            </w:r>
          </w:p>
        </w:tc>
      </w:tr>
    </w:tbl>
    <w:p w:rsidR="00177474" w:rsidRPr="00AC598D" w:rsidRDefault="00177474" w:rsidP="00177474">
      <w:pPr>
        <w:rPr>
          <w:sz w:val="20"/>
          <w:szCs w:val="20"/>
          <w:lang w:val="fr-CA"/>
        </w:rPr>
      </w:pPr>
    </w:p>
    <w:p w:rsidR="00177474" w:rsidRDefault="009E364E" w:rsidP="00177474">
      <w:pPr>
        <w:rPr>
          <w:sz w:val="20"/>
          <w:szCs w:val="20"/>
          <w:lang w:val="fr-CA"/>
        </w:rPr>
      </w:pPr>
      <w:r w:rsidRPr="009E364E">
        <w:rPr>
          <w:sz w:val="20"/>
          <w:szCs w:val="20"/>
          <w:lang w:val="fr-CA"/>
        </w:rPr>
        <w:pict>
          <v:rect id="_x0000_i1057" style="width:2in;height:1pt" o:hrpct="0" o:hralign="center" o:hrstd="t" o:hrnoshade="t" o:hr="t" fillcolor="black [3213]" stroked="f"/>
        </w:pict>
      </w:r>
    </w:p>
    <w:p w:rsidR="00177474" w:rsidRDefault="00177474" w:rsidP="00177474">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2"/>
          <w:headerReference w:type="default" r:id="rId23"/>
          <w:footerReference w:type="even" r:id="rId24"/>
          <w:footerReference w:type="default" r:id="rId25"/>
          <w:headerReference w:type="first" r:id="rId26"/>
          <w:footerReference w:type="first" r:id="rId2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2C528E" w:rsidRPr="00332904" w:rsidRDefault="002C528E" w:rsidP="002C528E">
      <w:pPr>
        <w:jc w:val="both"/>
        <w:rPr>
          <w:sz w:val="20"/>
          <w:szCs w:val="20"/>
          <w:lang w:val="fr-CA"/>
        </w:rPr>
      </w:pPr>
      <w:r w:rsidRPr="00332904">
        <w:rPr>
          <w:sz w:val="20"/>
          <w:szCs w:val="20"/>
          <w:lang w:val="fr-CA"/>
        </w:rPr>
        <w:t>29.06.2011</w:t>
      </w:r>
    </w:p>
    <w:p w:rsidR="002C528E" w:rsidRPr="00332904" w:rsidRDefault="002C528E" w:rsidP="002C528E">
      <w:pPr>
        <w:tabs>
          <w:tab w:val="left" w:pos="-1440"/>
          <w:tab w:val="left" w:pos="-720"/>
        </w:tabs>
        <w:jc w:val="both"/>
        <w:rPr>
          <w:sz w:val="20"/>
          <w:szCs w:val="20"/>
          <w:lang w:val="fr-CA"/>
        </w:rPr>
      </w:pPr>
    </w:p>
    <w:p w:rsidR="002C528E" w:rsidRPr="00332904" w:rsidRDefault="002C528E" w:rsidP="002C528E">
      <w:pPr>
        <w:jc w:val="both"/>
        <w:rPr>
          <w:sz w:val="20"/>
          <w:szCs w:val="20"/>
          <w:lang w:val="fr-CA"/>
        </w:rPr>
      </w:pPr>
      <w:proofErr w:type="spellStart"/>
      <w:r w:rsidRPr="00332904">
        <w:rPr>
          <w:sz w:val="20"/>
          <w:szCs w:val="20"/>
          <w:lang w:val="fr-CA"/>
        </w:rPr>
        <w:t>Before</w:t>
      </w:r>
      <w:proofErr w:type="spellEnd"/>
      <w:r w:rsidRPr="00332904">
        <w:rPr>
          <w:sz w:val="20"/>
          <w:szCs w:val="20"/>
          <w:lang w:val="fr-CA"/>
        </w:rPr>
        <w:t xml:space="preserve"> / Devant:   CHARRON J. / LA JUGE CHARRON</w:t>
      </w:r>
    </w:p>
    <w:p w:rsidR="002C528E" w:rsidRPr="00332904" w:rsidRDefault="002C528E" w:rsidP="002C528E">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C528E" w:rsidRPr="000536FB" w:rsidTr="00A439A3">
        <w:trPr>
          <w:trHeight w:val="151"/>
        </w:trPr>
        <w:tc>
          <w:tcPr>
            <w:tcW w:w="4338" w:type="dxa"/>
          </w:tcPr>
          <w:p w:rsidR="002C528E" w:rsidRPr="00332904" w:rsidRDefault="009E364E" w:rsidP="00A439A3">
            <w:pPr>
              <w:tabs>
                <w:tab w:val="left" w:pos="-1440"/>
                <w:tab w:val="left" w:pos="-720"/>
              </w:tabs>
              <w:jc w:val="both"/>
              <w:rPr>
                <w:sz w:val="20"/>
                <w:szCs w:val="20"/>
              </w:rPr>
            </w:pPr>
            <w:r w:rsidRPr="00332904">
              <w:rPr>
                <w:sz w:val="20"/>
                <w:szCs w:val="20"/>
              </w:rPr>
              <w:fldChar w:fldCharType="begin"/>
            </w:r>
            <w:r w:rsidR="002C528E" w:rsidRPr="00332904">
              <w:rPr>
                <w:sz w:val="20"/>
                <w:szCs w:val="20"/>
              </w:rPr>
              <w:instrText xml:space="preserve"> SEQ CHAPTER \h \r 1</w:instrText>
            </w:r>
            <w:r w:rsidRPr="00332904">
              <w:rPr>
                <w:sz w:val="20"/>
                <w:szCs w:val="20"/>
              </w:rPr>
              <w:fldChar w:fldCharType="end"/>
            </w:r>
            <w:r w:rsidR="002C528E" w:rsidRPr="00332904">
              <w:rPr>
                <w:b/>
                <w:sz w:val="20"/>
                <w:szCs w:val="20"/>
              </w:rPr>
              <w:t>Motion to seal</w:t>
            </w:r>
          </w:p>
        </w:tc>
        <w:tc>
          <w:tcPr>
            <w:tcW w:w="1170" w:type="dxa"/>
          </w:tcPr>
          <w:p w:rsidR="002C528E" w:rsidRPr="00332904" w:rsidRDefault="002C528E" w:rsidP="00A439A3">
            <w:pPr>
              <w:jc w:val="both"/>
              <w:rPr>
                <w:sz w:val="20"/>
                <w:szCs w:val="20"/>
              </w:rPr>
            </w:pPr>
          </w:p>
          <w:p w:rsidR="002C528E" w:rsidRPr="00332904" w:rsidRDefault="002C528E" w:rsidP="00A439A3">
            <w:pPr>
              <w:jc w:val="both"/>
              <w:rPr>
                <w:sz w:val="20"/>
                <w:szCs w:val="20"/>
              </w:rPr>
            </w:pPr>
          </w:p>
          <w:p w:rsidR="002C528E" w:rsidRPr="00332904" w:rsidRDefault="002C528E" w:rsidP="00A439A3">
            <w:pPr>
              <w:jc w:val="both"/>
              <w:rPr>
                <w:sz w:val="20"/>
                <w:szCs w:val="20"/>
              </w:rPr>
            </w:pPr>
          </w:p>
        </w:tc>
        <w:tc>
          <w:tcPr>
            <w:tcW w:w="4327" w:type="dxa"/>
          </w:tcPr>
          <w:p w:rsidR="002C528E" w:rsidRPr="00332904" w:rsidRDefault="009E364E" w:rsidP="00A439A3">
            <w:pPr>
              <w:jc w:val="both"/>
              <w:rPr>
                <w:b/>
                <w:sz w:val="20"/>
                <w:szCs w:val="20"/>
                <w:lang w:val="fr-CA"/>
              </w:rPr>
            </w:pPr>
            <w:r w:rsidRPr="00332904">
              <w:rPr>
                <w:b/>
                <w:sz w:val="20"/>
                <w:szCs w:val="20"/>
              </w:rPr>
              <w:fldChar w:fldCharType="begin"/>
            </w:r>
            <w:r w:rsidR="002C528E" w:rsidRPr="00332904">
              <w:rPr>
                <w:b/>
                <w:sz w:val="20"/>
                <w:szCs w:val="20"/>
                <w:lang w:val="fr-CA"/>
              </w:rPr>
              <w:instrText xml:space="preserve"> SEQ CHAPTER \h \r 1</w:instrText>
            </w:r>
            <w:r w:rsidRPr="00332904">
              <w:rPr>
                <w:b/>
                <w:sz w:val="20"/>
                <w:szCs w:val="20"/>
              </w:rPr>
              <w:fldChar w:fldCharType="end"/>
            </w:r>
            <w:r w:rsidRPr="00332904">
              <w:rPr>
                <w:b/>
                <w:sz w:val="20"/>
                <w:szCs w:val="20"/>
              </w:rPr>
              <w:fldChar w:fldCharType="begin"/>
            </w:r>
            <w:r w:rsidR="002C528E" w:rsidRPr="00332904">
              <w:rPr>
                <w:b/>
                <w:sz w:val="20"/>
                <w:szCs w:val="20"/>
                <w:lang w:val="fr-CA"/>
              </w:rPr>
              <w:instrText xml:space="preserve"> SEQ CHAPTER \h \r 1</w:instrText>
            </w:r>
            <w:r w:rsidRPr="00332904">
              <w:rPr>
                <w:b/>
                <w:sz w:val="20"/>
                <w:szCs w:val="20"/>
              </w:rPr>
              <w:fldChar w:fldCharType="end"/>
            </w:r>
            <w:r w:rsidR="002C528E" w:rsidRPr="00332904">
              <w:rPr>
                <w:b/>
                <w:bCs/>
                <w:sz w:val="20"/>
                <w:szCs w:val="20"/>
                <w:lang w:val="fr-CA"/>
              </w:rPr>
              <w:t xml:space="preserve">Requête visant la mise sous scellés de documents </w:t>
            </w:r>
            <w:r w:rsidRPr="00332904">
              <w:rPr>
                <w:b/>
                <w:sz w:val="20"/>
                <w:szCs w:val="20"/>
              </w:rPr>
              <w:fldChar w:fldCharType="begin"/>
            </w:r>
            <w:r w:rsidR="002C528E" w:rsidRPr="00332904">
              <w:rPr>
                <w:b/>
                <w:sz w:val="20"/>
                <w:szCs w:val="20"/>
                <w:lang w:val="fr-CA"/>
              </w:rPr>
              <w:instrText xml:space="preserve"> SEQ CHAPTER \h \r 1</w:instrText>
            </w:r>
            <w:r w:rsidRPr="00332904">
              <w:rPr>
                <w:b/>
                <w:sz w:val="20"/>
                <w:szCs w:val="20"/>
              </w:rPr>
              <w:fldChar w:fldCharType="end"/>
            </w:r>
          </w:p>
        </w:tc>
      </w:tr>
      <w:tr w:rsidR="002C528E" w:rsidRPr="00332904" w:rsidTr="00A439A3">
        <w:trPr>
          <w:trHeight w:val="150"/>
        </w:trPr>
        <w:tc>
          <w:tcPr>
            <w:tcW w:w="4338" w:type="dxa"/>
          </w:tcPr>
          <w:p w:rsidR="002C528E" w:rsidRPr="00332904" w:rsidRDefault="002C528E" w:rsidP="00A439A3">
            <w:pPr>
              <w:tabs>
                <w:tab w:val="left" w:pos="-1440"/>
                <w:tab w:val="left" w:pos="-720"/>
              </w:tabs>
              <w:jc w:val="both"/>
              <w:rPr>
                <w:sz w:val="20"/>
                <w:szCs w:val="20"/>
              </w:rPr>
            </w:pPr>
            <w:r w:rsidRPr="00332904">
              <w:rPr>
                <w:sz w:val="20"/>
                <w:szCs w:val="20"/>
              </w:rPr>
              <w:t>Her Majesty the Queen</w:t>
            </w:r>
          </w:p>
          <w:p w:rsidR="002C528E" w:rsidRPr="00332904" w:rsidRDefault="002C528E" w:rsidP="00A439A3">
            <w:pPr>
              <w:tabs>
                <w:tab w:val="left" w:pos="-1440"/>
                <w:tab w:val="left" w:pos="-720"/>
              </w:tabs>
              <w:jc w:val="both"/>
              <w:rPr>
                <w:sz w:val="20"/>
                <w:szCs w:val="20"/>
              </w:rPr>
            </w:pPr>
          </w:p>
          <w:p w:rsidR="002C528E" w:rsidRPr="00332904" w:rsidRDefault="002C528E" w:rsidP="00A439A3">
            <w:pPr>
              <w:tabs>
                <w:tab w:val="left" w:pos="-1440"/>
                <w:tab w:val="left" w:pos="-720"/>
              </w:tabs>
              <w:jc w:val="both"/>
              <w:rPr>
                <w:sz w:val="20"/>
                <w:szCs w:val="20"/>
              </w:rPr>
            </w:pPr>
            <w:r w:rsidRPr="00332904">
              <w:rPr>
                <w:sz w:val="20"/>
                <w:szCs w:val="20"/>
              </w:rPr>
              <w:tab/>
              <w:t>v. (34272)</w:t>
            </w:r>
          </w:p>
          <w:p w:rsidR="002C528E" w:rsidRPr="00332904" w:rsidRDefault="002C528E" w:rsidP="00A439A3">
            <w:pPr>
              <w:tabs>
                <w:tab w:val="left" w:pos="-1440"/>
                <w:tab w:val="left" w:pos="-720"/>
              </w:tabs>
              <w:jc w:val="both"/>
              <w:rPr>
                <w:sz w:val="20"/>
                <w:szCs w:val="20"/>
              </w:rPr>
            </w:pPr>
          </w:p>
          <w:p w:rsidR="002C528E" w:rsidRPr="00332904" w:rsidRDefault="002C528E" w:rsidP="00A439A3">
            <w:pPr>
              <w:tabs>
                <w:tab w:val="left" w:pos="-1440"/>
                <w:tab w:val="left" w:pos="-720"/>
              </w:tabs>
              <w:jc w:val="both"/>
              <w:rPr>
                <w:sz w:val="20"/>
                <w:szCs w:val="20"/>
              </w:rPr>
            </w:pPr>
            <w:r w:rsidRPr="00332904">
              <w:rPr>
                <w:sz w:val="20"/>
                <w:szCs w:val="20"/>
              </w:rPr>
              <w:t>N.P.R. (</w:t>
            </w:r>
            <w:proofErr w:type="spellStart"/>
            <w:r w:rsidRPr="00332904">
              <w:rPr>
                <w:sz w:val="20"/>
                <w:szCs w:val="20"/>
                <w:lang w:val="fr-CA"/>
              </w:rPr>
              <w:t>Crim</w:t>
            </w:r>
            <w:proofErr w:type="spellEnd"/>
            <w:r w:rsidRPr="00332904">
              <w:rPr>
                <w:sz w:val="20"/>
                <w:szCs w:val="20"/>
                <w:lang w:val="fr-CA"/>
              </w:rPr>
              <w:t xml:space="preserve">.) </w:t>
            </w:r>
            <w:r w:rsidRPr="00332904">
              <w:rPr>
                <w:sz w:val="20"/>
                <w:szCs w:val="20"/>
              </w:rPr>
              <w:t>(N.S.)</w:t>
            </w:r>
          </w:p>
        </w:tc>
        <w:tc>
          <w:tcPr>
            <w:tcW w:w="1170" w:type="dxa"/>
          </w:tcPr>
          <w:p w:rsidR="002C528E" w:rsidRPr="00332904" w:rsidRDefault="002C528E" w:rsidP="00A439A3">
            <w:pPr>
              <w:jc w:val="both"/>
              <w:rPr>
                <w:sz w:val="20"/>
                <w:szCs w:val="20"/>
              </w:rPr>
            </w:pPr>
          </w:p>
        </w:tc>
        <w:tc>
          <w:tcPr>
            <w:tcW w:w="4327" w:type="dxa"/>
          </w:tcPr>
          <w:p w:rsidR="002C528E" w:rsidRPr="00332904" w:rsidRDefault="002C528E" w:rsidP="00A439A3">
            <w:pPr>
              <w:jc w:val="both"/>
              <w:rPr>
                <w:sz w:val="20"/>
                <w:szCs w:val="20"/>
              </w:rPr>
            </w:pPr>
          </w:p>
        </w:tc>
      </w:tr>
    </w:tbl>
    <w:p w:rsidR="002C528E" w:rsidRPr="00332904" w:rsidRDefault="002C528E" w:rsidP="002C528E">
      <w:pPr>
        <w:tabs>
          <w:tab w:val="left" w:pos="-1440"/>
          <w:tab w:val="left" w:pos="-720"/>
        </w:tabs>
        <w:jc w:val="both"/>
        <w:rPr>
          <w:sz w:val="20"/>
          <w:szCs w:val="20"/>
        </w:rPr>
      </w:pPr>
    </w:p>
    <w:p w:rsidR="002C528E" w:rsidRPr="00332904" w:rsidRDefault="002C528E" w:rsidP="002C528E">
      <w:pPr>
        <w:tabs>
          <w:tab w:val="left" w:pos="-1440"/>
          <w:tab w:val="left" w:pos="-720"/>
        </w:tabs>
        <w:jc w:val="both"/>
        <w:rPr>
          <w:sz w:val="20"/>
          <w:szCs w:val="20"/>
        </w:rPr>
      </w:pPr>
      <w:r w:rsidRPr="00332904">
        <w:rPr>
          <w:b/>
          <w:sz w:val="20"/>
          <w:szCs w:val="20"/>
        </w:rPr>
        <w:t>GRANTED / ACCORDÉE</w:t>
      </w:r>
    </w:p>
    <w:p w:rsidR="002C528E" w:rsidRPr="00332904" w:rsidRDefault="002C528E" w:rsidP="002C528E">
      <w:pPr>
        <w:tabs>
          <w:tab w:val="left" w:pos="-1440"/>
          <w:tab w:val="left" w:pos="-720"/>
        </w:tabs>
        <w:jc w:val="both"/>
        <w:rPr>
          <w:sz w:val="20"/>
          <w:szCs w:val="20"/>
        </w:rPr>
      </w:pPr>
    </w:p>
    <w:p w:rsidR="002C528E" w:rsidRPr="00332904" w:rsidRDefault="002C528E" w:rsidP="002C528E">
      <w:pPr>
        <w:widowControl w:val="0"/>
        <w:rPr>
          <w:sz w:val="20"/>
          <w:szCs w:val="20"/>
        </w:rPr>
      </w:pPr>
      <w:r w:rsidRPr="00332904">
        <w:rPr>
          <w:b/>
          <w:sz w:val="20"/>
          <w:szCs w:val="20"/>
        </w:rPr>
        <w:t>UPON APPLICATION</w:t>
      </w:r>
      <w:r w:rsidRPr="00332904">
        <w:rPr>
          <w:sz w:val="20"/>
          <w:szCs w:val="20"/>
        </w:rPr>
        <w:t xml:space="preserve"> by the applicant for an order sealing the application for leave to appeal and for directions;</w:t>
      </w:r>
    </w:p>
    <w:p w:rsidR="002C528E" w:rsidRPr="00332904" w:rsidRDefault="002C528E" w:rsidP="002C528E">
      <w:pPr>
        <w:widowControl w:val="0"/>
        <w:rPr>
          <w:sz w:val="20"/>
          <w:szCs w:val="20"/>
        </w:rPr>
      </w:pPr>
    </w:p>
    <w:p w:rsidR="002C528E" w:rsidRPr="00332904" w:rsidRDefault="002C528E" w:rsidP="002C528E">
      <w:pPr>
        <w:widowControl w:val="0"/>
        <w:rPr>
          <w:sz w:val="20"/>
          <w:szCs w:val="20"/>
        </w:rPr>
      </w:pPr>
      <w:r w:rsidRPr="00332904">
        <w:rPr>
          <w:b/>
          <w:sz w:val="20"/>
          <w:szCs w:val="20"/>
        </w:rPr>
        <w:t>AND THE MATERIAL FILED</w:t>
      </w:r>
      <w:r w:rsidRPr="00332904">
        <w:rPr>
          <w:sz w:val="20"/>
          <w:szCs w:val="20"/>
        </w:rPr>
        <w:t xml:space="preserve"> having been read;</w:t>
      </w:r>
    </w:p>
    <w:p w:rsidR="002C528E" w:rsidRPr="00332904" w:rsidRDefault="002C528E" w:rsidP="002C528E">
      <w:pPr>
        <w:widowControl w:val="0"/>
        <w:rPr>
          <w:sz w:val="20"/>
          <w:szCs w:val="20"/>
        </w:rPr>
      </w:pPr>
    </w:p>
    <w:p w:rsidR="002C528E" w:rsidRPr="00332904" w:rsidRDefault="002C528E" w:rsidP="002C528E">
      <w:pPr>
        <w:widowControl w:val="0"/>
        <w:rPr>
          <w:sz w:val="20"/>
          <w:szCs w:val="20"/>
        </w:rPr>
      </w:pPr>
      <w:r w:rsidRPr="00332904">
        <w:rPr>
          <w:b/>
          <w:sz w:val="20"/>
          <w:szCs w:val="20"/>
        </w:rPr>
        <w:t>IT IS HEREBY ORDERED THAT:</w:t>
      </w:r>
    </w:p>
    <w:p w:rsidR="002C528E" w:rsidRPr="00332904" w:rsidRDefault="002C528E" w:rsidP="002C528E">
      <w:pPr>
        <w:widowControl w:val="0"/>
        <w:rPr>
          <w:sz w:val="20"/>
          <w:szCs w:val="20"/>
        </w:rPr>
      </w:pPr>
    </w:p>
    <w:p w:rsidR="002C528E" w:rsidRPr="00332904" w:rsidRDefault="002C528E" w:rsidP="002C528E">
      <w:pPr>
        <w:pStyle w:val="ListParagraph"/>
        <w:widowControl w:val="0"/>
        <w:numPr>
          <w:ilvl w:val="0"/>
          <w:numId w:val="3"/>
        </w:numPr>
        <w:ind w:left="720" w:hanging="720"/>
        <w:rPr>
          <w:sz w:val="20"/>
          <w:szCs w:val="20"/>
        </w:rPr>
      </w:pPr>
      <w:r w:rsidRPr="00332904">
        <w:rPr>
          <w:sz w:val="20"/>
          <w:szCs w:val="20"/>
        </w:rPr>
        <w:t>The motion is granted.</w:t>
      </w:r>
    </w:p>
    <w:p w:rsidR="002C528E" w:rsidRPr="00332904" w:rsidRDefault="002C528E" w:rsidP="002C528E">
      <w:pPr>
        <w:pStyle w:val="Level1"/>
        <w:jc w:val="both"/>
      </w:pPr>
    </w:p>
    <w:p w:rsidR="002C528E" w:rsidRPr="00332904" w:rsidRDefault="002C528E" w:rsidP="002C528E">
      <w:pPr>
        <w:pStyle w:val="Level1"/>
        <w:numPr>
          <w:ilvl w:val="0"/>
          <w:numId w:val="2"/>
        </w:numPr>
        <w:ind w:left="720" w:hanging="720"/>
        <w:jc w:val="both"/>
      </w:pPr>
      <w:r w:rsidRPr="00332904">
        <w:t>The application for leave to appeal and any additional material related to this application for leave to appeal, response and reply which contain the pertinent confidential information shall also be filed in a sealed envelope and will only be made available to members of this Court, Court staff and other persons as the parties may, in writing, agree.</w:t>
      </w:r>
    </w:p>
    <w:p w:rsidR="002C528E" w:rsidRPr="00332904" w:rsidRDefault="002C528E" w:rsidP="002C528E">
      <w:pPr>
        <w:pStyle w:val="Level1"/>
        <w:jc w:val="both"/>
      </w:pPr>
    </w:p>
    <w:p w:rsidR="002C528E" w:rsidRPr="00332904" w:rsidRDefault="002C528E" w:rsidP="002C528E">
      <w:pPr>
        <w:pStyle w:val="Level1"/>
        <w:numPr>
          <w:ilvl w:val="0"/>
          <w:numId w:val="2"/>
        </w:numPr>
        <w:ind w:left="720" w:hanging="720"/>
        <w:jc w:val="both"/>
      </w:pPr>
      <w:r w:rsidRPr="00332904">
        <w:t>The parties shall file redacted public versions of their materials.</w:t>
      </w:r>
    </w:p>
    <w:p w:rsidR="002C528E" w:rsidRPr="00332904" w:rsidRDefault="002C528E" w:rsidP="002C528E">
      <w:pPr>
        <w:tabs>
          <w:tab w:val="left" w:pos="-1440"/>
          <w:tab w:val="left" w:pos="-720"/>
        </w:tabs>
        <w:jc w:val="both"/>
        <w:rPr>
          <w:sz w:val="20"/>
          <w:szCs w:val="20"/>
        </w:rPr>
      </w:pPr>
    </w:p>
    <w:p w:rsidR="002C528E" w:rsidRPr="00332904" w:rsidRDefault="002C528E" w:rsidP="002C528E">
      <w:pPr>
        <w:tabs>
          <w:tab w:val="left" w:pos="-1440"/>
          <w:tab w:val="left" w:pos="-720"/>
        </w:tabs>
        <w:jc w:val="both"/>
        <w:rPr>
          <w:sz w:val="20"/>
          <w:szCs w:val="20"/>
        </w:rPr>
      </w:pPr>
    </w:p>
    <w:p w:rsidR="002C528E" w:rsidRPr="00332904" w:rsidRDefault="002C528E" w:rsidP="002C528E">
      <w:pPr>
        <w:tabs>
          <w:tab w:val="left" w:pos="-1440"/>
          <w:tab w:val="left" w:pos="-720"/>
        </w:tabs>
        <w:jc w:val="both"/>
        <w:rPr>
          <w:sz w:val="20"/>
          <w:szCs w:val="20"/>
        </w:rPr>
      </w:pPr>
    </w:p>
    <w:p w:rsidR="002C528E" w:rsidRPr="00332904" w:rsidRDefault="002C528E" w:rsidP="002C528E">
      <w:pPr>
        <w:widowControl w:val="0"/>
        <w:jc w:val="both"/>
        <w:rPr>
          <w:sz w:val="20"/>
          <w:szCs w:val="20"/>
          <w:lang w:val="fr-CA"/>
        </w:rPr>
      </w:pPr>
      <w:r w:rsidRPr="00332904">
        <w:rPr>
          <w:b/>
          <w:sz w:val="20"/>
          <w:szCs w:val="20"/>
          <w:lang w:val="fr-CA"/>
        </w:rPr>
        <w:t xml:space="preserve">À LA SUITE D’UNE DEMANDE </w:t>
      </w:r>
      <w:r w:rsidRPr="00332904">
        <w:rPr>
          <w:sz w:val="20"/>
          <w:szCs w:val="20"/>
          <w:lang w:val="fr-CA"/>
        </w:rPr>
        <w:t xml:space="preserve">présentée par la demanderesse visant la mise sous scellés de la demande d’autorisation d’appel et en vue d’obtenir des directives; </w:t>
      </w:r>
    </w:p>
    <w:p w:rsidR="002C528E" w:rsidRPr="00332904" w:rsidRDefault="002C528E" w:rsidP="002C528E">
      <w:pPr>
        <w:widowControl w:val="0"/>
        <w:rPr>
          <w:sz w:val="20"/>
          <w:szCs w:val="20"/>
          <w:lang w:val="fr-CA"/>
        </w:rPr>
      </w:pPr>
    </w:p>
    <w:p w:rsidR="002C528E" w:rsidRPr="00332904" w:rsidRDefault="002C528E" w:rsidP="002C528E">
      <w:pPr>
        <w:widowControl w:val="0"/>
        <w:rPr>
          <w:sz w:val="20"/>
          <w:szCs w:val="20"/>
          <w:lang w:val="fr-CA"/>
        </w:rPr>
      </w:pPr>
      <w:r w:rsidRPr="00332904">
        <w:rPr>
          <w:b/>
          <w:sz w:val="20"/>
          <w:szCs w:val="20"/>
          <w:lang w:val="fr-CA"/>
        </w:rPr>
        <w:t xml:space="preserve">ET APRÈS EXAMEN </w:t>
      </w:r>
      <w:r w:rsidRPr="00332904">
        <w:rPr>
          <w:sz w:val="20"/>
          <w:szCs w:val="20"/>
          <w:lang w:val="fr-CA"/>
        </w:rPr>
        <w:t xml:space="preserve">des documents déposés; </w:t>
      </w:r>
    </w:p>
    <w:p w:rsidR="002C528E" w:rsidRPr="00332904" w:rsidRDefault="002C528E" w:rsidP="002C528E">
      <w:pPr>
        <w:widowControl w:val="0"/>
        <w:rPr>
          <w:sz w:val="20"/>
          <w:szCs w:val="20"/>
          <w:lang w:val="fr-CA"/>
        </w:rPr>
      </w:pPr>
    </w:p>
    <w:p w:rsidR="002C528E" w:rsidRPr="00332904" w:rsidRDefault="002C528E" w:rsidP="002C528E">
      <w:pPr>
        <w:widowControl w:val="0"/>
        <w:rPr>
          <w:sz w:val="20"/>
          <w:szCs w:val="20"/>
          <w:lang w:val="fr-CA"/>
        </w:rPr>
      </w:pPr>
      <w:r w:rsidRPr="00332904">
        <w:rPr>
          <w:b/>
          <w:sz w:val="20"/>
          <w:szCs w:val="20"/>
          <w:lang w:val="fr-CA"/>
        </w:rPr>
        <w:t xml:space="preserve">IL EST ORDONNÉ CE QUI SUIT : </w:t>
      </w:r>
    </w:p>
    <w:p w:rsidR="002C528E" w:rsidRPr="00332904" w:rsidRDefault="002C528E" w:rsidP="002C528E">
      <w:pPr>
        <w:widowControl w:val="0"/>
        <w:rPr>
          <w:sz w:val="20"/>
          <w:szCs w:val="20"/>
          <w:lang w:val="fr-CA"/>
        </w:rPr>
      </w:pPr>
    </w:p>
    <w:p w:rsidR="002C528E" w:rsidRPr="00332904" w:rsidRDefault="002C528E" w:rsidP="002C528E">
      <w:pPr>
        <w:widowControl w:val="0"/>
        <w:ind w:left="720" w:hanging="720"/>
        <w:rPr>
          <w:sz w:val="20"/>
          <w:szCs w:val="20"/>
          <w:lang w:val="fr-CA"/>
        </w:rPr>
      </w:pPr>
      <w:r w:rsidRPr="00332904">
        <w:rPr>
          <w:sz w:val="20"/>
          <w:szCs w:val="20"/>
          <w:lang w:val="fr-CA"/>
        </w:rPr>
        <w:t>1)</w:t>
      </w:r>
      <w:r w:rsidRPr="00332904">
        <w:rPr>
          <w:sz w:val="20"/>
          <w:szCs w:val="20"/>
          <w:lang w:val="fr-CA"/>
        </w:rPr>
        <w:tab/>
        <w:t>La requête est accordée.</w:t>
      </w:r>
    </w:p>
    <w:p w:rsidR="002C528E" w:rsidRPr="00332904" w:rsidRDefault="002C528E" w:rsidP="002C528E">
      <w:pPr>
        <w:pStyle w:val="Level1"/>
        <w:jc w:val="both"/>
        <w:rPr>
          <w:lang w:val="fr-CA"/>
        </w:rPr>
      </w:pPr>
    </w:p>
    <w:p w:rsidR="002C528E" w:rsidRPr="00332904" w:rsidRDefault="002C528E" w:rsidP="002C528E">
      <w:pPr>
        <w:widowControl w:val="0"/>
        <w:ind w:left="720" w:hanging="720"/>
        <w:jc w:val="both"/>
        <w:rPr>
          <w:sz w:val="20"/>
          <w:szCs w:val="20"/>
          <w:lang w:val="fr-CA"/>
        </w:rPr>
      </w:pPr>
      <w:r w:rsidRPr="00332904">
        <w:rPr>
          <w:sz w:val="20"/>
          <w:szCs w:val="20"/>
          <w:lang w:val="fr-CA"/>
        </w:rPr>
        <w:t>2)</w:t>
      </w:r>
      <w:r w:rsidRPr="00332904">
        <w:rPr>
          <w:sz w:val="20"/>
          <w:szCs w:val="20"/>
          <w:lang w:val="fr-CA"/>
        </w:rPr>
        <w:tab/>
        <w:t>La demande d’autorisation d’appel et tout document supplémentaire concernant la demande d’autorisation d’appel, la réponse et la réplique contenant des renseignements pertinents confidentiels seront aussi déposés dans une enveloppe scellée et seuls pourront y avoir accès les juges et le personnel de la Cour, ainsi que les personnes désignées par un accord écrit des parties.</w:t>
      </w:r>
    </w:p>
    <w:p w:rsidR="002C528E" w:rsidRPr="00332904" w:rsidRDefault="002C528E" w:rsidP="002C528E">
      <w:pPr>
        <w:pStyle w:val="Level1"/>
        <w:jc w:val="both"/>
        <w:rPr>
          <w:lang w:val="fr-CA"/>
        </w:rPr>
      </w:pPr>
    </w:p>
    <w:p w:rsidR="002C528E" w:rsidRPr="00332904" w:rsidRDefault="002C528E" w:rsidP="002C528E">
      <w:pPr>
        <w:widowControl w:val="0"/>
        <w:ind w:left="720" w:hanging="720"/>
        <w:rPr>
          <w:sz w:val="20"/>
          <w:szCs w:val="20"/>
          <w:lang w:val="fr-CA"/>
        </w:rPr>
      </w:pPr>
      <w:r w:rsidRPr="00332904">
        <w:rPr>
          <w:sz w:val="20"/>
          <w:szCs w:val="20"/>
          <w:lang w:val="fr-CA"/>
        </w:rPr>
        <w:t>3)</w:t>
      </w:r>
      <w:r w:rsidRPr="00332904">
        <w:rPr>
          <w:sz w:val="20"/>
          <w:szCs w:val="20"/>
          <w:lang w:val="fr-CA"/>
        </w:rPr>
        <w:tab/>
        <w:t>Les parties déposeront des copies épurées des documents pour le dossier public.</w:t>
      </w:r>
    </w:p>
    <w:p w:rsidR="002C528E" w:rsidRPr="00332904" w:rsidRDefault="002C528E" w:rsidP="002C528E">
      <w:pPr>
        <w:tabs>
          <w:tab w:val="left" w:pos="-1440"/>
          <w:tab w:val="left" w:pos="-720"/>
        </w:tabs>
        <w:jc w:val="both"/>
        <w:rPr>
          <w:sz w:val="20"/>
          <w:szCs w:val="20"/>
          <w:lang w:val="fr-CA"/>
        </w:rPr>
      </w:pPr>
    </w:p>
    <w:p w:rsidR="002C528E" w:rsidRPr="00332904" w:rsidRDefault="002C528E" w:rsidP="002C528E">
      <w:pPr>
        <w:tabs>
          <w:tab w:val="left" w:pos="-1440"/>
          <w:tab w:val="left" w:pos="-720"/>
        </w:tabs>
        <w:spacing w:line="-19" w:lineRule="auto"/>
        <w:jc w:val="both"/>
        <w:rPr>
          <w:sz w:val="20"/>
          <w:szCs w:val="20"/>
          <w:lang w:val="fr-CA"/>
        </w:rPr>
      </w:pPr>
    </w:p>
    <w:p w:rsidR="002C528E" w:rsidRPr="00332904" w:rsidRDefault="009E364E" w:rsidP="002C528E">
      <w:pPr>
        <w:tabs>
          <w:tab w:val="left" w:pos="-1440"/>
          <w:tab w:val="left" w:pos="-720"/>
        </w:tabs>
        <w:jc w:val="both"/>
        <w:rPr>
          <w:sz w:val="20"/>
          <w:szCs w:val="20"/>
        </w:rPr>
      </w:pPr>
      <w:r w:rsidRPr="009E364E">
        <w:rPr>
          <w:sz w:val="20"/>
          <w:szCs w:val="20"/>
          <w:lang w:val="fr-CA"/>
        </w:rPr>
        <w:pict>
          <v:rect id="_x0000_i1060" style="width:2in;height:1pt" o:hrpct="0" o:hralign="center" o:hrstd="t" o:hrnoshade="t" o:hr="t" fillcolor="black [3213]" stroked="f"/>
        </w:pict>
      </w:r>
    </w:p>
    <w:p w:rsidR="002C528E" w:rsidRPr="00332904" w:rsidRDefault="002C528E" w:rsidP="002C528E">
      <w:pPr>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0536FB"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F14720" w:rsidP="003B3977">
            <w:pPr>
              <w:rPr>
                <w:sz w:val="20"/>
                <w:szCs w:val="20"/>
              </w:rPr>
            </w:pPr>
            <w:r>
              <w:rPr>
                <w:sz w:val="20"/>
                <w:szCs w:val="20"/>
              </w:rPr>
              <w:t>28</w:t>
            </w:r>
            <w:r w:rsidR="0010587F" w:rsidRPr="003B3977">
              <w:rPr>
                <w:sz w:val="20"/>
                <w:szCs w:val="20"/>
              </w:rPr>
              <w:t>.0</w:t>
            </w:r>
            <w:r>
              <w:rPr>
                <w:sz w:val="20"/>
                <w:szCs w:val="20"/>
              </w:rPr>
              <w:t>6</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F14720" w:rsidP="003B3977">
            <w:pPr>
              <w:rPr>
                <w:b/>
                <w:sz w:val="20"/>
                <w:szCs w:val="20"/>
              </w:rPr>
            </w:pPr>
            <w:r>
              <w:rPr>
                <w:b/>
                <w:sz w:val="20"/>
                <w:szCs w:val="20"/>
              </w:rPr>
              <w:t xml:space="preserve">Hans Jason </w:t>
            </w:r>
            <w:proofErr w:type="spellStart"/>
            <w:r>
              <w:rPr>
                <w:b/>
                <w:sz w:val="20"/>
                <w:szCs w:val="20"/>
              </w:rPr>
              <w:t>Eastgaard</w:t>
            </w:r>
            <w:proofErr w:type="spellEnd"/>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(34</w:t>
            </w:r>
            <w:r w:rsidR="00F14720">
              <w:rPr>
                <w:b/>
                <w:sz w:val="20"/>
                <w:szCs w:val="20"/>
              </w:rPr>
              <w:t>337</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(Alta.)</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9E364E" w:rsidP="003B3977">
            <w:pPr>
              <w:rPr>
                <w:sz w:val="20"/>
                <w:szCs w:val="20"/>
                <w:lang w:val="fr-CA"/>
              </w:rPr>
            </w:pPr>
            <w:r w:rsidRPr="009E364E">
              <w:rPr>
                <w:sz w:val="20"/>
                <w:szCs w:val="20"/>
                <w:lang w:val="fr-CA"/>
              </w:rPr>
              <w:pict>
                <v:rect id="_x0000_i1063"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p w:rsidR="00924065" w:rsidRPr="00DE5525" w:rsidRDefault="009E364E"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40"/>
      <w:footerReference w:type="default" r:id="rId41"/>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73A" w:rsidRDefault="00A9773A" w:rsidP="00A87207">
      <w:r>
        <w:separator/>
      </w:r>
    </w:p>
  </w:endnote>
  <w:endnote w:type="continuationSeparator" w:id="0">
    <w:p w:rsidR="00A9773A" w:rsidRDefault="00A9773A"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A9773A">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9E364E">
    <w:pPr>
      <w:pStyle w:val="Footer"/>
      <w:rPr>
        <w:lang w:val="fr-CA"/>
      </w:rPr>
    </w:pPr>
    <w:r w:rsidRPr="009E364E">
      <w:rPr>
        <w:lang w:val="fr-CA"/>
      </w:rPr>
      <w:pict>
        <v:rect id="_x0000_i1059" style="width:480.95pt;height:1pt" o:hralign="center" o:hrstd="t" o:hrnoshade="t" o:hr="t" fillcolor="black [3213]" stroked="f"/>
      </w:pict>
    </w:r>
  </w:p>
  <w:p w:rsidR="00A9773A" w:rsidRDefault="00A9773A" w:rsidP="00245129">
    <w:pPr>
      <w:tabs>
        <w:tab w:val="center" w:pos="4680"/>
      </w:tabs>
    </w:pPr>
    <w:r>
      <w:tab/>
    </w:r>
    <w:r w:rsidRPr="0009648D">
      <w:t xml:space="preserve">- </w:t>
    </w:r>
    <w:fldSimple w:instr=" PAGE   \* MERGEFORMAT ">
      <w:r w:rsidR="00F24E73">
        <w:rPr>
          <w:noProof/>
        </w:rPr>
        <w:t>1042</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A97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773A" w:rsidRDefault="00A97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773A" w:rsidRDefault="00A9773A">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9E364E" w:rsidP="00755F22">
    <w:pPr>
      <w:tabs>
        <w:tab w:val="left" w:pos="-1440"/>
        <w:tab w:val="left" w:pos="-720"/>
      </w:tabs>
    </w:pPr>
    <w:r>
      <w:pict>
        <v:rect id="_x0000_i1061" style="width:480.95pt;height:1pt" o:hralign="center" o:hrstd="t" o:hrnoshade="t" o:hr="t" fillcolor="black [3213]" stroked="f"/>
      </w:pict>
    </w:r>
  </w:p>
  <w:p w:rsidR="00A9773A" w:rsidRDefault="00A9773A" w:rsidP="00EB2B90">
    <w:pPr>
      <w:tabs>
        <w:tab w:val="center" w:pos="4680"/>
      </w:tabs>
    </w:pPr>
    <w:r>
      <w:tab/>
      <w:t xml:space="preserve">- </w:t>
    </w:r>
    <w:fldSimple w:instr=" PAGE   \* MERGEFORMAT ">
      <w:r>
        <w:rPr>
          <w:noProof/>
        </w:rPr>
        <w:t>1056</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9E364E" w:rsidP="00EB2B90">
    <w:pPr>
      <w:tabs>
        <w:tab w:val="center" w:pos="4680"/>
      </w:tabs>
    </w:pPr>
    <w:r>
      <w:pict>
        <v:rect id="_x0000_i1062" style="width:480.95pt;height:1pt" o:hralign="center" o:hrstd="t" o:hrnoshade="t" o:hr="t" fillcolor="black [3213]" stroked="f"/>
      </w:pict>
    </w:r>
  </w:p>
  <w:p w:rsidR="00A9773A" w:rsidRPr="0031432F" w:rsidRDefault="00A9773A" w:rsidP="00EB2B90">
    <w:pPr>
      <w:tabs>
        <w:tab w:val="center" w:pos="4680"/>
      </w:tabs>
    </w:pPr>
    <w:r>
      <w:tab/>
      <w:t xml:space="preserve">- </w:t>
    </w:r>
    <w:fldSimple w:instr=" PAGE   \* MERGEFORMAT ">
      <w:r w:rsidR="00F24E73">
        <w:rPr>
          <w:noProof/>
        </w:rPr>
        <w:t>1061</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A97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773A" w:rsidRDefault="00A97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773A" w:rsidRDefault="00A9773A">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9E36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E364E">
      <w:rPr>
        <w:lang w:val="fr-CA"/>
      </w:rPr>
      <w:pict>
        <v:rect id="_x0000_i1064" style="width:480.95pt;height:1pt" o:hralign="center" o:hrstd="t" o:hrnoshade="t" o:hr="t" fillcolor="black [3213]" stroked="f"/>
      </w:pict>
    </w:r>
  </w:p>
  <w:p w:rsidR="00A9773A" w:rsidRDefault="00A9773A"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9E364E">
    <w:pPr>
      <w:pStyle w:val="Footer"/>
      <w:rPr>
        <w:lang w:val="fr-CA"/>
      </w:rPr>
    </w:pPr>
    <w:r w:rsidRPr="009E364E">
      <w:rPr>
        <w:lang w:val="fr-CA"/>
      </w:rPr>
      <w:pict>
        <v:rect id="_x0000_i1065" style="width:480.95pt;height:1pt" o:hralign="center" o:hrstd="t" o:hrnoshade="t" o:hr="t" fillcolor="black [3213]" stroked="f"/>
      </w:pict>
    </w:r>
  </w:p>
  <w:p w:rsidR="00A9773A" w:rsidRDefault="00A9773A" w:rsidP="00EB2B90">
    <w:pPr>
      <w:tabs>
        <w:tab w:val="center" w:pos="4680"/>
      </w:tabs>
    </w:pPr>
    <w:r>
      <w:tab/>
      <w:t xml:space="preserve">- </w:t>
    </w:r>
    <w:fldSimple w:instr=" PAGE   \* MERGEFORMAT ">
      <w:r w:rsidR="00F24E73">
        <w:rPr>
          <w:noProof/>
        </w:rPr>
        <w:t>1062</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Pr="00924065" w:rsidRDefault="00A9773A"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A977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A9773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9E364E" w:rsidP="00A87207">
    <w:pPr>
      <w:pStyle w:val="Footer"/>
    </w:pPr>
    <w:r>
      <w:pict>
        <v:rect id="_x0000_i1033" style="width:480.95pt;height:1pt" o:hralign="center" o:hrstd="t" o:hrnoshade="t" o:hr="t" fillcolor="black [3213]" stroked="f"/>
      </w:pict>
    </w:r>
  </w:p>
  <w:p w:rsidR="00A9773A" w:rsidRPr="00B7374B" w:rsidRDefault="00A9773A" w:rsidP="00B7374B">
    <w:pPr>
      <w:tabs>
        <w:tab w:val="center" w:pos="4680"/>
      </w:tabs>
      <w:rPr>
        <w:szCs w:val="24"/>
      </w:rPr>
    </w:pPr>
    <w:r w:rsidRPr="00954D22">
      <w:rPr>
        <w:szCs w:val="24"/>
      </w:rPr>
      <w:tab/>
      <w:t xml:space="preserve">- </w:t>
    </w:r>
    <w:r w:rsidR="009E364E" w:rsidRPr="00954D22">
      <w:rPr>
        <w:szCs w:val="24"/>
      </w:rPr>
      <w:fldChar w:fldCharType="begin"/>
    </w:r>
    <w:r w:rsidRPr="00954D22">
      <w:rPr>
        <w:szCs w:val="24"/>
      </w:rPr>
      <w:instrText xml:space="preserve"> PAGE   \* MERGEFORMAT </w:instrText>
    </w:r>
    <w:r w:rsidR="009E364E" w:rsidRPr="00954D22">
      <w:rPr>
        <w:szCs w:val="24"/>
      </w:rPr>
      <w:fldChar w:fldCharType="separate"/>
    </w:r>
    <w:r>
      <w:rPr>
        <w:noProof/>
        <w:szCs w:val="24"/>
      </w:rPr>
      <w:t>1040</w:t>
    </w:r>
    <w:r w:rsidR="009E364E"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9E364E" w:rsidP="00755F22">
    <w:pPr>
      <w:tabs>
        <w:tab w:val="left" w:pos="-1440"/>
        <w:tab w:val="left" w:pos="-720"/>
      </w:tabs>
    </w:pPr>
    <w:r>
      <w:pict>
        <v:rect id="_x0000_i1034" style="width:480.95pt;height:1pt" o:hralign="center" o:hrstd="t" o:hrnoshade="t" o:hr="t" fillcolor="black [3213]" stroked="f"/>
      </w:pict>
    </w:r>
  </w:p>
  <w:p w:rsidR="00A9773A" w:rsidRPr="00954D22" w:rsidRDefault="00A9773A" w:rsidP="00B7374B">
    <w:pPr>
      <w:tabs>
        <w:tab w:val="center" w:pos="4680"/>
      </w:tabs>
      <w:rPr>
        <w:szCs w:val="24"/>
      </w:rPr>
    </w:pPr>
    <w:r w:rsidRPr="00954D22">
      <w:rPr>
        <w:szCs w:val="24"/>
      </w:rPr>
      <w:tab/>
      <w:t xml:space="preserve">- </w:t>
    </w:r>
    <w:r w:rsidR="009E364E">
      <w:rPr>
        <w:szCs w:val="24"/>
      </w:rPr>
      <w:fldChar w:fldCharType="begin"/>
    </w:r>
    <w:r>
      <w:rPr>
        <w:szCs w:val="24"/>
      </w:rPr>
      <w:instrText xml:space="preserve"> PAGE   \* MERGEFORMAT </w:instrText>
    </w:r>
    <w:r w:rsidR="009E364E">
      <w:rPr>
        <w:szCs w:val="24"/>
      </w:rPr>
      <w:fldChar w:fldCharType="separate"/>
    </w:r>
    <w:r w:rsidR="00F24E73">
      <w:rPr>
        <w:noProof/>
        <w:szCs w:val="24"/>
      </w:rPr>
      <w:t>1040</w:t>
    </w:r>
    <w:r w:rsidR="009E364E">
      <w:rPr>
        <w:szCs w:val="24"/>
      </w:rPr>
      <w:fldChar w:fldCharType="end"/>
    </w:r>
    <w:r w:rsidRPr="00954D22">
      <w:rPr>
        <w:szCs w:val="24"/>
      </w:rPr>
      <w:t xml:space="preserve"> -</w:t>
    </w:r>
  </w:p>
  <w:p w:rsidR="00A9773A" w:rsidRDefault="00A9773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9E364E" w:rsidP="00A87207">
    <w:pPr>
      <w:pStyle w:val="Footer"/>
    </w:pPr>
    <w:r>
      <w:pict>
        <v:rect id="_x0000_i1036" style="width:480.95pt;height:1pt" o:hralign="center" o:hrstd="t" o:hrnoshade="t" o:hr="t" fillcolor="black [3213]" stroked="f"/>
      </w:pict>
    </w:r>
  </w:p>
  <w:p w:rsidR="00A9773A" w:rsidRPr="00B7374B" w:rsidRDefault="00A9773A" w:rsidP="00B7374B">
    <w:pPr>
      <w:tabs>
        <w:tab w:val="center" w:pos="4680"/>
      </w:tabs>
      <w:rPr>
        <w:szCs w:val="24"/>
      </w:rPr>
    </w:pPr>
    <w:r w:rsidRPr="00954D22">
      <w:rPr>
        <w:szCs w:val="24"/>
      </w:rPr>
      <w:tab/>
      <w:t xml:space="preserve">- </w:t>
    </w:r>
    <w:r w:rsidR="009E364E" w:rsidRPr="00954D22">
      <w:rPr>
        <w:szCs w:val="24"/>
      </w:rPr>
      <w:fldChar w:fldCharType="begin"/>
    </w:r>
    <w:r w:rsidRPr="00954D22">
      <w:rPr>
        <w:szCs w:val="24"/>
      </w:rPr>
      <w:instrText xml:space="preserve"> PAGE   \* MERGEFORMAT </w:instrText>
    </w:r>
    <w:r w:rsidR="009E364E" w:rsidRPr="00954D22">
      <w:rPr>
        <w:szCs w:val="24"/>
      </w:rPr>
      <w:fldChar w:fldCharType="separate"/>
    </w:r>
    <w:r>
      <w:rPr>
        <w:noProof/>
        <w:szCs w:val="24"/>
      </w:rPr>
      <w:t>1043</w:t>
    </w:r>
    <w:r w:rsidR="009E364E"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9E364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A9773A" w:rsidRPr="00954D22" w:rsidRDefault="00A9773A" w:rsidP="00B7374B">
    <w:pPr>
      <w:tabs>
        <w:tab w:val="center" w:pos="4680"/>
      </w:tabs>
      <w:rPr>
        <w:szCs w:val="24"/>
      </w:rPr>
    </w:pPr>
    <w:r w:rsidRPr="00954D22">
      <w:rPr>
        <w:szCs w:val="24"/>
      </w:rPr>
      <w:tab/>
      <w:t xml:space="preserve">- </w:t>
    </w:r>
    <w:r w:rsidR="009E364E" w:rsidRPr="00954D22">
      <w:rPr>
        <w:szCs w:val="24"/>
      </w:rPr>
      <w:fldChar w:fldCharType="begin"/>
    </w:r>
    <w:r w:rsidRPr="00954D22">
      <w:rPr>
        <w:szCs w:val="24"/>
      </w:rPr>
      <w:instrText xml:space="preserve"> PAGE   \* MERGEFORMAT </w:instrText>
    </w:r>
    <w:r w:rsidR="009E364E" w:rsidRPr="00954D22">
      <w:rPr>
        <w:szCs w:val="24"/>
      </w:rPr>
      <w:fldChar w:fldCharType="separate"/>
    </w:r>
    <w:r w:rsidR="00F24E73">
      <w:rPr>
        <w:noProof/>
        <w:szCs w:val="24"/>
      </w:rPr>
      <w:t>1041</w:t>
    </w:r>
    <w:r w:rsidR="009E364E"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A97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9773A" w:rsidRDefault="00A97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773A" w:rsidRDefault="00A9773A">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9E36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E364E">
      <w:rPr>
        <w:lang w:val="fr-CA"/>
      </w:rPr>
      <w:pict>
        <v:rect id="_x0000_i1058" style="width:480.95pt;height:1pt" o:hralign="center" o:hrstd="t" o:hrnoshade="t" o:hr="t" fillcolor="black [3213]" stroked="f"/>
      </w:pict>
    </w:r>
  </w:p>
  <w:p w:rsidR="00A9773A" w:rsidRPr="0009648D" w:rsidRDefault="00A9773A" w:rsidP="00ED7E83">
    <w:pPr>
      <w:tabs>
        <w:tab w:val="center" w:pos="4680"/>
      </w:tabs>
    </w:pPr>
    <w:r>
      <w:tab/>
    </w:r>
    <w:r w:rsidRPr="0009648D">
      <w:t xml:space="preserve">- </w:t>
    </w:r>
    <w:fldSimple w:instr=" PAGE   \* MERGEFORMAT ">
      <w:r w:rsidR="00F24E73">
        <w:rPr>
          <w:noProof/>
        </w:rPr>
        <w:t>1060</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73A" w:rsidRDefault="00A9773A" w:rsidP="00A87207">
      <w:r>
        <w:separator/>
      </w:r>
    </w:p>
  </w:footnote>
  <w:footnote w:type="continuationSeparator" w:id="0">
    <w:p w:rsidR="00A9773A" w:rsidRDefault="00A9773A"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A9773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A9773A">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A9773A">
      <w:tc>
        <w:tcPr>
          <w:tcW w:w="4230" w:type="dxa"/>
          <w:tcMar>
            <w:left w:w="0" w:type="dxa"/>
            <w:right w:w="0" w:type="dxa"/>
          </w:tcMar>
        </w:tcPr>
        <w:p w:rsidR="00A9773A" w:rsidRDefault="00A977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9773A" w:rsidRDefault="00A977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9773A" w:rsidRDefault="00A977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9773A">
      <w:trPr>
        <w:gridAfter w:val="2"/>
        <w:wAfter w:w="5250" w:type="dxa"/>
      </w:trPr>
      <w:tc>
        <w:tcPr>
          <w:tcW w:w="4230" w:type="dxa"/>
          <w:tcMar>
            <w:left w:w="0" w:type="dxa"/>
            <w:right w:w="0" w:type="dxa"/>
          </w:tcMar>
        </w:tcPr>
        <w:p w:rsidR="00A9773A" w:rsidRDefault="00A97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9773A" w:rsidRDefault="00A97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A9773A" w:rsidRPr="00755F22" w:rsidTr="00245129">
      <w:tc>
        <w:tcPr>
          <w:tcW w:w="4230" w:type="dxa"/>
          <w:tcMar>
            <w:left w:w="0" w:type="dxa"/>
            <w:right w:w="0" w:type="dxa"/>
          </w:tcMar>
        </w:tcPr>
        <w:p w:rsidR="00A9773A" w:rsidRPr="00755F22" w:rsidRDefault="00A9773A" w:rsidP="00831CA9">
          <w:pPr>
            <w:keepNext/>
            <w:keepLines/>
            <w:rPr>
              <w:sz w:val="20"/>
              <w:szCs w:val="20"/>
            </w:rPr>
          </w:pPr>
          <w:r w:rsidRPr="00755F22">
            <w:rPr>
              <w:sz w:val="20"/>
              <w:szCs w:val="20"/>
            </w:rPr>
            <w:t>MOTIONS</w:t>
          </w:r>
        </w:p>
      </w:tc>
      <w:tc>
        <w:tcPr>
          <w:tcW w:w="1170" w:type="dxa"/>
          <w:tcMar>
            <w:left w:w="0" w:type="dxa"/>
            <w:right w:w="0" w:type="dxa"/>
          </w:tcMar>
        </w:tcPr>
        <w:p w:rsidR="00A9773A" w:rsidRPr="00755F22" w:rsidRDefault="00A9773A" w:rsidP="00831CA9">
          <w:pPr>
            <w:keepLines/>
            <w:jc w:val="center"/>
            <w:rPr>
              <w:sz w:val="20"/>
              <w:szCs w:val="20"/>
            </w:rPr>
          </w:pPr>
        </w:p>
        <w:p w:rsidR="00A9773A" w:rsidRPr="00755F22" w:rsidRDefault="00A9773A" w:rsidP="00831CA9">
          <w:pPr>
            <w:keepLines/>
            <w:tabs>
              <w:tab w:val="left" w:pos="-1440"/>
              <w:tab w:val="left" w:pos="-720"/>
            </w:tabs>
            <w:jc w:val="center"/>
            <w:rPr>
              <w:sz w:val="20"/>
              <w:szCs w:val="20"/>
            </w:rPr>
          </w:pPr>
        </w:p>
      </w:tc>
      <w:tc>
        <w:tcPr>
          <w:tcW w:w="4080" w:type="dxa"/>
          <w:tcMar>
            <w:left w:w="0" w:type="dxa"/>
            <w:right w:w="0" w:type="dxa"/>
          </w:tcMar>
        </w:tcPr>
        <w:p w:rsidR="00A9773A" w:rsidRPr="00BA6468" w:rsidRDefault="00A9773A" w:rsidP="00BA6468">
          <w:pPr>
            <w:keepLines/>
            <w:rPr>
              <w:sz w:val="20"/>
              <w:szCs w:val="20"/>
              <w:lang w:val="fr-CA"/>
            </w:rPr>
          </w:pPr>
          <w:r w:rsidRPr="00BA6468">
            <w:rPr>
              <w:sz w:val="20"/>
              <w:szCs w:val="20"/>
              <w:lang w:val="fr-CA"/>
            </w:rPr>
            <w:t>REQUÊTES</w:t>
          </w:r>
        </w:p>
      </w:tc>
    </w:tr>
  </w:tbl>
  <w:p w:rsidR="00A9773A" w:rsidRDefault="00A9773A"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A9773A">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9773A" w:rsidRPr="000536FB">
      <w:tc>
        <w:tcPr>
          <w:tcW w:w="4200" w:type="dxa"/>
          <w:tcMar>
            <w:left w:w="0" w:type="dxa"/>
            <w:right w:w="0" w:type="dxa"/>
          </w:tcMar>
        </w:tcPr>
        <w:p w:rsidR="00A9773A" w:rsidRDefault="00A977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A9773A" w:rsidRDefault="00A977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9773A" w:rsidRPr="00B01A03" w:rsidRDefault="00A977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A9773A" w:rsidRPr="00B01A03" w:rsidRDefault="00A97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9773A" w:rsidRPr="00B01A03" w:rsidRDefault="00A97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9773A" w:rsidRPr="000536FB" w:rsidTr="00245129">
      <w:tc>
        <w:tcPr>
          <w:tcW w:w="4200" w:type="dxa"/>
          <w:tcMar>
            <w:left w:w="0" w:type="dxa"/>
            <w:right w:w="0" w:type="dxa"/>
          </w:tcMar>
        </w:tcPr>
        <w:p w:rsidR="00A9773A" w:rsidRPr="00F40249" w:rsidRDefault="00A9773A"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A9773A" w:rsidRDefault="00A9773A" w:rsidP="00102926">
          <w:pPr>
            <w:keepNext/>
            <w:keepLines/>
            <w:tabs>
              <w:tab w:val="left" w:pos="-1440"/>
              <w:tab w:val="left" w:pos="-720"/>
            </w:tabs>
            <w:jc w:val="center"/>
            <w:rPr>
              <w:sz w:val="20"/>
              <w:szCs w:val="20"/>
            </w:rPr>
          </w:pPr>
        </w:p>
        <w:p w:rsidR="00A9773A" w:rsidRDefault="00A9773A" w:rsidP="00102926">
          <w:pPr>
            <w:keepNext/>
            <w:keepLines/>
            <w:tabs>
              <w:tab w:val="left" w:pos="-1440"/>
              <w:tab w:val="left" w:pos="-720"/>
            </w:tabs>
            <w:jc w:val="center"/>
            <w:rPr>
              <w:sz w:val="20"/>
              <w:szCs w:val="20"/>
            </w:rPr>
          </w:pPr>
        </w:p>
        <w:p w:rsidR="00A9773A" w:rsidRPr="00F40249" w:rsidRDefault="00A9773A" w:rsidP="00102926">
          <w:pPr>
            <w:keepNext/>
            <w:keepLines/>
            <w:tabs>
              <w:tab w:val="left" w:pos="-1440"/>
              <w:tab w:val="left" w:pos="-720"/>
            </w:tabs>
            <w:jc w:val="center"/>
            <w:rPr>
              <w:sz w:val="20"/>
              <w:szCs w:val="20"/>
            </w:rPr>
          </w:pPr>
        </w:p>
      </w:tc>
      <w:tc>
        <w:tcPr>
          <w:tcW w:w="4230" w:type="dxa"/>
          <w:tcMar>
            <w:left w:w="0" w:type="dxa"/>
            <w:right w:w="0" w:type="dxa"/>
          </w:tcMar>
        </w:tcPr>
        <w:p w:rsidR="00A9773A" w:rsidRPr="00F40249" w:rsidRDefault="00A9773A"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A9773A" w:rsidRPr="00B01A03" w:rsidRDefault="00A9773A"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A9773A">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A977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A977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A9773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A9773A" w:rsidRPr="0044776A" w:rsidTr="00245129">
      <w:tc>
        <w:tcPr>
          <w:tcW w:w="4290" w:type="dxa"/>
          <w:tcMar>
            <w:left w:w="0" w:type="dxa"/>
            <w:right w:w="0" w:type="dxa"/>
          </w:tcMar>
        </w:tcPr>
        <w:p w:rsidR="00A9773A" w:rsidRPr="0044776A" w:rsidRDefault="00A9773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9773A" w:rsidRPr="0044776A" w:rsidRDefault="00A9773A" w:rsidP="002E2327">
          <w:pPr>
            <w:keepNext/>
            <w:keepLines/>
            <w:tabs>
              <w:tab w:val="left" w:pos="-1440"/>
              <w:tab w:val="left" w:pos="-720"/>
            </w:tabs>
            <w:jc w:val="center"/>
            <w:rPr>
              <w:sz w:val="20"/>
              <w:szCs w:val="20"/>
            </w:rPr>
          </w:pPr>
        </w:p>
        <w:p w:rsidR="00A9773A" w:rsidRPr="0044776A" w:rsidRDefault="00A9773A" w:rsidP="002E2327">
          <w:pPr>
            <w:keepNext/>
            <w:keepLines/>
            <w:tabs>
              <w:tab w:val="left" w:pos="-1440"/>
              <w:tab w:val="left" w:pos="-720"/>
            </w:tabs>
            <w:jc w:val="center"/>
            <w:rPr>
              <w:sz w:val="20"/>
              <w:szCs w:val="20"/>
            </w:rPr>
          </w:pPr>
        </w:p>
        <w:p w:rsidR="00A9773A" w:rsidRPr="0044776A" w:rsidRDefault="00A9773A" w:rsidP="002E2327">
          <w:pPr>
            <w:keepNext/>
            <w:keepLines/>
            <w:tabs>
              <w:tab w:val="left" w:pos="-1440"/>
              <w:tab w:val="left" w:pos="-720"/>
            </w:tabs>
            <w:jc w:val="center"/>
            <w:rPr>
              <w:sz w:val="20"/>
              <w:szCs w:val="20"/>
            </w:rPr>
          </w:pPr>
        </w:p>
      </w:tc>
      <w:tc>
        <w:tcPr>
          <w:tcW w:w="4320" w:type="dxa"/>
          <w:tcMar>
            <w:left w:w="0" w:type="dxa"/>
            <w:right w:w="0" w:type="dxa"/>
          </w:tcMar>
        </w:tcPr>
        <w:p w:rsidR="00A9773A" w:rsidRPr="0044776A" w:rsidRDefault="00A9773A" w:rsidP="002E2327">
          <w:pPr>
            <w:keepLines/>
            <w:rPr>
              <w:sz w:val="20"/>
              <w:szCs w:val="20"/>
              <w:lang w:val="fr-CA"/>
            </w:rPr>
          </w:pPr>
          <w:r w:rsidRPr="0044776A">
            <w:rPr>
              <w:sz w:val="20"/>
              <w:szCs w:val="20"/>
              <w:lang w:val="fr-CA"/>
            </w:rPr>
            <w:t>DEMANDES D'AUTORISATION D'APPEL DÉPOSÉES</w:t>
          </w:r>
        </w:p>
      </w:tc>
    </w:tr>
  </w:tbl>
  <w:p w:rsidR="00A9773A" w:rsidRDefault="00A9773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A9773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9773A" w:rsidRPr="000536FB" w:rsidTr="00245129">
      <w:tc>
        <w:tcPr>
          <w:tcW w:w="4200" w:type="dxa"/>
          <w:tcMar>
            <w:left w:w="0" w:type="dxa"/>
            <w:right w:w="0" w:type="dxa"/>
          </w:tcMar>
        </w:tcPr>
        <w:p w:rsidR="00A9773A" w:rsidRPr="0044776A" w:rsidRDefault="00A9773A" w:rsidP="0044776A">
          <w:pPr>
            <w:keepNext/>
            <w:keepLines/>
            <w:widowControl w:val="0"/>
            <w:rPr>
              <w:sz w:val="20"/>
              <w:szCs w:val="20"/>
            </w:rPr>
          </w:pPr>
          <w:r>
            <w:rPr>
              <w:sz w:val="20"/>
              <w:szCs w:val="20"/>
            </w:rPr>
            <w:t>APPLICATIONS FOR LEAVE</w:t>
          </w:r>
        </w:p>
        <w:p w:rsidR="00A9773A" w:rsidRPr="0044776A" w:rsidRDefault="00A9773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9773A" w:rsidRPr="0044776A" w:rsidRDefault="00A9773A" w:rsidP="0044776A">
          <w:pPr>
            <w:keepNext/>
            <w:keepLines/>
            <w:widowControl w:val="0"/>
            <w:jc w:val="center"/>
            <w:rPr>
              <w:sz w:val="20"/>
              <w:szCs w:val="20"/>
            </w:rPr>
          </w:pPr>
        </w:p>
        <w:p w:rsidR="00A9773A" w:rsidRPr="0044776A" w:rsidRDefault="00A9773A" w:rsidP="0044776A">
          <w:pPr>
            <w:keepNext/>
            <w:keepLines/>
            <w:widowControl w:val="0"/>
            <w:jc w:val="center"/>
            <w:rPr>
              <w:sz w:val="20"/>
              <w:szCs w:val="20"/>
            </w:rPr>
          </w:pPr>
        </w:p>
        <w:p w:rsidR="00A9773A" w:rsidRPr="0044776A" w:rsidRDefault="00A9773A" w:rsidP="0044776A">
          <w:pPr>
            <w:keepNext/>
            <w:keepLines/>
            <w:widowControl w:val="0"/>
            <w:jc w:val="center"/>
            <w:rPr>
              <w:sz w:val="20"/>
              <w:szCs w:val="20"/>
            </w:rPr>
          </w:pPr>
        </w:p>
      </w:tc>
      <w:tc>
        <w:tcPr>
          <w:tcW w:w="4080" w:type="dxa"/>
          <w:tcMar>
            <w:left w:w="0" w:type="dxa"/>
            <w:right w:w="0" w:type="dxa"/>
          </w:tcMar>
        </w:tcPr>
        <w:p w:rsidR="00A9773A" w:rsidRPr="0044776A" w:rsidRDefault="00A9773A" w:rsidP="0044776A">
          <w:pPr>
            <w:keepLines/>
            <w:widowControl w:val="0"/>
            <w:rPr>
              <w:sz w:val="20"/>
              <w:szCs w:val="20"/>
              <w:lang w:val="fr-CA"/>
            </w:rPr>
          </w:pPr>
          <w:r w:rsidRPr="0044776A">
            <w:rPr>
              <w:sz w:val="20"/>
              <w:szCs w:val="20"/>
              <w:lang w:val="fr-CA"/>
            </w:rPr>
            <w:t>DEMANDES SOUMISES À LA COUR DEPUIS LA DERNIÈRE PARUTION</w:t>
          </w:r>
        </w:p>
        <w:p w:rsidR="00A9773A" w:rsidRPr="0044776A" w:rsidRDefault="00A9773A" w:rsidP="0044776A">
          <w:pPr>
            <w:widowControl w:val="0"/>
            <w:rPr>
              <w:sz w:val="20"/>
              <w:szCs w:val="20"/>
              <w:lang w:val="fr-CA"/>
            </w:rPr>
          </w:pPr>
        </w:p>
      </w:tc>
    </w:tr>
  </w:tbl>
  <w:p w:rsidR="00A9773A" w:rsidRPr="002E2327" w:rsidRDefault="00A9773A">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A" w:rsidRDefault="00A9773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9773A" w:rsidRPr="000536FB">
      <w:tc>
        <w:tcPr>
          <w:tcW w:w="4200" w:type="dxa"/>
          <w:tcMar>
            <w:left w:w="0" w:type="dxa"/>
            <w:right w:w="0" w:type="dxa"/>
          </w:tcMar>
        </w:tcPr>
        <w:p w:rsidR="00A9773A" w:rsidRDefault="00A977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9773A" w:rsidRDefault="00A977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9773A" w:rsidRDefault="00A977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9773A" w:rsidRPr="00FF6BA5" w:rsidRDefault="00A977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9773A" w:rsidRPr="00FF6BA5" w:rsidRDefault="00A97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9773A" w:rsidRPr="00FF6BA5" w:rsidRDefault="00A97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9773A" w:rsidRPr="00FF6BA5" w:rsidRDefault="00A97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9773A" w:rsidRPr="000536FB" w:rsidTr="00245129">
      <w:tc>
        <w:tcPr>
          <w:tcW w:w="4200" w:type="dxa"/>
          <w:tcMar>
            <w:left w:w="0" w:type="dxa"/>
            <w:right w:w="0" w:type="dxa"/>
          </w:tcMar>
        </w:tcPr>
        <w:p w:rsidR="00A9773A" w:rsidRPr="00755F22" w:rsidRDefault="00A977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9773A" w:rsidRPr="00755F22" w:rsidRDefault="00A977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9773A" w:rsidRPr="00755F22" w:rsidRDefault="00A9773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9773A" w:rsidRPr="00755F22" w:rsidRDefault="00A9773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9773A" w:rsidRPr="00755F22" w:rsidRDefault="00A9773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9773A" w:rsidRPr="00755F22" w:rsidRDefault="00A977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9773A" w:rsidRPr="00FF6BA5" w:rsidRDefault="00A9773A"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05657EC"/>
    <w:lvl w:ilvl="0">
      <w:start w:val="2"/>
      <w:numFmt w:val="decimal"/>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6FC2D9E"/>
    <w:multiLevelType w:val="hybridMultilevel"/>
    <w:tmpl w:val="73309CCE"/>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7419"/>
  </w:hdrShapeDefaults>
  <w:footnotePr>
    <w:footnote w:id="-1"/>
    <w:footnote w:id="0"/>
  </w:footnotePr>
  <w:endnotePr>
    <w:endnote w:id="-1"/>
    <w:endnote w:id="0"/>
  </w:endnotePr>
  <w:compat/>
  <w:rsids>
    <w:rsidRoot w:val="005A1D7B"/>
    <w:rsid w:val="0003223B"/>
    <w:rsid w:val="000327B2"/>
    <w:rsid w:val="000536FB"/>
    <w:rsid w:val="00096BD9"/>
    <w:rsid w:val="000B3C9A"/>
    <w:rsid w:val="000B40A2"/>
    <w:rsid w:val="000C0ACD"/>
    <w:rsid w:val="000C6D17"/>
    <w:rsid w:val="00102926"/>
    <w:rsid w:val="0010587F"/>
    <w:rsid w:val="00111503"/>
    <w:rsid w:val="00111C6B"/>
    <w:rsid w:val="0013369E"/>
    <w:rsid w:val="001545D7"/>
    <w:rsid w:val="00164E6D"/>
    <w:rsid w:val="00177474"/>
    <w:rsid w:val="001B5C23"/>
    <w:rsid w:val="001D0D5F"/>
    <w:rsid w:val="001D6B8C"/>
    <w:rsid w:val="001F1F83"/>
    <w:rsid w:val="002021A9"/>
    <w:rsid w:val="002139A7"/>
    <w:rsid w:val="00215F7C"/>
    <w:rsid w:val="0022323B"/>
    <w:rsid w:val="002410B8"/>
    <w:rsid w:val="00242AEE"/>
    <w:rsid w:val="00245129"/>
    <w:rsid w:val="00245879"/>
    <w:rsid w:val="00267FD5"/>
    <w:rsid w:val="002868D0"/>
    <w:rsid w:val="002B516C"/>
    <w:rsid w:val="002C528E"/>
    <w:rsid w:val="002D72EB"/>
    <w:rsid w:val="002E2327"/>
    <w:rsid w:val="002E3583"/>
    <w:rsid w:val="002E5576"/>
    <w:rsid w:val="002F641B"/>
    <w:rsid w:val="00331B52"/>
    <w:rsid w:val="003359D3"/>
    <w:rsid w:val="00355967"/>
    <w:rsid w:val="00366F6C"/>
    <w:rsid w:val="00382C47"/>
    <w:rsid w:val="00384384"/>
    <w:rsid w:val="003B3977"/>
    <w:rsid w:val="003C5612"/>
    <w:rsid w:val="003D4CA5"/>
    <w:rsid w:val="00432989"/>
    <w:rsid w:val="00440E24"/>
    <w:rsid w:val="0044776A"/>
    <w:rsid w:val="00460180"/>
    <w:rsid w:val="00460AFC"/>
    <w:rsid w:val="0047471F"/>
    <w:rsid w:val="004B66B4"/>
    <w:rsid w:val="004C1AAC"/>
    <w:rsid w:val="004F090E"/>
    <w:rsid w:val="00506A73"/>
    <w:rsid w:val="00527CC7"/>
    <w:rsid w:val="00543E90"/>
    <w:rsid w:val="0055458E"/>
    <w:rsid w:val="00560AD3"/>
    <w:rsid w:val="00571CA4"/>
    <w:rsid w:val="00582136"/>
    <w:rsid w:val="005A1D7B"/>
    <w:rsid w:val="005C6840"/>
    <w:rsid w:val="005F263E"/>
    <w:rsid w:val="00600252"/>
    <w:rsid w:val="00612A40"/>
    <w:rsid w:val="0065705A"/>
    <w:rsid w:val="00675479"/>
    <w:rsid w:val="00675A20"/>
    <w:rsid w:val="00697C62"/>
    <w:rsid w:val="006A329B"/>
    <w:rsid w:val="006A7EB8"/>
    <w:rsid w:val="006B0F6A"/>
    <w:rsid w:val="006B6926"/>
    <w:rsid w:val="006C3F47"/>
    <w:rsid w:val="006C5F7A"/>
    <w:rsid w:val="006D565A"/>
    <w:rsid w:val="006E06AF"/>
    <w:rsid w:val="006F350F"/>
    <w:rsid w:val="00732DB7"/>
    <w:rsid w:val="00755F22"/>
    <w:rsid w:val="00766E4A"/>
    <w:rsid w:val="007820CE"/>
    <w:rsid w:val="00782AE4"/>
    <w:rsid w:val="0079724F"/>
    <w:rsid w:val="007A3EAE"/>
    <w:rsid w:val="007C04FC"/>
    <w:rsid w:val="007D3E0F"/>
    <w:rsid w:val="007F387B"/>
    <w:rsid w:val="00802863"/>
    <w:rsid w:val="00815B3C"/>
    <w:rsid w:val="0082783A"/>
    <w:rsid w:val="00831CA9"/>
    <w:rsid w:val="00850E1F"/>
    <w:rsid w:val="00851D4F"/>
    <w:rsid w:val="0085476B"/>
    <w:rsid w:val="00857ADB"/>
    <w:rsid w:val="00890FEB"/>
    <w:rsid w:val="008D292F"/>
    <w:rsid w:val="008E03DC"/>
    <w:rsid w:val="00924065"/>
    <w:rsid w:val="00930D68"/>
    <w:rsid w:val="00932DB4"/>
    <w:rsid w:val="00946242"/>
    <w:rsid w:val="00947F3C"/>
    <w:rsid w:val="0095096B"/>
    <w:rsid w:val="00962192"/>
    <w:rsid w:val="00970CD3"/>
    <w:rsid w:val="009723FA"/>
    <w:rsid w:val="00984546"/>
    <w:rsid w:val="00996510"/>
    <w:rsid w:val="009D1F15"/>
    <w:rsid w:val="009D4205"/>
    <w:rsid w:val="009D555E"/>
    <w:rsid w:val="009D7417"/>
    <w:rsid w:val="009E364E"/>
    <w:rsid w:val="009E3BCE"/>
    <w:rsid w:val="00A0355E"/>
    <w:rsid w:val="00A23544"/>
    <w:rsid w:val="00A26742"/>
    <w:rsid w:val="00A272D2"/>
    <w:rsid w:val="00A375D1"/>
    <w:rsid w:val="00A439A3"/>
    <w:rsid w:val="00A51D10"/>
    <w:rsid w:val="00A52A83"/>
    <w:rsid w:val="00A87207"/>
    <w:rsid w:val="00A935AA"/>
    <w:rsid w:val="00A9773A"/>
    <w:rsid w:val="00AA4D55"/>
    <w:rsid w:val="00AB2201"/>
    <w:rsid w:val="00AC598D"/>
    <w:rsid w:val="00AE79C8"/>
    <w:rsid w:val="00AF1715"/>
    <w:rsid w:val="00AF3904"/>
    <w:rsid w:val="00B010C0"/>
    <w:rsid w:val="00B4740D"/>
    <w:rsid w:val="00B61629"/>
    <w:rsid w:val="00B7374B"/>
    <w:rsid w:val="00B90DC0"/>
    <w:rsid w:val="00BA116A"/>
    <w:rsid w:val="00BA5582"/>
    <w:rsid w:val="00BA6468"/>
    <w:rsid w:val="00BA7010"/>
    <w:rsid w:val="00BD06DA"/>
    <w:rsid w:val="00BD4217"/>
    <w:rsid w:val="00BF25F3"/>
    <w:rsid w:val="00C1697B"/>
    <w:rsid w:val="00C17A52"/>
    <w:rsid w:val="00C50A5C"/>
    <w:rsid w:val="00C50FDF"/>
    <w:rsid w:val="00C73E1B"/>
    <w:rsid w:val="00C759B4"/>
    <w:rsid w:val="00C77713"/>
    <w:rsid w:val="00CB43D5"/>
    <w:rsid w:val="00CC4D84"/>
    <w:rsid w:val="00CE5A15"/>
    <w:rsid w:val="00D01C35"/>
    <w:rsid w:val="00D64901"/>
    <w:rsid w:val="00D74243"/>
    <w:rsid w:val="00D76BDF"/>
    <w:rsid w:val="00D862C1"/>
    <w:rsid w:val="00D93B50"/>
    <w:rsid w:val="00D94670"/>
    <w:rsid w:val="00DA46F6"/>
    <w:rsid w:val="00DD0B49"/>
    <w:rsid w:val="00E06292"/>
    <w:rsid w:val="00E06DFA"/>
    <w:rsid w:val="00E356C7"/>
    <w:rsid w:val="00E44A63"/>
    <w:rsid w:val="00E64FA7"/>
    <w:rsid w:val="00E770CB"/>
    <w:rsid w:val="00E940EB"/>
    <w:rsid w:val="00EB2B90"/>
    <w:rsid w:val="00ED7E83"/>
    <w:rsid w:val="00EE5158"/>
    <w:rsid w:val="00EF4B63"/>
    <w:rsid w:val="00F0068D"/>
    <w:rsid w:val="00F0576D"/>
    <w:rsid w:val="00F14720"/>
    <w:rsid w:val="00F15EA8"/>
    <w:rsid w:val="00F16C8D"/>
    <w:rsid w:val="00F24E73"/>
    <w:rsid w:val="00F26C61"/>
    <w:rsid w:val="00F33CCE"/>
    <w:rsid w:val="00F40249"/>
    <w:rsid w:val="00F526C8"/>
    <w:rsid w:val="00F52BDF"/>
    <w:rsid w:val="00F9518C"/>
    <w:rsid w:val="00FA316E"/>
    <w:rsid w:val="00FA59EF"/>
    <w:rsid w:val="00FB19A2"/>
    <w:rsid w:val="00FE7EB1"/>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Level1">
    <w:name w:val="Level 1"/>
    <w:basedOn w:val="Normal"/>
    <w:rsid w:val="002C528E"/>
    <w:pPr>
      <w:widowControl w:val="0"/>
    </w:pPr>
    <w:rPr>
      <w:rFonts w:eastAsia="Times New Roman" w:cs="Times New Roman"/>
      <w:sz w:val="20"/>
      <w:szCs w:val="20"/>
      <w:lang w:val="en-US" w:eastAsia="en-CA"/>
    </w:rPr>
  </w:style>
  <w:style w:type="paragraph" w:customStyle="1" w:styleId="SCCLsocParty">
    <w:name w:val="SCC.Lsoc.Party"/>
    <w:basedOn w:val="Normal"/>
    <w:next w:val="Normal"/>
    <w:link w:val="SCCLsocPartyChar"/>
    <w:rsid w:val="00EE5158"/>
    <w:pPr>
      <w:jc w:val="center"/>
    </w:pPr>
    <w:rPr>
      <w:rFonts w:eastAsia="Calibri" w:cs="Times New Roman"/>
      <w:lang w:val="fr-CA"/>
    </w:rPr>
  </w:style>
  <w:style w:type="character" w:customStyle="1" w:styleId="SCCLsocPartyChar">
    <w:name w:val="SCC.Lsoc.Party Char"/>
    <w:basedOn w:val="DefaultParagraphFont"/>
    <w:link w:val="SCCLsocParty"/>
    <w:rsid w:val="00EE5158"/>
    <w:rPr>
      <w:rFonts w:eastAsia="Calibri" w:cs="Times New Roman"/>
      <w:lang w:val="fr-CA"/>
    </w:rPr>
  </w:style>
  <w:style w:type="paragraph" w:customStyle="1" w:styleId="SCCFileNumber">
    <w:name w:val="SCC.FileNumber"/>
    <w:basedOn w:val="Normal"/>
    <w:next w:val="Normal"/>
    <w:link w:val="SCCFileNumberChar"/>
    <w:rsid w:val="00EE5158"/>
    <w:pPr>
      <w:jc w:val="both"/>
    </w:pPr>
    <w:rPr>
      <w:rFonts w:eastAsia="Calibri" w:cs="Times New Roman"/>
      <w:b/>
    </w:rPr>
  </w:style>
  <w:style w:type="character" w:customStyle="1" w:styleId="SCCFileNumberChar">
    <w:name w:val="SCC.FileNumber Char"/>
    <w:basedOn w:val="DefaultParagraphFont"/>
    <w:link w:val="SCCFileNumber"/>
    <w:rsid w:val="00EE5158"/>
    <w:rPr>
      <w:rFonts w:eastAsia="Calibri" w:cs="Times New Roman"/>
      <w:b/>
      <w:lang w:val="en-CA"/>
    </w:rPr>
  </w:style>
  <w:style w:type="paragraph" w:customStyle="1" w:styleId="SCCBanSummary">
    <w:name w:val="SCC.BanSummary"/>
    <w:basedOn w:val="Normal"/>
    <w:next w:val="Normal"/>
    <w:link w:val="SCCBanSummaryChar"/>
    <w:uiPriority w:val="99"/>
    <w:rsid w:val="00BA7010"/>
    <w:pPr>
      <w:jc w:val="both"/>
    </w:pPr>
    <w:rPr>
      <w:rFonts w:eastAsia="Calibri" w:cs="Times New Roman"/>
      <w:smallCaps/>
    </w:rPr>
  </w:style>
  <w:style w:type="character" w:customStyle="1" w:styleId="SCCBanSummaryChar">
    <w:name w:val="SCC.BanSummary Char"/>
    <w:basedOn w:val="DefaultParagraphFont"/>
    <w:link w:val="SCCBanSummary"/>
    <w:uiPriority w:val="99"/>
    <w:rsid w:val="00BA7010"/>
    <w:rPr>
      <w:rFonts w:eastAsia="Calibri" w:cs="Times New Roman"/>
      <w:smallCaps/>
      <w:lang w:val="en-CA"/>
    </w:rPr>
  </w:style>
  <w:style w:type="paragraph" w:customStyle="1" w:styleId="loose">
    <w:name w:val="loose"/>
    <w:basedOn w:val="Normal"/>
    <w:rsid w:val="00AC598D"/>
    <w:pPr>
      <w:spacing w:before="150"/>
    </w:pPr>
    <w:rPr>
      <w:rFonts w:eastAsia="Times New Roman" w:cs="Times New Roman"/>
      <w:szCs w:val="24"/>
      <w:lang w:val="en-US"/>
    </w:rPr>
  </w:style>
  <w:style w:type="table" w:customStyle="1" w:styleId="TableGrid1">
    <w:name w:val="Table Grid1"/>
    <w:basedOn w:val="TableNormal"/>
    <w:next w:val="TableGrid"/>
    <w:uiPriority w:val="59"/>
    <w:rsid w:val="009D7417"/>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74243"/>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0629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D565A"/>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D565A"/>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D565A"/>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6219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6219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17A5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A2674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9724</Words>
  <Characters>55429</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2011-07-11T17:05:00Z</dcterms:created>
  <dcterms:modified xsi:type="dcterms:W3CDTF">2011-07-11T17:05:00Z</dcterms:modified>
</cp:coreProperties>
</file>