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Default Extension="wmf" ContentType="image/x-wmf"/>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3" w:rsidRPr="002E2327" w:rsidRDefault="00382C47">
      <w:r w:rsidRPr="002E2327">
        <w:rPr>
          <w:noProof/>
          <w:lang w:eastAsia="en-CA"/>
        </w:rPr>
        <w:drawing>
          <wp:anchor distT="57150" distB="57150" distL="57150" distR="57150" simplePos="0" relativeHeight="251659264" behindDoc="0" locked="0" layoutInCell="0" allowOverlap="1">
            <wp:simplePos x="0" y="0"/>
            <wp:positionH relativeFrom="margin">
              <wp:align>center</wp:align>
            </wp:positionH>
            <wp:positionV relativeFrom="margin">
              <wp:posOffset>133350</wp:posOffset>
            </wp:positionV>
            <wp:extent cx="1276350" cy="16668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76350" cy="1666875"/>
                    </a:xfrm>
                    <a:prstGeom prst="rect">
                      <a:avLst/>
                    </a:prstGeom>
                    <a:noFill/>
                    <a:ln w="9525">
                      <a:noFill/>
                      <a:miter lim="800000"/>
                      <a:headEnd/>
                      <a:tailEnd/>
                    </a:ln>
                  </pic:spPr>
                </pic:pic>
              </a:graphicData>
            </a:graphic>
          </wp:anchor>
        </w:drawing>
      </w:r>
    </w:p>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384384" w:rsidRPr="002E2327" w:rsidRDefault="00BF25F3" w:rsidP="00BF25F3">
      <w:pPr>
        <w:tabs>
          <w:tab w:val="left" w:pos="6075"/>
        </w:tabs>
      </w:pPr>
      <w:r w:rsidRPr="002E2327">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630"/>
        <w:gridCol w:w="4428"/>
      </w:tblGrid>
      <w:tr w:rsidR="00BF25F3" w:rsidRPr="002E2327" w:rsidTr="002E5576">
        <w:tc>
          <w:tcPr>
            <w:tcW w:w="4518" w:type="dxa"/>
          </w:tcPr>
          <w:p w:rsidR="00BF25F3" w:rsidRPr="002E2327" w:rsidRDefault="00BF25F3" w:rsidP="00BF25F3">
            <w:pPr>
              <w:tabs>
                <w:tab w:val="left" w:pos="6075"/>
              </w:tabs>
              <w:jc w:val="center"/>
              <w:rPr>
                <w:b/>
                <w:sz w:val="32"/>
                <w:szCs w:val="32"/>
              </w:rPr>
            </w:pPr>
            <w:r w:rsidRPr="002E2327">
              <w:rPr>
                <w:b/>
                <w:sz w:val="32"/>
                <w:szCs w:val="32"/>
              </w:rPr>
              <w:t>SUPREME COURT OF CANADA</w:t>
            </w:r>
          </w:p>
        </w:tc>
        <w:tc>
          <w:tcPr>
            <w:tcW w:w="630" w:type="dxa"/>
          </w:tcPr>
          <w:p w:rsidR="00BF25F3" w:rsidRPr="002E2327" w:rsidRDefault="00BF25F3" w:rsidP="00BF25F3">
            <w:pPr>
              <w:tabs>
                <w:tab w:val="left" w:pos="6075"/>
              </w:tabs>
              <w:jc w:val="center"/>
              <w:rPr>
                <w:sz w:val="32"/>
                <w:szCs w:val="32"/>
              </w:rPr>
            </w:pPr>
          </w:p>
        </w:tc>
        <w:tc>
          <w:tcPr>
            <w:tcW w:w="4428" w:type="dxa"/>
          </w:tcPr>
          <w:p w:rsidR="00BF25F3" w:rsidRPr="002E2327" w:rsidRDefault="00BF25F3" w:rsidP="00BF25F3">
            <w:pPr>
              <w:tabs>
                <w:tab w:val="left" w:pos="6075"/>
              </w:tabs>
              <w:jc w:val="center"/>
              <w:rPr>
                <w:b/>
                <w:sz w:val="32"/>
                <w:szCs w:val="32"/>
                <w:lang w:val="fr-CA"/>
              </w:rPr>
            </w:pPr>
            <w:r w:rsidRPr="002E2327">
              <w:rPr>
                <w:b/>
                <w:sz w:val="32"/>
                <w:szCs w:val="32"/>
                <w:lang w:val="fr-CA"/>
              </w:rPr>
              <w:t>COUR SUPRÊME DU CANADA</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2E2327" w:rsidTr="002E5576">
        <w:tc>
          <w:tcPr>
            <w:tcW w:w="4518" w:type="dxa"/>
          </w:tcPr>
          <w:p w:rsidR="001B5C23" w:rsidRPr="002E2327" w:rsidRDefault="00BF25F3" w:rsidP="00BF25F3">
            <w:pPr>
              <w:tabs>
                <w:tab w:val="left" w:pos="6075"/>
              </w:tabs>
              <w:jc w:val="center"/>
              <w:rPr>
                <w:sz w:val="28"/>
                <w:szCs w:val="28"/>
              </w:rPr>
            </w:pPr>
            <w:r w:rsidRPr="002E2327">
              <w:rPr>
                <w:sz w:val="28"/>
                <w:szCs w:val="28"/>
              </w:rPr>
              <w:t>BULLETIN OF</w:t>
            </w:r>
          </w:p>
          <w:p w:rsidR="00BF25F3" w:rsidRPr="002E2327" w:rsidRDefault="00BF25F3" w:rsidP="00BF25F3">
            <w:pPr>
              <w:tabs>
                <w:tab w:val="left" w:pos="6075"/>
              </w:tabs>
              <w:jc w:val="center"/>
              <w:rPr>
                <w:sz w:val="28"/>
                <w:szCs w:val="28"/>
              </w:rPr>
            </w:pPr>
            <w:r w:rsidRPr="002E2327">
              <w:rPr>
                <w:sz w:val="28"/>
                <w:szCs w:val="28"/>
              </w:rPr>
              <w:t xml:space="preserve"> PROCEEDINGS</w:t>
            </w:r>
          </w:p>
        </w:tc>
        <w:tc>
          <w:tcPr>
            <w:tcW w:w="630" w:type="dxa"/>
          </w:tcPr>
          <w:p w:rsidR="00BF25F3" w:rsidRPr="002E2327" w:rsidRDefault="00BF25F3" w:rsidP="00BF25F3">
            <w:pPr>
              <w:tabs>
                <w:tab w:val="left" w:pos="6075"/>
              </w:tabs>
            </w:pPr>
          </w:p>
        </w:tc>
        <w:tc>
          <w:tcPr>
            <w:tcW w:w="4428" w:type="dxa"/>
          </w:tcPr>
          <w:p w:rsidR="001B5C23" w:rsidRPr="002E2327" w:rsidRDefault="00BF25F3" w:rsidP="00BF25F3">
            <w:pPr>
              <w:tabs>
                <w:tab w:val="left" w:pos="6075"/>
              </w:tabs>
              <w:jc w:val="center"/>
              <w:rPr>
                <w:sz w:val="28"/>
                <w:szCs w:val="28"/>
                <w:lang w:val="fr-CA"/>
              </w:rPr>
            </w:pPr>
            <w:r w:rsidRPr="002E2327">
              <w:rPr>
                <w:sz w:val="28"/>
                <w:szCs w:val="28"/>
                <w:lang w:val="fr-CA"/>
              </w:rPr>
              <w:t>BULLETIN DES</w:t>
            </w:r>
          </w:p>
          <w:p w:rsidR="00BF25F3" w:rsidRPr="002E2327" w:rsidRDefault="00BF25F3" w:rsidP="00BF25F3">
            <w:pPr>
              <w:tabs>
                <w:tab w:val="left" w:pos="6075"/>
              </w:tabs>
              <w:jc w:val="center"/>
              <w:rPr>
                <w:sz w:val="28"/>
                <w:szCs w:val="28"/>
                <w:lang w:val="fr-CA"/>
              </w:rPr>
            </w:pPr>
            <w:r w:rsidRPr="002E2327">
              <w:rPr>
                <w:sz w:val="28"/>
                <w:szCs w:val="28"/>
                <w:lang w:val="fr-CA"/>
              </w:rPr>
              <w:t xml:space="preserve"> PROCÉDURES</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291AC9" w:rsidTr="002E5576">
        <w:tc>
          <w:tcPr>
            <w:tcW w:w="4518" w:type="dxa"/>
          </w:tcPr>
          <w:p w:rsidR="00BF25F3" w:rsidRPr="002E2327" w:rsidRDefault="00BF25F3" w:rsidP="00BF25F3">
            <w:pPr>
              <w:tabs>
                <w:tab w:val="left" w:pos="6075"/>
              </w:tabs>
              <w:jc w:val="both"/>
              <w:rPr>
                <w:rFonts w:ascii="Arial" w:hAnsi="Arial" w:cs="Arial"/>
                <w:i/>
                <w:sz w:val="20"/>
                <w:szCs w:val="20"/>
              </w:rPr>
            </w:pPr>
            <w:r w:rsidRPr="002E2327">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BF25F3" w:rsidRPr="00291AC9"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291AC9" w:rsidTr="002E5576">
        <w:tc>
          <w:tcPr>
            <w:tcW w:w="4518" w:type="dxa"/>
          </w:tcPr>
          <w:p w:rsidR="00BF25F3" w:rsidRPr="002E2327" w:rsidRDefault="00BF25F3" w:rsidP="00BF25F3">
            <w:pPr>
              <w:tabs>
                <w:tab w:val="left" w:pos="6075"/>
              </w:tabs>
              <w:jc w:val="both"/>
              <w:rPr>
                <w:rFonts w:ascii="Arial" w:hAnsi="Arial" w:cs="Arial"/>
                <w:i/>
                <w:sz w:val="20"/>
                <w:szCs w:val="20"/>
              </w:rPr>
            </w:pPr>
            <w:r w:rsidRPr="002E2327">
              <w:rPr>
                <w:rFonts w:ascii="Arial" w:hAnsi="Arial" w:cs="Arial"/>
                <w:i/>
                <w:sz w:val="20"/>
                <w:szCs w:val="20"/>
              </w:rPr>
              <w:t>Subscriptions may be had at $300 per year, payable in advance, in accordance with the Court tariff.  During Court sessions it is usually issued weekly.</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Le prix de l'abonnement, fixé dans le tarif de la Cour, est de 300 $ l'an, payable d'avance.  Le Bulletin paraît en principe toutes les semaines pendant les sessions de la Cour.</w:t>
            </w:r>
          </w:p>
        </w:tc>
      </w:tr>
      <w:tr w:rsidR="00BF25F3" w:rsidRPr="00291AC9"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291AC9" w:rsidTr="002E5576">
        <w:tc>
          <w:tcPr>
            <w:tcW w:w="4518" w:type="dxa"/>
          </w:tcPr>
          <w:p w:rsidR="00BF25F3" w:rsidRPr="002E2327" w:rsidRDefault="004D20D2" w:rsidP="00BF25F3">
            <w:pPr>
              <w:tabs>
                <w:tab w:val="left" w:pos="6075"/>
              </w:tabs>
              <w:jc w:val="both"/>
              <w:rPr>
                <w:rFonts w:ascii="Arial" w:hAnsi="Arial" w:cs="Arial"/>
                <w:i/>
                <w:sz w:val="20"/>
                <w:szCs w:val="20"/>
              </w:rPr>
            </w:pPr>
            <w:r w:rsidRPr="002E2327">
              <w:rPr>
                <w:rFonts w:ascii="Arial" w:hAnsi="Arial" w:cs="Arial"/>
                <w:i/>
                <w:sz w:val="20"/>
                <w:szCs w:val="20"/>
              </w:rPr>
              <w:fldChar w:fldCharType="begin"/>
            </w:r>
            <w:r w:rsidR="00BF25F3" w:rsidRPr="002E2327">
              <w:rPr>
                <w:rFonts w:ascii="Arial" w:hAnsi="Arial" w:cs="Arial"/>
                <w:i/>
                <w:sz w:val="20"/>
                <w:szCs w:val="20"/>
              </w:rPr>
              <w:instrText xml:space="preserve"> SEQ CHAPTER \h \r 1</w:instrText>
            </w:r>
            <w:r w:rsidRPr="002E2327">
              <w:rPr>
                <w:rFonts w:ascii="Arial" w:hAnsi="Arial" w:cs="Arial"/>
                <w:i/>
                <w:sz w:val="20"/>
                <w:szCs w:val="20"/>
              </w:rPr>
              <w:fldChar w:fldCharType="end"/>
            </w:r>
            <w:r w:rsidR="00BF25F3" w:rsidRPr="002E2327">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4D20D2"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fldChar w:fldCharType="begin"/>
            </w:r>
            <w:r w:rsidR="00BF25F3" w:rsidRPr="002E2327">
              <w:rPr>
                <w:rFonts w:ascii="Arial" w:hAnsi="Arial" w:cs="Arial"/>
                <w:i/>
                <w:sz w:val="20"/>
                <w:szCs w:val="20"/>
                <w:lang w:val="fr-CA"/>
              </w:rPr>
              <w:instrText xml:space="preserve"> SEQ CHAPTER \h \r 1</w:instrText>
            </w:r>
            <w:r w:rsidRPr="002E2327">
              <w:rPr>
                <w:rFonts w:ascii="Arial" w:hAnsi="Arial" w:cs="Arial"/>
                <w:i/>
                <w:sz w:val="20"/>
                <w:szCs w:val="20"/>
                <w:lang w:val="fr-CA"/>
              </w:rPr>
              <w:fldChar w:fldCharType="end"/>
            </w:r>
            <w:r w:rsidR="00BF25F3" w:rsidRPr="002E2327">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bl>
    <w:p w:rsidR="00BF25F3" w:rsidRPr="00675479" w:rsidRDefault="00BF25F3" w:rsidP="00BF25F3">
      <w:pPr>
        <w:tabs>
          <w:tab w:val="left" w:pos="6075"/>
        </w:tabs>
        <w:rPr>
          <w:lang w:val="fr-CA"/>
        </w:rPr>
      </w:pPr>
    </w:p>
    <w:p w:rsidR="00600252" w:rsidRPr="00675479" w:rsidRDefault="00600252" w:rsidP="00BF25F3">
      <w:pPr>
        <w:pBdr>
          <w:bottom w:val="single" w:sz="6" w:space="1" w:color="auto"/>
        </w:pBdr>
        <w:tabs>
          <w:tab w:val="left" w:pos="6075"/>
        </w:tabs>
        <w:rPr>
          <w:lang w:val="fr-CA"/>
        </w:rPr>
      </w:pPr>
    </w:p>
    <w:p w:rsidR="00440E24" w:rsidRPr="00675479" w:rsidRDefault="00440E24" w:rsidP="00440E24">
      <w:pPr>
        <w:pBdr>
          <w:bottom w:val="single" w:sz="6" w:space="1" w:color="auto"/>
        </w:pBdr>
        <w:tabs>
          <w:tab w:val="left" w:pos="6075"/>
        </w:tabs>
        <w:rPr>
          <w:lang w:val="fr-CA"/>
        </w:rPr>
      </w:pPr>
    </w:p>
    <w:p w:rsidR="00440E24" w:rsidRPr="00675479" w:rsidRDefault="00440E24" w:rsidP="00440E24">
      <w:pPr>
        <w:rPr>
          <w:lang w:val="fr-CA"/>
        </w:rPr>
      </w:pPr>
    </w:p>
    <w:p w:rsidR="00600252" w:rsidRPr="00675479" w:rsidRDefault="009C22C6" w:rsidP="00F0068D">
      <w:pPr>
        <w:pBdr>
          <w:bottom w:val="single" w:sz="6" w:space="1" w:color="auto"/>
        </w:pBdr>
        <w:tabs>
          <w:tab w:val="center" w:pos="4680"/>
          <w:tab w:val="right" w:pos="9360"/>
        </w:tabs>
        <w:rPr>
          <w:lang w:val="fr-CA"/>
        </w:rPr>
      </w:pPr>
      <w:r>
        <w:rPr>
          <w:lang w:val="fr-CA"/>
        </w:rPr>
        <w:t>July</w:t>
      </w:r>
      <w:r w:rsidR="00440E24" w:rsidRPr="00675479">
        <w:rPr>
          <w:lang w:val="fr-CA"/>
        </w:rPr>
        <w:t xml:space="preserve"> 2</w:t>
      </w:r>
      <w:r>
        <w:rPr>
          <w:lang w:val="fr-CA"/>
        </w:rPr>
        <w:t>9</w:t>
      </w:r>
      <w:r w:rsidR="00440E24" w:rsidRPr="00675479">
        <w:rPr>
          <w:lang w:val="fr-CA"/>
        </w:rPr>
        <w:t>, 201</w:t>
      </w:r>
      <w:r w:rsidR="003359D3">
        <w:rPr>
          <w:lang w:val="fr-CA"/>
        </w:rPr>
        <w:t>1</w:t>
      </w:r>
      <w:r w:rsidR="00F0068D" w:rsidRPr="00675479">
        <w:rPr>
          <w:lang w:val="fr-CA"/>
        </w:rPr>
        <w:tab/>
        <w:t>1</w:t>
      </w:r>
      <w:r>
        <w:rPr>
          <w:lang w:val="fr-CA"/>
        </w:rPr>
        <w:t>133</w:t>
      </w:r>
      <w:r w:rsidR="00F0068D" w:rsidRPr="00675479">
        <w:rPr>
          <w:lang w:val="fr-CA"/>
        </w:rPr>
        <w:t xml:space="preserve"> - </w:t>
      </w:r>
      <w:r w:rsidR="00A73E83">
        <w:rPr>
          <w:lang w:val="fr-CA"/>
        </w:rPr>
        <w:t>1168</w:t>
      </w:r>
      <w:r w:rsidR="00440E24" w:rsidRPr="00675479">
        <w:rPr>
          <w:lang w:val="fr-CA"/>
        </w:rPr>
        <w:tab/>
      </w:r>
      <w:r w:rsidR="00440E24" w:rsidRPr="002E2327">
        <w:rPr>
          <w:lang w:val="fr-CA"/>
        </w:rPr>
        <w:t>Le 2</w:t>
      </w:r>
      <w:r>
        <w:rPr>
          <w:lang w:val="fr-CA"/>
        </w:rPr>
        <w:t>9 juillet</w:t>
      </w:r>
      <w:r w:rsidR="00440E24" w:rsidRPr="002E2327">
        <w:rPr>
          <w:lang w:val="fr-CA"/>
        </w:rPr>
        <w:t xml:space="preserve"> 201</w:t>
      </w:r>
      <w:r w:rsidR="003359D3">
        <w:rPr>
          <w:lang w:val="fr-CA"/>
        </w:rPr>
        <w:t>1</w:t>
      </w:r>
    </w:p>
    <w:p w:rsidR="00440E24" w:rsidRPr="00675479" w:rsidRDefault="00440E24" w:rsidP="00440E24">
      <w:pPr>
        <w:pBdr>
          <w:bottom w:val="single" w:sz="6" w:space="1" w:color="auto"/>
        </w:pBdr>
        <w:tabs>
          <w:tab w:val="right" w:pos="9360"/>
        </w:tabs>
        <w:rPr>
          <w:lang w:val="fr-CA"/>
        </w:rPr>
      </w:pPr>
    </w:p>
    <w:p w:rsidR="00440E24" w:rsidRPr="007F387B" w:rsidRDefault="00440E24" w:rsidP="00440E24">
      <w:pPr>
        <w:pBdr>
          <w:bottom w:val="single" w:sz="6" w:space="1" w:color="auto"/>
        </w:pBdr>
        <w:tabs>
          <w:tab w:val="right" w:pos="9360"/>
        </w:tabs>
        <w:rPr>
          <w:sz w:val="18"/>
          <w:szCs w:val="18"/>
          <w:lang w:val="fr-CA"/>
        </w:rPr>
      </w:pPr>
      <w:r w:rsidRPr="007F387B">
        <w:rPr>
          <w:sz w:val="18"/>
          <w:szCs w:val="18"/>
          <w:lang w:val="fr-CA"/>
        </w:rPr>
        <w:t>© Supreme Court of Canada (201</w:t>
      </w:r>
      <w:r w:rsidR="00D94670" w:rsidRPr="007F387B">
        <w:rPr>
          <w:sz w:val="18"/>
          <w:szCs w:val="18"/>
          <w:lang w:val="fr-CA"/>
        </w:rPr>
        <w:t>1</w:t>
      </w:r>
      <w:r w:rsidRPr="007F387B">
        <w:rPr>
          <w:sz w:val="18"/>
          <w:szCs w:val="18"/>
          <w:lang w:val="fr-CA"/>
        </w:rPr>
        <w:t>)</w:t>
      </w:r>
      <w:r w:rsidRPr="007F387B">
        <w:rPr>
          <w:sz w:val="18"/>
          <w:szCs w:val="18"/>
          <w:lang w:val="fr-CA"/>
        </w:rPr>
        <w:tab/>
        <w:t>© Cour suprême du Canada (201</w:t>
      </w:r>
      <w:r w:rsidR="00D94670" w:rsidRPr="007F387B">
        <w:rPr>
          <w:sz w:val="18"/>
          <w:szCs w:val="18"/>
          <w:lang w:val="fr-CA"/>
        </w:rPr>
        <w:t>1</w:t>
      </w:r>
      <w:r w:rsidRPr="007F387B">
        <w:rPr>
          <w:sz w:val="18"/>
          <w:szCs w:val="18"/>
          <w:lang w:val="fr-CA"/>
        </w:rPr>
        <w:t>)</w:t>
      </w:r>
    </w:p>
    <w:p w:rsidR="00440E24" w:rsidRPr="00675479" w:rsidRDefault="00440E24" w:rsidP="00440E24">
      <w:pPr>
        <w:pBdr>
          <w:bottom w:val="single" w:sz="6" w:space="1" w:color="auto"/>
        </w:pBdr>
        <w:tabs>
          <w:tab w:val="right" w:pos="9360"/>
        </w:tabs>
        <w:rPr>
          <w:sz w:val="18"/>
          <w:szCs w:val="18"/>
          <w:lang w:val="fr-CA"/>
        </w:rPr>
      </w:pPr>
      <w:r w:rsidRPr="00675479">
        <w:rPr>
          <w:sz w:val="18"/>
          <w:szCs w:val="18"/>
          <w:lang w:val="fr-CA"/>
        </w:rPr>
        <w:t>ISSN 1193-8536 (Print)</w:t>
      </w:r>
      <w:r w:rsidRPr="00675479">
        <w:rPr>
          <w:sz w:val="18"/>
          <w:szCs w:val="18"/>
          <w:lang w:val="fr-CA"/>
        </w:rPr>
        <w:tab/>
        <w:t>ISSN 1193-8536 (</w:t>
      </w:r>
      <w:r w:rsidRPr="002E2327">
        <w:rPr>
          <w:sz w:val="18"/>
          <w:szCs w:val="18"/>
          <w:lang w:val="fr-CA"/>
        </w:rPr>
        <w:t>Imprimé</w:t>
      </w:r>
      <w:r w:rsidRPr="00675479">
        <w:rPr>
          <w:sz w:val="18"/>
          <w:szCs w:val="18"/>
          <w:lang w:val="fr-CA"/>
        </w:rPr>
        <w:t>)</w:t>
      </w:r>
    </w:p>
    <w:p w:rsidR="00440E24" w:rsidRPr="00675479" w:rsidRDefault="00440E24" w:rsidP="00440E24">
      <w:pPr>
        <w:pBdr>
          <w:bottom w:val="single" w:sz="6" w:space="1" w:color="auto"/>
        </w:pBdr>
        <w:tabs>
          <w:tab w:val="right" w:pos="9360"/>
        </w:tabs>
        <w:rPr>
          <w:sz w:val="18"/>
          <w:szCs w:val="18"/>
          <w:lang w:val="fr-CA"/>
        </w:rPr>
      </w:pPr>
      <w:r w:rsidRPr="00675479">
        <w:rPr>
          <w:sz w:val="18"/>
          <w:szCs w:val="18"/>
          <w:lang w:val="fr-CA"/>
        </w:rPr>
        <w:t>ISSN 1918-8358 (Online)</w:t>
      </w:r>
      <w:r w:rsidRPr="00675479">
        <w:rPr>
          <w:sz w:val="18"/>
          <w:szCs w:val="18"/>
          <w:lang w:val="fr-CA"/>
        </w:rPr>
        <w:tab/>
        <w:t xml:space="preserve">ISSN 1918-8358 (En </w:t>
      </w:r>
      <w:r w:rsidRPr="002E2327">
        <w:rPr>
          <w:sz w:val="18"/>
          <w:szCs w:val="18"/>
          <w:lang w:val="fr-CA"/>
        </w:rPr>
        <w:t>ligne</w:t>
      </w:r>
      <w:r w:rsidRPr="00675479">
        <w:rPr>
          <w:sz w:val="18"/>
          <w:szCs w:val="18"/>
          <w:lang w:val="fr-CA"/>
        </w:rPr>
        <w:t>)</w:t>
      </w:r>
    </w:p>
    <w:p w:rsidR="00600252" w:rsidRPr="00675479" w:rsidRDefault="00600252" w:rsidP="00BF25F3">
      <w:pPr>
        <w:pBdr>
          <w:bottom w:val="single" w:sz="6" w:space="1" w:color="auto"/>
        </w:pBdr>
        <w:tabs>
          <w:tab w:val="left" w:pos="6075"/>
        </w:tabs>
        <w:rPr>
          <w:lang w:val="fr-CA"/>
        </w:rPr>
      </w:pPr>
    </w:p>
    <w:p w:rsidR="00600252" w:rsidRPr="00675479" w:rsidRDefault="00600252">
      <w:pPr>
        <w:rPr>
          <w:lang w:val="fr-CA"/>
        </w:rPr>
      </w:pPr>
      <w:r w:rsidRPr="00675479">
        <w:rPr>
          <w:lang w:val="fr-CA"/>
        </w:rPr>
        <w:br w:type="page"/>
      </w:r>
    </w:p>
    <w:tbl>
      <w:tblPr>
        <w:tblW w:w="9540" w:type="dxa"/>
        <w:tblInd w:w="-90" w:type="dxa"/>
        <w:tblBorders>
          <w:bottom w:val="single" w:sz="8" w:space="0" w:color="auto"/>
        </w:tblBorders>
        <w:tblLayout w:type="fixed"/>
        <w:tblCellMar>
          <w:left w:w="0" w:type="dxa"/>
          <w:right w:w="0" w:type="dxa"/>
        </w:tblCellMar>
        <w:tblLook w:val="0000"/>
      </w:tblPr>
      <w:tblGrid>
        <w:gridCol w:w="4290"/>
        <w:gridCol w:w="1200"/>
        <w:gridCol w:w="4050"/>
      </w:tblGrid>
      <w:tr w:rsidR="00245129" w:rsidRPr="002E2327" w:rsidTr="00245129">
        <w:tc>
          <w:tcPr>
            <w:tcW w:w="4290" w:type="dxa"/>
            <w:shd w:val="clear" w:color="auto" w:fill="auto"/>
            <w:tcMar>
              <w:left w:w="0" w:type="dxa"/>
              <w:right w:w="0" w:type="dxa"/>
            </w:tcMar>
          </w:tcPr>
          <w:p w:rsidR="00245129" w:rsidRPr="002E2327" w:rsidRDefault="00245129" w:rsidP="00245129">
            <w:pPr>
              <w:jc w:val="both"/>
              <w:rPr>
                <w:rFonts w:eastAsia="Times New Roman" w:cs="Times New Roman"/>
                <w:b/>
                <w:sz w:val="20"/>
                <w:szCs w:val="20"/>
                <w:lang w:eastAsia="en-CA"/>
              </w:rPr>
            </w:pPr>
            <w:r w:rsidRPr="002E2327">
              <w:rPr>
                <w:b/>
              </w:rPr>
              <w:lastRenderedPageBreak/>
              <w:t>CONTENTS</w:t>
            </w:r>
          </w:p>
        </w:tc>
        <w:tc>
          <w:tcPr>
            <w:tcW w:w="1200" w:type="dxa"/>
            <w:shd w:val="clear" w:color="auto" w:fill="auto"/>
            <w:tcMar>
              <w:left w:w="0" w:type="dxa"/>
              <w:right w:w="0" w:type="dxa"/>
            </w:tcMar>
          </w:tcPr>
          <w:p w:rsidR="00245129" w:rsidRPr="002E2327" w:rsidRDefault="00245129" w:rsidP="00245129">
            <w:pPr>
              <w:jc w:val="center"/>
              <w:rPr>
                <w:rFonts w:eastAsia="Times New Roman" w:cs="Times New Roman"/>
                <w:b/>
                <w:sz w:val="20"/>
                <w:szCs w:val="20"/>
                <w:lang w:eastAsia="en-CA"/>
              </w:rPr>
            </w:pPr>
          </w:p>
          <w:p w:rsidR="00245129" w:rsidRPr="002E2327" w:rsidRDefault="00245129" w:rsidP="00245129">
            <w:pPr>
              <w:rPr>
                <w:rFonts w:eastAsia="Times New Roman" w:cs="Times New Roman"/>
                <w:b/>
                <w:sz w:val="20"/>
                <w:szCs w:val="20"/>
                <w:lang w:eastAsia="en-CA"/>
              </w:rPr>
            </w:pPr>
          </w:p>
        </w:tc>
        <w:tc>
          <w:tcPr>
            <w:tcW w:w="4050" w:type="dxa"/>
            <w:shd w:val="clear" w:color="auto" w:fill="auto"/>
            <w:tcMar>
              <w:left w:w="0" w:type="dxa"/>
              <w:right w:w="0" w:type="dxa"/>
            </w:tcMar>
          </w:tcPr>
          <w:p w:rsidR="00245129" w:rsidRPr="002E2327" w:rsidRDefault="00245129" w:rsidP="00245129">
            <w:pPr>
              <w:rPr>
                <w:rFonts w:eastAsia="Times New Roman" w:cs="Times New Roman"/>
                <w:b/>
                <w:sz w:val="20"/>
                <w:szCs w:val="20"/>
                <w:lang w:val="fr-CA" w:eastAsia="en-CA"/>
              </w:rPr>
            </w:pPr>
            <w:r w:rsidRPr="002E2327">
              <w:rPr>
                <w:b/>
                <w:lang w:val="fr-CA"/>
              </w:rPr>
              <w:t>TABLE DES MATIÈRES</w:t>
            </w:r>
          </w:p>
        </w:tc>
      </w:tr>
    </w:tbl>
    <w:p w:rsidR="0095096B" w:rsidRPr="002E2327" w:rsidRDefault="0095096B" w:rsidP="00245129">
      <w:pPr>
        <w:tabs>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8"/>
        <w:gridCol w:w="1980"/>
        <w:gridCol w:w="3888"/>
      </w:tblGrid>
      <w:tr w:rsidR="0095096B" w:rsidRPr="00291AC9" w:rsidTr="00164E6D">
        <w:tc>
          <w:tcPr>
            <w:tcW w:w="3708" w:type="dxa"/>
          </w:tcPr>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to appeal </w:t>
            </w:r>
          </w:p>
          <w:p w:rsidR="0095096B" w:rsidRPr="002E2327" w:rsidRDefault="0095096B" w:rsidP="0095096B">
            <w:pPr>
              <w:tabs>
                <w:tab w:val="right" w:pos="9360"/>
              </w:tabs>
              <w:rPr>
                <w:rFonts w:cs="Times New Roman"/>
                <w:sz w:val="20"/>
                <w:szCs w:val="20"/>
              </w:rPr>
            </w:pPr>
            <w:r w:rsidRPr="002E2327">
              <w:rPr>
                <w:rFonts w:cs="Times New Roman"/>
                <w:sz w:val="20"/>
                <w:szCs w:val="20"/>
              </w:rPr>
              <w:t>filed</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submitted </w:t>
            </w:r>
          </w:p>
          <w:p w:rsidR="0095096B" w:rsidRPr="002E2327" w:rsidRDefault="0095096B" w:rsidP="0095096B">
            <w:pPr>
              <w:tabs>
                <w:tab w:val="right" w:pos="9360"/>
              </w:tabs>
              <w:rPr>
                <w:rFonts w:cs="Times New Roman"/>
                <w:sz w:val="20"/>
                <w:szCs w:val="20"/>
              </w:rPr>
            </w:pPr>
            <w:r w:rsidRPr="002E2327">
              <w:rPr>
                <w:rFonts w:cs="Times New Roman"/>
                <w:sz w:val="20"/>
                <w:szCs w:val="20"/>
              </w:rPr>
              <w:t>to Court since last issue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Judgments on applications for </w:t>
            </w:r>
          </w:p>
          <w:p w:rsidR="0095096B" w:rsidRPr="002E2327" w:rsidRDefault="0095096B" w:rsidP="0095096B">
            <w:pPr>
              <w:tabs>
                <w:tab w:val="right" w:pos="9360"/>
              </w:tabs>
              <w:rPr>
                <w:rFonts w:cs="Times New Roman"/>
                <w:sz w:val="20"/>
                <w:szCs w:val="20"/>
              </w:rPr>
            </w:pPr>
            <w:r w:rsidRPr="002E2327">
              <w:rPr>
                <w:rFonts w:cs="Times New Roman"/>
                <w:sz w:val="20"/>
                <w:szCs w:val="20"/>
              </w:rPr>
              <w:t>leave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Judgment on motion</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Motions</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Notices of appeal filed since last </w:t>
            </w:r>
          </w:p>
          <w:p w:rsidR="0095096B" w:rsidRPr="002E2327" w:rsidRDefault="0095096B" w:rsidP="0095096B">
            <w:pPr>
              <w:tabs>
                <w:tab w:val="right" w:pos="9360"/>
              </w:tabs>
              <w:rPr>
                <w:rFonts w:cs="Times New Roman"/>
                <w:sz w:val="20"/>
                <w:szCs w:val="20"/>
              </w:rPr>
            </w:pPr>
            <w:r w:rsidRPr="002E2327">
              <w:rPr>
                <w:rFonts w:cs="Times New Roman"/>
                <w:sz w:val="20"/>
                <w:szCs w:val="20"/>
              </w:rPr>
              <w:t>issue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Notices of discontinuance filed since </w:t>
            </w:r>
          </w:p>
          <w:p w:rsidR="0095096B" w:rsidRPr="002E2327" w:rsidRDefault="0095096B" w:rsidP="0095096B">
            <w:pPr>
              <w:tabs>
                <w:tab w:val="right" w:pos="9360"/>
              </w:tabs>
              <w:rPr>
                <w:rFonts w:cs="Times New Roman"/>
                <w:sz w:val="20"/>
                <w:szCs w:val="20"/>
              </w:rPr>
            </w:pPr>
            <w:r w:rsidRPr="002E2327">
              <w:rPr>
                <w:rFonts w:cs="Times New Roman"/>
                <w:sz w:val="20"/>
                <w:szCs w:val="20"/>
              </w:rPr>
              <w:t>last issue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Pronouncements of appeals reserved</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Headnotes of recent judgments</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Agenda </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Judgments reported in S.C.R.</w:t>
            </w:r>
          </w:p>
          <w:p w:rsidR="00A87207" w:rsidRPr="002E2327" w:rsidRDefault="00A87207" w:rsidP="00F755C3">
            <w:pPr>
              <w:tabs>
                <w:tab w:val="right" w:pos="9360"/>
              </w:tabs>
              <w:rPr>
                <w:rFonts w:cs="Times New Roman"/>
                <w:sz w:val="20"/>
                <w:szCs w:val="20"/>
              </w:rPr>
            </w:pPr>
          </w:p>
        </w:tc>
        <w:tc>
          <w:tcPr>
            <w:tcW w:w="1980" w:type="dxa"/>
          </w:tcPr>
          <w:p w:rsidR="0095096B" w:rsidRPr="002E2327" w:rsidRDefault="009C22C6" w:rsidP="0095096B">
            <w:pPr>
              <w:jc w:val="center"/>
              <w:rPr>
                <w:rFonts w:cs="Times New Roman"/>
                <w:sz w:val="20"/>
                <w:szCs w:val="20"/>
              </w:rPr>
            </w:pPr>
            <w:r>
              <w:rPr>
                <w:rFonts w:cs="Times New Roman"/>
                <w:sz w:val="20"/>
                <w:szCs w:val="20"/>
              </w:rPr>
              <w:t xml:space="preserve">1133 </w:t>
            </w:r>
            <w:r w:rsidR="004D20D2" w:rsidRPr="002E2327">
              <w:rPr>
                <w:rFonts w:cs="Times New Roman"/>
                <w:sz w:val="20"/>
                <w:szCs w:val="20"/>
              </w:rPr>
              <w:fldChar w:fldCharType="begin"/>
            </w:r>
            <w:r w:rsidR="0095096B" w:rsidRPr="002E2327">
              <w:rPr>
                <w:rFonts w:cs="Times New Roman"/>
                <w:sz w:val="20"/>
                <w:szCs w:val="20"/>
              </w:rPr>
              <w:instrText xml:space="preserve"> SEQ CHAPTER \h \r 1</w:instrText>
            </w:r>
            <w:r w:rsidR="004D20D2" w:rsidRPr="002E2327">
              <w:rPr>
                <w:rFonts w:cs="Times New Roman"/>
                <w:sz w:val="20"/>
                <w:szCs w:val="20"/>
              </w:rPr>
              <w:fldChar w:fldCharType="end"/>
            </w:r>
            <w:r w:rsidR="0095096B" w:rsidRPr="002E2327">
              <w:rPr>
                <w:rFonts w:cs="Times New Roman"/>
                <w:sz w:val="20"/>
                <w:szCs w:val="20"/>
              </w:rPr>
              <w:t>-</w:t>
            </w:r>
            <w:r w:rsidR="00892BDF">
              <w:rPr>
                <w:rFonts w:cs="Times New Roman"/>
                <w:sz w:val="20"/>
                <w:szCs w:val="20"/>
              </w:rPr>
              <w:t xml:space="preserve"> 1134</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892BDF" w:rsidP="0095096B">
            <w:pPr>
              <w:jc w:val="center"/>
              <w:rPr>
                <w:rFonts w:cs="Times New Roman"/>
                <w:sz w:val="20"/>
                <w:szCs w:val="20"/>
              </w:rPr>
            </w:pPr>
            <w:r>
              <w:rPr>
                <w:rFonts w:cs="Times New Roman"/>
                <w:sz w:val="20"/>
                <w:szCs w:val="20"/>
              </w:rPr>
              <w:t>1135</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0778F5" w:rsidP="0095096B">
            <w:pPr>
              <w:jc w:val="center"/>
              <w:rPr>
                <w:rFonts w:cs="Times New Roman"/>
                <w:sz w:val="20"/>
                <w:szCs w:val="20"/>
              </w:rPr>
            </w:pPr>
            <w:r>
              <w:rPr>
                <w:rFonts w:cs="Times New Roman"/>
                <w:sz w:val="20"/>
                <w:szCs w:val="20"/>
              </w:rPr>
              <w:t xml:space="preserve">1136 </w:t>
            </w:r>
            <w:r w:rsidR="0095096B" w:rsidRPr="002E2327">
              <w:rPr>
                <w:rFonts w:cs="Times New Roman"/>
                <w:sz w:val="20"/>
                <w:szCs w:val="20"/>
              </w:rPr>
              <w:t>-</w:t>
            </w:r>
            <w:r>
              <w:rPr>
                <w:rFonts w:cs="Times New Roman"/>
                <w:sz w:val="20"/>
                <w:szCs w:val="20"/>
              </w:rPr>
              <w:t xml:space="preserve"> 1138</w:t>
            </w:r>
          </w:p>
          <w:p w:rsidR="0095096B" w:rsidRDefault="0095096B" w:rsidP="0095096B">
            <w:pPr>
              <w:jc w:val="center"/>
              <w:rPr>
                <w:rFonts w:cs="Times New Roman"/>
                <w:sz w:val="20"/>
                <w:szCs w:val="20"/>
              </w:rPr>
            </w:pPr>
          </w:p>
          <w:p w:rsidR="000778F5" w:rsidRPr="002E2327" w:rsidRDefault="000778F5" w:rsidP="0095096B">
            <w:pPr>
              <w:jc w:val="center"/>
              <w:rPr>
                <w:rFonts w:cs="Times New Roman"/>
                <w:sz w:val="20"/>
                <w:szCs w:val="20"/>
              </w:rPr>
            </w:pPr>
          </w:p>
          <w:p w:rsidR="0095096B" w:rsidRPr="002E2327" w:rsidRDefault="000778F5" w:rsidP="0095096B">
            <w:pPr>
              <w:jc w:val="center"/>
              <w:rPr>
                <w:rFonts w:cs="Times New Roman"/>
                <w:sz w:val="20"/>
                <w:szCs w:val="20"/>
              </w:rPr>
            </w:pPr>
            <w:r>
              <w:rPr>
                <w:rFonts w:cs="Times New Roman"/>
                <w:sz w:val="20"/>
                <w:szCs w:val="20"/>
              </w:rPr>
              <w:t xml:space="preserve">1139 </w:t>
            </w:r>
            <w:r w:rsidR="0095096B" w:rsidRPr="002E2327">
              <w:rPr>
                <w:rFonts w:cs="Times New Roman"/>
                <w:sz w:val="20"/>
                <w:szCs w:val="20"/>
              </w:rPr>
              <w:t>-</w:t>
            </w:r>
            <w:r>
              <w:rPr>
                <w:rFonts w:cs="Times New Roman"/>
                <w:sz w:val="20"/>
                <w:szCs w:val="20"/>
              </w:rPr>
              <w:t xml:space="preserve"> 1140</w:t>
            </w:r>
          </w:p>
          <w:p w:rsidR="0095096B" w:rsidRPr="002E2327" w:rsidRDefault="0095096B" w:rsidP="0095096B">
            <w:pPr>
              <w:jc w:val="center"/>
              <w:rPr>
                <w:rFonts w:cs="Times New Roman"/>
                <w:sz w:val="20"/>
                <w:szCs w:val="20"/>
              </w:rPr>
            </w:pPr>
          </w:p>
          <w:p w:rsidR="0095096B" w:rsidRPr="002E2327" w:rsidRDefault="00B32062" w:rsidP="0095096B">
            <w:pPr>
              <w:jc w:val="center"/>
              <w:rPr>
                <w:rFonts w:cs="Times New Roman"/>
                <w:sz w:val="20"/>
                <w:szCs w:val="20"/>
              </w:rPr>
            </w:pPr>
            <w:r>
              <w:rPr>
                <w:rFonts w:cs="Times New Roman"/>
                <w:sz w:val="20"/>
                <w:szCs w:val="20"/>
              </w:rPr>
              <w:t>11</w:t>
            </w:r>
            <w:r w:rsidR="000778F5">
              <w:rPr>
                <w:rFonts w:cs="Times New Roman"/>
                <w:sz w:val="20"/>
                <w:szCs w:val="20"/>
              </w:rPr>
              <w:t>41</w:t>
            </w:r>
            <w:r>
              <w:rPr>
                <w:rFonts w:cs="Times New Roman"/>
                <w:sz w:val="20"/>
                <w:szCs w:val="20"/>
              </w:rPr>
              <w:t xml:space="preserve"> </w:t>
            </w:r>
            <w:r w:rsidR="0095096B" w:rsidRPr="002E2327">
              <w:rPr>
                <w:rFonts w:cs="Times New Roman"/>
                <w:sz w:val="20"/>
                <w:szCs w:val="20"/>
              </w:rPr>
              <w:t>-</w:t>
            </w:r>
            <w:r w:rsidR="000778F5">
              <w:rPr>
                <w:rFonts w:cs="Times New Roman"/>
                <w:sz w:val="20"/>
                <w:szCs w:val="20"/>
              </w:rPr>
              <w:t xml:space="preserve"> 1145</w:t>
            </w:r>
          </w:p>
          <w:p w:rsidR="0095096B" w:rsidRPr="002E2327" w:rsidRDefault="0095096B" w:rsidP="0095096B">
            <w:pPr>
              <w:jc w:val="center"/>
              <w:rPr>
                <w:rFonts w:cs="Times New Roman"/>
                <w:sz w:val="20"/>
                <w:szCs w:val="20"/>
              </w:rPr>
            </w:pPr>
          </w:p>
          <w:p w:rsidR="0095096B" w:rsidRPr="002E2327" w:rsidRDefault="000778F5" w:rsidP="0095096B">
            <w:pPr>
              <w:jc w:val="center"/>
              <w:rPr>
                <w:rFonts w:cs="Times New Roman"/>
                <w:sz w:val="20"/>
                <w:szCs w:val="20"/>
              </w:rPr>
            </w:pPr>
            <w:r>
              <w:rPr>
                <w:rFonts w:cs="Times New Roman"/>
                <w:sz w:val="20"/>
                <w:szCs w:val="20"/>
              </w:rPr>
              <w:t>1146</w:t>
            </w:r>
          </w:p>
          <w:p w:rsidR="0095096B" w:rsidRDefault="0095096B" w:rsidP="0095096B">
            <w:pPr>
              <w:jc w:val="center"/>
              <w:rPr>
                <w:rFonts w:cs="Times New Roman"/>
                <w:sz w:val="20"/>
                <w:szCs w:val="20"/>
              </w:rPr>
            </w:pPr>
          </w:p>
          <w:p w:rsidR="000778F5" w:rsidRPr="002E2327" w:rsidRDefault="000778F5" w:rsidP="0095096B">
            <w:pPr>
              <w:jc w:val="center"/>
              <w:rPr>
                <w:rFonts w:cs="Times New Roman"/>
                <w:sz w:val="20"/>
                <w:szCs w:val="20"/>
              </w:rPr>
            </w:pPr>
          </w:p>
          <w:p w:rsidR="0095096B" w:rsidRPr="002E2327" w:rsidRDefault="000778F5" w:rsidP="0095096B">
            <w:pPr>
              <w:jc w:val="center"/>
              <w:rPr>
                <w:rFonts w:cs="Times New Roman"/>
                <w:sz w:val="20"/>
                <w:szCs w:val="20"/>
              </w:rPr>
            </w:pPr>
            <w:r>
              <w:rPr>
                <w:rFonts w:cs="Times New Roman"/>
                <w:sz w:val="20"/>
                <w:szCs w:val="20"/>
              </w:rPr>
              <w:t>1147</w:t>
            </w:r>
          </w:p>
          <w:p w:rsidR="0095096B" w:rsidRDefault="0095096B" w:rsidP="0095096B">
            <w:pPr>
              <w:jc w:val="center"/>
              <w:rPr>
                <w:rFonts w:cs="Times New Roman"/>
                <w:sz w:val="20"/>
                <w:szCs w:val="20"/>
              </w:rPr>
            </w:pPr>
          </w:p>
          <w:p w:rsidR="000778F5" w:rsidRPr="002E2327" w:rsidRDefault="000778F5" w:rsidP="0095096B">
            <w:pPr>
              <w:jc w:val="center"/>
              <w:rPr>
                <w:rFonts w:cs="Times New Roman"/>
                <w:sz w:val="20"/>
                <w:szCs w:val="20"/>
              </w:rPr>
            </w:pPr>
          </w:p>
          <w:p w:rsidR="0095096B" w:rsidRPr="002E2327" w:rsidRDefault="000778F5" w:rsidP="0095096B">
            <w:pPr>
              <w:jc w:val="center"/>
              <w:rPr>
                <w:rFonts w:cs="Times New Roman"/>
                <w:sz w:val="20"/>
                <w:szCs w:val="20"/>
              </w:rPr>
            </w:pPr>
            <w:r>
              <w:rPr>
                <w:rFonts w:cs="Times New Roman"/>
                <w:sz w:val="20"/>
                <w:szCs w:val="20"/>
              </w:rPr>
              <w:t xml:space="preserve">1148 </w:t>
            </w:r>
            <w:r w:rsidR="0095096B" w:rsidRPr="002E2327">
              <w:rPr>
                <w:rFonts w:cs="Times New Roman"/>
                <w:sz w:val="20"/>
                <w:szCs w:val="20"/>
              </w:rPr>
              <w:t>-</w:t>
            </w:r>
            <w:r w:rsidR="00A73E83">
              <w:rPr>
                <w:rFonts w:cs="Times New Roman"/>
                <w:sz w:val="20"/>
                <w:szCs w:val="20"/>
              </w:rPr>
              <w:t xml:space="preserve"> 1149</w:t>
            </w:r>
          </w:p>
          <w:p w:rsidR="0095096B" w:rsidRPr="002E2327" w:rsidRDefault="0095096B" w:rsidP="0095096B">
            <w:pPr>
              <w:jc w:val="center"/>
              <w:rPr>
                <w:rFonts w:cs="Times New Roman"/>
                <w:sz w:val="20"/>
                <w:szCs w:val="20"/>
              </w:rPr>
            </w:pPr>
          </w:p>
          <w:p w:rsidR="00A73E83" w:rsidRDefault="00A73E83" w:rsidP="0095096B">
            <w:pPr>
              <w:jc w:val="center"/>
              <w:rPr>
                <w:rFonts w:cs="Times New Roman"/>
                <w:sz w:val="20"/>
                <w:szCs w:val="20"/>
              </w:rPr>
            </w:pPr>
          </w:p>
          <w:p w:rsidR="0095096B" w:rsidRPr="002E2327" w:rsidRDefault="00A73E83" w:rsidP="0095096B">
            <w:pPr>
              <w:jc w:val="center"/>
              <w:rPr>
                <w:rFonts w:cs="Times New Roman"/>
                <w:sz w:val="20"/>
                <w:szCs w:val="20"/>
              </w:rPr>
            </w:pPr>
            <w:r>
              <w:rPr>
                <w:rFonts w:cs="Times New Roman"/>
                <w:sz w:val="20"/>
                <w:szCs w:val="20"/>
              </w:rPr>
              <w:t xml:space="preserve">1150 </w:t>
            </w:r>
            <w:r w:rsidR="0095096B" w:rsidRPr="002E2327">
              <w:rPr>
                <w:rFonts w:cs="Times New Roman"/>
                <w:sz w:val="20"/>
                <w:szCs w:val="20"/>
              </w:rPr>
              <w:t>-</w:t>
            </w:r>
            <w:r>
              <w:rPr>
                <w:rFonts w:cs="Times New Roman"/>
                <w:sz w:val="20"/>
                <w:szCs w:val="20"/>
              </w:rPr>
              <w:t xml:space="preserve"> 1166</w:t>
            </w:r>
          </w:p>
          <w:p w:rsidR="0095096B" w:rsidRPr="002E2327" w:rsidRDefault="0095096B" w:rsidP="0095096B">
            <w:pPr>
              <w:jc w:val="center"/>
              <w:rPr>
                <w:rFonts w:cs="Times New Roman"/>
                <w:sz w:val="20"/>
                <w:szCs w:val="20"/>
              </w:rPr>
            </w:pPr>
          </w:p>
          <w:p w:rsidR="0095096B" w:rsidRPr="002E2327" w:rsidRDefault="00A73E83" w:rsidP="0095096B">
            <w:pPr>
              <w:jc w:val="center"/>
              <w:rPr>
                <w:rFonts w:cs="Times New Roman"/>
                <w:sz w:val="20"/>
                <w:szCs w:val="20"/>
              </w:rPr>
            </w:pPr>
            <w:r>
              <w:rPr>
                <w:rFonts w:cs="Times New Roman"/>
                <w:sz w:val="20"/>
                <w:szCs w:val="20"/>
              </w:rPr>
              <w:t>1167</w:t>
            </w:r>
          </w:p>
          <w:p w:rsidR="0095096B" w:rsidRPr="002E2327" w:rsidRDefault="0095096B" w:rsidP="0095096B">
            <w:pPr>
              <w:jc w:val="center"/>
              <w:rPr>
                <w:rFonts w:cs="Times New Roman"/>
                <w:sz w:val="20"/>
                <w:szCs w:val="20"/>
              </w:rPr>
            </w:pPr>
          </w:p>
          <w:p w:rsidR="0095096B" w:rsidRPr="002E2327" w:rsidRDefault="00A73E83" w:rsidP="0095096B">
            <w:pPr>
              <w:jc w:val="center"/>
              <w:rPr>
                <w:rFonts w:cs="Times New Roman"/>
                <w:sz w:val="20"/>
                <w:szCs w:val="20"/>
              </w:rPr>
            </w:pPr>
            <w:r>
              <w:rPr>
                <w:rFonts w:cs="Times New Roman"/>
                <w:sz w:val="20"/>
                <w:szCs w:val="20"/>
              </w:rPr>
              <w:t>1168</w:t>
            </w:r>
          </w:p>
          <w:p w:rsidR="00A87207" w:rsidRPr="002E2327" w:rsidRDefault="00A87207" w:rsidP="0066725C">
            <w:pPr>
              <w:jc w:val="center"/>
              <w:rPr>
                <w:rFonts w:cs="Times New Roman"/>
                <w:sz w:val="20"/>
                <w:szCs w:val="20"/>
              </w:rPr>
            </w:pPr>
          </w:p>
        </w:tc>
        <w:tc>
          <w:tcPr>
            <w:tcW w:w="3888" w:type="dxa"/>
          </w:tcPr>
          <w:p w:rsidR="0095096B" w:rsidRPr="002E2327" w:rsidRDefault="004D20D2" w:rsidP="0095096B">
            <w:pPr>
              <w:rPr>
                <w:rFonts w:cs="Times New Roman"/>
                <w:sz w:val="20"/>
                <w:szCs w:val="20"/>
                <w:lang w:val="fr-CA"/>
              </w:rPr>
            </w:pPr>
            <w:r w:rsidRPr="002E2327">
              <w:rPr>
                <w:rFonts w:cs="Times New Roman"/>
                <w:sz w:val="20"/>
                <w:szCs w:val="20"/>
                <w:lang w:val="fr-CA"/>
              </w:rPr>
              <w:fldChar w:fldCharType="begin"/>
            </w:r>
            <w:r w:rsidR="0095096B" w:rsidRPr="002E2327">
              <w:rPr>
                <w:rFonts w:cs="Times New Roman"/>
                <w:sz w:val="20"/>
                <w:szCs w:val="20"/>
                <w:lang w:val="fr-CA"/>
              </w:rPr>
              <w:instrText xml:space="preserve"> SEQ CHAPTER \h \r 1</w:instrText>
            </w:r>
            <w:r w:rsidRPr="002E2327">
              <w:rPr>
                <w:rFonts w:cs="Times New Roman"/>
                <w:sz w:val="20"/>
                <w:szCs w:val="20"/>
                <w:lang w:val="fr-CA"/>
              </w:rPr>
              <w:fldChar w:fldCharType="end"/>
            </w:r>
            <w:r w:rsidR="0095096B" w:rsidRPr="002E2327">
              <w:rPr>
                <w:rFonts w:cs="Times New Roman"/>
                <w:sz w:val="20"/>
                <w:szCs w:val="20"/>
                <w:lang w:val="fr-CA"/>
              </w:rPr>
              <w:t xml:space="preserve">Demandes d'autorisation d'appel </w:t>
            </w:r>
          </w:p>
          <w:p w:rsidR="0095096B" w:rsidRPr="002E2327" w:rsidRDefault="0095096B" w:rsidP="0095096B">
            <w:pPr>
              <w:rPr>
                <w:rFonts w:cs="Times New Roman"/>
                <w:sz w:val="20"/>
                <w:szCs w:val="20"/>
                <w:lang w:val="fr-CA"/>
              </w:rPr>
            </w:pPr>
            <w:r w:rsidRPr="002E2327">
              <w:rPr>
                <w:rFonts w:cs="Times New Roman"/>
                <w:sz w:val="20"/>
                <w:szCs w:val="20"/>
                <w:lang w:val="fr-CA"/>
              </w:rPr>
              <w:t>déposées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Demandes soumises à la Cour depuis la </w:t>
            </w:r>
          </w:p>
          <w:p w:rsidR="0095096B" w:rsidRPr="002E2327" w:rsidRDefault="0095096B" w:rsidP="0095096B">
            <w:pPr>
              <w:rPr>
                <w:rFonts w:cs="Times New Roman"/>
                <w:sz w:val="20"/>
                <w:szCs w:val="20"/>
                <w:lang w:val="fr-CA"/>
              </w:rPr>
            </w:pPr>
            <w:r w:rsidRPr="002E2327">
              <w:rPr>
                <w:rFonts w:cs="Times New Roman"/>
                <w:sz w:val="20"/>
                <w:szCs w:val="20"/>
                <w:lang w:val="fr-CA"/>
              </w:rPr>
              <w:t>dernière parution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demandes </w:t>
            </w:r>
          </w:p>
          <w:p w:rsidR="0095096B" w:rsidRPr="002E2327" w:rsidRDefault="0095096B" w:rsidP="0095096B">
            <w:pPr>
              <w:rPr>
                <w:rFonts w:cs="Times New Roman"/>
                <w:sz w:val="20"/>
                <w:szCs w:val="20"/>
                <w:lang w:val="fr-CA"/>
              </w:rPr>
            </w:pPr>
            <w:r w:rsidRPr="002E2327">
              <w:rPr>
                <w:rFonts w:cs="Times New Roman"/>
                <w:sz w:val="20"/>
                <w:szCs w:val="20"/>
                <w:lang w:val="fr-CA"/>
              </w:rPr>
              <w:t>d'autorisation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Jugement sur requête</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Requêtes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Avis d'appel déposés depuis la dernière </w:t>
            </w:r>
          </w:p>
          <w:p w:rsidR="0095096B" w:rsidRPr="002E2327" w:rsidRDefault="0095096B" w:rsidP="0095096B">
            <w:pPr>
              <w:rPr>
                <w:rFonts w:cs="Times New Roman"/>
                <w:sz w:val="20"/>
                <w:szCs w:val="20"/>
                <w:lang w:val="fr-CA"/>
              </w:rPr>
            </w:pPr>
            <w:r w:rsidRPr="002E2327">
              <w:rPr>
                <w:rFonts w:cs="Times New Roman"/>
                <w:sz w:val="20"/>
                <w:szCs w:val="20"/>
                <w:lang w:val="fr-CA"/>
              </w:rPr>
              <w:t>parution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Avis de désistement déposés depuis la dernière parution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appels en </w:t>
            </w:r>
          </w:p>
          <w:p w:rsidR="0095096B" w:rsidRPr="002E2327" w:rsidRDefault="0095096B" w:rsidP="0095096B">
            <w:pPr>
              <w:rPr>
                <w:rFonts w:cs="Times New Roman"/>
                <w:sz w:val="20"/>
                <w:szCs w:val="20"/>
                <w:lang w:val="fr-CA"/>
              </w:rPr>
            </w:pPr>
            <w:r w:rsidRPr="002E2327">
              <w:rPr>
                <w:rFonts w:cs="Times New Roman"/>
                <w:sz w:val="20"/>
                <w:szCs w:val="20"/>
                <w:lang w:val="fr-CA"/>
              </w:rPr>
              <w:t>délibéré</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Sommaires de </w:t>
            </w:r>
            <w:r w:rsidR="00C50A5C">
              <w:rPr>
                <w:rFonts w:cs="Times New Roman"/>
                <w:sz w:val="20"/>
                <w:szCs w:val="20"/>
                <w:lang w:val="fr-CA"/>
              </w:rPr>
              <w:t xml:space="preserve">jugements </w:t>
            </w:r>
            <w:r w:rsidR="00C50A5C" w:rsidRPr="002E2327">
              <w:rPr>
                <w:rFonts w:cs="Times New Roman"/>
                <w:sz w:val="20"/>
                <w:szCs w:val="20"/>
                <w:lang w:val="fr-CA"/>
              </w:rPr>
              <w:t>récents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Calendrier </w:t>
            </w:r>
          </w:p>
          <w:p w:rsidR="0095096B" w:rsidRPr="002E2327" w:rsidRDefault="0095096B" w:rsidP="0095096B">
            <w:pPr>
              <w:rPr>
                <w:rFonts w:cs="Times New Roman"/>
                <w:sz w:val="20"/>
                <w:szCs w:val="20"/>
                <w:lang w:val="fr-CA"/>
              </w:rPr>
            </w:pPr>
          </w:p>
          <w:p w:rsidR="0095096B" w:rsidRPr="002E2327" w:rsidRDefault="0095096B" w:rsidP="0095096B">
            <w:pPr>
              <w:tabs>
                <w:tab w:val="right" w:pos="9360"/>
              </w:tabs>
              <w:rPr>
                <w:rFonts w:cs="Times New Roman"/>
                <w:sz w:val="20"/>
                <w:szCs w:val="20"/>
                <w:lang w:val="fr-CA"/>
              </w:rPr>
            </w:pPr>
            <w:r w:rsidRPr="002E2327">
              <w:rPr>
                <w:rFonts w:cs="Times New Roman"/>
                <w:sz w:val="20"/>
                <w:szCs w:val="20"/>
                <w:lang w:val="fr-CA"/>
              </w:rPr>
              <w:t>Jugements publiés au R.C.S.</w:t>
            </w:r>
          </w:p>
          <w:p w:rsidR="00A87207" w:rsidRPr="002E2327" w:rsidRDefault="00A87207" w:rsidP="00F755C3">
            <w:pPr>
              <w:tabs>
                <w:tab w:val="right" w:pos="9360"/>
              </w:tabs>
              <w:rPr>
                <w:rFonts w:cs="Times New Roman"/>
                <w:sz w:val="20"/>
                <w:szCs w:val="20"/>
                <w:lang w:val="fr-CA"/>
              </w:rPr>
            </w:pPr>
          </w:p>
        </w:tc>
      </w:tr>
    </w:tbl>
    <w:p w:rsidR="0095096B" w:rsidRPr="000C20D4" w:rsidRDefault="0095096B" w:rsidP="0095096B">
      <w:pPr>
        <w:tabs>
          <w:tab w:val="right" w:pos="9360"/>
        </w:tabs>
        <w:rPr>
          <w:lang w:val="fr-CA"/>
        </w:rPr>
      </w:pPr>
    </w:p>
    <w:p w:rsidR="00F755C3" w:rsidRDefault="00F755C3" w:rsidP="0095096B">
      <w:pPr>
        <w:tabs>
          <w:tab w:val="right" w:pos="9360"/>
        </w:tabs>
        <w:rPr>
          <w:lang w:val="fr-CA"/>
        </w:rPr>
      </w:pPr>
    </w:p>
    <w:p w:rsidR="00F755C3" w:rsidRPr="000C20D4" w:rsidRDefault="00F755C3" w:rsidP="0095096B">
      <w:pPr>
        <w:tabs>
          <w:tab w:val="right" w:pos="9360"/>
        </w:tabs>
        <w:rPr>
          <w:lang w:val="fr-CA"/>
        </w:rPr>
      </w:pPr>
    </w:p>
    <w:p w:rsidR="00F755C3" w:rsidRPr="000C20D4" w:rsidRDefault="00F755C3" w:rsidP="0095096B">
      <w:pPr>
        <w:tabs>
          <w:tab w:val="right" w:pos="9360"/>
        </w:tabs>
        <w:rPr>
          <w:lang w:val="fr-CA"/>
        </w:rPr>
      </w:pPr>
    </w:p>
    <w:p w:rsidR="00F755C3" w:rsidRPr="000C20D4" w:rsidRDefault="00F755C3" w:rsidP="0095096B">
      <w:pPr>
        <w:tabs>
          <w:tab w:val="right" w:pos="9360"/>
        </w:tabs>
        <w:rPr>
          <w:lang w:val="fr-CA"/>
        </w:rPr>
      </w:pPr>
    </w:p>
    <w:tbl>
      <w:tblPr>
        <w:tblStyle w:val="TableGrid"/>
        <w:tblW w:w="0" w:type="auto"/>
        <w:tblLook w:val="04A0"/>
      </w:tblPr>
      <w:tblGrid>
        <w:gridCol w:w="9576"/>
      </w:tblGrid>
      <w:tr w:rsidR="0079724F" w:rsidRPr="00291AC9" w:rsidTr="0079724F">
        <w:tc>
          <w:tcPr>
            <w:tcW w:w="9576" w:type="dxa"/>
          </w:tcPr>
          <w:p w:rsidR="0079724F" w:rsidRPr="00245129" w:rsidRDefault="0079724F" w:rsidP="00215F7C">
            <w:pPr>
              <w:keepNext/>
              <w:tabs>
                <w:tab w:val="right" w:pos="9360"/>
              </w:tabs>
              <w:jc w:val="center"/>
              <w:rPr>
                <w:szCs w:val="24"/>
              </w:rPr>
            </w:pPr>
            <w:r w:rsidRPr="00245129">
              <w:rPr>
                <w:szCs w:val="24"/>
              </w:rPr>
              <w:t>NOTICE</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both"/>
              <w:rPr>
                <w:szCs w:val="24"/>
              </w:rPr>
            </w:pPr>
            <w:r w:rsidRPr="00245129">
              <w:rPr>
                <w:szCs w:val="24"/>
              </w:rPr>
              <w:t>Case summaries included in the Bulletin are prepared by the Office of the Registrar of the Supreme Court of Canada (Law Branch) for information purposes only.</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center"/>
              <w:rPr>
                <w:szCs w:val="24"/>
                <w:lang w:val="fr-CA"/>
              </w:rPr>
            </w:pPr>
            <w:r w:rsidRPr="00245129">
              <w:rPr>
                <w:szCs w:val="24"/>
                <w:lang w:val="fr-CA"/>
              </w:rPr>
              <w:t>AVIS</w:t>
            </w:r>
          </w:p>
          <w:p w:rsidR="0079724F" w:rsidRPr="00245129" w:rsidRDefault="0079724F" w:rsidP="00215F7C">
            <w:pPr>
              <w:keepNext/>
              <w:tabs>
                <w:tab w:val="right" w:pos="9360"/>
              </w:tabs>
              <w:rPr>
                <w:szCs w:val="24"/>
                <w:lang w:val="fr-CA"/>
              </w:rPr>
            </w:pPr>
          </w:p>
          <w:p w:rsidR="0079724F" w:rsidRPr="001D0D5F" w:rsidRDefault="0079724F" w:rsidP="00215F7C">
            <w:pPr>
              <w:keepNext/>
              <w:tabs>
                <w:tab w:val="right" w:pos="9360"/>
              </w:tabs>
              <w:jc w:val="both"/>
              <w:rPr>
                <w:sz w:val="20"/>
                <w:szCs w:val="20"/>
                <w:lang w:val="fr-CA"/>
              </w:rPr>
            </w:pPr>
            <w:r w:rsidRPr="00245129">
              <w:rPr>
                <w:szCs w:val="24"/>
                <w:lang w:val="fr-CA"/>
              </w:rPr>
              <w:t>Les résumés de dossiers publiés dans le bulletin sont préparés par le Bureau du registraire (Direction générale du droit) uniquement à titre d’information.</w:t>
            </w:r>
          </w:p>
        </w:tc>
      </w:tr>
    </w:tbl>
    <w:p w:rsidR="0095096B" w:rsidRPr="00675479" w:rsidRDefault="0095096B" w:rsidP="0095096B">
      <w:pPr>
        <w:tabs>
          <w:tab w:val="right" w:pos="9360"/>
        </w:tabs>
        <w:rPr>
          <w:lang w:val="fr-CA"/>
        </w:rPr>
      </w:pPr>
    </w:p>
    <w:p w:rsidR="00A87207" w:rsidRPr="00675479" w:rsidRDefault="00A87207" w:rsidP="0095096B">
      <w:pPr>
        <w:tabs>
          <w:tab w:val="right" w:pos="9360"/>
        </w:tabs>
        <w:rPr>
          <w:lang w:val="fr-CA"/>
        </w:rPr>
        <w:sectPr w:rsidR="00A87207" w:rsidRPr="00675479" w:rsidSect="0044776A">
          <w:headerReference w:type="even" r:id="rId9"/>
          <w:headerReference w:type="default" r:id="rId10"/>
          <w:footerReference w:type="even" r:id="rId11"/>
          <w:footerReference w:type="default" r:id="rId12"/>
          <w:headerReference w:type="first" r:id="rId13"/>
          <w:footerReference w:type="first" r:id="rId14"/>
          <w:pgSz w:w="12240" w:h="15840"/>
          <w:pgMar w:top="720" w:right="1152" w:bottom="1080" w:left="1440" w:header="706" w:footer="706" w:gutter="0"/>
          <w:cols w:space="708"/>
          <w:titlePg/>
          <w:docGrid w:linePitch="360"/>
        </w:sectPr>
      </w:pPr>
    </w:p>
    <w:tbl>
      <w:tblPr>
        <w:tblW w:w="9630" w:type="dxa"/>
        <w:tblBorders>
          <w:bottom w:val="single" w:sz="8" w:space="0" w:color="auto"/>
        </w:tblBorders>
        <w:tblLayout w:type="fixed"/>
        <w:tblCellMar>
          <w:left w:w="0" w:type="dxa"/>
          <w:right w:w="0" w:type="dxa"/>
        </w:tblCellMar>
        <w:tblLook w:val="0000"/>
      </w:tblPr>
      <w:tblGrid>
        <w:gridCol w:w="4200"/>
        <w:gridCol w:w="1200"/>
        <w:gridCol w:w="4230"/>
      </w:tblGrid>
      <w:tr w:rsidR="00A87207" w:rsidRPr="002E2327" w:rsidTr="00245129">
        <w:tc>
          <w:tcPr>
            <w:tcW w:w="4200" w:type="dxa"/>
            <w:shd w:val="clear" w:color="auto" w:fill="auto"/>
            <w:tcMar>
              <w:left w:w="0" w:type="dxa"/>
              <w:right w:w="0" w:type="dxa"/>
            </w:tcMar>
          </w:tcPr>
          <w:p w:rsidR="00A87207" w:rsidRPr="002E2327" w:rsidRDefault="00A87207" w:rsidP="00BA6468">
            <w:pPr>
              <w:rPr>
                <w:rFonts w:eastAsia="Times New Roman" w:cs="Times New Roman"/>
                <w:b/>
                <w:sz w:val="20"/>
                <w:szCs w:val="20"/>
                <w:lang w:eastAsia="en-CA"/>
              </w:rPr>
            </w:pPr>
            <w:r w:rsidRPr="002E2327">
              <w:rPr>
                <w:rFonts w:eastAsia="Times New Roman" w:cs="Times New Roman"/>
                <w:b/>
                <w:szCs w:val="20"/>
                <w:lang w:eastAsia="en-CA"/>
              </w:rPr>
              <w:lastRenderedPageBreak/>
              <w:t>APPLICATIONS FOR LEAVE TO APPEAL FILED</w:t>
            </w:r>
          </w:p>
        </w:tc>
        <w:tc>
          <w:tcPr>
            <w:tcW w:w="1200" w:type="dxa"/>
            <w:shd w:val="clear" w:color="auto" w:fill="auto"/>
            <w:tcMar>
              <w:left w:w="0" w:type="dxa"/>
              <w:right w:w="0" w:type="dxa"/>
            </w:tcMar>
          </w:tcPr>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tc>
        <w:tc>
          <w:tcPr>
            <w:tcW w:w="4230" w:type="dxa"/>
            <w:shd w:val="clear" w:color="auto" w:fill="auto"/>
            <w:tcMar>
              <w:left w:w="0" w:type="dxa"/>
              <w:right w:w="0" w:type="dxa"/>
            </w:tcMar>
          </w:tcPr>
          <w:p w:rsidR="00A87207" w:rsidRPr="002E2327" w:rsidRDefault="00A87207" w:rsidP="00A87207">
            <w:pPr>
              <w:rPr>
                <w:rFonts w:eastAsia="Times New Roman" w:cs="Times New Roman"/>
                <w:b/>
                <w:sz w:val="20"/>
                <w:szCs w:val="20"/>
                <w:lang w:val="fr-CA" w:eastAsia="en-CA"/>
              </w:rPr>
            </w:pPr>
            <w:r w:rsidRPr="002E2327">
              <w:rPr>
                <w:rFonts w:eastAsia="Times New Roman" w:cs="Times New Roman"/>
                <w:b/>
                <w:szCs w:val="20"/>
                <w:lang w:val="fr-CA" w:eastAsia="en-CA"/>
              </w:rPr>
              <w:t>DEMANDES D’AUTORISATION D’APPEL DÉPOSÉES</w:t>
            </w:r>
          </w:p>
        </w:tc>
      </w:tr>
    </w:tbl>
    <w:p w:rsidR="00A87207" w:rsidRPr="00C50A5C" w:rsidRDefault="00A87207" w:rsidP="0095096B">
      <w:pPr>
        <w:tabs>
          <w:tab w:val="right" w:pos="9360"/>
        </w:tabs>
        <w:rPr>
          <w:sz w:val="20"/>
          <w:szCs w:val="20"/>
        </w:rPr>
      </w:pP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1181"/>
        <w:gridCol w:w="4320"/>
      </w:tblGrid>
      <w:tr w:rsidR="00242AEE" w:rsidRPr="00A935AA" w:rsidTr="003B3977">
        <w:tc>
          <w:tcPr>
            <w:tcW w:w="4320" w:type="dxa"/>
            <w:shd w:val="clear" w:color="auto" w:fill="auto"/>
          </w:tcPr>
          <w:p w:rsidR="00242AEE" w:rsidRPr="00A935AA" w:rsidRDefault="003367E5" w:rsidP="003B3977">
            <w:pPr>
              <w:rPr>
                <w:b/>
                <w:sz w:val="20"/>
                <w:szCs w:val="20"/>
              </w:rPr>
            </w:pPr>
            <w:r>
              <w:rPr>
                <w:b/>
                <w:sz w:val="20"/>
                <w:szCs w:val="20"/>
              </w:rPr>
              <w:t>R.E.M.</w:t>
            </w:r>
          </w:p>
          <w:p w:rsidR="00242AEE" w:rsidRPr="00A935AA" w:rsidRDefault="00242AEE" w:rsidP="003B3977">
            <w:pPr>
              <w:tabs>
                <w:tab w:val="left" w:pos="-1440"/>
                <w:tab w:val="left" w:pos="-720"/>
              </w:tabs>
              <w:rPr>
                <w:sz w:val="20"/>
                <w:szCs w:val="20"/>
              </w:rPr>
            </w:pPr>
            <w:r w:rsidRPr="00A935AA">
              <w:rPr>
                <w:sz w:val="20"/>
                <w:szCs w:val="20"/>
              </w:rPr>
              <w:tab/>
            </w:r>
            <w:r w:rsidR="003367E5">
              <w:rPr>
                <w:sz w:val="20"/>
                <w:szCs w:val="20"/>
              </w:rPr>
              <w:t>R.E.M.</w:t>
            </w:r>
          </w:p>
          <w:p w:rsidR="00242AEE" w:rsidRPr="00A935AA" w:rsidRDefault="00242AEE" w:rsidP="003B3977">
            <w:pPr>
              <w:tabs>
                <w:tab w:val="left" w:pos="-1440"/>
                <w:tab w:val="left" w:pos="-720"/>
              </w:tabs>
              <w:rPr>
                <w:sz w:val="20"/>
                <w:szCs w:val="20"/>
              </w:rPr>
            </w:pPr>
          </w:p>
          <w:p w:rsidR="00242AEE" w:rsidRPr="00A935AA" w:rsidRDefault="00242AEE" w:rsidP="003B3977">
            <w:pPr>
              <w:tabs>
                <w:tab w:val="left" w:pos="-1440"/>
                <w:tab w:val="left" w:pos="-720"/>
              </w:tabs>
              <w:rPr>
                <w:sz w:val="20"/>
                <w:szCs w:val="20"/>
              </w:rPr>
            </w:pPr>
            <w:r w:rsidRPr="00A935AA">
              <w:rPr>
                <w:sz w:val="20"/>
                <w:szCs w:val="20"/>
              </w:rPr>
              <w:tab/>
              <w:t>v. (3</w:t>
            </w:r>
            <w:r w:rsidR="009C22C6">
              <w:rPr>
                <w:sz w:val="20"/>
                <w:szCs w:val="20"/>
              </w:rPr>
              <w:t>4</w:t>
            </w:r>
            <w:r w:rsidR="003367E5">
              <w:rPr>
                <w:sz w:val="20"/>
                <w:szCs w:val="20"/>
              </w:rPr>
              <w:t>345</w:t>
            </w:r>
            <w:r w:rsidRPr="00A935AA">
              <w:rPr>
                <w:sz w:val="20"/>
                <w:szCs w:val="20"/>
              </w:rPr>
              <w:t>)</w:t>
            </w:r>
          </w:p>
          <w:p w:rsidR="00242AEE" w:rsidRPr="00A935AA" w:rsidRDefault="00242AEE" w:rsidP="003B3977">
            <w:pPr>
              <w:tabs>
                <w:tab w:val="left" w:pos="-1440"/>
                <w:tab w:val="left" w:pos="-720"/>
              </w:tabs>
              <w:rPr>
                <w:sz w:val="20"/>
                <w:szCs w:val="20"/>
              </w:rPr>
            </w:pPr>
          </w:p>
          <w:p w:rsidR="00242AEE" w:rsidRPr="00A935AA" w:rsidRDefault="003367E5" w:rsidP="003B3977">
            <w:pPr>
              <w:tabs>
                <w:tab w:val="left" w:pos="-1440"/>
                <w:tab w:val="left" w:pos="-720"/>
              </w:tabs>
              <w:rPr>
                <w:b/>
                <w:sz w:val="20"/>
                <w:szCs w:val="20"/>
              </w:rPr>
            </w:pPr>
            <w:r>
              <w:rPr>
                <w:b/>
                <w:sz w:val="20"/>
                <w:szCs w:val="20"/>
              </w:rPr>
              <w:t xml:space="preserve">Her Majesty the Queen </w:t>
            </w:r>
            <w:r w:rsidR="00242AEE" w:rsidRPr="00A935AA">
              <w:rPr>
                <w:b/>
                <w:sz w:val="20"/>
                <w:szCs w:val="20"/>
              </w:rPr>
              <w:t>(</w:t>
            </w:r>
            <w:r>
              <w:rPr>
                <w:b/>
                <w:sz w:val="20"/>
                <w:szCs w:val="20"/>
              </w:rPr>
              <w:t>N</w:t>
            </w:r>
            <w:r w:rsidR="00242AEE" w:rsidRPr="00A935AA">
              <w:rPr>
                <w:b/>
                <w:sz w:val="20"/>
                <w:szCs w:val="20"/>
              </w:rPr>
              <w:t>.</w:t>
            </w:r>
            <w:r>
              <w:rPr>
                <w:b/>
                <w:sz w:val="20"/>
                <w:szCs w:val="20"/>
              </w:rPr>
              <w:t>S</w:t>
            </w:r>
            <w:r w:rsidR="00242AEE" w:rsidRPr="00A935AA">
              <w:rPr>
                <w:b/>
                <w:sz w:val="20"/>
                <w:szCs w:val="20"/>
              </w:rPr>
              <w:t>.)</w:t>
            </w:r>
          </w:p>
          <w:p w:rsidR="00242AEE" w:rsidRPr="00A935AA" w:rsidRDefault="00242AEE" w:rsidP="003B3977">
            <w:pPr>
              <w:tabs>
                <w:tab w:val="left" w:pos="-1440"/>
                <w:tab w:val="left" w:pos="-720"/>
              </w:tabs>
              <w:rPr>
                <w:sz w:val="20"/>
                <w:szCs w:val="20"/>
              </w:rPr>
            </w:pPr>
            <w:r w:rsidRPr="00A935AA">
              <w:rPr>
                <w:sz w:val="20"/>
                <w:szCs w:val="20"/>
              </w:rPr>
              <w:tab/>
            </w:r>
            <w:r w:rsidR="003367E5">
              <w:rPr>
                <w:sz w:val="20"/>
                <w:szCs w:val="20"/>
              </w:rPr>
              <w:t>Marc A. Scott</w:t>
            </w:r>
          </w:p>
          <w:p w:rsidR="00242AEE" w:rsidRPr="00A935AA" w:rsidRDefault="00242AEE" w:rsidP="003B3977">
            <w:pPr>
              <w:tabs>
                <w:tab w:val="left" w:pos="-1440"/>
                <w:tab w:val="left" w:pos="-720"/>
              </w:tabs>
              <w:rPr>
                <w:sz w:val="20"/>
                <w:szCs w:val="20"/>
              </w:rPr>
            </w:pPr>
            <w:r w:rsidRPr="00A935AA">
              <w:rPr>
                <w:sz w:val="20"/>
                <w:szCs w:val="20"/>
              </w:rPr>
              <w:tab/>
            </w:r>
            <w:r w:rsidR="003367E5">
              <w:rPr>
                <w:sz w:val="20"/>
                <w:szCs w:val="20"/>
              </w:rPr>
              <w:t xml:space="preserve">Public Prosecution Service of Nova </w:t>
            </w:r>
            <w:r w:rsidR="003367E5">
              <w:rPr>
                <w:sz w:val="20"/>
                <w:szCs w:val="20"/>
              </w:rPr>
              <w:tab/>
              <w:t>Scotia</w:t>
            </w:r>
          </w:p>
          <w:p w:rsidR="00242AEE" w:rsidRPr="00A935AA" w:rsidRDefault="00242AEE" w:rsidP="003B3977">
            <w:pPr>
              <w:tabs>
                <w:tab w:val="left" w:pos="-1440"/>
                <w:tab w:val="left" w:pos="-720"/>
              </w:tabs>
              <w:rPr>
                <w:sz w:val="20"/>
                <w:szCs w:val="20"/>
              </w:rPr>
            </w:pPr>
          </w:p>
          <w:p w:rsidR="00242AEE" w:rsidRPr="00A935AA" w:rsidRDefault="00242AEE" w:rsidP="003B3977">
            <w:pPr>
              <w:rPr>
                <w:sz w:val="20"/>
                <w:szCs w:val="20"/>
              </w:rPr>
            </w:pPr>
            <w:r w:rsidRPr="00A935AA">
              <w:rPr>
                <w:sz w:val="20"/>
                <w:szCs w:val="20"/>
              </w:rPr>
              <w:t xml:space="preserve">FILING DATE: </w:t>
            </w:r>
            <w:r w:rsidR="003367E5">
              <w:rPr>
                <w:sz w:val="20"/>
                <w:szCs w:val="20"/>
              </w:rPr>
              <w:t>15</w:t>
            </w:r>
            <w:r w:rsidRPr="00A935AA">
              <w:rPr>
                <w:sz w:val="20"/>
                <w:szCs w:val="20"/>
              </w:rPr>
              <w:t>.0</w:t>
            </w:r>
            <w:r w:rsidR="003367E5">
              <w:rPr>
                <w:sz w:val="20"/>
                <w:szCs w:val="20"/>
              </w:rPr>
              <w:t>3</w:t>
            </w:r>
            <w:r w:rsidRPr="00A935AA">
              <w:rPr>
                <w:sz w:val="20"/>
                <w:szCs w:val="20"/>
              </w:rPr>
              <w:t>.201</w:t>
            </w:r>
            <w:r w:rsidR="009C22C6">
              <w:rPr>
                <w:sz w:val="20"/>
                <w:szCs w:val="20"/>
              </w:rPr>
              <w:t>1</w:t>
            </w:r>
          </w:p>
          <w:p w:rsidR="00242AEE" w:rsidRPr="00A935AA" w:rsidRDefault="004D20D2" w:rsidP="003B3977">
            <w:pPr>
              <w:rPr>
                <w:sz w:val="20"/>
                <w:szCs w:val="20"/>
              </w:rPr>
            </w:pPr>
            <w:r w:rsidRPr="004D20D2">
              <w:rPr>
                <w:sz w:val="20"/>
                <w:szCs w:val="20"/>
                <w:lang w:val="fr-CA"/>
              </w:rPr>
              <w:pict>
                <v:rect id="_x0000_i1025" style="width:108pt;height:1pt" o:hrpct="0" o:hralign="center" o:hrstd="t" o:hrnoshade="t" o:hr="t" fillcolor="black [3213]" stroked="f"/>
              </w:pict>
            </w:r>
          </w:p>
        </w:tc>
        <w:tc>
          <w:tcPr>
            <w:tcW w:w="1181" w:type="dxa"/>
            <w:shd w:val="clear" w:color="auto" w:fill="auto"/>
          </w:tcPr>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p w:rsidR="00242AEE" w:rsidRPr="00A935AA" w:rsidRDefault="00242AEE" w:rsidP="00242AEE">
            <w:pPr>
              <w:jc w:val="center"/>
              <w:rPr>
                <w:sz w:val="20"/>
                <w:szCs w:val="20"/>
              </w:rPr>
            </w:pPr>
          </w:p>
        </w:tc>
        <w:tc>
          <w:tcPr>
            <w:tcW w:w="4320" w:type="dxa"/>
            <w:shd w:val="clear" w:color="auto" w:fill="auto"/>
          </w:tcPr>
          <w:p w:rsidR="00242AEE" w:rsidRPr="00A935AA" w:rsidRDefault="003367E5" w:rsidP="003B3977">
            <w:pPr>
              <w:keepNext/>
              <w:keepLines/>
              <w:tabs>
                <w:tab w:val="left" w:pos="-1440"/>
                <w:tab w:val="left" w:pos="-720"/>
              </w:tabs>
              <w:rPr>
                <w:b/>
                <w:sz w:val="20"/>
                <w:szCs w:val="20"/>
              </w:rPr>
            </w:pPr>
            <w:r>
              <w:rPr>
                <w:b/>
                <w:sz w:val="20"/>
                <w:szCs w:val="20"/>
              </w:rPr>
              <w:t>David Pearlman</w:t>
            </w:r>
          </w:p>
          <w:p w:rsidR="00242AEE" w:rsidRPr="00A935AA" w:rsidRDefault="00242AEE" w:rsidP="003B3977">
            <w:pPr>
              <w:keepNext/>
              <w:keepLines/>
              <w:tabs>
                <w:tab w:val="left" w:pos="-1440"/>
                <w:tab w:val="left" w:pos="-720"/>
              </w:tabs>
              <w:rPr>
                <w:sz w:val="20"/>
                <w:szCs w:val="20"/>
              </w:rPr>
            </w:pPr>
            <w:r w:rsidRPr="00A935AA">
              <w:rPr>
                <w:sz w:val="20"/>
                <w:szCs w:val="20"/>
              </w:rPr>
              <w:tab/>
            </w:r>
            <w:r w:rsidR="003367E5">
              <w:rPr>
                <w:sz w:val="20"/>
                <w:szCs w:val="20"/>
              </w:rPr>
              <w:t>David Pearlman</w:t>
            </w:r>
          </w:p>
          <w:p w:rsidR="00242AEE" w:rsidRPr="00A935AA" w:rsidRDefault="00242AEE" w:rsidP="003B3977">
            <w:pPr>
              <w:keepNext/>
              <w:keepLines/>
              <w:tabs>
                <w:tab w:val="left" w:pos="-1440"/>
                <w:tab w:val="left" w:pos="-720"/>
              </w:tabs>
              <w:rPr>
                <w:sz w:val="20"/>
                <w:szCs w:val="20"/>
              </w:rPr>
            </w:pPr>
          </w:p>
          <w:p w:rsidR="00242AEE" w:rsidRPr="003367E5" w:rsidRDefault="00242AEE" w:rsidP="003B3977">
            <w:pPr>
              <w:keepNext/>
              <w:keepLines/>
              <w:tabs>
                <w:tab w:val="left" w:pos="-1440"/>
                <w:tab w:val="left" w:pos="-720"/>
              </w:tabs>
              <w:rPr>
                <w:sz w:val="20"/>
                <w:szCs w:val="20"/>
              </w:rPr>
            </w:pPr>
            <w:r w:rsidRPr="00A935AA">
              <w:rPr>
                <w:sz w:val="20"/>
                <w:szCs w:val="20"/>
              </w:rPr>
              <w:tab/>
            </w:r>
            <w:r w:rsidRPr="003367E5">
              <w:rPr>
                <w:sz w:val="20"/>
                <w:szCs w:val="20"/>
              </w:rPr>
              <w:t>v. (3</w:t>
            </w:r>
            <w:r w:rsidR="003367E5">
              <w:rPr>
                <w:sz w:val="20"/>
                <w:szCs w:val="20"/>
              </w:rPr>
              <w:t>3691</w:t>
            </w:r>
            <w:r w:rsidRPr="003367E5">
              <w:rPr>
                <w:sz w:val="20"/>
                <w:szCs w:val="20"/>
              </w:rPr>
              <w:t>)</w:t>
            </w:r>
          </w:p>
          <w:p w:rsidR="00242AEE" w:rsidRPr="003367E5" w:rsidRDefault="00242AEE" w:rsidP="003B3977">
            <w:pPr>
              <w:keepNext/>
              <w:keepLines/>
              <w:tabs>
                <w:tab w:val="left" w:pos="-1440"/>
                <w:tab w:val="left" w:pos="-720"/>
              </w:tabs>
              <w:rPr>
                <w:sz w:val="20"/>
                <w:szCs w:val="20"/>
              </w:rPr>
            </w:pPr>
          </w:p>
          <w:p w:rsidR="00242AEE" w:rsidRPr="003367E5" w:rsidRDefault="003367E5" w:rsidP="003B3977">
            <w:pPr>
              <w:keepNext/>
              <w:keepLines/>
              <w:tabs>
                <w:tab w:val="left" w:pos="-1440"/>
                <w:tab w:val="left" w:pos="-720"/>
              </w:tabs>
              <w:rPr>
                <w:b/>
                <w:sz w:val="20"/>
                <w:szCs w:val="20"/>
              </w:rPr>
            </w:pPr>
            <w:r>
              <w:rPr>
                <w:b/>
                <w:sz w:val="20"/>
                <w:szCs w:val="20"/>
              </w:rPr>
              <w:t xml:space="preserve">Atlantic Trading Company Ltd. et al. </w:t>
            </w:r>
            <w:r w:rsidR="00242AEE" w:rsidRPr="003367E5">
              <w:rPr>
                <w:b/>
                <w:sz w:val="20"/>
                <w:szCs w:val="20"/>
              </w:rPr>
              <w:t>(</w:t>
            </w:r>
            <w:r>
              <w:rPr>
                <w:b/>
                <w:sz w:val="20"/>
                <w:szCs w:val="20"/>
              </w:rPr>
              <w:t>B</w:t>
            </w:r>
            <w:r w:rsidR="00242AEE" w:rsidRPr="003367E5">
              <w:rPr>
                <w:b/>
                <w:sz w:val="20"/>
                <w:szCs w:val="20"/>
              </w:rPr>
              <w:t>.</w:t>
            </w:r>
            <w:r>
              <w:rPr>
                <w:b/>
                <w:sz w:val="20"/>
                <w:szCs w:val="20"/>
              </w:rPr>
              <w:t>C.</w:t>
            </w:r>
            <w:r w:rsidR="00242AEE" w:rsidRPr="003367E5">
              <w:rPr>
                <w:b/>
                <w:sz w:val="20"/>
                <w:szCs w:val="20"/>
              </w:rPr>
              <w:t>)</w:t>
            </w:r>
          </w:p>
          <w:p w:rsidR="00242AEE" w:rsidRPr="003367E5" w:rsidRDefault="00242AEE" w:rsidP="003B3977">
            <w:pPr>
              <w:keepNext/>
              <w:keepLines/>
              <w:tabs>
                <w:tab w:val="left" w:pos="-1440"/>
                <w:tab w:val="left" w:pos="-720"/>
              </w:tabs>
              <w:rPr>
                <w:sz w:val="20"/>
                <w:szCs w:val="20"/>
              </w:rPr>
            </w:pPr>
            <w:r w:rsidRPr="003367E5">
              <w:rPr>
                <w:sz w:val="20"/>
                <w:szCs w:val="20"/>
              </w:rPr>
              <w:tab/>
            </w:r>
            <w:r w:rsidR="003367E5">
              <w:rPr>
                <w:sz w:val="20"/>
                <w:szCs w:val="20"/>
              </w:rPr>
              <w:t>Vince G. Critchley</w:t>
            </w:r>
          </w:p>
          <w:p w:rsidR="00242AEE" w:rsidRPr="003367E5" w:rsidRDefault="00242AEE" w:rsidP="003B3977">
            <w:pPr>
              <w:keepNext/>
              <w:keepLines/>
              <w:tabs>
                <w:tab w:val="left" w:pos="-1440"/>
                <w:tab w:val="left" w:pos="-720"/>
              </w:tabs>
              <w:rPr>
                <w:sz w:val="20"/>
                <w:szCs w:val="20"/>
              </w:rPr>
            </w:pPr>
            <w:r w:rsidRPr="003367E5">
              <w:rPr>
                <w:sz w:val="20"/>
                <w:szCs w:val="20"/>
              </w:rPr>
              <w:tab/>
            </w:r>
            <w:r w:rsidR="003367E5">
              <w:rPr>
                <w:sz w:val="20"/>
                <w:szCs w:val="20"/>
              </w:rPr>
              <w:t>Quinlan Abriou</w:t>
            </w:r>
            <w:r w:rsidR="00AD4563">
              <w:rPr>
                <w:sz w:val="20"/>
                <w:szCs w:val="20"/>
              </w:rPr>
              <w:t>x</w:t>
            </w:r>
          </w:p>
          <w:p w:rsidR="00242AEE" w:rsidRPr="003367E5" w:rsidRDefault="00242AEE" w:rsidP="003B3977">
            <w:pPr>
              <w:keepNext/>
              <w:keepLines/>
              <w:tabs>
                <w:tab w:val="left" w:pos="-1440"/>
                <w:tab w:val="left" w:pos="-720"/>
              </w:tabs>
              <w:rPr>
                <w:sz w:val="20"/>
                <w:szCs w:val="20"/>
              </w:rPr>
            </w:pPr>
          </w:p>
          <w:p w:rsidR="00242AEE" w:rsidRPr="00A935AA" w:rsidRDefault="00242AEE" w:rsidP="003367E5">
            <w:pPr>
              <w:rPr>
                <w:sz w:val="20"/>
                <w:szCs w:val="20"/>
              </w:rPr>
            </w:pPr>
            <w:r w:rsidRPr="00A935AA">
              <w:rPr>
                <w:sz w:val="20"/>
                <w:szCs w:val="20"/>
              </w:rPr>
              <w:t>FILING DATE: 2</w:t>
            </w:r>
            <w:r w:rsidR="003367E5">
              <w:rPr>
                <w:sz w:val="20"/>
                <w:szCs w:val="20"/>
              </w:rPr>
              <w:t>4</w:t>
            </w:r>
            <w:r w:rsidRPr="00A935AA">
              <w:rPr>
                <w:sz w:val="20"/>
                <w:szCs w:val="20"/>
              </w:rPr>
              <w:t>.0</w:t>
            </w:r>
            <w:r w:rsidR="003367E5">
              <w:rPr>
                <w:sz w:val="20"/>
                <w:szCs w:val="20"/>
              </w:rPr>
              <w:t>5</w:t>
            </w:r>
            <w:r w:rsidRPr="00A935AA">
              <w:rPr>
                <w:sz w:val="20"/>
                <w:szCs w:val="20"/>
              </w:rPr>
              <w:t>.201</w:t>
            </w:r>
            <w:r w:rsidR="009C22C6">
              <w:rPr>
                <w:sz w:val="20"/>
                <w:szCs w:val="20"/>
              </w:rPr>
              <w:t>1</w:t>
            </w:r>
            <w:r w:rsidR="004D20D2" w:rsidRPr="004D20D2">
              <w:rPr>
                <w:sz w:val="20"/>
                <w:szCs w:val="20"/>
                <w:lang w:val="fr-CA"/>
              </w:rPr>
              <w:pict>
                <v:rect id="_x0000_i1026" style="width:108pt;height:1pt" o:hrpct="0" o:hralign="center" o:hrstd="t" o:hrnoshade="t" o:hr="t" fillcolor="black [3213]" stroked="f"/>
              </w:pict>
            </w:r>
          </w:p>
        </w:tc>
      </w:tr>
      <w:tr w:rsidR="003367E5" w:rsidRPr="00A935AA" w:rsidTr="003B3977">
        <w:tc>
          <w:tcPr>
            <w:tcW w:w="4320" w:type="dxa"/>
            <w:shd w:val="clear" w:color="auto" w:fill="auto"/>
          </w:tcPr>
          <w:p w:rsidR="003367E5" w:rsidRDefault="003367E5" w:rsidP="003367E5">
            <w:pPr>
              <w:rPr>
                <w:b/>
                <w:sz w:val="20"/>
                <w:szCs w:val="20"/>
              </w:rPr>
            </w:pPr>
          </w:p>
          <w:p w:rsidR="003367E5" w:rsidRPr="00A935AA" w:rsidRDefault="003367E5" w:rsidP="003367E5">
            <w:pPr>
              <w:rPr>
                <w:b/>
                <w:sz w:val="20"/>
                <w:szCs w:val="20"/>
              </w:rPr>
            </w:pPr>
            <w:r>
              <w:rPr>
                <w:b/>
                <w:sz w:val="20"/>
                <w:szCs w:val="20"/>
              </w:rPr>
              <w:t>David P.J. Norman a.k.a. Jim Norman</w:t>
            </w:r>
          </w:p>
          <w:p w:rsidR="003367E5" w:rsidRPr="00A935AA" w:rsidRDefault="003367E5" w:rsidP="003367E5">
            <w:pPr>
              <w:tabs>
                <w:tab w:val="left" w:pos="-1440"/>
                <w:tab w:val="left" w:pos="-720"/>
              </w:tabs>
              <w:rPr>
                <w:sz w:val="20"/>
                <w:szCs w:val="20"/>
              </w:rPr>
            </w:pPr>
            <w:r w:rsidRPr="00A935AA">
              <w:rPr>
                <w:sz w:val="20"/>
                <w:szCs w:val="20"/>
              </w:rPr>
              <w:tab/>
            </w:r>
            <w:r>
              <w:rPr>
                <w:sz w:val="20"/>
                <w:szCs w:val="20"/>
              </w:rPr>
              <w:t>David P.J. Norman</w:t>
            </w:r>
          </w:p>
          <w:p w:rsidR="003367E5" w:rsidRPr="00A935AA" w:rsidRDefault="003367E5" w:rsidP="003367E5">
            <w:pPr>
              <w:tabs>
                <w:tab w:val="left" w:pos="-1440"/>
                <w:tab w:val="left" w:pos="-720"/>
              </w:tabs>
              <w:rPr>
                <w:sz w:val="20"/>
                <w:szCs w:val="20"/>
              </w:rPr>
            </w:pPr>
          </w:p>
          <w:p w:rsidR="003367E5" w:rsidRPr="00A935AA" w:rsidRDefault="003367E5" w:rsidP="003367E5">
            <w:pPr>
              <w:tabs>
                <w:tab w:val="left" w:pos="-1440"/>
                <w:tab w:val="left" w:pos="-720"/>
              </w:tabs>
              <w:rPr>
                <w:sz w:val="20"/>
                <w:szCs w:val="20"/>
              </w:rPr>
            </w:pPr>
            <w:r w:rsidRPr="00A935AA">
              <w:rPr>
                <w:sz w:val="20"/>
                <w:szCs w:val="20"/>
              </w:rPr>
              <w:tab/>
              <w:t>v. (3</w:t>
            </w:r>
            <w:r>
              <w:rPr>
                <w:sz w:val="20"/>
                <w:szCs w:val="20"/>
              </w:rPr>
              <w:t>4285</w:t>
            </w:r>
            <w:r w:rsidRPr="00A935AA">
              <w:rPr>
                <w:sz w:val="20"/>
                <w:szCs w:val="20"/>
              </w:rPr>
              <w:t>)</w:t>
            </w:r>
          </w:p>
          <w:p w:rsidR="003367E5" w:rsidRPr="00A935AA" w:rsidRDefault="003367E5" w:rsidP="003367E5">
            <w:pPr>
              <w:tabs>
                <w:tab w:val="left" w:pos="-1440"/>
                <w:tab w:val="left" w:pos="-720"/>
              </w:tabs>
              <w:rPr>
                <w:sz w:val="20"/>
                <w:szCs w:val="20"/>
              </w:rPr>
            </w:pPr>
          </w:p>
          <w:p w:rsidR="003367E5" w:rsidRPr="00A935AA" w:rsidRDefault="003367E5" w:rsidP="003367E5">
            <w:pPr>
              <w:tabs>
                <w:tab w:val="left" w:pos="-1440"/>
                <w:tab w:val="left" w:pos="-720"/>
              </w:tabs>
              <w:rPr>
                <w:b/>
                <w:sz w:val="20"/>
                <w:szCs w:val="20"/>
              </w:rPr>
            </w:pPr>
            <w:r>
              <w:rPr>
                <w:b/>
                <w:sz w:val="20"/>
                <w:szCs w:val="20"/>
              </w:rPr>
              <w:t xml:space="preserve">Attorney General of Canada on behalf of the United States of America et al. </w:t>
            </w:r>
            <w:r w:rsidRPr="00A935AA">
              <w:rPr>
                <w:b/>
                <w:sz w:val="20"/>
                <w:szCs w:val="20"/>
              </w:rPr>
              <w:t>(</w:t>
            </w:r>
            <w:r>
              <w:rPr>
                <w:b/>
                <w:sz w:val="20"/>
                <w:szCs w:val="20"/>
              </w:rPr>
              <w:t>Ont</w:t>
            </w:r>
            <w:r w:rsidRPr="00A935AA">
              <w:rPr>
                <w:b/>
                <w:sz w:val="20"/>
                <w:szCs w:val="20"/>
              </w:rPr>
              <w:t>.)</w:t>
            </w:r>
          </w:p>
          <w:p w:rsidR="003367E5" w:rsidRPr="00A935AA" w:rsidRDefault="003367E5" w:rsidP="003367E5">
            <w:pPr>
              <w:tabs>
                <w:tab w:val="left" w:pos="-1440"/>
                <w:tab w:val="left" w:pos="-720"/>
              </w:tabs>
              <w:rPr>
                <w:sz w:val="20"/>
                <w:szCs w:val="20"/>
              </w:rPr>
            </w:pPr>
            <w:r w:rsidRPr="00A935AA">
              <w:rPr>
                <w:sz w:val="20"/>
                <w:szCs w:val="20"/>
              </w:rPr>
              <w:tab/>
            </w:r>
            <w:r>
              <w:rPr>
                <w:sz w:val="20"/>
                <w:szCs w:val="20"/>
              </w:rPr>
              <w:t>Nancy Dennison</w:t>
            </w:r>
          </w:p>
          <w:p w:rsidR="003367E5" w:rsidRPr="00A935AA" w:rsidRDefault="003367E5" w:rsidP="003367E5">
            <w:pPr>
              <w:tabs>
                <w:tab w:val="left" w:pos="-1440"/>
                <w:tab w:val="left" w:pos="-720"/>
              </w:tabs>
              <w:rPr>
                <w:sz w:val="20"/>
                <w:szCs w:val="20"/>
              </w:rPr>
            </w:pPr>
            <w:r w:rsidRPr="00A935AA">
              <w:rPr>
                <w:sz w:val="20"/>
                <w:szCs w:val="20"/>
              </w:rPr>
              <w:tab/>
            </w:r>
            <w:r>
              <w:rPr>
                <w:sz w:val="20"/>
                <w:szCs w:val="20"/>
              </w:rPr>
              <w:t>A.G. of Canada</w:t>
            </w:r>
          </w:p>
          <w:p w:rsidR="003367E5" w:rsidRPr="00A935AA" w:rsidRDefault="003367E5" w:rsidP="003367E5">
            <w:pPr>
              <w:tabs>
                <w:tab w:val="left" w:pos="-1440"/>
                <w:tab w:val="left" w:pos="-720"/>
              </w:tabs>
              <w:rPr>
                <w:sz w:val="20"/>
                <w:szCs w:val="20"/>
              </w:rPr>
            </w:pPr>
          </w:p>
          <w:p w:rsidR="003367E5" w:rsidRPr="00A935AA" w:rsidRDefault="003367E5" w:rsidP="003367E5">
            <w:pPr>
              <w:rPr>
                <w:sz w:val="20"/>
                <w:szCs w:val="20"/>
              </w:rPr>
            </w:pPr>
            <w:r w:rsidRPr="00A935AA">
              <w:rPr>
                <w:sz w:val="20"/>
                <w:szCs w:val="20"/>
              </w:rPr>
              <w:t>FILING DATE: 2</w:t>
            </w:r>
            <w:r>
              <w:rPr>
                <w:sz w:val="20"/>
                <w:szCs w:val="20"/>
              </w:rPr>
              <w:t>6</w:t>
            </w:r>
            <w:r w:rsidRPr="00A935AA">
              <w:rPr>
                <w:sz w:val="20"/>
                <w:szCs w:val="20"/>
              </w:rPr>
              <w:t>.0</w:t>
            </w:r>
            <w:r>
              <w:rPr>
                <w:sz w:val="20"/>
                <w:szCs w:val="20"/>
              </w:rPr>
              <w:t>5</w:t>
            </w:r>
            <w:r w:rsidRPr="00A935AA">
              <w:rPr>
                <w:sz w:val="20"/>
                <w:szCs w:val="20"/>
              </w:rPr>
              <w:t>.201</w:t>
            </w:r>
            <w:r>
              <w:rPr>
                <w:sz w:val="20"/>
                <w:szCs w:val="20"/>
              </w:rPr>
              <w:t>1</w:t>
            </w:r>
          </w:p>
          <w:p w:rsidR="003367E5" w:rsidRPr="00A935AA" w:rsidRDefault="004D20D2" w:rsidP="003367E5">
            <w:pPr>
              <w:rPr>
                <w:sz w:val="20"/>
                <w:szCs w:val="20"/>
              </w:rPr>
            </w:pPr>
            <w:r w:rsidRPr="004D20D2">
              <w:rPr>
                <w:sz w:val="20"/>
                <w:szCs w:val="20"/>
                <w:lang w:val="fr-CA"/>
              </w:rPr>
              <w:pict>
                <v:rect id="_x0000_i1027" style="width:108pt;height:1pt" o:hrpct="0" o:hralign="center" o:hrstd="t" o:hrnoshade="t" o:hr="t" fillcolor="black [3213]" stroked="f"/>
              </w:pict>
            </w:r>
          </w:p>
        </w:tc>
        <w:tc>
          <w:tcPr>
            <w:tcW w:w="1181" w:type="dxa"/>
            <w:shd w:val="clear" w:color="auto" w:fill="auto"/>
          </w:tcPr>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tc>
        <w:tc>
          <w:tcPr>
            <w:tcW w:w="4320" w:type="dxa"/>
            <w:shd w:val="clear" w:color="auto" w:fill="auto"/>
          </w:tcPr>
          <w:p w:rsidR="003367E5" w:rsidRPr="00A935AA" w:rsidRDefault="003367E5" w:rsidP="003367E5">
            <w:pPr>
              <w:keepNext/>
              <w:keepLines/>
              <w:tabs>
                <w:tab w:val="left" w:pos="-1440"/>
                <w:tab w:val="left" w:pos="-720"/>
              </w:tabs>
              <w:rPr>
                <w:b/>
                <w:sz w:val="20"/>
                <w:szCs w:val="20"/>
              </w:rPr>
            </w:pPr>
            <w:r>
              <w:rPr>
                <w:b/>
                <w:sz w:val="20"/>
                <w:szCs w:val="20"/>
              </w:rPr>
              <w:t>J.F.</w:t>
            </w:r>
          </w:p>
          <w:p w:rsidR="003367E5" w:rsidRPr="00A935AA" w:rsidRDefault="003367E5" w:rsidP="003367E5">
            <w:pPr>
              <w:keepNext/>
              <w:keepLines/>
              <w:tabs>
                <w:tab w:val="left" w:pos="-1440"/>
                <w:tab w:val="left" w:pos="-720"/>
              </w:tabs>
              <w:rPr>
                <w:sz w:val="20"/>
                <w:szCs w:val="20"/>
              </w:rPr>
            </w:pPr>
            <w:r w:rsidRPr="00A935AA">
              <w:rPr>
                <w:sz w:val="20"/>
                <w:szCs w:val="20"/>
              </w:rPr>
              <w:tab/>
            </w:r>
            <w:r>
              <w:rPr>
                <w:sz w:val="20"/>
                <w:szCs w:val="20"/>
              </w:rPr>
              <w:t>Keith E. Wright</w:t>
            </w:r>
          </w:p>
          <w:p w:rsidR="003367E5" w:rsidRPr="00A935AA" w:rsidRDefault="003367E5" w:rsidP="003367E5">
            <w:pPr>
              <w:keepNext/>
              <w:keepLines/>
              <w:tabs>
                <w:tab w:val="left" w:pos="-1440"/>
                <w:tab w:val="left" w:pos="-720"/>
              </w:tabs>
              <w:rPr>
                <w:sz w:val="20"/>
                <w:szCs w:val="20"/>
              </w:rPr>
            </w:pPr>
          </w:p>
          <w:p w:rsidR="003367E5" w:rsidRPr="003367E5" w:rsidRDefault="003367E5" w:rsidP="003367E5">
            <w:pPr>
              <w:keepNext/>
              <w:keepLines/>
              <w:tabs>
                <w:tab w:val="left" w:pos="-1440"/>
                <w:tab w:val="left" w:pos="-720"/>
              </w:tabs>
              <w:rPr>
                <w:sz w:val="20"/>
                <w:szCs w:val="20"/>
              </w:rPr>
            </w:pPr>
            <w:r w:rsidRPr="00A935AA">
              <w:rPr>
                <w:sz w:val="20"/>
                <w:szCs w:val="20"/>
              </w:rPr>
              <w:tab/>
            </w:r>
            <w:r w:rsidRPr="003367E5">
              <w:rPr>
                <w:sz w:val="20"/>
                <w:szCs w:val="20"/>
              </w:rPr>
              <w:t>v. (34</w:t>
            </w:r>
            <w:r>
              <w:rPr>
                <w:sz w:val="20"/>
                <w:szCs w:val="20"/>
              </w:rPr>
              <w:t>284</w:t>
            </w:r>
            <w:r w:rsidRPr="003367E5">
              <w:rPr>
                <w:sz w:val="20"/>
                <w:szCs w:val="20"/>
              </w:rPr>
              <w:t>)</w:t>
            </w:r>
          </w:p>
          <w:p w:rsidR="003367E5" w:rsidRPr="003367E5" w:rsidRDefault="003367E5" w:rsidP="003367E5">
            <w:pPr>
              <w:keepNext/>
              <w:keepLines/>
              <w:tabs>
                <w:tab w:val="left" w:pos="-1440"/>
                <w:tab w:val="left" w:pos="-720"/>
              </w:tabs>
              <w:rPr>
                <w:sz w:val="20"/>
                <w:szCs w:val="20"/>
              </w:rPr>
            </w:pPr>
          </w:p>
          <w:p w:rsidR="003367E5" w:rsidRPr="003367E5" w:rsidRDefault="003367E5" w:rsidP="003367E5">
            <w:pPr>
              <w:keepNext/>
              <w:keepLines/>
              <w:tabs>
                <w:tab w:val="left" w:pos="-1440"/>
                <w:tab w:val="left" w:pos="-720"/>
              </w:tabs>
              <w:rPr>
                <w:b/>
                <w:sz w:val="20"/>
                <w:szCs w:val="20"/>
              </w:rPr>
            </w:pPr>
            <w:r>
              <w:rPr>
                <w:b/>
                <w:sz w:val="20"/>
                <w:szCs w:val="20"/>
              </w:rPr>
              <w:t xml:space="preserve">Her Majesty the Queen </w:t>
            </w:r>
            <w:r w:rsidRPr="003367E5">
              <w:rPr>
                <w:b/>
                <w:sz w:val="20"/>
                <w:szCs w:val="20"/>
              </w:rPr>
              <w:t>(Ont.)</w:t>
            </w:r>
          </w:p>
          <w:p w:rsidR="003367E5" w:rsidRPr="003367E5" w:rsidRDefault="003367E5" w:rsidP="003367E5">
            <w:pPr>
              <w:keepNext/>
              <w:keepLines/>
              <w:tabs>
                <w:tab w:val="left" w:pos="-1440"/>
                <w:tab w:val="left" w:pos="-720"/>
              </w:tabs>
              <w:rPr>
                <w:sz w:val="20"/>
                <w:szCs w:val="20"/>
              </w:rPr>
            </w:pPr>
            <w:r w:rsidRPr="003367E5">
              <w:rPr>
                <w:sz w:val="20"/>
                <w:szCs w:val="20"/>
              </w:rPr>
              <w:tab/>
            </w:r>
            <w:r>
              <w:rPr>
                <w:sz w:val="20"/>
                <w:szCs w:val="20"/>
              </w:rPr>
              <w:t>Alexander Alvaro</w:t>
            </w:r>
          </w:p>
          <w:p w:rsidR="003367E5" w:rsidRPr="003367E5" w:rsidRDefault="003367E5" w:rsidP="003367E5">
            <w:pPr>
              <w:keepNext/>
              <w:keepLines/>
              <w:tabs>
                <w:tab w:val="left" w:pos="-1440"/>
                <w:tab w:val="left" w:pos="-720"/>
              </w:tabs>
              <w:rPr>
                <w:sz w:val="20"/>
                <w:szCs w:val="20"/>
              </w:rPr>
            </w:pPr>
            <w:r w:rsidRPr="003367E5">
              <w:rPr>
                <w:sz w:val="20"/>
                <w:szCs w:val="20"/>
              </w:rPr>
              <w:tab/>
            </w:r>
            <w:r>
              <w:rPr>
                <w:sz w:val="20"/>
                <w:szCs w:val="20"/>
              </w:rPr>
              <w:t>A.G. of Ontario</w:t>
            </w:r>
          </w:p>
          <w:p w:rsidR="003367E5" w:rsidRPr="003367E5" w:rsidRDefault="003367E5" w:rsidP="003367E5">
            <w:pPr>
              <w:keepNext/>
              <w:keepLines/>
              <w:tabs>
                <w:tab w:val="left" w:pos="-1440"/>
                <w:tab w:val="left" w:pos="-720"/>
              </w:tabs>
              <w:rPr>
                <w:sz w:val="20"/>
                <w:szCs w:val="20"/>
              </w:rPr>
            </w:pPr>
          </w:p>
          <w:p w:rsidR="003367E5" w:rsidRPr="00AF4773" w:rsidRDefault="003367E5" w:rsidP="003367E5">
            <w:pPr>
              <w:rPr>
                <w:sz w:val="20"/>
                <w:szCs w:val="20"/>
              </w:rPr>
            </w:pPr>
            <w:r w:rsidRPr="00A935AA">
              <w:rPr>
                <w:sz w:val="20"/>
                <w:szCs w:val="20"/>
              </w:rPr>
              <w:t xml:space="preserve">FILING DATE: </w:t>
            </w:r>
            <w:r>
              <w:rPr>
                <w:sz w:val="20"/>
                <w:szCs w:val="20"/>
              </w:rPr>
              <w:t>31</w:t>
            </w:r>
            <w:r w:rsidRPr="00A935AA">
              <w:rPr>
                <w:sz w:val="20"/>
                <w:szCs w:val="20"/>
              </w:rPr>
              <w:t>.0</w:t>
            </w:r>
            <w:r>
              <w:rPr>
                <w:sz w:val="20"/>
                <w:szCs w:val="20"/>
              </w:rPr>
              <w:t>5</w:t>
            </w:r>
            <w:r w:rsidRPr="00A935AA">
              <w:rPr>
                <w:sz w:val="20"/>
                <w:szCs w:val="20"/>
              </w:rPr>
              <w:t>.201</w:t>
            </w:r>
            <w:r>
              <w:rPr>
                <w:sz w:val="20"/>
                <w:szCs w:val="20"/>
              </w:rPr>
              <w:t>1</w:t>
            </w:r>
            <w:r w:rsidR="004D20D2" w:rsidRPr="004D20D2">
              <w:rPr>
                <w:sz w:val="20"/>
                <w:szCs w:val="20"/>
                <w:lang w:val="fr-CA"/>
              </w:rPr>
              <w:pict>
                <v:rect id="_x0000_i1028" style="width:108pt;height:1pt" o:hrpct="0" o:hralign="center" o:hrstd="t" o:hrnoshade="t" o:hr="t" fillcolor="black [3213]" stroked="f"/>
              </w:pict>
            </w:r>
          </w:p>
          <w:p w:rsidR="003367E5" w:rsidRPr="00AF4773" w:rsidRDefault="003367E5" w:rsidP="003367E5">
            <w:pPr>
              <w:rPr>
                <w:sz w:val="20"/>
                <w:szCs w:val="20"/>
              </w:rPr>
            </w:pPr>
          </w:p>
          <w:p w:rsidR="006E1555" w:rsidRDefault="006E1555" w:rsidP="003367E5">
            <w:pPr>
              <w:rPr>
                <w:b/>
                <w:sz w:val="20"/>
                <w:szCs w:val="20"/>
              </w:rPr>
            </w:pPr>
            <w:r>
              <w:rPr>
                <w:b/>
                <w:sz w:val="20"/>
                <w:szCs w:val="20"/>
              </w:rPr>
              <w:t>Her Majesty the Queen</w:t>
            </w:r>
            <w:r w:rsidR="003367E5" w:rsidRPr="003367E5">
              <w:rPr>
                <w:b/>
                <w:sz w:val="20"/>
                <w:szCs w:val="20"/>
              </w:rPr>
              <w:t xml:space="preserve"> </w:t>
            </w:r>
          </w:p>
          <w:p w:rsidR="003367E5" w:rsidRPr="006E1555" w:rsidRDefault="006E1555" w:rsidP="003367E5">
            <w:pPr>
              <w:rPr>
                <w:sz w:val="20"/>
                <w:szCs w:val="20"/>
              </w:rPr>
            </w:pPr>
            <w:r>
              <w:rPr>
                <w:sz w:val="20"/>
                <w:szCs w:val="20"/>
              </w:rPr>
              <w:tab/>
              <w:t>Malliha Wilson</w:t>
            </w:r>
          </w:p>
        </w:tc>
      </w:tr>
      <w:tr w:rsidR="003367E5" w:rsidRPr="00A935AA" w:rsidTr="003B3977">
        <w:tc>
          <w:tcPr>
            <w:tcW w:w="4320" w:type="dxa"/>
            <w:shd w:val="clear" w:color="auto" w:fill="auto"/>
          </w:tcPr>
          <w:p w:rsidR="003367E5" w:rsidRPr="00A935AA" w:rsidRDefault="006E1555" w:rsidP="003367E5">
            <w:pPr>
              <w:rPr>
                <w:b/>
                <w:sz w:val="20"/>
                <w:szCs w:val="20"/>
              </w:rPr>
            </w:pPr>
            <w:r>
              <w:rPr>
                <w:b/>
                <w:sz w:val="20"/>
                <w:szCs w:val="20"/>
              </w:rPr>
              <w:t>Toshiba of Canada Limited</w:t>
            </w:r>
          </w:p>
          <w:p w:rsidR="003367E5" w:rsidRPr="00A935AA" w:rsidRDefault="003367E5" w:rsidP="003367E5">
            <w:pPr>
              <w:tabs>
                <w:tab w:val="left" w:pos="-1440"/>
                <w:tab w:val="left" w:pos="-720"/>
              </w:tabs>
              <w:rPr>
                <w:sz w:val="20"/>
                <w:szCs w:val="20"/>
              </w:rPr>
            </w:pPr>
            <w:r w:rsidRPr="00A935AA">
              <w:rPr>
                <w:sz w:val="20"/>
                <w:szCs w:val="20"/>
              </w:rPr>
              <w:tab/>
            </w:r>
            <w:r w:rsidR="004B3C1E">
              <w:rPr>
                <w:sz w:val="20"/>
                <w:szCs w:val="20"/>
              </w:rPr>
              <w:t>Neal J. Smitheman</w:t>
            </w:r>
          </w:p>
          <w:p w:rsidR="003367E5" w:rsidRPr="00A935AA" w:rsidRDefault="003367E5" w:rsidP="003367E5">
            <w:pPr>
              <w:tabs>
                <w:tab w:val="left" w:pos="-1440"/>
                <w:tab w:val="left" w:pos="-720"/>
              </w:tabs>
              <w:rPr>
                <w:sz w:val="20"/>
                <w:szCs w:val="20"/>
              </w:rPr>
            </w:pPr>
            <w:r w:rsidRPr="00A935AA">
              <w:rPr>
                <w:sz w:val="20"/>
                <w:szCs w:val="20"/>
              </w:rPr>
              <w:tab/>
            </w:r>
            <w:r w:rsidR="004B3C1E">
              <w:rPr>
                <w:sz w:val="20"/>
                <w:szCs w:val="20"/>
              </w:rPr>
              <w:t>Fasken Martineau DuMoulin LLP</w:t>
            </w:r>
          </w:p>
          <w:p w:rsidR="003367E5" w:rsidRPr="00A935AA" w:rsidRDefault="003367E5" w:rsidP="003367E5">
            <w:pPr>
              <w:tabs>
                <w:tab w:val="left" w:pos="-1440"/>
                <w:tab w:val="left" w:pos="-720"/>
              </w:tabs>
              <w:rPr>
                <w:sz w:val="20"/>
                <w:szCs w:val="20"/>
              </w:rPr>
            </w:pPr>
          </w:p>
          <w:p w:rsidR="003367E5" w:rsidRPr="00A935AA" w:rsidRDefault="003367E5" w:rsidP="003367E5">
            <w:pPr>
              <w:tabs>
                <w:tab w:val="left" w:pos="-1440"/>
                <w:tab w:val="left" w:pos="-720"/>
              </w:tabs>
              <w:rPr>
                <w:sz w:val="20"/>
                <w:szCs w:val="20"/>
              </w:rPr>
            </w:pPr>
            <w:r w:rsidRPr="00A935AA">
              <w:rPr>
                <w:sz w:val="20"/>
                <w:szCs w:val="20"/>
              </w:rPr>
              <w:tab/>
              <w:t>v. (3</w:t>
            </w:r>
            <w:r w:rsidR="004B3C1E">
              <w:rPr>
                <w:sz w:val="20"/>
                <w:szCs w:val="20"/>
              </w:rPr>
              <w:t>36</w:t>
            </w:r>
            <w:r>
              <w:rPr>
                <w:sz w:val="20"/>
                <w:szCs w:val="20"/>
              </w:rPr>
              <w:t>1</w:t>
            </w:r>
            <w:r w:rsidR="004B3C1E">
              <w:rPr>
                <w:sz w:val="20"/>
                <w:szCs w:val="20"/>
              </w:rPr>
              <w:t>9</w:t>
            </w:r>
            <w:r w:rsidRPr="00A935AA">
              <w:rPr>
                <w:sz w:val="20"/>
                <w:szCs w:val="20"/>
              </w:rPr>
              <w:t>)</w:t>
            </w:r>
          </w:p>
          <w:p w:rsidR="003367E5" w:rsidRPr="00A935AA" w:rsidRDefault="003367E5" w:rsidP="003367E5">
            <w:pPr>
              <w:tabs>
                <w:tab w:val="left" w:pos="-1440"/>
                <w:tab w:val="left" w:pos="-720"/>
              </w:tabs>
              <w:rPr>
                <w:sz w:val="20"/>
                <w:szCs w:val="20"/>
              </w:rPr>
            </w:pPr>
          </w:p>
          <w:p w:rsidR="003367E5" w:rsidRPr="00A935AA" w:rsidRDefault="003367E5" w:rsidP="003367E5">
            <w:pPr>
              <w:tabs>
                <w:tab w:val="left" w:pos="-1440"/>
                <w:tab w:val="left" w:pos="-720"/>
              </w:tabs>
              <w:rPr>
                <w:b/>
                <w:sz w:val="20"/>
                <w:szCs w:val="20"/>
              </w:rPr>
            </w:pPr>
            <w:r>
              <w:rPr>
                <w:b/>
                <w:sz w:val="20"/>
                <w:szCs w:val="20"/>
              </w:rPr>
              <w:t>C</w:t>
            </w:r>
            <w:r w:rsidR="004B3C1E">
              <w:rPr>
                <w:b/>
                <w:sz w:val="20"/>
                <w:szCs w:val="20"/>
              </w:rPr>
              <w:t>om</w:t>
            </w:r>
            <w:r>
              <w:rPr>
                <w:b/>
                <w:sz w:val="20"/>
                <w:szCs w:val="20"/>
              </w:rPr>
              <w:t>mi</w:t>
            </w:r>
            <w:r w:rsidR="004B3C1E">
              <w:rPr>
                <w:b/>
                <w:sz w:val="20"/>
                <w:szCs w:val="20"/>
              </w:rPr>
              <w:t>ssio</w:t>
            </w:r>
            <w:r>
              <w:rPr>
                <w:b/>
                <w:sz w:val="20"/>
                <w:szCs w:val="20"/>
              </w:rPr>
              <w:t>ner</w:t>
            </w:r>
            <w:r w:rsidR="004B3C1E">
              <w:rPr>
                <w:b/>
                <w:sz w:val="20"/>
                <w:szCs w:val="20"/>
              </w:rPr>
              <w:t xml:space="preserve"> of C</w:t>
            </w:r>
            <w:r>
              <w:rPr>
                <w:b/>
                <w:sz w:val="20"/>
                <w:szCs w:val="20"/>
              </w:rPr>
              <w:t>o</w:t>
            </w:r>
            <w:r w:rsidR="004B3C1E">
              <w:rPr>
                <w:b/>
                <w:sz w:val="20"/>
                <w:szCs w:val="20"/>
              </w:rPr>
              <w:t>mpe</w:t>
            </w:r>
            <w:r>
              <w:rPr>
                <w:b/>
                <w:sz w:val="20"/>
                <w:szCs w:val="20"/>
              </w:rPr>
              <w:t>titio</w:t>
            </w:r>
            <w:r w:rsidR="004B3C1E">
              <w:rPr>
                <w:b/>
                <w:sz w:val="20"/>
                <w:szCs w:val="20"/>
              </w:rPr>
              <w:t>n</w:t>
            </w:r>
            <w:r>
              <w:rPr>
                <w:b/>
                <w:sz w:val="20"/>
                <w:szCs w:val="20"/>
              </w:rPr>
              <w:t xml:space="preserve"> </w:t>
            </w:r>
            <w:r w:rsidRPr="00A935AA">
              <w:rPr>
                <w:b/>
                <w:sz w:val="20"/>
                <w:szCs w:val="20"/>
              </w:rPr>
              <w:t>(</w:t>
            </w:r>
            <w:r>
              <w:rPr>
                <w:b/>
                <w:sz w:val="20"/>
                <w:szCs w:val="20"/>
              </w:rPr>
              <w:t>Ont</w:t>
            </w:r>
            <w:r w:rsidRPr="00A935AA">
              <w:rPr>
                <w:b/>
                <w:sz w:val="20"/>
                <w:szCs w:val="20"/>
              </w:rPr>
              <w:t>.)</w:t>
            </w:r>
          </w:p>
          <w:p w:rsidR="003367E5" w:rsidRPr="00A935AA" w:rsidRDefault="003367E5" w:rsidP="003367E5">
            <w:pPr>
              <w:tabs>
                <w:tab w:val="left" w:pos="-1440"/>
                <w:tab w:val="left" w:pos="-720"/>
              </w:tabs>
              <w:rPr>
                <w:sz w:val="20"/>
                <w:szCs w:val="20"/>
              </w:rPr>
            </w:pPr>
            <w:r w:rsidRPr="00A935AA">
              <w:rPr>
                <w:sz w:val="20"/>
                <w:szCs w:val="20"/>
              </w:rPr>
              <w:tab/>
            </w:r>
            <w:r w:rsidR="004B3C1E">
              <w:rPr>
                <w:sz w:val="20"/>
                <w:szCs w:val="20"/>
              </w:rPr>
              <w:t>Jim Marshall</w:t>
            </w:r>
          </w:p>
          <w:p w:rsidR="003367E5" w:rsidRPr="00A935AA" w:rsidRDefault="003367E5" w:rsidP="003367E5">
            <w:pPr>
              <w:tabs>
                <w:tab w:val="left" w:pos="-1440"/>
                <w:tab w:val="left" w:pos="-720"/>
              </w:tabs>
              <w:rPr>
                <w:sz w:val="20"/>
                <w:szCs w:val="20"/>
              </w:rPr>
            </w:pPr>
            <w:r w:rsidRPr="00A935AA">
              <w:rPr>
                <w:sz w:val="20"/>
                <w:szCs w:val="20"/>
              </w:rPr>
              <w:tab/>
            </w:r>
            <w:r>
              <w:rPr>
                <w:sz w:val="20"/>
                <w:szCs w:val="20"/>
              </w:rPr>
              <w:t>P</w:t>
            </w:r>
            <w:r w:rsidR="004B3C1E">
              <w:rPr>
                <w:sz w:val="20"/>
                <w:szCs w:val="20"/>
              </w:rPr>
              <w:t>ublic Prosecution S</w:t>
            </w:r>
            <w:r>
              <w:rPr>
                <w:sz w:val="20"/>
                <w:szCs w:val="20"/>
              </w:rPr>
              <w:t>er</w:t>
            </w:r>
            <w:r w:rsidR="004B3C1E">
              <w:rPr>
                <w:sz w:val="20"/>
                <w:szCs w:val="20"/>
              </w:rPr>
              <w:t>vice of Canada</w:t>
            </w:r>
          </w:p>
          <w:p w:rsidR="003367E5" w:rsidRPr="00A935AA" w:rsidRDefault="003367E5" w:rsidP="003367E5">
            <w:pPr>
              <w:tabs>
                <w:tab w:val="left" w:pos="-1440"/>
                <w:tab w:val="left" w:pos="-720"/>
              </w:tabs>
              <w:rPr>
                <w:sz w:val="20"/>
                <w:szCs w:val="20"/>
              </w:rPr>
            </w:pPr>
          </w:p>
          <w:p w:rsidR="003367E5" w:rsidRPr="00A935AA" w:rsidRDefault="003367E5" w:rsidP="003367E5">
            <w:pPr>
              <w:rPr>
                <w:sz w:val="20"/>
                <w:szCs w:val="20"/>
              </w:rPr>
            </w:pPr>
            <w:r w:rsidRPr="00A935AA">
              <w:rPr>
                <w:sz w:val="20"/>
                <w:szCs w:val="20"/>
              </w:rPr>
              <w:t xml:space="preserve">FILING DATE: </w:t>
            </w:r>
            <w:r>
              <w:rPr>
                <w:sz w:val="20"/>
                <w:szCs w:val="20"/>
              </w:rPr>
              <w:t>1</w:t>
            </w:r>
            <w:r w:rsidR="004B3C1E">
              <w:rPr>
                <w:sz w:val="20"/>
                <w:szCs w:val="20"/>
              </w:rPr>
              <w:t>3</w:t>
            </w:r>
            <w:r w:rsidRPr="00A935AA">
              <w:rPr>
                <w:sz w:val="20"/>
                <w:szCs w:val="20"/>
              </w:rPr>
              <w:t>.0</w:t>
            </w:r>
            <w:r>
              <w:rPr>
                <w:sz w:val="20"/>
                <w:szCs w:val="20"/>
              </w:rPr>
              <w:t>6</w:t>
            </w:r>
            <w:r w:rsidRPr="00A935AA">
              <w:rPr>
                <w:sz w:val="20"/>
                <w:szCs w:val="20"/>
              </w:rPr>
              <w:t>.201</w:t>
            </w:r>
            <w:r>
              <w:rPr>
                <w:sz w:val="20"/>
                <w:szCs w:val="20"/>
              </w:rPr>
              <w:t>1</w:t>
            </w:r>
          </w:p>
          <w:p w:rsidR="003367E5" w:rsidRPr="00A935AA" w:rsidRDefault="004D20D2" w:rsidP="003367E5">
            <w:pPr>
              <w:rPr>
                <w:sz w:val="20"/>
                <w:szCs w:val="20"/>
              </w:rPr>
            </w:pPr>
            <w:r w:rsidRPr="004D20D2">
              <w:rPr>
                <w:sz w:val="20"/>
                <w:szCs w:val="20"/>
                <w:lang w:val="fr-CA"/>
              </w:rPr>
              <w:pict>
                <v:rect id="_x0000_i1029" style="width:108pt;height:1pt" o:hrpct="0" o:hralign="center" o:hrstd="t" o:hrnoshade="t" o:hr="t" fillcolor="black [3213]" stroked="f"/>
              </w:pict>
            </w:r>
          </w:p>
        </w:tc>
        <w:tc>
          <w:tcPr>
            <w:tcW w:w="1181" w:type="dxa"/>
            <w:shd w:val="clear" w:color="auto" w:fill="auto"/>
          </w:tcPr>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Default="003367E5" w:rsidP="00242AEE">
            <w:pPr>
              <w:jc w:val="center"/>
              <w:rPr>
                <w:sz w:val="20"/>
                <w:szCs w:val="20"/>
              </w:rPr>
            </w:pPr>
          </w:p>
          <w:p w:rsidR="003367E5" w:rsidRPr="00A935AA" w:rsidRDefault="003367E5" w:rsidP="00242AEE">
            <w:pPr>
              <w:jc w:val="center"/>
              <w:rPr>
                <w:sz w:val="20"/>
                <w:szCs w:val="20"/>
              </w:rPr>
            </w:pPr>
          </w:p>
        </w:tc>
        <w:tc>
          <w:tcPr>
            <w:tcW w:w="4320" w:type="dxa"/>
            <w:shd w:val="clear" w:color="auto" w:fill="auto"/>
          </w:tcPr>
          <w:p w:rsidR="006E1555" w:rsidRPr="00A935AA" w:rsidRDefault="006E1555" w:rsidP="006E1555">
            <w:pPr>
              <w:tabs>
                <w:tab w:val="left" w:pos="-1440"/>
                <w:tab w:val="left" w:pos="-720"/>
              </w:tabs>
              <w:rPr>
                <w:sz w:val="20"/>
                <w:szCs w:val="20"/>
              </w:rPr>
            </w:pPr>
            <w:r w:rsidRPr="00A935AA">
              <w:rPr>
                <w:sz w:val="20"/>
                <w:szCs w:val="20"/>
              </w:rPr>
              <w:tab/>
            </w:r>
            <w:r>
              <w:rPr>
                <w:sz w:val="20"/>
                <w:szCs w:val="20"/>
              </w:rPr>
              <w:t>A.G. of Ontario</w:t>
            </w:r>
          </w:p>
          <w:p w:rsidR="006E1555" w:rsidRPr="00A935AA" w:rsidRDefault="006E1555" w:rsidP="006E1555">
            <w:pPr>
              <w:tabs>
                <w:tab w:val="left" w:pos="-1440"/>
                <w:tab w:val="left" w:pos="-720"/>
              </w:tabs>
              <w:rPr>
                <w:sz w:val="20"/>
                <w:szCs w:val="20"/>
              </w:rPr>
            </w:pPr>
          </w:p>
          <w:p w:rsidR="006E1555" w:rsidRPr="00A935AA" w:rsidRDefault="006E1555" w:rsidP="006E1555">
            <w:pPr>
              <w:tabs>
                <w:tab w:val="left" w:pos="-1440"/>
                <w:tab w:val="left" w:pos="-720"/>
              </w:tabs>
              <w:rPr>
                <w:sz w:val="20"/>
                <w:szCs w:val="20"/>
              </w:rPr>
            </w:pPr>
            <w:r w:rsidRPr="00A935AA">
              <w:rPr>
                <w:sz w:val="20"/>
                <w:szCs w:val="20"/>
              </w:rPr>
              <w:tab/>
              <w:t>v. (3</w:t>
            </w:r>
            <w:r>
              <w:rPr>
                <w:sz w:val="20"/>
                <w:szCs w:val="20"/>
              </w:rPr>
              <w:t>4317</w:t>
            </w:r>
            <w:r w:rsidRPr="00A935AA">
              <w:rPr>
                <w:sz w:val="20"/>
                <w:szCs w:val="20"/>
              </w:rPr>
              <w:t>)</w:t>
            </w:r>
          </w:p>
          <w:p w:rsidR="006E1555" w:rsidRPr="00A935AA" w:rsidRDefault="006E1555" w:rsidP="006E1555">
            <w:pPr>
              <w:tabs>
                <w:tab w:val="left" w:pos="-1440"/>
                <w:tab w:val="left" w:pos="-720"/>
              </w:tabs>
              <w:rPr>
                <w:sz w:val="20"/>
                <w:szCs w:val="20"/>
              </w:rPr>
            </w:pPr>
          </w:p>
          <w:p w:rsidR="006E1555" w:rsidRPr="00A935AA" w:rsidRDefault="006E1555" w:rsidP="006E1555">
            <w:pPr>
              <w:tabs>
                <w:tab w:val="left" w:pos="-1440"/>
                <w:tab w:val="left" w:pos="-720"/>
              </w:tabs>
              <w:rPr>
                <w:b/>
                <w:sz w:val="20"/>
                <w:szCs w:val="20"/>
              </w:rPr>
            </w:pPr>
            <w:r>
              <w:rPr>
                <w:b/>
                <w:sz w:val="20"/>
                <w:szCs w:val="20"/>
              </w:rPr>
              <w:t xml:space="preserve">Criminal Lawyers Association of Ontario </w:t>
            </w:r>
            <w:r w:rsidRPr="00A935AA">
              <w:rPr>
                <w:b/>
                <w:sz w:val="20"/>
                <w:szCs w:val="20"/>
              </w:rPr>
              <w:t>(</w:t>
            </w:r>
            <w:r>
              <w:rPr>
                <w:b/>
                <w:sz w:val="20"/>
                <w:szCs w:val="20"/>
              </w:rPr>
              <w:t>Ont</w:t>
            </w:r>
            <w:r w:rsidRPr="00A935AA">
              <w:rPr>
                <w:b/>
                <w:sz w:val="20"/>
                <w:szCs w:val="20"/>
              </w:rPr>
              <w:t>.)</w:t>
            </w:r>
          </w:p>
          <w:p w:rsidR="006E1555" w:rsidRPr="00A935AA" w:rsidRDefault="006E1555" w:rsidP="006E1555">
            <w:pPr>
              <w:tabs>
                <w:tab w:val="left" w:pos="-1440"/>
                <w:tab w:val="left" w:pos="-720"/>
              </w:tabs>
              <w:rPr>
                <w:sz w:val="20"/>
                <w:szCs w:val="20"/>
              </w:rPr>
            </w:pPr>
            <w:r w:rsidRPr="00A935AA">
              <w:rPr>
                <w:sz w:val="20"/>
                <w:szCs w:val="20"/>
              </w:rPr>
              <w:tab/>
            </w:r>
            <w:r>
              <w:rPr>
                <w:sz w:val="20"/>
                <w:szCs w:val="20"/>
              </w:rPr>
              <w:t>P. Andras Schreck</w:t>
            </w:r>
          </w:p>
          <w:p w:rsidR="006E1555" w:rsidRPr="00A935AA" w:rsidRDefault="006E1555" w:rsidP="006E1555">
            <w:pPr>
              <w:tabs>
                <w:tab w:val="left" w:pos="-1440"/>
                <w:tab w:val="left" w:pos="-720"/>
              </w:tabs>
              <w:rPr>
                <w:sz w:val="20"/>
                <w:szCs w:val="20"/>
              </w:rPr>
            </w:pPr>
            <w:r w:rsidRPr="00A935AA">
              <w:rPr>
                <w:sz w:val="20"/>
                <w:szCs w:val="20"/>
              </w:rPr>
              <w:tab/>
            </w:r>
            <w:r>
              <w:rPr>
                <w:sz w:val="20"/>
                <w:szCs w:val="20"/>
              </w:rPr>
              <w:t>Schreck Presser LLP</w:t>
            </w:r>
          </w:p>
          <w:p w:rsidR="006E1555" w:rsidRPr="00A935AA" w:rsidRDefault="006E1555" w:rsidP="006E1555">
            <w:pPr>
              <w:tabs>
                <w:tab w:val="left" w:pos="-1440"/>
                <w:tab w:val="left" w:pos="-720"/>
              </w:tabs>
              <w:rPr>
                <w:sz w:val="20"/>
                <w:szCs w:val="20"/>
              </w:rPr>
            </w:pPr>
          </w:p>
          <w:p w:rsidR="006E1555" w:rsidRPr="00A935AA" w:rsidRDefault="006E1555" w:rsidP="006E1555">
            <w:pPr>
              <w:rPr>
                <w:sz w:val="20"/>
                <w:szCs w:val="20"/>
              </w:rPr>
            </w:pPr>
            <w:r w:rsidRPr="00A935AA">
              <w:rPr>
                <w:sz w:val="20"/>
                <w:szCs w:val="20"/>
              </w:rPr>
              <w:t xml:space="preserve">FILING DATE: </w:t>
            </w:r>
            <w:r>
              <w:rPr>
                <w:sz w:val="20"/>
                <w:szCs w:val="20"/>
              </w:rPr>
              <w:t>1</w:t>
            </w:r>
            <w:r w:rsidRPr="00A935AA">
              <w:rPr>
                <w:sz w:val="20"/>
                <w:szCs w:val="20"/>
              </w:rPr>
              <w:t>7.0</w:t>
            </w:r>
            <w:r>
              <w:rPr>
                <w:sz w:val="20"/>
                <w:szCs w:val="20"/>
              </w:rPr>
              <w:t>6</w:t>
            </w:r>
            <w:r w:rsidRPr="00A935AA">
              <w:rPr>
                <w:sz w:val="20"/>
                <w:szCs w:val="20"/>
              </w:rPr>
              <w:t>.201</w:t>
            </w:r>
            <w:r>
              <w:rPr>
                <w:sz w:val="20"/>
                <w:szCs w:val="20"/>
              </w:rPr>
              <w:t>1</w:t>
            </w:r>
          </w:p>
          <w:p w:rsidR="003367E5" w:rsidRDefault="004D20D2" w:rsidP="006E1555">
            <w:pPr>
              <w:rPr>
                <w:sz w:val="20"/>
                <w:szCs w:val="20"/>
                <w:lang w:val="fr-CA"/>
              </w:rPr>
            </w:pPr>
            <w:r w:rsidRPr="004D20D2">
              <w:rPr>
                <w:sz w:val="20"/>
                <w:szCs w:val="20"/>
                <w:lang w:val="fr-CA"/>
              </w:rPr>
              <w:pict>
                <v:rect id="_x0000_i1030" style="width:108pt;height:1pt" o:hrpct="0" o:hralign="center" o:hrstd="t" o:hrnoshade="t" o:hr="t" fillcolor="black [3213]" stroked="f"/>
              </w:pict>
            </w:r>
          </w:p>
          <w:p w:rsidR="00AD4563" w:rsidRDefault="00AD4563" w:rsidP="006E1555">
            <w:pPr>
              <w:rPr>
                <w:sz w:val="20"/>
                <w:szCs w:val="20"/>
                <w:lang w:val="fr-CA"/>
              </w:rPr>
            </w:pPr>
          </w:p>
          <w:p w:rsidR="00AD4563" w:rsidRPr="00AD4563" w:rsidRDefault="00AD4563" w:rsidP="006E1555">
            <w:pPr>
              <w:rPr>
                <w:b/>
                <w:sz w:val="20"/>
                <w:szCs w:val="20"/>
              </w:rPr>
            </w:pPr>
            <w:r>
              <w:rPr>
                <w:b/>
                <w:sz w:val="20"/>
                <w:szCs w:val="20"/>
                <w:lang w:val="fr-CA"/>
              </w:rPr>
              <w:t>Daniel John Elgert</w:t>
            </w:r>
          </w:p>
        </w:tc>
      </w:tr>
      <w:tr w:rsidR="003367E5" w:rsidRPr="00A935AA" w:rsidTr="003B3977">
        <w:trPr>
          <w:cantSplit/>
        </w:trPr>
        <w:tc>
          <w:tcPr>
            <w:tcW w:w="4320" w:type="dxa"/>
            <w:shd w:val="clear" w:color="auto" w:fill="auto"/>
          </w:tcPr>
          <w:p w:rsidR="008C4A1F" w:rsidRDefault="008C4A1F" w:rsidP="003367E5">
            <w:pPr>
              <w:rPr>
                <w:b/>
                <w:sz w:val="20"/>
                <w:szCs w:val="20"/>
              </w:rPr>
            </w:pPr>
          </w:p>
          <w:p w:rsidR="003367E5" w:rsidRDefault="006E1555" w:rsidP="003367E5">
            <w:pPr>
              <w:rPr>
                <w:b/>
                <w:sz w:val="20"/>
                <w:szCs w:val="20"/>
              </w:rPr>
            </w:pPr>
            <w:r>
              <w:rPr>
                <w:b/>
                <w:sz w:val="20"/>
                <w:szCs w:val="20"/>
              </w:rPr>
              <w:t>The Corporation of the Township of</w:t>
            </w:r>
          </w:p>
          <w:p w:rsidR="006E1555" w:rsidRPr="00A935AA" w:rsidRDefault="006E1555" w:rsidP="003367E5">
            <w:pPr>
              <w:rPr>
                <w:b/>
                <w:sz w:val="20"/>
                <w:szCs w:val="20"/>
              </w:rPr>
            </w:pPr>
            <w:r>
              <w:rPr>
                <w:b/>
                <w:sz w:val="20"/>
                <w:szCs w:val="20"/>
              </w:rPr>
              <w:t>Galway-Cavendish and Harvey</w:t>
            </w:r>
          </w:p>
          <w:p w:rsidR="006E1555" w:rsidRPr="00A935AA" w:rsidRDefault="006E1555" w:rsidP="006E1555">
            <w:pPr>
              <w:keepNext/>
              <w:keepLines/>
              <w:tabs>
                <w:tab w:val="left" w:pos="-1440"/>
                <w:tab w:val="left" w:pos="-720"/>
              </w:tabs>
              <w:rPr>
                <w:sz w:val="20"/>
                <w:szCs w:val="20"/>
              </w:rPr>
            </w:pPr>
            <w:r w:rsidRPr="00A935AA">
              <w:rPr>
                <w:sz w:val="20"/>
                <w:szCs w:val="20"/>
              </w:rPr>
              <w:tab/>
            </w:r>
            <w:r>
              <w:rPr>
                <w:sz w:val="20"/>
                <w:szCs w:val="20"/>
              </w:rPr>
              <w:t>John J. Pirie</w:t>
            </w:r>
          </w:p>
          <w:p w:rsidR="006E1555" w:rsidRPr="00A935AA" w:rsidRDefault="006E1555" w:rsidP="006E1555">
            <w:pPr>
              <w:keepNext/>
              <w:keepLines/>
              <w:tabs>
                <w:tab w:val="left" w:pos="-1440"/>
                <w:tab w:val="left" w:pos="-720"/>
              </w:tabs>
              <w:rPr>
                <w:sz w:val="20"/>
                <w:szCs w:val="20"/>
              </w:rPr>
            </w:pPr>
            <w:r w:rsidRPr="00A935AA">
              <w:rPr>
                <w:sz w:val="20"/>
                <w:szCs w:val="20"/>
              </w:rPr>
              <w:tab/>
            </w:r>
            <w:r>
              <w:rPr>
                <w:sz w:val="20"/>
                <w:szCs w:val="20"/>
              </w:rPr>
              <w:t>Baker &amp; McKenzie LLP</w:t>
            </w:r>
          </w:p>
          <w:p w:rsidR="006E1555" w:rsidRPr="00A935AA" w:rsidRDefault="006E1555" w:rsidP="006E1555">
            <w:pPr>
              <w:keepNext/>
              <w:keepLines/>
              <w:tabs>
                <w:tab w:val="left" w:pos="-1440"/>
                <w:tab w:val="left" w:pos="-720"/>
              </w:tabs>
              <w:rPr>
                <w:sz w:val="20"/>
                <w:szCs w:val="20"/>
              </w:rPr>
            </w:pPr>
          </w:p>
          <w:p w:rsidR="006E1555" w:rsidRPr="00AF4773" w:rsidRDefault="006E1555" w:rsidP="006E1555">
            <w:pPr>
              <w:keepNext/>
              <w:keepLines/>
              <w:tabs>
                <w:tab w:val="left" w:pos="-1440"/>
                <w:tab w:val="left" w:pos="-720"/>
              </w:tabs>
              <w:rPr>
                <w:sz w:val="20"/>
                <w:szCs w:val="20"/>
              </w:rPr>
            </w:pPr>
            <w:r w:rsidRPr="00A935AA">
              <w:rPr>
                <w:sz w:val="20"/>
                <w:szCs w:val="20"/>
              </w:rPr>
              <w:tab/>
            </w:r>
            <w:r w:rsidRPr="00AF4773">
              <w:rPr>
                <w:sz w:val="20"/>
                <w:szCs w:val="20"/>
              </w:rPr>
              <w:t>v. (34333)</w:t>
            </w:r>
          </w:p>
          <w:p w:rsidR="006E1555" w:rsidRPr="00AF4773" w:rsidRDefault="006E1555" w:rsidP="006E1555">
            <w:pPr>
              <w:keepNext/>
              <w:keepLines/>
              <w:tabs>
                <w:tab w:val="left" w:pos="-1440"/>
                <w:tab w:val="left" w:pos="-720"/>
              </w:tabs>
              <w:rPr>
                <w:sz w:val="20"/>
                <w:szCs w:val="20"/>
              </w:rPr>
            </w:pPr>
          </w:p>
          <w:p w:rsidR="006E1555" w:rsidRPr="00AF4773" w:rsidRDefault="006E1555" w:rsidP="006E1555">
            <w:pPr>
              <w:keepNext/>
              <w:keepLines/>
              <w:tabs>
                <w:tab w:val="left" w:pos="-1440"/>
                <w:tab w:val="left" w:pos="-720"/>
              </w:tabs>
              <w:rPr>
                <w:b/>
                <w:sz w:val="20"/>
                <w:szCs w:val="20"/>
              </w:rPr>
            </w:pPr>
            <w:r w:rsidRPr="00AF4773">
              <w:rPr>
                <w:b/>
                <w:sz w:val="20"/>
                <w:szCs w:val="20"/>
              </w:rPr>
              <w:t>John Gordon Pate (Ont.)</w:t>
            </w:r>
          </w:p>
          <w:p w:rsidR="006E1555" w:rsidRPr="006E1555" w:rsidRDefault="006E1555" w:rsidP="006E1555">
            <w:pPr>
              <w:keepNext/>
              <w:keepLines/>
              <w:tabs>
                <w:tab w:val="left" w:pos="-1440"/>
                <w:tab w:val="left" w:pos="-720"/>
              </w:tabs>
              <w:rPr>
                <w:sz w:val="20"/>
                <w:szCs w:val="20"/>
                <w:lang w:val="fr-CA"/>
              </w:rPr>
            </w:pPr>
            <w:r w:rsidRPr="00AF4773">
              <w:rPr>
                <w:sz w:val="20"/>
                <w:szCs w:val="20"/>
              </w:rPr>
              <w:tab/>
            </w:r>
            <w:r w:rsidRPr="006E1555">
              <w:rPr>
                <w:sz w:val="20"/>
                <w:szCs w:val="20"/>
                <w:lang w:val="fr-CA"/>
              </w:rPr>
              <w:t>Jeffrey D. Ayotte</w:t>
            </w:r>
          </w:p>
          <w:p w:rsidR="006E1555" w:rsidRPr="006E1555" w:rsidRDefault="006E1555" w:rsidP="006E1555">
            <w:pPr>
              <w:keepNext/>
              <w:keepLines/>
              <w:tabs>
                <w:tab w:val="left" w:pos="-1440"/>
                <w:tab w:val="left" w:pos="-720"/>
              </w:tabs>
              <w:rPr>
                <w:sz w:val="20"/>
                <w:szCs w:val="20"/>
                <w:lang w:val="fr-CA"/>
              </w:rPr>
            </w:pPr>
            <w:r w:rsidRPr="006E1555">
              <w:rPr>
                <w:sz w:val="20"/>
                <w:szCs w:val="20"/>
                <w:lang w:val="fr-CA"/>
              </w:rPr>
              <w:tab/>
              <w:t>Ayotte, Dupuis, O’Neill</w:t>
            </w:r>
          </w:p>
          <w:p w:rsidR="006E1555" w:rsidRPr="006E1555" w:rsidRDefault="006E1555" w:rsidP="006E1555">
            <w:pPr>
              <w:keepNext/>
              <w:keepLines/>
              <w:tabs>
                <w:tab w:val="left" w:pos="-1440"/>
                <w:tab w:val="left" w:pos="-720"/>
              </w:tabs>
              <w:rPr>
                <w:sz w:val="20"/>
                <w:szCs w:val="20"/>
                <w:lang w:val="fr-CA"/>
              </w:rPr>
            </w:pPr>
          </w:p>
          <w:p w:rsidR="003367E5" w:rsidRPr="00A935AA" w:rsidRDefault="006E1555" w:rsidP="006E1555">
            <w:pPr>
              <w:tabs>
                <w:tab w:val="left" w:pos="-1440"/>
                <w:tab w:val="left" w:pos="-720"/>
              </w:tabs>
              <w:rPr>
                <w:sz w:val="20"/>
                <w:szCs w:val="20"/>
              </w:rPr>
            </w:pPr>
            <w:r w:rsidRPr="00A935AA">
              <w:rPr>
                <w:sz w:val="20"/>
                <w:szCs w:val="20"/>
              </w:rPr>
              <w:t>FILING DATE: 2</w:t>
            </w:r>
            <w:r>
              <w:rPr>
                <w:sz w:val="20"/>
                <w:szCs w:val="20"/>
              </w:rPr>
              <w:t>4</w:t>
            </w:r>
            <w:r w:rsidRPr="00A935AA">
              <w:rPr>
                <w:sz w:val="20"/>
                <w:szCs w:val="20"/>
              </w:rPr>
              <w:t>.0</w:t>
            </w:r>
            <w:r>
              <w:rPr>
                <w:sz w:val="20"/>
                <w:szCs w:val="20"/>
              </w:rPr>
              <w:t>6</w:t>
            </w:r>
            <w:r w:rsidRPr="00A935AA">
              <w:rPr>
                <w:sz w:val="20"/>
                <w:szCs w:val="20"/>
              </w:rPr>
              <w:t>.201</w:t>
            </w:r>
            <w:r>
              <w:rPr>
                <w:sz w:val="20"/>
                <w:szCs w:val="20"/>
              </w:rPr>
              <w:t>1</w:t>
            </w:r>
            <w:r w:rsidR="003367E5" w:rsidRPr="00A935AA">
              <w:rPr>
                <w:sz w:val="20"/>
                <w:szCs w:val="20"/>
              </w:rPr>
              <w:tab/>
            </w:r>
            <w:r w:rsidR="004D20D2" w:rsidRPr="004D20D2">
              <w:rPr>
                <w:sz w:val="20"/>
                <w:szCs w:val="20"/>
                <w:lang w:val="fr-CA"/>
              </w:rPr>
              <w:pict>
                <v:rect id="_x0000_i1031" style="width:108pt;height:1pt" o:hrpct="0" o:hralign="center" o:hrstd="t" o:hrnoshade="t" o:hr="t" fillcolor="black [3213]" stroked="f"/>
              </w:pict>
            </w:r>
          </w:p>
        </w:tc>
        <w:tc>
          <w:tcPr>
            <w:tcW w:w="1181" w:type="dxa"/>
            <w:shd w:val="clear" w:color="auto" w:fill="auto"/>
          </w:tcPr>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p w:rsidR="003367E5" w:rsidRPr="00A935AA" w:rsidRDefault="003367E5" w:rsidP="00242AEE">
            <w:pPr>
              <w:jc w:val="center"/>
              <w:rPr>
                <w:sz w:val="20"/>
                <w:szCs w:val="20"/>
              </w:rPr>
            </w:pPr>
          </w:p>
        </w:tc>
        <w:tc>
          <w:tcPr>
            <w:tcW w:w="4320" w:type="dxa"/>
            <w:shd w:val="clear" w:color="auto" w:fill="auto"/>
          </w:tcPr>
          <w:p w:rsidR="003367E5" w:rsidRPr="00A935AA" w:rsidRDefault="003367E5" w:rsidP="003367E5">
            <w:pPr>
              <w:keepNext/>
              <w:keepLines/>
              <w:tabs>
                <w:tab w:val="left" w:pos="-1440"/>
                <w:tab w:val="left" w:pos="-720"/>
              </w:tabs>
              <w:rPr>
                <w:sz w:val="20"/>
                <w:szCs w:val="20"/>
              </w:rPr>
            </w:pPr>
            <w:r w:rsidRPr="00A935AA">
              <w:rPr>
                <w:sz w:val="20"/>
                <w:szCs w:val="20"/>
              </w:rPr>
              <w:tab/>
            </w:r>
            <w:r w:rsidR="00AD4563">
              <w:rPr>
                <w:sz w:val="20"/>
                <w:szCs w:val="20"/>
              </w:rPr>
              <w:t>Dawn Pentelechuk, Q.C.</w:t>
            </w:r>
          </w:p>
          <w:p w:rsidR="003367E5" w:rsidRPr="00A935AA" w:rsidRDefault="003367E5" w:rsidP="003367E5">
            <w:pPr>
              <w:keepNext/>
              <w:keepLines/>
              <w:tabs>
                <w:tab w:val="left" w:pos="-1440"/>
                <w:tab w:val="left" w:pos="-720"/>
              </w:tabs>
              <w:rPr>
                <w:sz w:val="20"/>
                <w:szCs w:val="20"/>
              </w:rPr>
            </w:pPr>
            <w:r w:rsidRPr="00A935AA">
              <w:rPr>
                <w:sz w:val="20"/>
                <w:szCs w:val="20"/>
              </w:rPr>
              <w:tab/>
            </w:r>
            <w:r w:rsidR="00AD4563">
              <w:rPr>
                <w:sz w:val="20"/>
                <w:szCs w:val="20"/>
              </w:rPr>
              <w:t>Cleall Barristers Solicitors</w:t>
            </w:r>
          </w:p>
          <w:p w:rsidR="003367E5" w:rsidRPr="00A935AA" w:rsidRDefault="003367E5" w:rsidP="003367E5">
            <w:pPr>
              <w:keepNext/>
              <w:keepLines/>
              <w:tabs>
                <w:tab w:val="left" w:pos="-1440"/>
                <w:tab w:val="left" w:pos="-720"/>
              </w:tabs>
              <w:rPr>
                <w:sz w:val="20"/>
                <w:szCs w:val="20"/>
              </w:rPr>
            </w:pPr>
          </w:p>
          <w:p w:rsidR="003367E5" w:rsidRPr="006E1555" w:rsidRDefault="003367E5" w:rsidP="003367E5">
            <w:pPr>
              <w:keepNext/>
              <w:keepLines/>
              <w:tabs>
                <w:tab w:val="left" w:pos="-1440"/>
                <w:tab w:val="left" w:pos="-720"/>
              </w:tabs>
              <w:rPr>
                <w:sz w:val="20"/>
                <w:szCs w:val="20"/>
              </w:rPr>
            </w:pPr>
            <w:r w:rsidRPr="00A935AA">
              <w:rPr>
                <w:sz w:val="20"/>
                <w:szCs w:val="20"/>
              </w:rPr>
              <w:tab/>
            </w:r>
            <w:r w:rsidRPr="006E1555">
              <w:rPr>
                <w:sz w:val="20"/>
                <w:szCs w:val="20"/>
              </w:rPr>
              <w:t>v. (34</w:t>
            </w:r>
            <w:r w:rsidR="00AD4563">
              <w:rPr>
                <w:sz w:val="20"/>
                <w:szCs w:val="20"/>
              </w:rPr>
              <w:t>335</w:t>
            </w:r>
            <w:r w:rsidRPr="006E1555">
              <w:rPr>
                <w:sz w:val="20"/>
                <w:szCs w:val="20"/>
              </w:rPr>
              <w:t>)</w:t>
            </w:r>
          </w:p>
          <w:p w:rsidR="003367E5" w:rsidRPr="006E1555" w:rsidRDefault="003367E5" w:rsidP="003367E5">
            <w:pPr>
              <w:keepNext/>
              <w:keepLines/>
              <w:tabs>
                <w:tab w:val="left" w:pos="-1440"/>
                <w:tab w:val="left" w:pos="-720"/>
              </w:tabs>
              <w:rPr>
                <w:sz w:val="20"/>
                <w:szCs w:val="20"/>
              </w:rPr>
            </w:pPr>
          </w:p>
          <w:p w:rsidR="003367E5" w:rsidRPr="006E1555" w:rsidRDefault="00AD4563" w:rsidP="003367E5">
            <w:pPr>
              <w:keepNext/>
              <w:keepLines/>
              <w:tabs>
                <w:tab w:val="left" w:pos="-1440"/>
                <w:tab w:val="left" w:pos="-720"/>
              </w:tabs>
              <w:rPr>
                <w:b/>
                <w:sz w:val="20"/>
                <w:szCs w:val="20"/>
              </w:rPr>
            </w:pPr>
            <w:r>
              <w:rPr>
                <w:b/>
                <w:sz w:val="20"/>
                <w:szCs w:val="20"/>
              </w:rPr>
              <w:t xml:space="preserve">Home Hardware Stores Limited et al. </w:t>
            </w:r>
            <w:r w:rsidR="003367E5" w:rsidRPr="006E1555">
              <w:rPr>
                <w:b/>
                <w:sz w:val="20"/>
                <w:szCs w:val="20"/>
              </w:rPr>
              <w:t>(</w:t>
            </w:r>
            <w:r>
              <w:rPr>
                <w:b/>
                <w:sz w:val="20"/>
                <w:szCs w:val="20"/>
              </w:rPr>
              <w:t>Al</w:t>
            </w:r>
            <w:r w:rsidR="003367E5" w:rsidRPr="006E1555">
              <w:rPr>
                <w:b/>
                <w:sz w:val="20"/>
                <w:szCs w:val="20"/>
              </w:rPr>
              <w:t>t</w:t>
            </w:r>
            <w:r>
              <w:rPr>
                <w:b/>
                <w:sz w:val="20"/>
                <w:szCs w:val="20"/>
              </w:rPr>
              <w:t>a</w:t>
            </w:r>
            <w:r w:rsidR="003367E5" w:rsidRPr="006E1555">
              <w:rPr>
                <w:b/>
                <w:sz w:val="20"/>
                <w:szCs w:val="20"/>
              </w:rPr>
              <w:t>.)</w:t>
            </w:r>
          </w:p>
          <w:p w:rsidR="003367E5" w:rsidRPr="006E1555" w:rsidRDefault="003367E5" w:rsidP="003367E5">
            <w:pPr>
              <w:keepNext/>
              <w:keepLines/>
              <w:tabs>
                <w:tab w:val="left" w:pos="-1440"/>
                <w:tab w:val="left" w:pos="-720"/>
              </w:tabs>
              <w:rPr>
                <w:sz w:val="20"/>
                <w:szCs w:val="20"/>
              </w:rPr>
            </w:pPr>
            <w:r w:rsidRPr="006E1555">
              <w:rPr>
                <w:sz w:val="20"/>
                <w:szCs w:val="20"/>
              </w:rPr>
              <w:tab/>
            </w:r>
            <w:r w:rsidR="00AD4563">
              <w:rPr>
                <w:sz w:val="20"/>
                <w:szCs w:val="20"/>
              </w:rPr>
              <w:t>David D. Risling</w:t>
            </w:r>
          </w:p>
          <w:p w:rsidR="003367E5" w:rsidRPr="006E1555" w:rsidRDefault="003367E5" w:rsidP="003367E5">
            <w:pPr>
              <w:keepNext/>
              <w:keepLines/>
              <w:tabs>
                <w:tab w:val="left" w:pos="-1440"/>
                <w:tab w:val="left" w:pos="-720"/>
              </w:tabs>
              <w:rPr>
                <w:sz w:val="20"/>
                <w:szCs w:val="20"/>
              </w:rPr>
            </w:pPr>
            <w:r w:rsidRPr="006E1555">
              <w:rPr>
                <w:sz w:val="20"/>
                <w:szCs w:val="20"/>
              </w:rPr>
              <w:tab/>
            </w:r>
            <w:r w:rsidR="00AD4563">
              <w:rPr>
                <w:sz w:val="20"/>
                <w:szCs w:val="20"/>
              </w:rPr>
              <w:t>McLennan Ross</w:t>
            </w:r>
          </w:p>
          <w:p w:rsidR="003367E5" w:rsidRPr="006E1555" w:rsidRDefault="003367E5" w:rsidP="003367E5">
            <w:pPr>
              <w:keepNext/>
              <w:keepLines/>
              <w:tabs>
                <w:tab w:val="left" w:pos="-1440"/>
                <w:tab w:val="left" w:pos="-720"/>
              </w:tabs>
              <w:rPr>
                <w:sz w:val="20"/>
                <w:szCs w:val="20"/>
              </w:rPr>
            </w:pPr>
          </w:p>
          <w:p w:rsidR="003367E5" w:rsidRPr="00A935AA" w:rsidRDefault="003367E5" w:rsidP="00AD4563">
            <w:pPr>
              <w:rPr>
                <w:sz w:val="20"/>
                <w:szCs w:val="20"/>
              </w:rPr>
            </w:pPr>
            <w:r w:rsidRPr="00A935AA">
              <w:rPr>
                <w:sz w:val="20"/>
                <w:szCs w:val="20"/>
              </w:rPr>
              <w:t>FILING DATE: 2</w:t>
            </w:r>
            <w:r w:rsidR="00AD4563">
              <w:rPr>
                <w:sz w:val="20"/>
                <w:szCs w:val="20"/>
              </w:rPr>
              <w:t>7</w:t>
            </w:r>
            <w:r w:rsidRPr="00A935AA">
              <w:rPr>
                <w:sz w:val="20"/>
                <w:szCs w:val="20"/>
              </w:rPr>
              <w:t>.0</w:t>
            </w:r>
            <w:r>
              <w:rPr>
                <w:sz w:val="20"/>
                <w:szCs w:val="20"/>
              </w:rPr>
              <w:t>6</w:t>
            </w:r>
            <w:r w:rsidRPr="00A935AA">
              <w:rPr>
                <w:sz w:val="20"/>
                <w:szCs w:val="20"/>
              </w:rPr>
              <w:t>.201</w:t>
            </w:r>
            <w:r>
              <w:rPr>
                <w:sz w:val="20"/>
                <w:szCs w:val="20"/>
              </w:rPr>
              <w:t>1</w:t>
            </w:r>
            <w:r w:rsidR="004D20D2" w:rsidRPr="004D20D2">
              <w:rPr>
                <w:sz w:val="20"/>
                <w:szCs w:val="20"/>
                <w:lang w:val="fr-CA"/>
              </w:rPr>
              <w:pict>
                <v:rect id="_x0000_i1032" style="width:108pt;height:1pt" o:hrpct="0" o:hralign="center" o:hrstd="t" o:hrnoshade="t" o:hr="t" fillcolor="black [3213]" stroked="f"/>
              </w:pict>
            </w:r>
          </w:p>
        </w:tc>
      </w:tr>
      <w:tr w:rsidR="004E3031" w:rsidRPr="00A935AA" w:rsidTr="003B3977">
        <w:trPr>
          <w:cantSplit/>
        </w:trPr>
        <w:tc>
          <w:tcPr>
            <w:tcW w:w="4320" w:type="dxa"/>
            <w:shd w:val="clear" w:color="auto" w:fill="auto"/>
          </w:tcPr>
          <w:p w:rsidR="004E3031" w:rsidRPr="00A935AA" w:rsidRDefault="004E3031" w:rsidP="004E3031">
            <w:pPr>
              <w:rPr>
                <w:b/>
                <w:sz w:val="20"/>
                <w:szCs w:val="20"/>
              </w:rPr>
            </w:pPr>
            <w:r>
              <w:rPr>
                <w:b/>
                <w:sz w:val="20"/>
                <w:szCs w:val="20"/>
              </w:rPr>
              <w:lastRenderedPageBreak/>
              <w:t>Nell Toussaint</w:t>
            </w:r>
          </w:p>
          <w:p w:rsidR="004E3031" w:rsidRPr="00A935AA" w:rsidRDefault="004E3031" w:rsidP="004E3031">
            <w:pPr>
              <w:tabs>
                <w:tab w:val="left" w:pos="-1440"/>
                <w:tab w:val="left" w:pos="-720"/>
              </w:tabs>
              <w:rPr>
                <w:sz w:val="20"/>
                <w:szCs w:val="20"/>
              </w:rPr>
            </w:pPr>
            <w:r w:rsidRPr="00A935AA">
              <w:rPr>
                <w:sz w:val="20"/>
                <w:szCs w:val="20"/>
              </w:rPr>
              <w:tab/>
            </w:r>
            <w:r>
              <w:rPr>
                <w:sz w:val="20"/>
                <w:szCs w:val="20"/>
              </w:rPr>
              <w:t>Andrew C. Dekany</w:t>
            </w:r>
          </w:p>
          <w:p w:rsidR="004E3031" w:rsidRPr="00A935AA" w:rsidRDefault="004E3031" w:rsidP="004E3031">
            <w:pPr>
              <w:tabs>
                <w:tab w:val="left" w:pos="-1440"/>
                <w:tab w:val="left" w:pos="-720"/>
              </w:tabs>
              <w:rPr>
                <w:sz w:val="20"/>
                <w:szCs w:val="20"/>
              </w:rPr>
            </w:pPr>
          </w:p>
          <w:p w:rsidR="004E3031" w:rsidRPr="00A935AA" w:rsidRDefault="004E3031" w:rsidP="004E3031">
            <w:pPr>
              <w:tabs>
                <w:tab w:val="left" w:pos="-1440"/>
                <w:tab w:val="left" w:pos="-720"/>
              </w:tabs>
              <w:rPr>
                <w:sz w:val="20"/>
                <w:szCs w:val="20"/>
              </w:rPr>
            </w:pPr>
            <w:r w:rsidRPr="00A935AA">
              <w:rPr>
                <w:sz w:val="20"/>
                <w:szCs w:val="20"/>
              </w:rPr>
              <w:tab/>
              <w:t>v. (3</w:t>
            </w:r>
            <w:r>
              <w:rPr>
                <w:sz w:val="20"/>
                <w:szCs w:val="20"/>
              </w:rPr>
              <w:t>4336</w:t>
            </w:r>
            <w:r w:rsidRPr="00A935AA">
              <w:rPr>
                <w:sz w:val="20"/>
                <w:szCs w:val="20"/>
              </w:rPr>
              <w:t>)</w:t>
            </w:r>
          </w:p>
          <w:p w:rsidR="004E3031" w:rsidRPr="00A935AA" w:rsidRDefault="004E3031" w:rsidP="004E3031">
            <w:pPr>
              <w:tabs>
                <w:tab w:val="left" w:pos="-1440"/>
                <w:tab w:val="left" w:pos="-720"/>
              </w:tabs>
              <w:rPr>
                <w:sz w:val="20"/>
                <w:szCs w:val="20"/>
              </w:rPr>
            </w:pPr>
          </w:p>
          <w:p w:rsidR="004E3031" w:rsidRPr="00A935AA" w:rsidRDefault="004E3031" w:rsidP="004E3031">
            <w:pPr>
              <w:tabs>
                <w:tab w:val="left" w:pos="-1440"/>
                <w:tab w:val="left" w:pos="-720"/>
              </w:tabs>
              <w:rPr>
                <w:b/>
                <w:sz w:val="20"/>
                <w:szCs w:val="20"/>
              </w:rPr>
            </w:pPr>
            <w:r>
              <w:rPr>
                <w:b/>
                <w:sz w:val="20"/>
                <w:szCs w:val="20"/>
              </w:rPr>
              <w:t xml:space="preserve">Minister of Citizenship and Immigration </w:t>
            </w:r>
            <w:r w:rsidRPr="00A935AA">
              <w:rPr>
                <w:b/>
                <w:sz w:val="20"/>
                <w:szCs w:val="20"/>
              </w:rPr>
              <w:t>(</w:t>
            </w:r>
            <w:r>
              <w:rPr>
                <w:b/>
                <w:sz w:val="20"/>
                <w:szCs w:val="20"/>
              </w:rPr>
              <w:t>F</w:t>
            </w:r>
            <w:r w:rsidRPr="00A935AA">
              <w:rPr>
                <w:b/>
                <w:sz w:val="20"/>
                <w:szCs w:val="20"/>
              </w:rPr>
              <w:t>.C.)</w:t>
            </w:r>
          </w:p>
          <w:p w:rsidR="004E3031" w:rsidRPr="00A935AA" w:rsidRDefault="004E3031" w:rsidP="004E3031">
            <w:pPr>
              <w:tabs>
                <w:tab w:val="left" w:pos="-1440"/>
                <w:tab w:val="left" w:pos="-720"/>
              </w:tabs>
              <w:rPr>
                <w:sz w:val="20"/>
                <w:szCs w:val="20"/>
              </w:rPr>
            </w:pPr>
            <w:r w:rsidRPr="00A935AA">
              <w:rPr>
                <w:sz w:val="20"/>
                <w:szCs w:val="20"/>
              </w:rPr>
              <w:tab/>
            </w:r>
            <w:r>
              <w:rPr>
                <w:sz w:val="20"/>
                <w:szCs w:val="20"/>
              </w:rPr>
              <w:t>Martin Anderson</w:t>
            </w:r>
          </w:p>
          <w:p w:rsidR="004E3031" w:rsidRPr="00A935AA" w:rsidRDefault="004E3031" w:rsidP="004E3031">
            <w:pPr>
              <w:tabs>
                <w:tab w:val="left" w:pos="-1440"/>
                <w:tab w:val="left" w:pos="-720"/>
              </w:tabs>
              <w:rPr>
                <w:sz w:val="20"/>
                <w:szCs w:val="20"/>
              </w:rPr>
            </w:pPr>
            <w:r w:rsidRPr="00A935AA">
              <w:rPr>
                <w:sz w:val="20"/>
                <w:szCs w:val="20"/>
              </w:rPr>
              <w:tab/>
            </w:r>
            <w:r>
              <w:rPr>
                <w:sz w:val="20"/>
                <w:szCs w:val="20"/>
              </w:rPr>
              <w:t>A.G. of Canada</w:t>
            </w:r>
          </w:p>
          <w:p w:rsidR="004E3031" w:rsidRPr="00A935AA" w:rsidRDefault="004E3031" w:rsidP="004E3031">
            <w:pPr>
              <w:tabs>
                <w:tab w:val="left" w:pos="-1440"/>
                <w:tab w:val="left" w:pos="-720"/>
              </w:tabs>
              <w:rPr>
                <w:sz w:val="20"/>
                <w:szCs w:val="20"/>
              </w:rPr>
            </w:pPr>
          </w:p>
          <w:p w:rsidR="004E3031" w:rsidRPr="00A935AA" w:rsidRDefault="004E3031" w:rsidP="004E3031">
            <w:pPr>
              <w:rPr>
                <w:sz w:val="20"/>
                <w:szCs w:val="20"/>
              </w:rPr>
            </w:pPr>
            <w:r w:rsidRPr="00A935AA">
              <w:rPr>
                <w:sz w:val="20"/>
                <w:szCs w:val="20"/>
              </w:rPr>
              <w:t>FILING DATE: 2</w:t>
            </w:r>
            <w:r>
              <w:rPr>
                <w:sz w:val="20"/>
                <w:szCs w:val="20"/>
              </w:rPr>
              <w:t>8</w:t>
            </w:r>
            <w:r w:rsidRPr="00A935AA">
              <w:rPr>
                <w:sz w:val="20"/>
                <w:szCs w:val="20"/>
              </w:rPr>
              <w:t>.0</w:t>
            </w:r>
            <w:r>
              <w:rPr>
                <w:sz w:val="20"/>
                <w:szCs w:val="20"/>
              </w:rPr>
              <w:t>6</w:t>
            </w:r>
            <w:r w:rsidRPr="00A935AA">
              <w:rPr>
                <w:sz w:val="20"/>
                <w:szCs w:val="20"/>
              </w:rPr>
              <w:t>.201</w:t>
            </w:r>
            <w:r>
              <w:rPr>
                <w:sz w:val="20"/>
                <w:szCs w:val="20"/>
              </w:rPr>
              <w:t>1</w:t>
            </w:r>
          </w:p>
          <w:p w:rsidR="004E3031" w:rsidRPr="00A935AA" w:rsidRDefault="004D20D2" w:rsidP="004E3031">
            <w:pPr>
              <w:rPr>
                <w:sz w:val="20"/>
                <w:szCs w:val="20"/>
              </w:rPr>
            </w:pPr>
            <w:r w:rsidRPr="004D20D2">
              <w:rPr>
                <w:sz w:val="20"/>
                <w:szCs w:val="20"/>
                <w:lang w:val="fr-CA"/>
              </w:rPr>
              <w:pict>
                <v:rect id="_x0000_i1033" style="width:108pt;height:1pt" o:hrpct="0" o:hralign="center" o:hrstd="t" o:hrnoshade="t" o:hr="t" fillcolor="black [3213]" stroked="f"/>
              </w:pict>
            </w:r>
          </w:p>
        </w:tc>
        <w:tc>
          <w:tcPr>
            <w:tcW w:w="1181" w:type="dxa"/>
            <w:shd w:val="clear" w:color="auto" w:fill="auto"/>
          </w:tcPr>
          <w:p w:rsidR="004E3031" w:rsidRDefault="004E3031" w:rsidP="00242AEE">
            <w:pPr>
              <w:jc w:val="center"/>
              <w:rPr>
                <w:sz w:val="20"/>
                <w:szCs w:val="20"/>
              </w:rPr>
            </w:pPr>
          </w:p>
          <w:p w:rsidR="004E3031" w:rsidRDefault="004E3031" w:rsidP="00242AEE">
            <w:pPr>
              <w:jc w:val="center"/>
              <w:rPr>
                <w:sz w:val="20"/>
                <w:szCs w:val="20"/>
              </w:rPr>
            </w:pPr>
          </w:p>
          <w:p w:rsidR="004E3031" w:rsidRDefault="004E3031" w:rsidP="00242AEE">
            <w:pPr>
              <w:jc w:val="center"/>
              <w:rPr>
                <w:sz w:val="20"/>
                <w:szCs w:val="20"/>
              </w:rPr>
            </w:pPr>
          </w:p>
          <w:p w:rsidR="004E3031" w:rsidRDefault="004E3031" w:rsidP="00242AEE">
            <w:pPr>
              <w:jc w:val="center"/>
              <w:rPr>
                <w:sz w:val="20"/>
                <w:szCs w:val="20"/>
              </w:rPr>
            </w:pPr>
          </w:p>
          <w:p w:rsidR="004E3031" w:rsidRDefault="004E3031" w:rsidP="00242AEE">
            <w:pPr>
              <w:jc w:val="center"/>
              <w:rPr>
                <w:sz w:val="20"/>
                <w:szCs w:val="20"/>
              </w:rPr>
            </w:pPr>
          </w:p>
          <w:p w:rsidR="004E3031" w:rsidRDefault="004E3031" w:rsidP="00242AEE">
            <w:pPr>
              <w:jc w:val="center"/>
              <w:rPr>
                <w:sz w:val="20"/>
                <w:szCs w:val="20"/>
              </w:rPr>
            </w:pPr>
          </w:p>
          <w:p w:rsidR="004E3031" w:rsidRDefault="004E3031" w:rsidP="00242AEE">
            <w:pPr>
              <w:jc w:val="center"/>
              <w:rPr>
                <w:sz w:val="20"/>
                <w:szCs w:val="20"/>
              </w:rPr>
            </w:pPr>
          </w:p>
          <w:p w:rsidR="004E3031" w:rsidRDefault="004E3031" w:rsidP="00242AEE">
            <w:pPr>
              <w:jc w:val="center"/>
              <w:rPr>
                <w:sz w:val="20"/>
                <w:szCs w:val="20"/>
              </w:rPr>
            </w:pPr>
          </w:p>
          <w:p w:rsidR="004E3031" w:rsidRDefault="004E3031" w:rsidP="00242AEE">
            <w:pPr>
              <w:jc w:val="center"/>
              <w:rPr>
                <w:sz w:val="20"/>
                <w:szCs w:val="20"/>
              </w:rPr>
            </w:pPr>
          </w:p>
          <w:p w:rsidR="004E3031" w:rsidRDefault="004E3031" w:rsidP="00242AEE">
            <w:pPr>
              <w:jc w:val="center"/>
              <w:rPr>
                <w:sz w:val="20"/>
                <w:szCs w:val="20"/>
              </w:rPr>
            </w:pPr>
          </w:p>
          <w:p w:rsidR="004E3031" w:rsidRDefault="004E3031" w:rsidP="00242AEE">
            <w:pPr>
              <w:jc w:val="center"/>
              <w:rPr>
                <w:sz w:val="20"/>
                <w:szCs w:val="20"/>
              </w:rPr>
            </w:pPr>
          </w:p>
          <w:p w:rsidR="004E3031" w:rsidRPr="00A935AA" w:rsidRDefault="004E3031" w:rsidP="00242AEE">
            <w:pPr>
              <w:jc w:val="center"/>
              <w:rPr>
                <w:sz w:val="20"/>
                <w:szCs w:val="20"/>
              </w:rPr>
            </w:pPr>
          </w:p>
        </w:tc>
        <w:tc>
          <w:tcPr>
            <w:tcW w:w="4320" w:type="dxa"/>
            <w:shd w:val="clear" w:color="auto" w:fill="auto"/>
          </w:tcPr>
          <w:p w:rsidR="004E3031" w:rsidRPr="004E3031" w:rsidRDefault="004E3031" w:rsidP="003367E5">
            <w:pPr>
              <w:keepNext/>
              <w:keepLines/>
              <w:tabs>
                <w:tab w:val="left" w:pos="-1440"/>
                <w:tab w:val="left" w:pos="-720"/>
              </w:tabs>
              <w:rPr>
                <w:b/>
                <w:sz w:val="20"/>
                <w:szCs w:val="20"/>
              </w:rPr>
            </w:pPr>
            <w:r w:rsidRPr="004E3031">
              <w:rPr>
                <w:b/>
                <w:sz w:val="20"/>
                <w:szCs w:val="20"/>
              </w:rPr>
              <w:t>Erika S. Tiedemann</w:t>
            </w:r>
          </w:p>
          <w:p w:rsidR="004E3031" w:rsidRPr="00A935AA" w:rsidRDefault="004E3031" w:rsidP="004E3031">
            <w:pPr>
              <w:tabs>
                <w:tab w:val="left" w:pos="-1440"/>
                <w:tab w:val="left" w:pos="-720"/>
              </w:tabs>
              <w:rPr>
                <w:sz w:val="20"/>
                <w:szCs w:val="20"/>
              </w:rPr>
            </w:pPr>
            <w:r>
              <w:rPr>
                <w:sz w:val="20"/>
                <w:szCs w:val="20"/>
              </w:rPr>
              <w:tab/>
              <w:t>Erika S. Tiedemann</w:t>
            </w:r>
          </w:p>
          <w:p w:rsidR="004E3031" w:rsidRPr="00A935AA" w:rsidRDefault="004E3031" w:rsidP="004E3031">
            <w:pPr>
              <w:tabs>
                <w:tab w:val="left" w:pos="-1440"/>
                <w:tab w:val="left" w:pos="-720"/>
              </w:tabs>
              <w:rPr>
                <w:sz w:val="20"/>
                <w:szCs w:val="20"/>
              </w:rPr>
            </w:pPr>
          </w:p>
          <w:p w:rsidR="004E3031" w:rsidRPr="00AD4563" w:rsidRDefault="004E3031" w:rsidP="004E3031">
            <w:pPr>
              <w:tabs>
                <w:tab w:val="left" w:pos="-1440"/>
                <w:tab w:val="left" w:pos="-720"/>
              </w:tabs>
              <w:rPr>
                <w:sz w:val="20"/>
                <w:szCs w:val="20"/>
                <w:lang w:val="fr-CA"/>
              </w:rPr>
            </w:pPr>
            <w:r w:rsidRPr="00A935AA">
              <w:rPr>
                <w:sz w:val="20"/>
                <w:szCs w:val="20"/>
              </w:rPr>
              <w:tab/>
            </w:r>
            <w:r w:rsidRPr="00AD4563">
              <w:rPr>
                <w:sz w:val="20"/>
                <w:szCs w:val="20"/>
                <w:lang w:val="fr-CA"/>
              </w:rPr>
              <w:t>v. (34343)</w:t>
            </w:r>
          </w:p>
          <w:p w:rsidR="004E3031" w:rsidRPr="00AD4563" w:rsidRDefault="004E3031" w:rsidP="004E3031">
            <w:pPr>
              <w:tabs>
                <w:tab w:val="left" w:pos="-1440"/>
                <w:tab w:val="left" w:pos="-720"/>
              </w:tabs>
              <w:rPr>
                <w:sz w:val="20"/>
                <w:szCs w:val="20"/>
                <w:lang w:val="fr-CA"/>
              </w:rPr>
            </w:pPr>
          </w:p>
          <w:p w:rsidR="004E3031" w:rsidRPr="00AD4563" w:rsidRDefault="004E3031" w:rsidP="004E3031">
            <w:pPr>
              <w:tabs>
                <w:tab w:val="left" w:pos="-1440"/>
                <w:tab w:val="left" w:pos="-720"/>
              </w:tabs>
              <w:rPr>
                <w:b/>
                <w:sz w:val="20"/>
                <w:szCs w:val="20"/>
                <w:lang w:val="fr-CA"/>
              </w:rPr>
            </w:pPr>
            <w:r w:rsidRPr="00AD4563">
              <w:rPr>
                <w:b/>
                <w:sz w:val="20"/>
                <w:szCs w:val="20"/>
                <w:lang w:val="fr-CA"/>
              </w:rPr>
              <w:t>Angence du Revenu du Québec (Q</w:t>
            </w:r>
            <w:r>
              <w:rPr>
                <w:b/>
                <w:sz w:val="20"/>
                <w:szCs w:val="20"/>
                <w:lang w:val="fr-CA"/>
              </w:rPr>
              <w:t>ue.</w:t>
            </w:r>
            <w:r w:rsidRPr="00AD4563">
              <w:rPr>
                <w:b/>
                <w:sz w:val="20"/>
                <w:szCs w:val="20"/>
                <w:lang w:val="fr-CA"/>
              </w:rPr>
              <w:t>)</w:t>
            </w:r>
          </w:p>
          <w:p w:rsidR="004E3031" w:rsidRPr="00AD4563" w:rsidRDefault="004E3031" w:rsidP="004E3031">
            <w:pPr>
              <w:tabs>
                <w:tab w:val="left" w:pos="-1440"/>
                <w:tab w:val="left" w:pos="-720"/>
              </w:tabs>
              <w:rPr>
                <w:sz w:val="20"/>
                <w:szCs w:val="20"/>
                <w:lang w:val="fr-CA"/>
              </w:rPr>
            </w:pPr>
            <w:r w:rsidRPr="00AD4563">
              <w:rPr>
                <w:sz w:val="20"/>
                <w:szCs w:val="20"/>
                <w:lang w:val="fr-CA"/>
              </w:rPr>
              <w:tab/>
            </w:r>
            <w:r>
              <w:rPr>
                <w:sz w:val="20"/>
                <w:szCs w:val="20"/>
                <w:lang w:val="fr-CA"/>
              </w:rPr>
              <w:t>Julie Sidara-Charron</w:t>
            </w:r>
          </w:p>
          <w:p w:rsidR="004E3031" w:rsidRPr="00AD4563" w:rsidRDefault="004E3031" w:rsidP="004E3031">
            <w:pPr>
              <w:tabs>
                <w:tab w:val="left" w:pos="-1440"/>
                <w:tab w:val="left" w:pos="-720"/>
              </w:tabs>
              <w:rPr>
                <w:sz w:val="20"/>
                <w:szCs w:val="20"/>
                <w:lang w:val="fr-CA"/>
              </w:rPr>
            </w:pPr>
            <w:r w:rsidRPr="00AD4563">
              <w:rPr>
                <w:sz w:val="20"/>
                <w:szCs w:val="20"/>
                <w:lang w:val="fr-CA"/>
              </w:rPr>
              <w:tab/>
            </w:r>
            <w:r>
              <w:rPr>
                <w:sz w:val="20"/>
                <w:szCs w:val="20"/>
                <w:lang w:val="fr-CA"/>
              </w:rPr>
              <w:t>Larivière Meunier</w:t>
            </w:r>
          </w:p>
          <w:p w:rsidR="004E3031" w:rsidRPr="00AD4563" w:rsidRDefault="004E3031" w:rsidP="004E3031">
            <w:pPr>
              <w:tabs>
                <w:tab w:val="left" w:pos="-1440"/>
                <w:tab w:val="left" w:pos="-720"/>
              </w:tabs>
              <w:rPr>
                <w:sz w:val="20"/>
                <w:szCs w:val="20"/>
                <w:lang w:val="fr-CA"/>
              </w:rPr>
            </w:pPr>
          </w:p>
          <w:p w:rsidR="004E3031" w:rsidRPr="00AD4563" w:rsidRDefault="004E3031" w:rsidP="004E3031">
            <w:pPr>
              <w:rPr>
                <w:sz w:val="20"/>
                <w:szCs w:val="20"/>
                <w:lang w:val="fr-CA"/>
              </w:rPr>
            </w:pPr>
            <w:r w:rsidRPr="00AD4563">
              <w:rPr>
                <w:sz w:val="20"/>
                <w:szCs w:val="20"/>
                <w:lang w:val="fr-CA"/>
              </w:rPr>
              <w:t>FILING DATE: 30.06.2011</w:t>
            </w:r>
          </w:p>
          <w:p w:rsidR="004E3031" w:rsidRPr="004E3031" w:rsidRDefault="004D20D2" w:rsidP="004E3031">
            <w:pPr>
              <w:keepNext/>
              <w:keepLines/>
              <w:tabs>
                <w:tab w:val="left" w:pos="-1440"/>
                <w:tab w:val="left" w:pos="-720"/>
              </w:tabs>
              <w:rPr>
                <w:sz w:val="20"/>
                <w:szCs w:val="20"/>
              </w:rPr>
            </w:pPr>
            <w:r w:rsidRPr="004D20D2">
              <w:rPr>
                <w:sz w:val="20"/>
                <w:szCs w:val="20"/>
                <w:lang w:val="fr-CA"/>
              </w:rPr>
              <w:pict>
                <v:rect id="_x0000_i1034" style="width:108pt;height:1pt" o:hrpct="0" o:hralign="center" o:hrstd="t" o:hrnoshade="t" o:hr="t" fillcolor="black [3213]" stroked="f"/>
              </w:pict>
            </w:r>
          </w:p>
        </w:tc>
      </w:tr>
      <w:tr w:rsidR="004E3031" w:rsidRPr="00A935AA" w:rsidTr="003B3977">
        <w:trPr>
          <w:cantSplit/>
        </w:trPr>
        <w:tc>
          <w:tcPr>
            <w:tcW w:w="4320" w:type="dxa"/>
            <w:shd w:val="clear" w:color="auto" w:fill="auto"/>
          </w:tcPr>
          <w:p w:rsidR="004E3031" w:rsidRPr="00A935AA" w:rsidRDefault="004E3031" w:rsidP="003367E5">
            <w:pPr>
              <w:rPr>
                <w:b/>
                <w:sz w:val="20"/>
                <w:szCs w:val="20"/>
              </w:rPr>
            </w:pPr>
            <w:r>
              <w:rPr>
                <w:b/>
                <w:sz w:val="20"/>
                <w:szCs w:val="20"/>
              </w:rPr>
              <w:t>Chem-Trend Limited Partnership</w:t>
            </w:r>
          </w:p>
          <w:p w:rsidR="004E3031" w:rsidRPr="00A935AA" w:rsidRDefault="004E3031" w:rsidP="004E3031">
            <w:pPr>
              <w:keepNext/>
              <w:keepLines/>
              <w:tabs>
                <w:tab w:val="left" w:pos="-1440"/>
                <w:tab w:val="left" w:pos="-720"/>
              </w:tabs>
              <w:rPr>
                <w:sz w:val="20"/>
                <w:szCs w:val="20"/>
              </w:rPr>
            </w:pPr>
            <w:r w:rsidRPr="00A935AA">
              <w:rPr>
                <w:sz w:val="20"/>
                <w:szCs w:val="20"/>
              </w:rPr>
              <w:tab/>
            </w:r>
            <w:r>
              <w:rPr>
                <w:sz w:val="20"/>
                <w:szCs w:val="20"/>
              </w:rPr>
              <w:t>Karen Fields</w:t>
            </w:r>
          </w:p>
          <w:p w:rsidR="004E3031" w:rsidRPr="00A935AA" w:rsidRDefault="004E3031" w:rsidP="004E3031">
            <w:pPr>
              <w:keepNext/>
              <w:keepLines/>
              <w:tabs>
                <w:tab w:val="left" w:pos="-1440"/>
                <w:tab w:val="left" w:pos="-720"/>
              </w:tabs>
              <w:rPr>
                <w:sz w:val="20"/>
                <w:szCs w:val="20"/>
              </w:rPr>
            </w:pPr>
            <w:r w:rsidRPr="00A935AA">
              <w:rPr>
                <w:sz w:val="20"/>
                <w:szCs w:val="20"/>
              </w:rPr>
              <w:tab/>
            </w:r>
            <w:r>
              <w:rPr>
                <w:sz w:val="20"/>
                <w:szCs w:val="20"/>
              </w:rPr>
              <w:t>Crawford Chondon &amp; Partners LLP</w:t>
            </w:r>
          </w:p>
          <w:p w:rsidR="004E3031" w:rsidRPr="00A935AA" w:rsidRDefault="004E3031" w:rsidP="004E3031">
            <w:pPr>
              <w:keepNext/>
              <w:keepLines/>
              <w:tabs>
                <w:tab w:val="left" w:pos="-1440"/>
                <w:tab w:val="left" w:pos="-720"/>
              </w:tabs>
              <w:rPr>
                <w:sz w:val="20"/>
                <w:szCs w:val="20"/>
              </w:rPr>
            </w:pPr>
          </w:p>
          <w:p w:rsidR="004E3031" w:rsidRPr="00AD4563" w:rsidRDefault="004E3031" w:rsidP="004E3031">
            <w:pPr>
              <w:keepNext/>
              <w:keepLines/>
              <w:tabs>
                <w:tab w:val="left" w:pos="-1440"/>
                <w:tab w:val="left" w:pos="-720"/>
              </w:tabs>
              <w:rPr>
                <w:sz w:val="20"/>
                <w:szCs w:val="20"/>
              </w:rPr>
            </w:pPr>
            <w:r w:rsidRPr="00A935AA">
              <w:rPr>
                <w:sz w:val="20"/>
                <w:szCs w:val="20"/>
              </w:rPr>
              <w:tab/>
            </w:r>
            <w:r w:rsidRPr="00AD4563">
              <w:rPr>
                <w:sz w:val="20"/>
                <w:szCs w:val="20"/>
              </w:rPr>
              <w:t>v. (34</w:t>
            </w:r>
            <w:r>
              <w:rPr>
                <w:sz w:val="20"/>
                <w:szCs w:val="20"/>
              </w:rPr>
              <w:t>342</w:t>
            </w:r>
            <w:r w:rsidRPr="00AD4563">
              <w:rPr>
                <w:sz w:val="20"/>
                <w:szCs w:val="20"/>
              </w:rPr>
              <w:t>)</w:t>
            </w:r>
          </w:p>
          <w:p w:rsidR="004E3031" w:rsidRPr="00AD4563" w:rsidRDefault="004E3031" w:rsidP="004E3031">
            <w:pPr>
              <w:keepNext/>
              <w:keepLines/>
              <w:tabs>
                <w:tab w:val="left" w:pos="-1440"/>
                <w:tab w:val="left" w:pos="-720"/>
              </w:tabs>
              <w:rPr>
                <w:sz w:val="20"/>
                <w:szCs w:val="20"/>
              </w:rPr>
            </w:pPr>
          </w:p>
          <w:p w:rsidR="004E3031" w:rsidRPr="00AD4563" w:rsidRDefault="004E3031" w:rsidP="004E3031">
            <w:pPr>
              <w:keepNext/>
              <w:keepLines/>
              <w:tabs>
                <w:tab w:val="left" w:pos="-1440"/>
                <w:tab w:val="left" w:pos="-720"/>
              </w:tabs>
              <w:rPr>
                <w:b/>
                <w:sz w:val="20"/>
                <w:szCs w:val="20"/>
              </w:rPr>
            </w:pPr>
            <w:r>
              <w:rPr>
                <w:b/>
                <w:sz w:val="20"/>
                <w:szCs w:val="20"/>
              </w:rPr>
              <w:t xml:space="preserve">Tom Mason </w:t>
            </w:r>
            <w:r w:rsidRPr="00AD4563">
              <w:rPr>
                <w:b/>
                <w:sz w:val="20"/>
                <w:szCs w:val="20"/>
              </w:rPr>
              <w:t>(Ont.)</w:t>
            </w:r>
          </w:p>
          <w:p w:rsidR="004E3031" w:rsidRPr="00AD4563" w:rsidRDefault="004E3031" w:rsidP="004E3031">
            <w:pPr>
              <w:keepNext/>
              <w:keepLines/>
              <w:tabs>
                <w:tab w:val="left" w:pos="-1440"/>
                <w:tab w:val="left" w:pos="-720"/>
              </w:tabs>
              <w:rPr>
                <w:sz w:val="20"/>
                <w:szCs w:val="20"/>
              </w:rPr>
            </w:pPr>
            <w:r w:rsidRPr="00AD4563">
              <w:rPr>
                <w:sz w:val="20"/>
                <w:szCs w:val="20"/>
              </w:rPr>
              <w:tab/>
            </w:r>
            <w:r>
              <w:rPr>
                <w:sz w:val="20"/>
                <w:szCs w:val="20"/>
              </w:rPr>
              <w:t>Chris G. Paliare</w:t>
            </w:r>
          </w:p>
          <w:p w:rsidR="004E3031" w:rsidRPr="00AD4563" w:rsidRDefault="004E3031" w:rsidP="004E3031">
            <w:pPr>
              <w:keepNext/>
              <w:keepLines/>
              <w:tabs>
                <w:tab w:val="left" w:pos="-1440"/>
                <w:tab w:val="left" w:pos="-720"/>
              </w:tabs>
              <w:rPr>
                <w:sz w:val="20"/>
                <w:szCs w:val="20"/>
              </w:rPr>
            </w:pPr>
            <w:r w:rsidRPr="00AD4563">
              <w:rPr>
                <w:sz w:val="20"/>
                <w:szCs w:val="20"/>
              </w:rPr>
              <w:tab/>
            </w:r>
            <w:r>
              <w:rPr>
                <w:sz w:val="20"/>
                <w:szCs w:val="20"/>
              </w:rPr>
              <w:t xml:space="preserve">Paliare, Roland, Rosenberg, Rothstein </w:t>
            </w:r>
            <w:r>
              <w:rPr>
                <w:sz w:val="20"/>
                <w:szCs w:val="20"/>
              </w:rPr>
              <w:tab/>
              <w:t>LLP</w:t>
            </w:r>
          </w:p>
          <w:p w:rsidR="004E3031" w:rsidRPr="00AD4563" w:rsidRDefault="004E3031" w:rsidP="004E3031">
            <w:pPr>
              <w:keepNext/>
              <w:keepLines/>
              <w:tabs>
                <w:tab w:val="left" w:pos="-1440"/>
                <w:tab w:val="left" w:pos="-720"/>
              </w:tabs>
              <w:rPr>
                <w:sz w:val="20"/>
                <w:szCs w:val="20"/>
              </w:rPr>
            </w:pPr>
          </w:p>
          <w:p w:rsidR="004E3031" w:rsidRPr="00A935AA" w:rsidRDefault="004E3031" w:rsidP="004E3031">
            <w:pPr>
              <w:tabs>
                <w:tab w:val="left" w:pos="-1440"/>
                <w:tab w:val="left" w:pos="-720"/>
              </w:tabs>
              <w:rPr>
                <w:sz w:val="20"/>
                <w:szCs w:val="20"/>
              </w:rPr>
            </w:pPr>
            <w:r w:rsidRPr="00A935AA">
              <w:rPr>
                <w:sz w:val="20"/>
                <w:szCs w:val="20"/>
              </w:rPr>
              <w:t xml:space="preserve">FILING DATE: </w:t>
            </w:r>
            <w:r>
              <w:rPr>
                <w:sz w:val="20"/>
                <w:szCs w:val="20"/>
              </w:rPr>
              <w:t>06</w:t>
            </w:r>
            <w:r w:rsidRPr="00A935AA">
              <w:rPr>
                <w:sz w:val="20"/>
                <w:szCs w:val="20"/>
              </w:rPr>
              <w:t>.0</w:t>
            </w:r>
            <w:r>
              <w:rPr>
                <w:sz w:val="20"/>
                <w:szCs w:val="20"/>
              </w:rPr>
              <w:t>7</w:t>
            </w:r>
            <w:r w:rsidRPr="00A935AA">
              <w:rPr>
                <w:sz w:val="20"/>
                <w:szCs w:val="20"/>
              </w:rPr>
              <w:t>.201</w:t>
            </w:r>
            <w:r>
              <w:rPr>
                <w:sz w:val="20"/>
                <w:szCs w:val="20"/>
              </w:rPr>
              <w:t>1</w:t>
            </w:r>
          </w:p>
          <w:p w:rsidR="004E3031" w:rsidRPr="00A935AA" w:rsidRDefault="004D20D2" w:rsidP="003367E5">
            <w:pPr>
              <w:rPr>
                <w:sz w:val="20"/>
                <w:szCs w:val="20"/>
              </w:rPr>
            </w:pPr>
            <w:r w:rsidRPr="004D20D2">
              <w:rPr>
                <w:sz w:val="20"/>
                <w:szCs w:val="20"/>
                <w:lang w:val="fr-CA"/>
              </w:rPr>
              <w:pict>
                <v:rect id="_x0000_i1035" style="width:108pt;height:1pt" o:hrpct="0" o:hralign="center" o:hrstd="t" o:hrnoshade="t" o:hr="t" fillcolor="black [3213]" stroked="f"/>
              </w:pict>
            </w:r>
          </w:p>
        </w:tc>
        <w:tc>
          <w:tcPr>
            <w:tcW w:w="1181" w:type="dxa"/>
            <w:shd w:val="clear" w:color="auto" w:fill="auto"/>
          </w:tcPr>
          <w:p w:rsidR="004E3031" w:rsidRPr="00A935AA" w:rsidRDefault="004E3031" w:rsidP="00242AEE">
            <w:pPr>
              <w:jc w:val="center"/>
              <w:rPr>
                <w:sz w:val="20"/>
                <w:szCs w:val="20"/>
              </w:rPr>
            </w:pPr>
          </w:p>
          <w:p w:rsidR="004E3031" w:rsidRPr="00A935AA" w:rsidRDefault="004E3031" w:rsidP="00242AEE">
            <w:pPr>
              <w:jc w:val="center"/>
              <w:rPr>
                <w:sz w:val="20"/>
                <w:szCs w:val="20"/>
              </w:rPr>
            </w:pPr>
          </w:p>
          <w:p w:rsidR="004E3031" w:rsidRPr="00A935AA" w:rsidRDefault="004E3031" w:rsidP="00242AEE">
            <w:pPr>
              <w:jc w:val="center"/>
              <w:rPr>
                <w:sz w:val="20"/>
                <w:szCs w:val="20"/>
              </w:rPr>
            </w:pPr>
          </w:p>
          <w:p w:rsidR="004E3031" w:rsidRPr="00A935AA" w:rsidRDefault="004E3031" w:rsidP="00242AEE">
            <w:pPr>
              <w:jc w:val="center"/>
              <w:rPr>
                <w:sz w:val="20"/>
                <w:szCs w:val="20"/>
              </w:rPr>
            </w:pPr>
          </w:p>
          <w:p w:rsidR="004E3031" w:rsidRPr="00A935AA" w:rsidRDefault="004E3031" w:rsidP="00242AEE">
            <w:pPr>
              <w:jc w:val="center"/>
              <w:rPr>
                <w:sz w:val="20"/>
                <w:szCs w:val="20"/>
              </w:rPr>
            </w:pPr>
          </w:p>
          <w:p w:rsidR="004E3031" w:rsidRPr="00A935AA" w:rsidRDefault="004E3031" w:rsidP="00242AEE">
            <w:pPr>
              <w:jc w:val="center"/>
              <w:rPr>
                <w:sz w:val="20"/>
                <w:szCs w:val="20"/>
              </w:rPr>
            </w:pPr>
          </w:p>
          <w:p w:rsidR="004E3031" w:rsidRPr="00A935AA" w:rsidRDefault="004E3031" w:rsidP="00242AEE">
            <w:pPr>
              <w:jc w:val="center"/>
              <w:rPr>
                <w:sz w:val="20"/>
                <w:szCs w:val="20"/>
              </w:rPr>
            </w:pPr>
          </w:p>
          <w:p w:rsidR="004E3031" w:rsidRPr="00A935AA" w:rsidRDefault="004E3031" w:rsidP="00242AEE">
            <w:pPr>
              <w:jc w:val="center"/>
              <w:rPr>
                <w:sz w:val="20"/>
                <w:szCs w:val="20"/>
              </w:rPr>
            </w:pPr>
          </w:p>
          <w:p w:rsidR="004E3031" w:rsidRPr="00A935AA" w:rsidRDefault="004E3031" w:rsidP="00242AEE">
            <w:pPr>
              <w:jc w:val="center"/>
              <w:rPr>
                <w:sz w:val="20"/>
                <w:szCs w:val="20"/>
              </w:rPr>
            </w:pPr>
          </w:p>
          <w:p w:rsidR="004E3031" w:rsidRPr="00A935AA" w:rsidRDefault="004E3031" w:rsidP="00242AEE">
            <w:pPr>
              <w:jc w:val="center"/>
              <w:rPr>
                <w:sz w:val="20"/>
                <w:szCs w:val="20"/>
              </w:rPr>
            </w:pPr>
          </w:p>
          <w:p w:rsidR="004E3031" w:rsidRPr="00A935AA" w:rsidRDefault="004E3031" w:rsidP="00242AEE">
            <w:pPr>
              <w:jc w:val="center"/>
              <w:rPr>
                <w:sz w:val="20"/>
                <w:szCs w:val="20"/>
              </w:rPr>
            </w:pPr>
          </w:p>
          <w:p w:rsidR="004E3031" w:rsidRPr="00A935AA" w:rsidRDefault="004E3031" w:rsidP="00242AEE">
            <w:pPr>
              <w:jc w:val="center"/>
              <w:rPr>
                <w:sz w:val="20"/>
                <w:szCs w:val="20"/>
              </w:rPr>
            </w:pPr>
          </w:p>
          <w:p w:rsidR="004E3031" w:rsidRPr="00A935AA" w:rsidRDefault="004E3031" w:rsidP="00242AEE">
            <w:pPr>
              <w:jc w:val="center"/>
              <w:rPr>
                <w:sz w:val="20"/>
                <w:szCs w:val="20"/>
              </w:rPr>
            </w:pPr>
          </w:p>
        </w:tc>
        <w:tc>
          <w:tcPr>
            <w:tcW w:w="4320" w:type="dxa"/>
            <w:shd w:val="clear" w:color="auto" w:fill="auto"/>
          </w:tcPr>
          <w:p w:rsidR="004E3031" w:rsidRPr="00A935AA" w:rsidRDefault="004E3031" w:rsidP="003367E5">
            <w:pPr>
              <w:rPr>
                <w:sz w:val="20"/>
                <w:szCs w:val="20"/>
              </w:rPr>
            </w:pPr>
          </w:p>
        </w:tc>
      </w:tr>
    </w:tbl>
    <w:p w:rsidR="006C3F47" w:rsidRDefault="006C3F47" w:rsidP="0095096B">
      <w:pPr>
        <w:tabs>
          <w:tab w:val="right" w:pos="9360"/>
        </w:tabs>
        <w:rPr>
          <w:sz w:val="20"/>
          <w:szCs w:val="20"/>
        </w:rPr>
      </w:pPr>
    </w:p>
    <w:p w:rsidR="00242AEE" w:rsidRDefault="00242AEE" w:rsidP="0095096B">
      <w:pPr>
        <w:tabs>
          <w:tab w:val="right" w:pos="9360"/>
        </w:tabs>
        <w:rPr>
          <w:sz w:val="20"/>
          <w:szCs w:val="20"/>
        </w:rPr>
      </w:pPr>
    </w:p>
    <w:p w:rsidR="00242AEE" w:rsidRPr="00C50A5C" w:rsidRDefault="00242AEE" w:rsidP="0095096B">
      <w:pPr>
        <w:tabs>
          <w:tab w:val="right" w:pos="9360"/>
        </w:tabs>
        <w:rPr>
          <w:sz w:val="20"/>
          <w:szCs w:val="20"/>
        </w:rPr>
        <w:sectPr w:rsidR="00242AEE" w:rsidRPr="00C50A5C" w:rsidSect="009C22C6">
          <w:headerReference w:type="default" r:id="rId15"/>
          <w:footerReference w:type="default" r:id="rId16"/>
          <w:headerReference w:type="first" r:id="rId17"/>
          <w:footerReference w:type="first" r:id="rId18"/>
          <w:pgSz w:w="12240" w:h="15840"/>
          <w:pgMar w:top="720" w:right="965" w:bottom="1080" w:left="1656" w:header="706" w:footer="706" w:gutter="0"/>
          <w:pgNumType w:start="1133"/>
          <w:cols w:space="708"/>
          <w:titlePg/>
          <w:docGrid w:linePitch="360"/>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2E2327" w:rsidRPr="00291AC9" w:rsidTr="00BA6468">
        <w:trPr>
          <w:trHeight w:val="900"/>
        </w:trPr>
        <w:tc>
          <w:tcPr>
            <w:tcW w:w="4200" w:type="dxa"/>
            <w:tcMar>
              <w:left w:w="0" w:type="dxa"/>
              <w:right w:w="0" w:type="dxa"/>
            </w:tcMar>
          </w:tcPr>
          <w:p w:rsidR="002E2327" w:rsidRPr="001D0D5F" w:rsidRDefault="002E2327" w:rsidP="002E2327">
            <w:pPr>
              <w:keepNext/>
              <w:keepLines/>
              <w:widowControl w:val="0"/>
              <w:rPr>
                <w:b/>
                <w:szCs w:val="24"/>
              </w:rPr>
            </w:pPr>
            <w:r w:rsidRPr="001D0D5F">
              <w:rPr>
                <w:b/>
                <w:szCs w:val="24"/>
              </w:rPr>
              <w:lastRenderedPageBreak/>
              <w:t>APPLICATIONS FOR LEAVE SUBMITTED TO COURT SINCE LAST ISSUE</w:t>
            </w:r>
          </w:p>
        </w:tc>
        <w:tc>
          <w:tcPr>
            <w:tcW w:w="1200" w:type="dxa"/>
            <w:tcMar>
              <w:left w:w="0" w:type="dxa"/>
              <w:right w:w="0" w:type="dxa"/>
            </w:tcMar>
          </w:tcPr>
          <w:p w:rsidR="002E2327" w:rsidRDefault="002E2327"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Pr="001D0D5F" w:rsidRDefault="001D0D5F" w:rsidP="002E2327">
            <w:pPr>
              <w:keepNext/>
              <w:keepLines/>
              <w:widowControl w:val="0"/>
              <w:jc w:val="center"/>
              <w:rPr>
                <w:b/>
                <w:szCs w:val="24"/>
              </w:rPr>
            </w:pPr>
          </w:p>
        </w:tc>
        <w:tc>
          <w:tcPr>
            <w:tcW w:w="4080" w:type="dxa"/>
            <w:tcMar>
              <w:left w:w="0" w:type="dxa"/>
              <w:right w:w="0" w:type="dxa"/>
            </w:tcMar>
          </w:tcPr>
          <w:p w:rsidR="002E2327" w:rsidRPr="001D0D5F" w:rsidRDefault="002E2327" w:rsidP="002E2327">
            <w:pPr>
              <w:keepLines/>
              <w:widowControl w:val="0"/>
              <w:rPr>
                <w:szCs w:val="24"/>
                <w:lang w:val="fr-CA"/>
              </w:rPr>
            </w:pPr>
            <w:r w:rsidRPr="001D0D5F">
              <w:rPr>
                <w:b/>
                <w:szCs w:val="24"/>
                <w:lang w:val="fr-CA"/>
              </w:rPr>
              <w:t>DEMANDES SOUMISES À LA COUR DEPUIS LA DERNIÈRE PARUTION</w:t>
            </w:r>
          </w:p>
          <w:p w:rsidR="002E2327" w:rsidRPr="001D0D5F" w:rsidRDefault="002E2327" w:rsidP="002E2327">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tc>
      </w:tr>
    </w:tbl>
    <w:p w:rsidR="002E2327" w:rsidRPr="00C50A5C" w:rsidRDefault="002E2327" w:rsidP="002E2327">
      <w:pPr>
        <w:widowControl w:val="0"/>
        <w:rPr>
          <w:b/>
          <w:sz w:val="20"/>
          <w:szCs w:val="20"/>
          <w:lang w:val="fr-CA"/>
        </w:rPr>
      </w:pPr>
    </w:p>
    <w:p w:rsidR="003359D3" w:rsidRPr="00C50A5C" w:rsidRDefault="00023530" w:rsidP="003359D3">
      <w:pPr>
        <w:widowControl w:val="0"/>
        <w:rPr>
          <w:b/>
          <w:sz w:val="20"/>
          <w:szCs w:val="20"/>
        </w:rPr>
      </w:pPr>
      <w:r>
        <w:rPr>
          <w:b/>
          <w:sz w:val="20"/>
          <w:szCs w:val="20"/>
        </w:rPr>
        <w:t>JULY</w:t>
      </w:r>
      <w:r w:rsidR="003359D3" w:rsidRPr="00C50A5C">
        <w:rPr>
          <w:b/>
          <w:sz w:val="20"/>
          <w:szCs w:val="20"/>
        </w:rPr>
        <w:t xml:space="preserve"> </w:t>
      </w:r>
      <w:r>
        <w:rPr>
          <w:b/>
          <w:sz w:val="20"/>
          <w:szCs w:val="20"/>
        </w:rPr>
        <w:t>25</w:t>
      </w:r>
      <w:r w:rsidR="003359D3" w:rsidRPr="00C50A5C">
        <w:rPr>
          <w:b/>
          <w:sz w:val="20"/>
          <w:szCs w:val="20"/>
        </w:rPr>
        <w:t>, 201</w:t>
      </w:r>
      <w:r w:rsidR="003359D3">
        <w:rPr>
          <w:b/>
          <w:sz w:val="20"/>
          <w:szCs w:val="20"/>
        </w:rPr>
        <w:t>1</w:t>
      </w:r>
      <w:r w:rsidR="003359D3" w:rsidRPr="00C50A5C">
        <w:rPr>
          <w:b/>
          <w:sz w:val="20"/>
          <w:szCs w:val="20"/>
        </w:rPr>
        <w:t xml:space="preserve"> / LE </w:t>
      </w:r>
      <w:r>
        <w:rPr>
          <w:b/>
          <w:sz w:val="20"/>
          <w:szCs w:val="20"/>
        </w:rPr>
        <w:t>25 JUI</w:t>
      </w:r>
      <w:r w:rsidR="003359D3">
        <w:rPr>
          <w:b/>
          <w:sz w:val="20"/>
          <w:szCs w:val="20"/>
        </w:rPr>
        <w:t>L</w:t>
      </w:r>
      <w:r>
        <w:rPr>
          <w:b/>
          <w:sz w:val="20"/>
          <w:szCs w:val="20"/>
        </w:rPr>
        <w:t>LET</w:t>
      </w:r>
      <w:r w:rsidR="003359D3" w:rsidRPr="00C50A5C">
        <w:rPr>
          <w:b/>
          <w:sz w:val="20"/>
          <w:szCs w:val="20"/>
        </w:rPr>
        <w:t xml:space="preserve"> 201</w:t>
      </w:r>
      <w:r w:rsidR="003359D3">
        <w:rPr>
          <w:b/>
          <w:sz w:val="20"/>
          <w:szCs w:val="20"/>
        </w:rPr>
        <w:t>1</w:t>
      </w:r>
    </w:p>
    <w:p w:rsidR="003359D3" w:rsidRPr="00C50A5C" w:rsidRDefault="003359D3" w:rsidP="003359D3">
      <w:pPr>
        <w:widowControl w:val="0"/>
        <w:rPr>
          <w:b/>
          <w:sz w:val="20"/>
          <w:szCs w:val="20"/>
        </w:rPr>
      </w:pPr>
    </w:p>
    <w:p w:rsidR="003359D3" w:rsidRPr="00C50A5C" w:rsidRDefault="003359D3" w:rsidP="003359D3">
      <w:pPr>
        <w:widowControl w:val="0"/>
        <w:jc w:val="center"/>
        <w:rPr>
          <w:b/>
          <w:sz w:val="20"/>
          <w:szCs w:val="20"/>
        </w:rPr>
      </w:pPr>
      <w:r w:rsidRPr="00C50A5C">
        <w:rPr>
          <w:b/>
          <w:sz w:val="20"/>
          <w:szCs w:val="20"/>
        </w:rPr>
        <w:t xml:space="preserve">CORAM:  Chief Justice McLachlin and </w:t>
      </w:r>
      <w:r>
        <w:rPr>
          <w:b/>
          <w:sz w:val="20"/>
          <w:szCs w:val="20"/>
        </w:rPr>
        <w:t>Deschamps</w:t>
      </w:r>
      <w:r w:rsidRPr="00C50A5C">
        <w:rPr>
          <w:b/>
          <w:sz w:val="20"/>
          <w:szCs w:val="20"/>
        </w:rPr>
        <w:t xml:space="preserve"> and C</w:t>
      </w:r>
      <w:r>
        <w:rPr>
          <w:b/>
          <w:sz w:val="20"/>
          <w:szCs w:val="20"/>
        </w:rPr>
        <w:t>har</w:t>
      </w:r>
      <w:r w:rsidRPr="00C50A5C">
        <w:rPr>
          <w:b/>
          <w:sz w:val="20"/>
          <w:szCs w:val="20"/>
        </w:rPr>
        <w:t>ro</w:t>
      </w:r>
      <w:r>
        <w:rPr>
          <w:b/>
          <w:sz w:val="20"/>
          <w:szCs w:val="20"/>
        </w:rPr>
        <w:t>n</w:t>
      </w:r>
      <w:r w:rsidRPr="00C50A5C">
        <w:rPr>
          <w:b/>
          <w:sz w:val="20"/>
          <w:szCs w:val="20"/>
        </w:rPr>
        <w:t xml:space="preserve"> JJ.</w:t>
      </w:r>
    </w:p>
    <w:p w:rsidR="003359D3" w:rsidRPr="00C50A5C" w:rsidRDefault="003359D3" w:rsidP="003359D3">
      <w:pPr>
        <w:widowControl w:val="0"/>
        <w:jc w:val="center"/>
        <w:rPr>
          <w:sz w:val="20"/>
          <w:szCs w:val="20"/>
          <w:lang w:val="fr-CA"/>
        </w:rPr>
      </w:pPr>
      <w:r w:rsidRPr="00C50A5C">
        <w:rPr>
          <w:b/>
          <w:sz w:val="20"/>
          <w:szCs w:val="20"/>
          <w:lang w:val="fr-CA"/>
        </w:rPr>
        <w:t xml:space="preserve">La juge en chef McLachlin et les juges </w:t>
      </w:r>
      <w:r>
        <w:rPr>
          <w:b/>
          <w:sz w:val="20"/>
          <w:szCs w:val="20"/>
          <w:lang w:val="fr-CA"/>
        </w:rPr>
        <w:t>Deschamps</w:t>
      </w:r>
      <w:r w:rsidRPr="00C50A5C">
        <w:rPr>
          <w:b/>
          <w:sz w:val="20"/>
          <w:szCs w:val="20"/>
          <w:lang w:val="fr-CA"/>
        </w:rPr>
        <w:t xml:space="preserve"> et C</w:t>
      </w:r>
      <w:r>
        <w:rPr>
          <w:b/>
          <w:sz w:val="20"/>
          <w:szCs w:val="20"/>
          <w:lang w:val="fr-CA"/>
        </w:rPr>
        <w:t>har</w:t>
      </w:r>
      <w:r w:rsidRPr="00C50A5C">
        <w:rPr>
          <w:b/>
          <w:sz w:val="20"/>
          <w:szCs w:val="20"/>
          <w:lang w:val="fr-CA"/>
        </w:rPr>
        <w:t>ro</w:t>
      </w:r>
      <w:r>
        <w:rPr>
          <w:b/>
          <w:sz w:val="20"/>
          <w:szCs w:val="20"/>
          <w:lang w:val="fr-CA"/>
        </w:rPr>
        <w:t>n</w:t>
      </w:r>
    </w:p>
    <w:p w:rsidR="003359D3" w:rsidRPr="00C50A5C" w:rsidRDefault="003359D3" w:rsidP="003359D3">
      <w:pPr>
        <w:widowControl w:val="0"/>
        <w:rPr>
          <w:sz w:val="20"/>
          <w:szCs w:val="20"/>
          <w:lang w:val="fr-CA"/>
        </w:rPr>
      </w:pPr>
    </w:p>
    <w:p w:rsidR="003359D3" w:rsidRPr="00C50A5C" w:rsidRDefault="00194276" w:rsidP="003359D3">
      <w:pPr>
        <w:pStyle w:val="ListParagraph"/>
        <w:widowControl w:val="0"/>
        <w:numPr>
          <w:ilvl w:val="0"/>
          <w:numId w:val="1"/>
        </w:numPr>
        <w:ind w:hanging="720"/>
        <w:jc w:val="both"/>
        <w:rPr>
          <w:sz w:val="20"/>
          <w:szCs w:val="20"/>
        </w:rPr>
      </w:pPr>
      <w:r w:rsidRPr="00194276">
        <w:rPr>
          <w:i/>
          <w:sz w:val="20"/>
          <w:szCs w:val="20"/>
        </w:rPr>
        <w:t>Dustin Joseph Paul v. Her Majesty the Queen</w:t>
      </w:r>
      <w:r w:rsidRPr="00194276">
        <w:rPr>
          <w:sz w:val="20"/>
          <w:szCs w:val="20"/>
        </w:rPr>
        <w:t xml:space="preserve"> (B.C.) (Crim</w:t>
      </w:r>
      <w:r>
        <w:rPr>
          <w:sz w:val="20"/>
          <w:szCs w:val="20"/>
        </w:rPr>
        <w:t>.</w:t>
      </w:r>
      <w:r w:rsidRPr="00194276">
        <w:rPr>
          <w:sz w:val="20"/>
          <w:szCs w:val="20"/>
        </w:rPr>
        <w:t>) (By Leave)</w:t>
      </w:r>
      <w:r>
        <w:rPr>
          <w:sz w:val="20"/>
          <w:szCs w:val="20"/>
        </w:rPr>
        <w:t xml:space="preserve"> </w:t>
      </w:r>
      <w:r w:rsidR="003359D3" w:rsidRPr="00C50A5C">
        <w:rPr>
          <w:sz w:val="20"/>
          <w:szCs w:val="20"/>
        </w:rPr>
        <w:t>(3</w:t>
      </w:r>
      <w:r w:rsidR="003359D3">
        <w:rPr>
          <w:sz w:val="20"/>
          <w:szCs w:val="20"/>
        </w:rPr>
        <w:t>42</w:t>
      </w:r>
      <w:r>
        <w:rPr>
          <w:sz w:val="20"/>
          <w:szCs w:val="20"/>
        </w:rPr>
        <w:t>6</w:t>
      </w:r>
      <w:r w:rsidR="003359D3">
        <w:rPr>
          <w:sz w:val="20"/>
          <w:szCs w:val="20"/>
        </w:rPr>
        <w:t>0</w:t>
      </w:r>
      <w:r w:rsidR="003359D3" w:rsidRPr="00C50A5C">
        <w:rPr>
          <w:sz w:val="20"/>
          <w:szCs w:val="20"/>
        </w:rPr>
        <w:t>)</w:t>
      </w:r>
    </w:p>
    <w:p w:rsidR="003359D3" w:rsidRPr="00C50A5C" w:rsidRDefault="003359D3" w:rsidP="003359D3">
      <w:pPr>
        <w:widowControl w:val="0"/>
        <w:jc w:val="both"/>
        <w:rPr>
          <w:sz w:val="20"/>
          <w:szCs w:val="20"/>
        </w:rPr>
      </w:pPr>
    </w:p>
    <w:p w:rsidR="003359D3" w:rsidRPr="00194276" w:rsidRDefault="00194276" w:rsidP="003359D3">
      <w:pPr>
        <w:pStyle w:val="ListParagraph"/>
        <w:widowControl w:val="0"/>
        <w:numPr>
          <w:ilvl w:val="0"/>
          <w:numId w:val="1"/>
        </w:numPr>
        <w:ind w:hanging="720"/>
        <w:jc w:val="both"/>
        <w:rPr>
          <w:sz w:val="20"/>
          <w:szCs w:val="20"/>
        </w:rPr>
      </w:pPr>
      <w:r w:rsidRPr="00194276">
        <w:rPr>
          <w:i/>
          <w:sz w:val="20"/>
          <w:szCs w:val="20"/>
          <w:lang w:val="fr-CA"/>
        </w:rPr>
        <w:t>CMRRA-SODRAC Inc. (CSI) v. Canadian Satellite Radio Inc. et al.</w:t>
      </w:r>
      <w:r w:rsidRPr="00194276">
        <w:rPr>
          <w:sz w:val="20"/>
          <w:szCs w:val="20"/>
          <w:lang w:val="fr-CA"/>
        </w:rPr>
        <w:t xml:space="preserve"> </w:t>
      </w:r>
      <w:r w:rsidRPr="00194276">
        <w:rPr>
          <w:sz w:val="20"/>
          <w:szCs w:val="20"/>
        </w:rPr>
        <w:t xml:space="preserve">(F.C.) (Civil) (By Leave) </w:t>
      </w:r>
      <w:r w:rsidR="003359D3" w:rsidRPr="00194276">
        <w:rPr>
          <w:sz w:val="20"/>
          <w:szCs w:val="20"/>
        </w:rPr>
        <w:t>(34</w:t>
      </w:r>
      <w:r>
        <w:rPr>
          <w:sz w:val="20"/>
          <w:szCs w:val="20"/>
        </w:rPr>
        <w:t>09</w:t>
      </w:r>
      <w:r w:rsidR="003359D3" w:rsidRPr="00194276">
        <w:rPr>
          <w:sz w:val="20"/>
          <w:szCs w:val="20"/>
        </w:rPr>
        <w:t>2)</w:t>
      </w:r>
    </w:p>
    <w:p w:rsidR="003359D3" w:rsidRPr="00194276" w:rsidRDefault="003359D3" w:rsidP="003359D3">
      <w:pPr>
        <w:widowControl w:val="0"/>
        <w:jc w:val="both"/>
        <w:rPr>
          <w:sz w:val="20"/>
          <w:szCs w:val="20"/>
        </w:rPr>
      </w:pPr>
    </w:p>
    <w:p w:rsidR="00194276" w:rsidRPr="00194276" w:rsidRDefault="00194276" w:rsidP="003359D3">
      <w:pPr>
        <w:widowControl w:val="0"/>
        <w:jc w:val="both"/>
        <w:rPr>
          <w:sz w:val="20"/>
          <w:szCs w:val="20"/>
        </w:rPr>
      </w:pPr>
    </w:p>
    <w:p w:rsidR="00194276" w:rsidRPr="00C50A5C" w:rsidRDefault="00194276" w:rsidP="00194276">
      <w:pPr>
        <w:widowControl w:val="0"/>
        <w:jc w:val="center"/>
        <w:rPr>
          <w:b/>
          <w:sz w:val="20"/>
          <w:szCs w:val="20"/>
        </w:rPr>
      </w:pPr>
      <w:r w:rsidRPr="00C50A5C">
        <w:rPr>
          <w:b/>
          <w:sz w:val="20"/>
          <w:szCs w:val="20"/>
        </w:rPr>
        <w:t xml:space="preserve">CORAM: Binnie, </w:t>
      </w:r>
      <w:r>
        <w:rPr>
          <w:b/>
          <w:sz w:val="20"/>
          <w:szCs w:val="20"/>
        </w:rPr>
        <w:t>Abella</w:t>
      </w:r>
      <w:r w:rsidRPr="00C50A5C">
        <w:rPr>
          <w:b/>
          <w:sz w:val="20"/>
          <w:szCs w:val="20"/>
        </w:rPr>
        <w:t xml:space="preserve"> and Rothstein JJ.</w:t>
      </w:r>
    </w:p>
    <w:p w:rsidR="00194276" w:rsidRPr="00C50A5C" w:rsidRDefault="00194276" w:rsidP="00194276">
      <w:pPr>
        <w:widowControl w:val="0"/>
        <w:jc w:val="center"/>
        <w:rPr>
          <w:b/>
          <w:sz w:val="20"/>
          <w:szCs w:val="20"/>
          <w:lang w:val="fr-CA"/>
        </w:rPr>
      </w:pPr>
      <w:r w:rsidRPr="00C50A5C">
        <w:rPr>
          <w:b/>
          <w:sz w:val="20"/>
          <w:szCs w:val="20"/>
          <w:lang w:val="fr-CA"/>
        </w:rPr>
        <w:t xml:space="preserve">Les juges Binnie, </w:t>
      </w:r>
      <w:r>
        <w:rPr>
          <w:b/>
          <w:sz w:val="20"/>
          <w:szCs w:val="20"/>
          <w:lang w:val="fr-CA"/>
        </w:rPr>
        <w:t>Abella</w:t>
      </w:r>
      <w:r w:rsidRPr="00C50A5C">
        <w:rPr>
          <w:b/>
          <w:sz w:val="20"/>
          <w:szCs w:val="20"/>
          <w:lang w:val="fr-CA"/>
        </w:rPr>
        <w:t xml:space="preserve"> et Rothstein</w:t>
      </w:r>
    </w:p>
    <w:p w:rsidR="00194276" w:rsidRPr="000D3B6E" w:rsidRDefault="00194276" w:rsidP="003359D3">
      <w:pPr>
        <w:widowControl w:val="0"/>
        <w:jc w:val="both"/>
        <w:rPr>
          <w:sz w:val="20"/>
          <w:szCs w:val="20"/>
          <w:lang w:val="fr-CA"/>
        </w:rPr>
      </w:pPr>
    </w:p>
    <w:p w:rsidR="003359D3" w:rsidRPr="00C50A5C" w:rsidRDefault="00194276" w:rsidP="003359D3">
      <w:pPr>
        <w:pStyle w:val="ListParagraph"/>
        <w:widowControl w:val="0"/>
        <w:numPr>
          <w:ilvl w:val="0"/>
          <w:numId w:val="1"/>
        </w:numPr>
        <w:ind w:hanging="720"/>
        <w:jc w:val="both"/>
        <w:rPr>
          <w:sz w:val="20"/>
          <w:szCs w:val="20"/>
        </w:rPr>
      </w:pPr>
      <w:r w:rsidRPr="00194276">
        <w:rPr>
          <w:i/>
          <w:sz w:val="20"/>
          <w:szCs w:val="20"/>
        </w:rPr>
        <w:t>Ivana Levkovic v. Her Majesty the Queen</w:t>
      </w:r>
      <w:r w:rsidRPr="00194276">
        <w:rPr>
          <w:sz w:val="20"/>
          <w:szCs w:val="20"/>
        </w:rPr>
        <w:t xml:space="preserve"> (Ont.) (Crim</w:t>
      </w:r>
      <w:r>
        <w:rPr>
          <w:sz w:val="20"/>
          <w:szCs w:val="20"/>
        </w:rPr>
        <w:t>.</w:t>
      </w:r>
      <w:r w:rsidRPr="00194276">
        <w:rPr>
          <w:sz w:val="20"/>
          <w:szCs w:val="20"/>
        </w:rPr>
        <w:t>) (By Leave)</w:t>
      </w:r>
      <w:r>
        <w:rPr>
          <w:sz w:val="20"/>
          <w:szCs w:val="20"/>
        </w:rPr>
        <w:t xml:space="preserve"> </w:t>
      </w:r>
      <w:r w:rsidR="003359D3" w:rsidRPr="00C50A5C">
        <w:rPr>
          <w:sz w:val="20"/>
          <w:szCs w:val="20"/>
        </w:rPr>
        <w:t>(3</w:t>
      </w:r>
      <w:r w:rsidR="003359D3">
        <w:rPr>
          <w:sz w:val="20"/>
          <w:szCs w:val="20"/>
        </w:rPr>
        <w:t>4</w:t>
      </w:r>
      <w:r>
        <w:rPr>
          <w:sz w:val="20"/>
          <w:szCs w:val="20"/>
        </w:rPr>
        <w:t>229</w:t>
      </w:r>
      <w:r w:rsidR="003359D3" w:rsidRPr="00C50A5C">
        <w:rPr>
          <w:sz w:val="20"/>
          <w:szCs w:val="20"/>
        </w:rPr>
        <w:t>)</w:t>
      </w:r>
    </w:p>
    <w:p w:rsidR="003359D3" w:rsidRPr="00C50A5C" w:rsidRDefault="003359D3" w:rsidP="003359D3">
      <w:pPr>
        <w:widowControl w:val="0"/>
        <w:rPr>
          <w:sz w:val="20"/>
          <w:szCs w:val="20"/>
        </w:rPr>
      </w:pPr>
    </w:p>
    <w:p w:rsidR="003359D3" w:rsidRPr="00C50A5C" w:rsidRDefault="00194276" w:rsidP="003359D3">
      <w:pPr>
        <w:pStyle w:val="ListParagraph"/>
        <w:widowControl w:val="0"/>
        <w:numPr>
          <w:ilvl w:val="0"/>
          <w:numId w:val="1"/>
        </w:numPr>
        <w:ind w:hanging="720"/>
        <w:jc w:val="both"/>
        <w:rPr>
          <w:sz w:val="20"/>
          <w:szCs w:val="20"/>
        </w:rPr>
      </w:pPr>
      <w:r w:rsidRPr="00194276">
        <w:rPr>
          <w:i/>
          <w:sz w:val="20"/>
          <w:szCs w:val="20"/>
        </w:rPr>
        <w:t>L.G. (Gerry) Callaghan, in his capacity as official agent for Robert Campbell et al. v. Chief Electoral Officer of Canada</w:t>
      </w:r>
      <w:r w:rsidRPr="00194276">
        <w:rPr>
          <w:sz w:val="20"/>
          <w:szCs w:val="20"/>
        </w:rPr>
        <w:t xml:space="preserve"> (F</w:t>
      </w:r>
      <w:r>
        <w:rPr>
          <w:sz w:val="20"/>
          <w:szCs w:val="20"/>
        </w:rPr>
        <w:t>.</w:t>
      </w:r>
      <w:r w:rsidRPr="00194276">
        <w:rPr>
          <w:sz w:val="20"/>
          <w:szCs w:val="20"/>
        </w:rPr>
        <w:t>C</w:t>
      </w:r>
      <w:r>
        <w:rPr>
          <w:sz w:val="20"/>
          <w:szCs w:val="20"/>
        </w:rPr>
        <w:t>.</w:t>
      </w:r>
      <w:r w:rsidRPr="00194276">
        <w:rPr>
          <w:sz w:val="20"/>
          <w:szCs w:val="20"/>
        </w:rPr>
        <w:t>) (Civil) (By Leave)</w:t>
      </w:r>
      <w:r w:rsidRPr="00C50A5C">
        <w:rPr>
          <w:sz w:val="20"/>
          <w:szCs w:val="20"/>
        </w:rPr>
        <w:t xml:space="preserve"> </w:t>
      </w:r>
      <w:r w:rsidR="003359D3" w:rsidRPr="00C50A5C">
        <w:rPr>
          <w:sz w:val="20"/>
          <w:szCs w:val="20"/>
        </w:rPr>
        <w:t>(3</w:t>
      </w:r>
      <w:r w:rsidR="003359D3">
        <w:rPr>
          <w:sz w:val="20"/>
          <w:szCs w:val="20"/>
        </w:rPr>
        <w:t>4</w:t>
      </w:r>
      <w:r>
        <w:rPr>
          <w:sz w:val="20"/>
          <w:szCs w:val="20"/>
        </w:rPr>
        <w:t>2</w:t>
      </w:r>
      <w:r w:rsidR="003359D3">
        <w:rPr>
          <w:sz w:val="20"/>
          <w:szCs w:val="20"/>
        </w:rPr>
        <w:t>3</w:t>
      </w:r>
      <w:r>
        <w:rPr>
          <w:sz w:val="20"/>
          <w:szCs w:val="20"/>
        </w:rPr>
        <w:t>2</w:t>
      </w:r>
      <w:r w:rsidR="003359D3" w:rsidRPr="00C50A5C">
        <w:rPr>
          <w:sz w:val="20"/>
          <w:szCs w:val="20"/>
        </w:rPr>
        <w:t>)</w:t>
      </w:r>
    </w:p>
    <w:p w:rsidR="003359D3" w:rsidRDefault="003359D3" w:rsidP="003359D3">
      <w:pPr>
        <w:widowControl w:val="0"/>
        <w:jc w:val="both"/>
        <w:rPr>
          <w:sz w:val="20"/>
          <w:szCs w:val="20"/>
        </w:rPr>
      </w:pPr>
    </w:p>
    <w:p w:rsidR="003359D3" w:rsidRPr="00C50A5C" w:rsidRDefault="00194276" w:rsidP="003359D3">
      <w:pPr>
        <w:pStyle w:val="ListParagraph"/>
        <w:widowControl w:val="0"/>
        <w:numPr>
          <w:ilvl w:val="0"/>
          <w:numId w:val="1"/>
        </w:numPr>
        <w:ind w:hanging="720"/>
        <w:jc w:val="both"/>
        <w:rPr>
          <w:sz w:val="20"/>
          <w:szCs w:val="20"/>
        </w:rPr>
      </w:pPr>
      <w:r w:rsidRPr="00194276">
        <w:rPr>
          <w:i/>
          <w:sz w:val="20"/>
          <w:szCs w:val="20"/>
        </w:rPr>
        <w:t>Thomas Glen Drake et al. v. Corporation of the City of Stratford</w:t>
      </w:r>
      <w:r w:rsidRPr="00194276">
        <w:rPr>
          <w:sz w:val="20"/>
          <w:szCs w:val="20"/>
        </w:rPr>
        <w:t xml:space="preserve"> (Ont.) (Civil) (By Leave)</w:t>
      </w:r>
      <w:r w:rsidRPr="00C50A5C">
        <w:rPr>
          <w:sz w:val="20"/>
          <w:szCs w:val="20"/>
        </w:rPr>
        <w:t xml:space="preserve"> </w:t>
      </w:r>
      <w:r w:rsidR="003359D3" w:rsidRPr="00C50A5C">
        <w:rPr>
          <w:sz w:val="20"/>
          <w:szCs w:val="20"/>
        </w:rPr>
        <w:t>(34</w:t>
      </w:r>
      <w:r w:rsidR="003359D3">
        <w:rPr>
          <w:sz w:val="20"/>
          <w:szCs w:val="20"/>
        </w:rPr>
        <w:t>1</w:t>
      </w:r>
      <w:r>
        <w:rPr>
          <w:sz w:val="20"/>
          <w:szCs w:val="20"/>
        </w:rPr>
        <w:t>97</w:t>
      </w:r>
      <w:r w:rsidR="003359D3" w:rsidRPr="00C50A5C">
        <w:rPr>
          <w:sz w:val="20"/>
          <w:szCs w:val="20"/>
        </w:rPr>
        <w:t>)</w:t>
      </w:r>
    </w:p>
    <w:p w:rsidR="003359D3" w:rsidRDefault="003359D3" w:rsidP="003359D3">
      <w:pPr>
        <w:widowControl w:val="0"/>
        <w:rPr>
          <w:sz w:val="20"/>
          <w:szCs w:val="20"/>
        </w:rPr>
      </w:pPr>
    </w:p>
    <w:p w:rsidR="00194276" w:rsidRDefault="00194276" w:rsidP="003359D3">
      <w:pPr>
        <w:widowControl w:val="0"/>
        <w:rPr>
          <w:sz w:val="20"/>
          <w:szCs w:val="20"/>
        </w:rPr>
      </w:pPr>
    </w:p>
    <w:p w:rsidR="00194276" w:rsidRPr="00C50A5C" w:rsidRDefault="00194276" w:rsidP="00194276">
      <w:pPr>
        <w:widowControl w:val="0"/>
        <w:jc w:val="center"/>
        <w:rPr>
          <w:b/>
          <w:sz w:val="20"/>
          <w:szCs w:val="20"/>
        </w:rPr>
      </w:pPr>
      <w:r w:rsidRPr="00C50A5C">
        <w:rPr>
          <w:b/>
          <w:sz w:val="20"/>
          <w:szCs w:val="20"/>
        </w:rPr>
        <w:t xml:space="preserve">CORAM: LeBel, </w:t>
      </w:r>
      <w:r>
        <w:rPr>
          <w:b/>
          <w:sz w:val="20"/>
          <w:szCs w:val="20"/>
        </w:rPr>
        <w:t>Fish</w:t>
      </w:r>
      <w:r w:rsidRPr="00C50A5C">
        <w:rPr>
          <w:b/>
          <w:sz w:val="20"/>
          <w:szCs w:val="20"/>
        </w:rPr>
        <w:t xml:space="preserve"> and Cro</w:t>
      </w:r>
      <w:r>
        <w:rPr>
          <w:b/>
          <w:sz w:val="20"/>
          <w:szCs w:val="20"/>
        </w:rPr>
        <w:t>mwell</w:t>
      </w:r>
      <w:r w:rsidRPr="00C50A5C">
        <w:rPr>
          <w:b/>
          <w:sz w:val="20"/>
          <w:szCs w:val="20"/>
        </w:rPr>
        <w:t xml:space="preserve"> JJ.</w:t>
      </w:r>
    </w:p>
    <w:p w:rsidR="00194276" w:rsidRPr="00C50A5C" w:rsidRDefault="00194276" w:rsidP="00194276">
      <w:pPr>
        <w:widowControl w:val="0"/>
        <w:jc w:val="center"/>
        <w:rPr>
          <w:b/>
          <w:sz w:val="20"/>
          <w:szCs w:val="20"/>
          <w:lang w:val="fr-CA"/>
        </w:rPr>
      </w:pPr>
      <w:r w:rsidRPr="00C50A5C">
        <w:rPr>
          <w:b/>
          <w:sz w:val="20"/>
          <w:szCs w:val="20"/>
          <w:lang w:val="fr-CA"/>
        </w:rPr>
        <w:t xml:space="preserve">Les juges LeBel, </w:t>
      </w:r>
      <w:r>
        <w:rPr>
          <w:b/>
          <w:sz w:val="20"/>
          <w:szCs w:val="20"/>
          <w:lang w:val="fr-CA"/>
        </w:rPr>
        <w:t>Fish</w:t>
      </w:r>
      <w:r w:rsidRPr="00C50A5C">
        <w:rPr>
          <w:b/>
          <w:sz w:val="20"/>
          <w:szCs w:val="20"/>
          <w:lang w:val="fr-CA"/>
        </w:rPr>
        <w:t xml:space="preserve"> et Cro</w:t>
      </w:r>
      <w:r>
        <w:rPr>
          <w:b/>
          <w:sz w:val="20"/>
          <w:szCs w:val="20"/>
          <w:lang w:val="fr-CA"/>
        </w:rPr>
        <w:t>mwell</w:t>
      </w:r>
    </w:p>
    <w:p w:rsidR="00194276" w:rsidRPr="00194276" w:rsidRDefault="00194276" w:rsidP="003359D3">
      <w:pPr>
        <w:widowControl w:val="0"/>
        <w:rPr>
          <w:sz w:val="20"/>
          <w:szCs w:val="20"/>
          <w:lang w:val="fr-CA"/>
        </w:rPr>
      </w:pPr>
    </w:p>
    <w:p w:rsidR="003359D3" w:rsidRPr="000D3B6E" w:rsidRDefault="00194276" w:rsidP="003359D3">
      <w:pPr>
        <w:pStyle w:val="ListParagraph"/>
        <w:widowControl w:val="0"/>
        <w:numPr>
          <w:ilvl w:val="0"/>
          <w:numId w:val="1"/>
        </w:numPr>
        <w:ind w:hanging="720"/>
        <w:jc w:val="both"/>
        <w:rPr>
          <w:sz w:val="20"/>
          <w:szCs w:val="20"/>
        </w:rPr>
      </w:pPr>
      <w:r w:rsidRPr="00194276">
        <w:rPr>
          <w:i/>
          <w:sz w:val="20"/>
          <w:szCs w:val="20"/>
          <w:lang w:val="fr-CA"/>
        </w:rPr>
        <w:t>Compagnie de chemin de fer du littoral nord de Québec et du Labrador inc. c. Sodexho Québec ltée.</w:t>
      </w:r>
      <w:r w:rsidRPr="00194276">
        <w:rPr>
          <w:sz w:val="20"/>
          <w:szCs w:val="20"/>
          <w:lang w:val="fr-CA"/>
        </w:rPr>
        <w:t xml:space="preserve"> (Qc) (Civile) (Autorisation)</w:t>
      </w:r>
      <w:r w:rsidRPr="000D3B6E">
        <w:rPr>
          <w:sz w:val="20"/>
          <w:szCs w:val="20"/>
        </w:rPr>
        <w:t xml:space="preserve"> </w:t>
      </w:r>
      <w:r w:rsidR="003359D3" w:rsidRPr="000D3B6E">
        <w:rPr>
          <w:sz w:val="20"/>
          <w:szCs w:val="20"/>
        </w:rPr>
        <w:t>(34</w:t>
      </w:r>
      <w:r>
        <w:rPr>
          <w:sz w:val="20"/>
          <w:szCs w:val="20"/>
        </w:rPr>
        <w:t>129</w:t>
      </w:r>
      <w:r w:rsidR="003359D3" w:rsidRPr="000D3B6E">
        <w:rPr>
          <w:sz w:val="20"/>
          <w:szCs w:val="20"/>
        </w:rPr>
        <w:t>)</w:t>
      </w:r>
    </w:p>
    <w:p w:rsidR="003359D3" w:rsidRPr="000D3B6E" w:rsidRDefault="003359D3" w:rsidP="003359D3">
      <w:pPr>
        <w:widowControl w:val="0"/>
        <w:jc w:val="both"/>
        <w:rPr>
          <w:sz w:val="20"/>
          <w:szCs w:val="20"/>
        </w:rPr>
      </w:pPr>
    </w:p>
    <w:p w:rsidR="003359D3" w:rsidRPr="00194276" w:rsidRDefault="00194276" w:rsidP="003359D3">
      <w:pPr>
        <w:pStyle w:val="ListParagraph"/>
        <w:widowControl w:val="0"/>
        <w:numPr>
          <w:ilvl w:val="0"/>
          <w:numId w:val="1"/>
        </w:numPr>
        <w:ind w:hanging="720"/>
        <w:jc w:val="both"/>
        <w:rPr>
          <w:sz w:val="20"/>
          <w:szCs w:val="20"/>
          <w:lang w:val="fr-CA"/>
        </w:rPr>
      </w:pPr>
      <w:r w:rsidRPr="00194276">
        <w:rPr>
          <w:i/>
          <w:sz w:val="20"/>
          <w:szCs w:val="20"/>
          <w:lang w:val="fr-CA"/>
        </w:rPr>
        <w:t>Luc Beaulne c. Alliance de la fonction publique du Canada</w:t>
      </w:r>
      <w:r w:rsidRPr="00194276">
        <w:rPr>
          <w:sz w:val="20"/>
          <w:szCs w:val="20"/>
          <w:lang w:val="fr-CA"/>
        </w:rPr>
        <w:t xml:space="preserve"> (C</w:t>
      </w:r>
      <w:r>
        <w:rPr>
          <w:sz w:val="20"/>
          <w:szCs w:val="20"/>
          <w:lang w:val="fr-CA"/>
        </w:rPr>
        <w:t>.</w:t>
      </w:r>
      <w:r w:rsidRPr="00194276">
        <w:rPr>
          <w:sz w:val="20"/>
          <w:szCs w:val="20"/>
          <w:lang w:val="fr-CA"/>
        </w:rPr>
        <w:t>F</w:t>
      </w:r>
      <w:r>
        <w:rPr>
          <w:sz w:val="20"/>
          <w:szCs w:val="20"/>
          <w:lang w:val="fr-CA"/>
        </w:rPr>
        <w:t>.</w:t>
      </w:r>
      <w:r w:rsidRPr="00194276">
        <w:rPr>
          <w:sz w:val="20"/>
          <w:szCs w:val="20"/>
          <w:lang w:val="fr-CA"/>
        </w:rPr>
        <w:t>) (Civile) (Autorisation)</w:t>
      </w:r>
      <w:r>
        <w:rPr>
          <w:sz w:val="20"/>
          <w:szCs w:val="20"/>
          <w:lang w:val="fr-CA"/>
        </w:rPr>
        <w:t xml:space="preserve"> </w:t>
      </w:r>
      <w:r w:rsidR="003359D3" w:rsidRPr="00194276">
        <w:rPr>
          <w:sz w:val="20"/>
          <w:szCs w:val="20"/>
          <w:lang w:val="fr-CA"/>
        </w:rPr>
        <w:t>(34</w:t>
      </w:r>
      <w:r w:rsidRPr="00194276">
        <w:rPr>
          <w:sz w:val="20"/>
          <w:szCs w:val="20"/>
          <w:lang w:val="fr-CA"/>
        </w:rPr>
        <w:t>25</w:t>
      </w:r>
      <w:r w:rsidR="003359D3" w:rsidRPr="00194276">
        <w:rPr>
          <w:sz w:val="20"/>
          <w:szCs w:val="20"/>
          <w:lang w:val="fr-CA"/>
        </w:rPr>
        <w:t>6)</w:t>
      </w:r>
    </w:p>
    <w:p w:rsidR="003359D3" w:rsidRPr="00194276" w:rsidRDefault="003359D3" w:rsidP="003359D3">
      <w:pPr>
        <w:widowControl w:val="0"/>
        <w:jc w:val="both"/>
        <w:rPr>
          <w:sz w:val="20"/>
          <w:szCs w:val="20"/>
          <w:lang w:val="fr-CA"/>
        </w:rPr>
      </w:pPr>
    </w:p>
    <w:p w:rsidR="002E2327" w:rsidRPr="00194276" w:rsidRDefault="004D20D2" w:rsidP="002E2327">
      <w:pPr>
        <w:widowControl w:val="0"/>
        <w:rPr>
          <w:sz w:val="20"/>
          <w:szCs w:val="20"/>
          <w:lang w:val="fr-CA"/>
        </w:rPr>
      </w:pPr>
      <w:r w:rsidRPr="004D20D2">
        <w:rPr>
          <w:sz w:val="20"/>
          <w:szCs w:val="20"/>
        </w:rPr>
        <w:pict>
          <v:rect id="_x0000_i1038" style="width:2in;height:1pt" o:hrpct="0" o:hralign="center" o:hrstd="t" o:hrnoshade="t" o:hr="t" fillcolor="black [3213]" stroked="f"/>
        </w:pict>
      </w:r>
    </w:p>
    <w:p w:rsidR="0044776A" w:rsidRPr="00194276" w:rsidRDefault="0044776A" w:rsidP="002E2327">
      <w:pPr>
        <w:widowControl w:val="0"/>
        <w:spacing w:line="0" w:lineRule="atLeast"/>
        <w:rPr>
          <w:sz w:val="20"/>
          <w:szCs w:val="20"/>
          <w:lang w:val="fr-CA"/>
        </w:rPr>
        <w:sectPr w:rsidR="0044776A" w:rsidRPr="00194276" w:rsidSect="0044776A">
          <w:headerReference w:type="default" r:id="rId19"/>
          <w:footerReference w:type="default" r:id="rId20"/>
          <w:headerReference w:type="first" r:id="rId21"/>
          <w:footerReference w:type="first" r:id="rId22"/>
          <w:pgSz w:w="12240" w:h="15840"/>
          <w:pgMar w:top="720" w:right="965" w:bottom="1080" w:left="1656" w:header="706" w:footer="706" w:gutter="0"/>
          <w:cols w:space="708"/>
          <w:titlePg/>
          <w:docGrid w:linePitch="360"/>
        </w:sectPr>
      </w:pPr>
    </w:p>
    <w:tbl>
      <w:tblPr>
        <w:tblW w:w="0" w:type="auto"/>
        <w:tblBorders>
          <w:bottom w:val="single" w:sz="12" w:space="0" w:color="auto"/>
        </w:tblBorders>
        <w:tblLayout w:type="fixed"/>
        <w:tblCellMar>
          <w:left w:w="0" w:type="dxa"/>
          <w:right w:w="0" w:type="dxa"/>
        </w:tblCellMar>
        <w:tblLook w:val="0000"/>
      </w:tblPr>
      <w:tblGrid>
        <w:gridCol w:w="4200"/>
        <w:gridCol w:w="1200"/>
        <w:gridCol w:w="4080"/>
      </w:tblGrid>
      <w:tr w:rsidR="008D292F" w:rsidRPr="00291AC9" w:rsidTr="00ED7E83">
        <w:tc>
          <w:tcPr>
            <w:tcW w:w="4200" w:type="dxa"/>
            <w:tcMar>
              <w:left w:w="0" w:type="dxa"/>
              <w:right w:w="0" w:type="dxa"/>
            </w:tcMar>
          </w:tcPr>
          <w:p w:rsidR="008D292F" w:rsidRPr="001D0D5F" w:rsidRDefault="008D292F" w:rsidP="00ED7E83">
            <w:pPr>
              <w:keepNext/>
              <w:keepLines/>
              <w:jc w:val="both"/>
              <w:rPr>
                <w:b/>
                <w:szCs w:val="24"/>
              </w:rPr>
            </w:pPr>
            <w:bookmarkStart w:id="0" w:name="QuickMark_1"/>
            <w:bookmarkEnd w:id="0"/>
            <w:r w:rsidRPr="001D0D5F">
              <w:rPr>
                <w:b/>
                <w:szCs w:val="24"/>
              </w:rPr>
              <w:lastRenderedPageBreak/>
              <w:t>JUDGMENTS ON APPLICATIONS</w:t>
            </w:r>
          </w:p>
          <w:p w:rsidR="008D292F" w:rsidRPr="001D0D5F" w:rsidRDefault="008D292F" w:rsidP="00ED7E83">
            <w:pPr>
              <w:keepNext/>
              <w:keepLines/>
              <w:jc w:val="both"/>
              <w:rPr>
                <w:b/>
                <w:szCs w:val="24"/>
              </w:rPr>
            </w:pPr>
            <w:r w:rsidRPr="001D0D5F">
              <w:rPr>
                <w:b/>
                <w:szCs w:val="24"/>
              </w:rPr>
              <w:t>FOR LEAVE</w:t>
            </w:r>
          </w:p>
        </w:tc>
        <w:tc>
          <w:tcPr>
            <w:tcW w:w="1200" w:type="dxa"/>
            <w:tcMar>
              <w:left w:w="0" w:type="dxa"/>
              <w:right w:w="0" w:type="dxa"/>
            </w:tcMar>
          </w:tcPr>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tc>
        <w:tc>
          <w:tcPr>
            <w:tcW w:w="4080" w:type="dxa"/>
            <w:tcMar>
              <w:left w:w="0" w:type="dxa"/>
              <w:right w:w="0" w:type="dxa"/>
            </w:tcMar>
          </w:tcPr>
          <w:p w:rsidR="008D292F" w:rsidRPr="001D0D5F" w:rsidRDefault="008D292F" w:rsidP="00ED7E83">
            <w:pPr>
              <w:keepNext/>
              <w:keepLines/>
              <w:jc w:val="both"/>
              <w:rPr>
                <w:b/>
                <w:szCs w:val="24"/>
                <w:lang w:val="fr-CA"/>
              </w:rPr>
            </w:pPr>
            <w:r w:rsidRPr="001D0D5F">
              <w:rPr>
                <w:b/>
                <w:szCs w:val="24"/>
                <w:lang w:val="fr-CA"/>
              </w:rPr>
              <w:t>JUGEMENTS RENDUS SUR LES DEMANDES D’AUTORISATION</w:t>
            </w:r>
          </w:p>
        </w:tc>
      </w:tr>
    </w:tbl>
    <w:p w:rsidR="008D292F" w:rsidRPr="00C50A5C" w:rsidRDefault="008D292F" w:rsidP="008D292F">
      <w:pPr>
        <w:rPr>
          <w:sz w:val="20"/>
          <w:szCs w:val="20"/>
          <w:lang w:val="fr-CA"/>
        </w:rPr>
      </w:pPr>
    </w:p>
    <w:p w:rsidR="008D292F" w:rsidRPr="00C50A5C" w:rsidRDefault="00A22E16" w:rsidP="008D292F">
      <w:pPr>
        <w:rPr>
          <w:b/>
          <w:sz w:val="20"/>
          <w:szCs w:val="20"/>
        </w:rPr>
      </w:pPr>
      <w:r>
        <w:rPr>
          <w:b/>
          <w:sz w:val="20"/>
          <w:szCs w:val="20"/>
        </w:rPr>
        <w:t>JU</w:t>
      </w:r>
      <w:r w:rsidR="008D292F" w:rsidRPr="00C50A5C">
        <w:rPr>
          <w:b/>
          <w:sz w:val="20"/>
          <w:szCs w:val="20"/>
        </w:rPr>
        <w:t>L</w:t>
      </w:r>
      <w:r>
        <w:rPr>
          <w:b/>
          <w:sz w:val="20"/>
          <w:szCs w:val="20"/>
        </w:rPr>
        <w:t>Y</w:t>
      </w:r>
      <w:r w:rsidR="008D292F" w:rsidRPr="00C50A5C">
        <w:rPr>
          <w:b/>
          <w:sz w:val="20"/>
          <w:szCs w:val="20"/>
        </w:rPr>
        <w:t xml:space="preserve"> 2</w:t>
      </w:r>
      <w:r>
        <w:rPr>
          <w:b/>
          <w:sz w:val="20"/>
          <w:szCs w:val="20"/>
        </w:rPr>
        <w:t>8</w:t>
      </w:r>
      <w:r w:rsidR="008D292F" w:rsidRPr="00C50A5C">
        <w:rPr>
          <w:b/>
          <w:sz w:val="20"/>
          <w:szCs w:val="20"/>
        </w:rPr>
        <w:t>, 201</w:t>
      </w:r>
      <w:r>
        <w:rPr>
          <w:b/>
          <w:sz w:val="20"/>
          <w:szCs w:val="20"/>
        </w:rPr>
        <w:t>1</w:t>
      </w:r>
      <w:r w:rsidR="008D292F" w:rsidRPr="00C50A5C">
        <w:rPr>
          <w:b/>
          <w:sz w:val="20"/>
          <w:szCs w:val="20"/>
        </w:rPr>
        <w:t xml:space="preserve"> / LE 2</w:t>
      </w:r>
      <w:r>
        <w:rPr>
          <w:b/>
          <w:sz w:val="20"/>
          <w:szCs w:val="20"/>
        </w:rPr>
        <w:t>8 JU</w:t>
      </w:r>
      <w:r w:rsidR="008D292F" w:rsidRPr="00C50A5C">
        <w:rPr>
          <w:b/>
          <w:sz w:val="20"/>
          <w:szCs w:val="20"/>
        </w:rPr>
        <w:t>IL</w:t>
      </w:r>
      <w:r>
        <w:rPr>
          <w:b/>
          <w:sz w:val="20"/>
          <w:szCs w:val="20"/>
        </w:rPr>
        <w:t>LET</w:t>
      </w:r>
      <w:r w:rsidR="008D292F" w:rsidRPr="00C50A5C">
        <w:rPr>
          <w:b/>
          <w:sz w:val="20"/>
          <w:szCs w:val="20"/>
        </w:rPr>
        <w:t xml:space="preserve"> 201</w:t>
      </w:r>
      <w:r>
        <w:rPr>
          <w:b/>
          <w:sz w:val="20"/>
          <w:szCs w:val="20"/>
        </w:rPr>
        <w:t>1</w:t>
      </w:r>
    </w:p>
    <w:p w:rsidR="008D292F" w:rsidRDefault="008D292F" w:rsidP="008D292F">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40FC4" w:rsidRPr="00E44CD7" w:rsidTr="00B52EFD">
        <w:trPr>
          <w:cantSplit/>
        </w:trPr>
        <w:tc>
          <w:tcPr>
            <w:tcW w:w="1458" w:type="dxa"/>
          </w:tcPr>
          <w:p w:rsidR="00B40FC4" w:rsidRPr="00E44CD7" w:rsidRDefault="00B40FC4" w:rsidP="00B52EFD">
            <w:pPr>
              <w:rPr>
                <w:sz w:val="20"/>
                <w:szCs w:val="20"/>
              </w:rPr>
            </w:pPr>
            <w:r w:rsidRPr="00E44CD7">
              <w:rPr>
                <w:rStyle w:val="SCCFileNumberChar"/>
                <w:sz w:val="20"/>
                <w:szCs w:val="20"/>
              </w:rPr>
              <w:t>34127</w:t>
            </w:r>
          </w:p>
          <w:p w:rsidR="00B40FC4" w:rsidRPr="00E44CD7" w:rsidRDefault="00B40FC4" w:rsidP="00B52EFD">
            <w:pPr>
              <w:rPr>
                <w:b/>
                <w:sz w:val="20"/>
                <w:szCs w:val="20"/>
                <w:lang w:val="fr-CA"/>
              </w:rPr>
            </w:pPr>
          </w:p>
        </w:tc>
        <w:tc>
          <w:tcPr>
            <w:tcW w:w="8118" w:type="dxa"/>
          </w:tcPr>
          <w:p w:rsidR="00B40FC4" w:rsidRPr="00E44CD7" w:rsidRDefault="00B40FC4" w:rsidP="00B52EFD">
            <w:pPr>
              <w:rPr>
                <w:sz w:val="20"/>
                <w:szCs w:val="20"/>
              </w:rPr>
            </w:pPr>
            <w:r w:rsidRPr="00E44CD7">
              <w:rPr>
                <w:rStyle w:val="SCCLsocChar"/>
                <w:sz w:val="20"/>
                <w:szCs w:val="20"/>
                <w:lang w:val="en-CA"/>
              </w:rPr>
              <w:t>Farid Kattous c. Amex Canada Inc.</w:t>
            </w:r>
            <w:r w:rsidRPr="00E44CD7">
              <w:rPr>
                <w:sz w:val="20"/>
                <w:szCs w:val="20"/>
              </w:rPr>
              <w:t xml:space="preserve"> (Qc) (Civile) (Autorisation)</w:t>
            </w:r>
          </w:p>
          <w:p w:rsidR="00B40FC4" w:rsidRPr="00E44CD7" w:rsidRDefault="00B40FC4" w:rsidP="00B52EFD">
            <w:pPr>
              <w:rPr>
                <w:sz w:val="20"/>
                <w:szCs w:val="20"/>
              </w:rPr>
            </w:pPr>
          </w:p>
        </w:tc>
      </w:tr>
      <w:tr w:rsidR="00B40FC4" w:rsidRPr="00291AC9" w:rsidTr="00B52EFD">
        <w:trPr>
          <w:cantSplit/>
        </w:trPr>
        <w:tc>
          <w:tcPr>
            <w:tcW w:w="1458" w:type="dxa"/>
          </w:tcPr>
          <w:p w:rsidR="00B40FC4" w:rsidRPr="00E44CD7" w:rsidRDefault="00B40FC4" w:rsidP="00B52EFD">
            <w:pPr>
              <w:rPr>
                <w:sz w:val="20"/>
                <w:szCs w:val="20"/>
              </w:rPr>
            </w:pPr>
            <w:r w:rsidRPr="00E44CD7">
              <w:rPr>
                <w:sz w:val="20"/>
                <w:szCs w:val="20"/>
              </w:rPr>
              <w:t>Coram :</w:t>
            </w:r>
          </w:p>
        </w:tc>
        <w:tc>
          <w:tcPr>
            <w:tcW w:w="8118" w:type="dxa"/>
          </w:tcPr>
          <w:p w:rsidR="00B40FC4" w:rsidRPr="00E44CD7" w:rsidRDefault="00B40FC4" w:rsidP="00B52EFD">
            <w:pPr>
              <w:rPr>
                <w:sz w:val="20"/>
                <w:szCs w:val="20"/>
                <w:lang w:val="fr-CA"/>
              </w:rPr>
            </w:pPr>
            <w:r w:rsidRPr="00E44CD7">
              <w:rPr>
                <w:rStyle w:val="SCCCoramChar"/>
                <w:sz w:val="20"/>
                <w:szCs w:val="20"/>
              </w:rPr>
              <w:t>Les juges LeBel, Fish et Cromwell</w:t>
            </w:r>
          </w:p>
          <w:p w:rsidR="00B40FC4" w:rsidRPr="00E44CD7" w:rsidRDefault="00B40FC4" w:rsidP="00B52EFD">
            <w:pPr>
              <w:rPr>
                <w:sz w:val="20"/>
                <w:szCs w:val="20"/>
                <w:u w:val="single"/>
                <w:lang w:val="fr-CA"/>
              </w:rPr>
            </w:pPr>
          </w:p>
        </w:tc>
      </w:tr>
      <w:tr w:rsidR="00B40FC4" w:rsidRPr="00E44CD7" w:rsidTr="00B52EFD">
        <w:trPr>
          <w:cantSplit/>
        </w:trPr>
        <w:tc>
          <w:tcPr>
            <w:tcW w:w="9576" w:type="dxa"/>
            <w:gridSpan w:val="2"/>
          </w:tcPr>
          <w:p w:rsidR="00B40FC4" w:rsidRPr="00E44CD7" w:rsidRDefault="00B40FC4" w:rsidP="00B52EFD">
            <w:pPr>
              <w:pStyle w:val="SCCShortJudgment"/>
              <w:rPr>
                <w:szCs w:val="20"/>
                <w:lang w:val="fr-CA"/>
              </w:rPr>
            </w:pPr>
            <w:r w:rsidRPr="00E44CD7">
              <w:rPr>
                <w:szCs w:val="20"/>
                <w:lang w:val="fr-CA"/>
              </w:rPr>
              <w:t>La requête en prorogation du délai de signification et de dépôt de la demande d’autorisation d’appel est accordée. La demande d’autorisation d’appel de l’arrêt de la Cour d’appel du Québec (Montréal), numéro 500-09-018753-087, daté du 23 novembre 2010, est rejetée avec dépens.</w:t>
            </w:r>
          </w:p>
          <w:p w:rsidR="00B40FC4" w:rsidRPr="00E44CD7" w:rsidRDefault="00B40FC4" w:rsidP="00B52EFD">
            <w:pPr>
              <w:pStyle w:val="SCCShortJudgment"/>
              <w:ind w:firstLine="0"/>
              <w:rPr>
                <w:szCs w:val="20"/>
                <w:lang w:val="fr-CA"/>
              </w:rPr>
            </w:pPr>
          </w:p>
          <w:p w:rsidR="00B40FC4" w:rsidRPr="00E44CD7" w:rsidRDefault="00B40FC4" w:rsidP="00E01CF4">
            <w:pPr>
              <w:pStyle w:val="SCCShortJudgment"/>
              <w:rPr>
                <w:szCs w:val="20"/>
              </w:rPr>
            </w:pPr>
            <w:r w:rsidRPr="00E44CD7">
              <w:rPr>
                <w:szCs w:val="20"/>
              </w:rPr>
              <w:t>The motion for an extension of time to serve and file the application for leave to appeal is granted. The application for leave to appeal from the judgment of the Court of Appeal of Quebec (Montréal), Number 500-09-018753-087, dated November 23, 2010, is dismissed with costs.</w:t>
            </w:r>
          </w:p>
        </w:tc>
      </w:tr>
    </w:tbl>
    <w:p w:rsidR="00BB204D" w:rsidRDefault="00BB204D" w:rsidP="008D292F">
      <w:pPr>
        <w:rPr>
          <w:sz w:val="20"/>
          <w:szCs w:val="20"/>
        </w:rPr>
      </w:pPr>
    </w:p>
    <w:p w:rsidR="00A22E16" w:rsidRPr="00A22E16" w:rsidRDefault="00A22E16" w:rsidP="008D292F">
      <w:pPr>
        <w:rPr>
          <w:sz w:val="20"/>
          <w:szCs w:val="20"/>
          <w:u w:val="single"/>
        </w:rPr>
      </w:pPr>
      <w:r>
        <w:rPr>
          <w:sz w:val="20"/>
          <w:szCs w:val="20"/>
          <w:u w:val="single"/>
        </w:rPr>
        <w:t>CASE SUMMARY</w:t>
      </w:r>
    </w:p>
    <w:p w:rsidR="00A22E16" w:rsidRDefault="00A22E16" w:rsidP="008D292F">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BB204D" w:rsidRPr="008F06E4" w:rsidTr="004E3031">
        <w:tc>
          <w:tcPr>
            <w:tcW w:w="5000" w:type="pct"/>
            <w:gridSpan w:val="3"/>
          </w:tcPr>
          <w:p w:rsidR="00BB204D" w:rsidRPr="008F06E4" w:rsidRDefault="00BB204D" w:rsidP="00BB204D">
            <w:pPr>
              <w:jc w:val="both"/>
              <w:rPr>
                <w:sz w:val="20"/>
              </w:rPr>
            </w:pPr>
            <w:r w:rsidRPr="008F06E4">
              <w:rPr>
                <w:sz w:val="20"/>
              </w:rPr>
              <w:t>Judgments — Revocation — Lost traveller’s cheques — Action for refund dismissed in light of available evidence — Application for revocation of that judgment — Whether Court of Appeal erred in dismissing appeal from refusal of revocation.</w:t>
            </w:r>
          </w:p>
          <w:p w:rsidR="00BB204D" w:rsidRPr="008F06E4" w:rsidRDefault="00BB204D" w:rsidP="00BB204D">
            <w:pPr>
              <w:jc w:val="both"/>
              <w:rPr>
                <w:sz w:val="20"/>
              </w:rPr>
            </w:pPr>
          </w:p>
        </w:tc>
      </w:tr>
      <w:tr w:rsidR="00BB204D" w:rsidRPr="008F06E4" w:rsidTr="004E3031">
        <w:tc>
          <w:tcPr>
            <w:tcW w:w="5000" w:type="pct"/>
            <w:gridSpan w:val="3"/>
          </w:tcPr>
          <w:p w:rsidR="00BB204D" w:rsidRPr="008F06E4" w:rsidRDefault="00BB204D" w:rsidP="00BB204D">
            <w:pPr>
              <w:jc w:val="both"/>
              <w:rPr>
                <w:sz w:val="20"/>
              </w:rPr>
            </w:pPr>
            <w:r w:rsidRPr="008F06E4">
              <w:rPr>
                <w:sz w:val="20"/>
              </w:rPr>
              <w:t>The applicant purchased $34,507 in traveller’s cheques in Montréal on May 10, 2002.  He claims to have lost the cheques in a taxi that same day.  He nevertheless left on his trip.  A few months later, $4,000 worth of the cheques in question were used outside Canada with a forged counter</w:t>
            </w:r>
            <w:r w:rsidRPr="008F06E4">
              <w:rPr>
                <w:sz w:val="20"/>
              </w:rPr>
              <w:noBreakHyphen/>
              <w:t>signature; they are the only ones that have been traced to this date.  On returning to the country, the applicant asked to have the cheques refunded.  Amex replied that under the agreement, the cheques could be replaced, but not refunded.  The applicant sued for the amount of the cheques plus damages for inconvenience.  The Superior Court found his evidence contradictory and did not believe that he had lost the cheques.  The applicant applied for revocation of that court’s judgment after learning that a refund was possible in certain cases.</w:t>
            </w:r>
          </w:p>
          <w:p w:rsidR="00BB204D" w:rsidRPr="008F06E4" w:rsidRDefault="00BB204D" w:rsidP="00BB204D">
            <w:pPr>
              <w:jc w:val="both"/>
              <w:rPr>
                <w:sz w:val="20"/>
              </w:rPr>
            </w:pPr>
          </w:p>
        </w:tc>
      </w:tr>
      <w:tr w:rsidR="00BB204D" w:rsidRPr="008F06E4" w:rsidTr="004E3031">
        <w:tc>
          <w:tcPr>
            <w:tcW w:w="2427" w:type="pct"/>
          </w:tcPr>
          <w:p w:rsidR="00BB204D" w:rsidRPr="008F06E4" w:rsidRDefault="00BB204D" w:rsidP="004E3031">
            <w:pPr>
              <w:rPr>
                <w:sz w:val="20"/>
              </w:rPr>
            </w:pPr>
            <w:r w:rsidRPr="008F06E4">
              <w:rPr>
                <w:sz w:val="20"/>
              </w:rPr>
              <w:t>May 8, 2008</w:t>
            </w:r>
          </w:p>
          <w:p w:rsidR="00BB204D" w:rsidRPr="008F06E4" w:rsidRDefault="00BB204D" w:rsidP="004E3031">
            <w:pPr>
              <w:rPr>
                <w:sz w:val="20"/>
              </w:rPr>
            </w:pPr>
            <w:r w:rsidRPr="008F06E4">
              <w:rPr>
                <w:sz w:val="20"/>
              </w:rPr>
              <w:t>Quebec Superior Court</w:t>
            </w:r>
          </w:p>
          <w:p w:rsidR="00BB204D" w:rsidRPr="008F06E4" w:rsidRDefault="00BB204D" w:rsidP="004E3031">
            <w:pPr>
              <w:rPr>
                <w:sz w:val="20"/>
              </w:rPr>
            </w:pPr>
            <w:r w:rsidRPr="008F06E4">
              <w:rPr>
                <w:sz w:val="20"/>
              </w:rPr>
              <w:t>(Hébert J.)</w:t>
            </w:r>
          </w:p>
          <w:p w:rsidR="00BB204D" w:rsidRPr="008F06E4" w:rsidRDefault="00BB204D" w:rsidP="004E3031">
            <w:pPr>
              <w:rPr>
                <w:sz w:val="20"/>
              </w:rPr>
            </w:pPr>
            <w:r w:rsidRPr="008F06E4">
              <w:rPr>
                <w:sz w:val="20"/>
              </w:rPr>
              <w:t>Neutral citation: 2008 QCCS 1848</w:t>
            </w:r>
          </w:p>
          <w:p w:rsidR="00BB204D" w:rsidRPr="008F06E4" w:rsidRDefault="00BB204D" w:rsidP="004E3031">
            <w:pPr>
              <w:rPr>
                <w:sz w:val="20"/>
              </w:rPr>
            </w:pPr>
          </w:p>
        </w:tc>
        <w:tc>
          <w:tcPr>
            <w:tcW w:w="243" w:type="pct"/>
          </w:tcPr>
          <w:p w:rsidR="00BB204D" w:rsidRPr="008F06E4" w:rsidRDefault="00BB204D" w:rsidP="004E3031">
            <w:pPr>
              <w:rPr>
                <w:sz w:val="20"/>
              </w:rPr>
            </w:pPr>
          </w:p>
        </w:tc>
        <w:tc>
          <w:tcPr>
            <w:tcW w:w="2330" w:type="pct"/>
          </w:tcPr>
          <w:p w:rsidR="00BB204D" w:rsidRPr="008F06E4" w:rsidRDefault="00BB204D" w:rsidP="00BB204D">
            <w:pPr>
              <w:jc w:val="both"/>
              <w:rPr>
                <w:sz w:val="20"/>
              </w:rPr>
            </w:pPr>
            <w:r w:rsidRPr="008F06E4">
              <w:rPr>
                <w:sz w:val="20"/>
              </w:rPr>
              <w:t>Applicant’s motion for revocation of judgment dismissing his claim against respondent for $96,526 dismissed</w:t>
            </w:r>
          </w:p>
        </w:tc>
      </w:tr>
      <w:tr w:rsidR="00BB204D" w:rsidRPr="008F06E4" w:rsidTr="004E3031">
        <w:tc>
          <w:tcPr>
            <w:tcW w:w="2427" w:type="pct"/>
          </w:tcPr>
          <w:p w:rsidR="00BB204D" w:rsidRPr="008F06E4" w:rsidRDefault="00BB204D" w:rsidP="004E3031">
            <w:pPr>
              <w:rPr>
                <w:sz w:val="20"/>
              </w:rPr>
            </w:pPr>
            <w:r w:rsidRPr="008F06E4">
              <w:rPr>
                <w:sz w:val="20"/>
              </w:rPr>
              <w:t>November 23, 2010</w:t>
            </w:r>
          </w:p>
          <w:p w:rsidR="00BB204D" w:rsidRPr="008F06E4" w:rsidRDefault="00BB204D" w:rsidP="004E3031">
            <w:pPr>
              <w:rPr>
                <w:sz w:val="20"/>
              </w:rPr>
            </w:pPr>
            <w:r w:rsidRPr="008F06E4">
              <w:rPr>
                <w:sz w:val="20"/>
              </w:rPr>
              <w:t>Quebec Court of Appeal (Montréal)</w:t>
            </w:r>
          </w:p>
          <w:p w:rsidR="00BB204D" w:rsidRPr="008F06E4" w:rsidRDefault="00BB204D" w:rsidP="004E3031">
            <w:pPr>
              <w:rPr>
                <w:sz w:val="20"/>
              </w:rPr>
            </w:pPr>
            <w:r w:rsidRPr="008F06E4">
              <w:rPr>
                <w:sz w:val="20"/>
              </w:rPr>
              <w:t>(Morin, Doyon and Bich JJ.A.)</w:t>
            </w:r>
          </w:p>
          <w:p w:rsidR="00BB204D" w:rsidRPr="008F06E4" w:rsidRDefault="00BB204D" w:rsidP="004E3031">
            <w:pPr>
              <w:rPr>
                <w:sz w:val="20"/>
              </w:rPr>
            </w:pPr>
          </w:p>
        </w:tc>
        <w:tc>
          <w:tcPr>
            <w:tcW w:w="243" w:type="pct"/>
          </w:tcPr>
          <w:p w:rsidR="00BB204D" w:rsidRPr="008F06E4" w:rsidRDefault="00BB204D" w:rsidP="004E3031">
            <w:pPr>
              <w:rPr>
                <w:sz w:val="20"/>
              </w:rPr>
            </w:pPr>
          </w:p>
        </w:tc>
        <w:tc>
          <w:tcPr>
            <w:tcW w:w="2330" w:type="pct"/>
          </w:tcPr>
          <w:p w:rsidR="00BB204D" w:rsidRPr="008F06E4" w:rsidRDefault="00BB204D" w:rsidP="004E3031">
            <w:pPr>
              <w:rPr>
                <w:sz w:val="20"/>
              </w:rPr>
            </w:pPr>
            <w:r w:rsidRPr="008F06E4">
              <w:rPr>
                <w:sz w:val="20"/>
              </w:rPr>
              <w:t>Appeal dismissed</w:t>
            </w:r>
          </w:p>
        </w:tc>
      </w:tr>
      <w:tr w:rsidR="00BB204D" w:rsidRPr="008F06E4" w:rsidTr="004E3031">
        <w:tc>
          <w:tcPr>
            <w:tcW w:w="2427" w:type="pct"/>
          </w:tcPr>
          <w:p w:rsidR="00BB204D" w:rsidRPr="008F06E4" w:rsidRDefault="00BB204D" w:rsidP="004E3031">
            <w:pPr>
              <w:rPr>
                <w:sz w:val="20"/>
              </w:rPr>
            </w:pPr>
            <w:r w:rsidRPr="008F06E4">
              <w:rPr>
                <w:sz w:val="20"/>
              </w:rPr>
              <w:t>February 22, 2011</w:t>
            </w:r>
          </w:p>
          <w:p w:rsidR="00BB204D" w:rsidRPr="008F06E4" w:rsidRDefault="00BB204D" w:rsidP="004E3031">
            <w:pPr>
              <w:rPr>
                <w:sz w:val="20"/>
              </w:rPr>
            </w:pPr>
            <w:r w:rsidRPr="008F06E4">
              <w:rPr>
                <w:sz w:val="20"/>
              </w:rPr>
              <w:t>Supreme Court of Canada</w:t>
            </w:r>
          </w:p>
        </w:tc>
        <w:tc>
          <w:tcPr>
            <w:tcW w:w="243" w:type="pct"/>
          </w:tcPr>
          <w:p w:rsidR="00BB204D" w:rsidRPr="008F06E4" w:rsidRDefault="00BB204D" w:rsidP="004E3031">
            <w:pPr>
              <w:rPr>
                <w:sz w:val="20"/>
              </w:rPr>
            </w:pPr>
          </w:p>
        </w:tc>
        <w:tc>
          <w:tcPr>
            <w:tcW w:w="2330" w:type="pct"/>
          </w:tcPr>
          <w:p w:rsidR="00BB204D" w:rsidRPr="008F06E4" w:rsidRDefault="00BB204D" w:rsidP="00BB204D">
            <w:pPr>
              <w:jc w:val="both"/>
              <w:rPr>
                <w:sz w:val="20"/>
              </w:rPr>
            </w:pPr>
            <w:r w:rsidRPr="008F06E4">
              <w:rPr>
                <w:sz w:val="20"/>
              </w:rPr>
              <w:t>Application for leave to appeal and applicant’s motion for extension of time filed</w:t>
            </w:r>
          </w:p>
        </w:tc>
      </w:tr>
    </w:tbl>
    <w:p w:rsidR="00A22E16" w:rsidRDefault="00A22E16" w:rsidP="008D292F">
      <w:pPr>
        <w:rPr>
          <w:sz w:val="20"/>
          <w:szCs w:val="20"/>
        </w:rPr>
      </w:pPr>
    </w:p>
    <w:p w:rsidR="00A22E16" w:rsidRDefault="004D20D2" w:rsidP="008D292F">
      <w:pPr>
        <w:rPr>
          <w:sz w:val="20"/>
          <w:szCs w:val="20"/>
        </w:rPr>
      </w:pPr>
      <w:r w:rsidRPr="004D20D2">
        <w:rPr>
          <w:sz w:val="20"/>
          <w:szCs w:val="20"/>
          <w:lang w:val="fr-CA"/>
        </w:rPr>
        <w:pict>
          <v:rect id="_x0000_i1041" style="width:2in;height:1pt" o:hrpct="0" o:hralign="center" o:hrstd="t" o:hrnoshade="t" o:hr="t" fillcolor="black [3213]" stroked="f"/>
        </w:pict>
      </w:r>
    </w:p>
    <w:p w:rsidR="00A22E16" w:rsidRDefault="00A22E16" w:rsidP="008D292F">
      <w:pPr>
        <w:rPr>
          <w:sz w:val="20"/>
          <w:szCs w:val="20"/>
        </w:rPr>
      </w:pPr>
    </w:p>
    <w:p w:rsidR="00A22E16" w:rsidRPr="00A22E16" w:rsidRDefault="00A22E16" w:rsidP="008D292F">
      <w:pPr>
        <w:rPr>
          <w:sz w:val="20"/>
          <w:szCs w:val="20"/>
        </w:rPr>
      </w:pPr>
      <w:r>
        <w:rPr>
          <w:sz w:val="20"/>
          <w:szCs w:val="20"/>
          <w:u w:val="single"/>
        </w:rPr>
        <w:t>RÉSUMÉ DE L’AFFAIRE</w:t>
      </w:r>
    </w:p>
    <w:p w:rsidR="00A22E16" w:rsidRDefault="00A22E16" w:rsidP="008D292F">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BB204D" w:rsidRPr="00291AC9" w:rsidTr="004E3031">
        <w:tc>
          <w:tcPr>
            <w:tcW w:w="5000" w:type="pct"/>
            <w:gridSpan w:val="3"/>
          </w:tcPr>
          <w:p w:rsidR="00BB204D" w:rsidRPr="008F06E4" w:rsidRDefault="00BB204D" w:rsidP="004E3031">
            <w:pPr>
              <w:jc w:val="both"/>
              <w:rPr>
                <w:rFonts w:eastAsia="Calibri"/>
                <w:sz w:val="20"/>
                <w:lang w:val="fr-CA"/>
              </w:rPr>
            </w:pPr>
            <w:r w:rsidRPr="008F06E4">
              <w:rPr>
                <w:rFonts w:eastAsia="Calibri"/>
                <w:sz w:val="20"/>
                <w:lang w:val="fr-CA"/>
              </w:rPr>
              <w:t>Jugements — Rétractation — Chèques de voyage perdus — Demande de remboursement rejetée au vu de la preuve disponible — Rétractation de ce jugement demandée — La Cour d’appel a</w:t>
            </w:r>
            <w:r w:rsidRPr="008F06E4">
              <w:rPr>
                <w:rFonts w:eastAsia="Calibri"/>
                <w:sz w:val="20"/>
                <w:lang w:val="fr-CA"/>
              </w:rPr>
              <w:noBreakHyphen/>
              <w:t>t</w:t>
            </w:r>
            <w:r w:rsidRPr="008F06E4">
              <w:rPr>
                <w:rFonts w:eastAsia="Calibri"/>
                <w:sz w:val="20"/>
                <w:lang w:val="fr-CA"/>
              </w:rPr>
              <w:noBreakHyphen/>
              <w:t>elle erré en rejetant l’appel du refus de rétractation?</w:t>
            </w:r>
          </w:p>
          <w:p w:rsidR="00BB204D" w:rsidRPr="008F06E4" w:rsidRDefault="00BB204D" w:rsidP="004E3031">
            <w:pPr>
              <w:jc w:val="both"/>
              <w:rPr>
                <w:rFonts w:eastAsia="Calibri"/>
                <w:sz w:val="20"/>
                <w:lang w:val="fr-FR"/>
              </w:rPr>
            </w:pPr>
          </w:p>
        </w:tc>
      </w:tr>
      <w:tr w:rsidR="00BB204D" w:rsidRPr="00291AC9" w:rsidTr="004E3031">
        <w:tc>
          <w:tcPr>
            <w:tcW w:w="5000" w:type="pct"/>
            <w:gridSpan w:val="3"/>
          </w:tcPr>
          <w:p w:rsidR="00BB204D" w:rsidRPr="008F06E4" w:rsidRDefault="00BB204D" w:rsidP="004E3031">
            <w:pPr>
              <w:jc w:val="both"/>
              <w:rPr>
                <w:rFonts w:eastAsia="Calibri"/>
                <w:sz w:val="20"/>
                <w:lang w:val="fr-CA"/>
              </w:rPr>
            </w:pPr>
            <w:r w:rsidRPr="008F06E4">
              <w:rPr>
                <w:rFonts w:eastAsia="Calibri"/>
                <w:sz w:val="20"/>
                <w:lang w:val="fr-CA"/>
              </w:rPr>
              <w:lastRenderedPageBreak/>
              <w:t>Le 10 mai 2002, à Montréal, le demandeur achète pour 34 507$ de chèques de voyage.  Le même jour, selon ses dires, il les perd dans un taxi dans cette même ville.  Il fera son voyage quand même.  4 000$ de ces chèques seront utilisés à l’étranger, quelques mois plus tard, sous une contre</w:t>
            </w:r>
            <w:r w:rsidRPr="008F06E4">
              <w:rPr>
                <w:rFonts w:eastAsia="Calibri"/>
                <w:sz w:val="20"/>
                <w:lang w:val="fr-CA"/>
              </w:rPr>
              <w:noBreakHyphen/>
              <w:t>signature contrefaite; ce sont les seuls retracés à ce jour.  De retour au pays, le demandeur demande le remboursement des chèques. Amex répond que, selon la convention, les chèques peuvent être remplacés mais non remboursés.  Il réclame en justice ce montant et des dommages</w:t>
            </w:r>
            <w:r w:rsidRPr="008F06E4">
              <w:rPr>
                <w:rFonts w:eastAsia="Calibri"/>
                <w:sz w:val="20"/>
                <w:lang w:val="fr-CA"/>
              </w:rPr>
              <w:noBreakHyphen/>
              <w:t>intérêts pour inconvénients.  La Cour supérieure trouve la preuve du demandeur remplie de contradictions et ne croit pas qu’il a perdu ses chèques.  Il demande la rétractation de ce jugement après avoir appris qu’un remboursement était possible dans certains cas.</w:t>
            </w:r>
          </w:p>
          <w:p w:rsidR="00BB204D" w:rsidRPr="008F06E4" w:rsidRDefault="00BB204D" w:rsidP="004E3031">
            <w:pPr>
              <w:jc w:val="both"/>
              <w:rPr>
                <w:rFonts w:eastAsia="Calibri"/>
                <w:sz w:val="20"/>
                <w:lang w:val="fr-CA"/>
              </w:rPr>
            </w:pPr>
          </w:p>
        </w:tc>
      </w:tr>
      <w:tr w:rsidR="00BB204D" w:rsidRPr="00291AC9" w:rsidTr="004E3031">
        <w:tc>
          <w:tcPr>
            <w:tcW w:w="2427" w:type="pct"/>
          </w:tcPr>
          <w:p w:rsidR="00BB204D" w:rsidRPr="008F06E4" w:rsidRDefault="00BB204D" w:rsidP="004E3031">
            <w:pPr>
              <w:jc w:val="both"/>
              <w:rPr>
                <w:rFonts w:eastAsia="Calibri"/>
                <w:sz w:val="20"/>
                <w:lang w:val="fr-CA"/>
              </w:rPr>
            </w:pPr>
            <w:r w:rsidRPr="008F06E4">
              <w:rPr>
                <w:rFonts w:eastAsia="Calibri"/>
                <w:sz w:val="20"/>
                <w:lang w:val="fr-CA"/>
              </w:rPr>
              <w:t>Le 8 mai 2008</w:t>
            </w:r>
          </w:p>
          <w:p w:rsidR="00BB204D" w:rsidRPr="008F06E4" w:rsidRDefault="00BB204D" w:rsidP="004E3031">
            <w:pPr>
              <w:jc w:val="both"/>
              <w:rPr>
                <w:rFonts w:eastAsia="Calibri"/>
                <w:sz w:val="20"/>
                <w:lang w:val="fr-CA"/>
              </w:rPr>
            </w:pPr>
            <w:r w:rsidRPr="008F06E4">
              <w:rPr>
                <w:rFonts w:eastAsia="Calibri"/>
                <w:sz w:val="20"/>
                <w:lang w:val="fr-CA"/>
              </w:rPr>
              <w:t>Cour supérieure du Québec</w:t>
            </w:r>
          </w:p>
          <w:p w:rsidR="00BB204D" w:rsidRPr="008F06E4" w:rsidRDefault="00BB204D" w:rsidP="004E3031">
            <w:pPr>
              <w:jc w:val="both"/>
              <w:rPr>
                <w:rFonts w:eastAsia="Calibri"/>
                <w:sz w:val="20"/>
                <w:lang w:val="fr-CA"/>
              </w:rPr>
            </w:pPr>
            <w:r w:rsidRPr="008F06E4">
              <w:rPr>
                <w:rFonts w:eastAsia="Calibri"/>
                <w:sz w:val="20"/>
                <w:lang w:val="fr-CA"/>
              </w:rPr>
              <w:t>(Le juge Hébert)</w:t>
            </w:r>
          </w:p>
          <w:p w:rsidR="00BB204D" w:rsidRPr="008F06E4" w:rsidRDefault="00BB204D" w:rsidP="004E3031">
            <w:pPr>
              <w:jc w:val="both"/>
              <w:rPr>
                <w:rFonts w:eastAsia="Calibri"/>
                <w:sz w:val="20"/>
                <w:lang w:val="fr-CA"/>
              </w:rPr>
            </w:pPr>
            <w:r w:rsidRPr="008F06E4">
              <w:rPr>
                <w:rFonts w:eastAsia="Calibri"/>
                <w:sz w:val="20"/>
                <w:lang w:val="fr-CA"/>
              </w:rPr>
              <w:t>Référence neutre : 2008 QCCS 1848</w:t>
            </w:r>
          </w:p>
          <w:p w:rsidR="00BB204D" w:rsidRPr="008F06E4" w:rsidRDefault="00BB204D" w:rsidP="004E3031">
            <w:pPr>
              <w:jc w:val="both"/>
              <w:rPr>
                <w:rFonts w:eastAsia="Calibri"/>
                <w:sz w:val="20"/>
                <w:lang w:val="fr-FR"/>
              </w:rPr>
            </w:pPr>
          </w:p>
        </w:tc>
        <w:tc>
          <w:tcPr>
            <w:tcW w:w="243" w:type="pct"/>
          </w:tcPr>
          <w:p w:rsidR="00BB204D" w:rsidRPr="008F06E4" w:rsidRDefault="00BB204D" w:rsidP="004E3031">
            <w:pPr>
              <w:jc w:val="both"/>
              <w:rPr>
                <w:rFonts w:eastAsia="Calibri"/>
                <w:sz w:val="20"/>
                <w:lang w:val="fr-FR"/>
              </w:rPr>
            </w:pPr>
          </w:p>
        </w:tc>
        <w:tc>
          <w:tcPr>
            <w:tcW w:w="2330" w:type="pct"/>
          </w:tcPr>
          <w:p w:rsidR="00BB204D" w:rsidRPr="008F06E4" w:rsidRDefault="00BB204D" w:rsidP="004E3031">
            <w:pPr>
              <w:jc w:val="both"/>
              <w:rPr>
                <w:rFonts w:eastAsia="Calibri"/>
                <w:sz w:val="20"/>
                <w:lang w:val="fr-CA"/>
              </w:rPr>
            </w:pPr>
            <w:r w:rsidRPr="008F06E4">
              <w:rPr>
                <w:rFonts w:eastAsia="Calibri"/>
                <w:sz w:val="20"/>
                <w:lang w:val="fr-CA"/>
              </w:rPr>
              <w:t>Rejet de la requête du demandeur en rétractation d’un jugement rejetant sa réclamation de 96 526$ contre l’intimée.</w:t>
            </w:r>
          </w:p>
        </w:tc>
      </w:tr>
      <w:tr w:rsidR="00BB204D" w:rsidRPr="008F06E4" w:rsidTr="004E3031">
        <w:tc>
          <w:tcPr>
            <w:tcW w:w="2427" w:type="pct"/>
          </w:tcPr>
          <w:p w:rsidR="00BB204D" w:rsidRPr="008F06E4" w:rsidRDefault="00BB204D" w:rsidP="004E3031">
            <w:pPr>
              <w:jc w:val="both"/>
              <w:rPr>
                <w:rFonts w:eastAsia="Calibri"/>
                <w:sz w:val="20"/>
                <w:lang w:val="fr-CA"/>
              </w:rPr>
            </w:pPr>
            <w:r w:rsidRPr="008F06E4">
              <w:rPr>
                <w:rFonts w:eastAsia="Calibri"/>
                <w:sz w:val="20"/>
                <w:lang w:val="fr-CA"/>
              </w:rPr>
              <w:t>Le 23 novembre 2010</w:t>
            </w:r>
          </w:p>
          <w:p w:rsidR="00BB204D" w:rsidRPr="008F06E4" w:rsidRDefault="00BB204D" w:rsidP="004E3031">
            <w:pPr>
              <w:jc w:val="both"/>
              <w:rPr>
                <w:rFonts w:eastAsia="Calibri"/>
                <w:sz w:val="20"/>
                <w:lang w:val="fr-CA"/>
              </w:rPr>
            </w:pPr>
            <w:r w:rsidRPr="008F06E4">
              <w:rPr>
                <w:rFonts w:eastAsia="Calibri"/>
                <w:sz w:val="20"/>
                <w:lang w:val="fr-CA"/>
              </w:rPr>
              <w:t>Cour d’appel du Québec (Montréal)</w:t>
            </w:r>
          </w:p>
          <w:p w:rsidR="00BB204D" w:rsidRPr="008F06E4" w:rsidRDefault="00BB204D" w:rsidP="004E3031">
            <w:pPr>
              <w:jc w:val="both"/>
              <w:rPr>
                <w:rFonts w:eastAsia="Calibri"/>
                <w:sz w:val="20"/>
                <w:lang w:val="fr-CA"/>
              </w:rPr>
            </w:pPr>
            <w:r w:rsidRPr="008F06E4">
              <w:rPr>
                <w:rFonts w:eastAsia="Calibri"/>
                <w:sz w:val="20"/>
                <w:lang w:val="fr-CA"/>
              </w:rPr>
              <w:t>(Les juges Morin, Doyon et Bich)</w:t>
            </w:r>
          </w:p>
          <w:p w:rsidR="00BB204D" w:rsidRPr="008F06E4" w:rsidRDefault="00BB204D" w:rsidP="004E3031">
            <w:pPr>
              <w:jc w:val="both"/>
              <w:rPr>
                <w:rFonts w:eastAsia="Calibri"/>
                <w:sz w:val="20"/>
                <w:lang w:val="fr-FR"/>
              </w:rPr>
            </w:pPr>
          </w:p>
        </w:tc>
        <w:tc>
          <w:tcPr>
            <w:tcW w:w="243" w:type="pct"/>
          </w:tcPr>
          <w:p w:rsidR="00BB204D" w:rsidRPr="008F06E4" w:rsidRDefault="00BB204D" w:rsidP="004E3031">
            <w:pPr>
              <w:jc w:val="both"/>
              <w:rPr>
                <w:rFonts w:eastAsia="Calibri"/>
                <w:sz w:val="20"/>
                <w:lang w:val="fr-FR"/>
              </w:rPr>
            </w:pPr>
          </w:p>
        </w:tc>
        <w:tc>
          <w:tcPr>
            <w:tcW w:w="2330" w:type="pct"/>
          </w:tcPr>
          <w:p w:rsidR="00BB204D" w:rsidRPr="008F06E4" w:rsidRDefault="00BB204D" w:rsidP="004E3031">
            <w:pPr>
              <w:jc w:val="both"/>
              <w:rPr>
                <w:rFonts w:eastAsia="Calibri"/>
                <w:sz w:val="20"/>
                <w:lang w:val="fr-CA"/>
              </w:rPr>
            </w:pPr>
            <w:r w:rsidRPr="008F06E4">
              <w:rPr>
                <w:rFonts w:eastAsia="Calibri"/>
                <w:sz w:val="20"/>
                <w:lang w:val="fr-CA"/>
              </w:rPr>
              <w:t>Rejet de l’appel.</w:t>
            </w:r>
          </w:p>
        </w:tc>
      </w:tr>
      <w:tr w:rsidR="00BB204D" w:rsidRPr="00291AC9" w:rsidTr="004E3031">
        <w:tc>
          <w:tcPr>
            <w:tcW w:w="2427" w:type="pct"/>
          </w:tcPr>
          <w:p w:rsidR="00BB204D" w:rsidRPr="008F06E4" w:rsidRDefault="00BB204D" w:rsidP="004E3031">
            <w:pPr>
              <w:jc w:val="both"/>
              <w:rPr>
                <w:rFonts w:eastAsia="Calibri"/>
                <w:sz w:val="20"/>
                <w:lang w:val="fr-CA"/>
              </w:rPr>
            </w:pPr>
            <w:r w:rsidRPr="008F06E4">
              <w:rPr>
                <w:rFonts w:eastAsia="Calibri"/>
                <w:sz w:val="20"/>
                <w:lang w:val="fr-CA"/>
              </w:rPr>
              <w:t>Le 22 février 2011</w:t>
            </w:r>
          </w:p>
          <w:p w:rsidR="00BB204D" w:rsidRPr="008F06E4" w:rsidRDefault="00BB204D" w:rsidP="004E3031">
            <w:pPr>
              <w:jc w:val="both"/>
              <w:rPr>
                <w:rFonts w:eastAsia="Calibri"/>
                <w:sz w:val="20"/>
                <w:lang w:val="fr-FR"/>
              </w:rPr>
            </w:pPr>
            <w:r w:rsidRPr="008F06E4">
              <w:rPr>
                <w:rFonts w:eastAsia="Calibri"/>
                <w:sz w:val="20"/>
                <w:lang w:val="fr-CA"/>
              </w:rPr>
              <w:t>Cour suprême du Canada</w:t>
            </w:r>
          </w:p>
        </w:tc>
        <w:tc>
          <w:tcPr>
            <w:tcW w:w="243" w:type="pct"/>
          </w:tcPr>
          <w:p w:rsidR="00BB204D" w:rsidRPr="008F06E4" w:rsidRDefault="00BB204D" w:rsidP="004E3031">
            <w:pPr>
              <w:jc w:val="both"/>
              <w:rPr>
                <w:rFonts w:eastAsia="Calibri"/>
                <w:sz w:val="20"/>
                <w:lang w:val="fr-FR"/>
              </w:rPr>
            </w:pPr>
          </w:p>
        </w:tc>
        <w:tc>
          <w:tcPr>
            <w:tcW w:w="2330" w:type="pct"/>
          </w:tcPr>
          <w:p w:rsidR="00BB204D" w:rsidRPr="008F06E4" w:rsidRDefault="00BB204D" w:rsidP="004E3031">
            <w:pPr>
              <w:jc w:val="both"/>
              <w:rPr>
                <w:rFonts w:eastAsia="Calibri"/>
                <w:sz w:val="20"/>
                <w:lang w:val="fr-CA"/>
              </w:rPr>
            </w:pPr>
            <w:r w:rsidRPr="008F06E4">
              <w:rPr>
                <w:rFonts w:eastAsia="Calibri"/>
                <w:sz w:val="20"/>
                <w:lang w:val="fr-CA"/>
              </w:rPr>
              <w:t>Dépôt de la demande d’autorisation d’appel et de la requête du demandeur en prorogation de délai.</w:t>
            </w:r>
          </w:p>
        </w:tc>
      </w:tr>
    </w:tbl>
    <w:p w:rsidR="00A22E16" w:rsidRPr="00BB204D" w:rsidRDefault="00A22E16" w:rsidP="008D292F">
      <w:pPr>
        <w:rPr>
          <w:sz w:val="20"/>
          <w:szCs w:val="20"/>
          <w:lang w:val="fr-CA"/>
        </w:rPr>
      </w:pPr>
    </w:p>
    <w:p w:rsidR="00A22E16" w:rsidRDefault="004D20D2" w:rsidP="008D292F">
      <w:pPr>
        <w:rPr>
          <w:sz w:val="20"/>
          <w:szCs w:val="20"/>
          <w:lang w:val="fr-CA"/>
        </w:rPr>
      </w:pPr>
      <w:r w:rsidRPr="004D20D2">
        <w:rPr>
          <w:sz w:val="20"/>
          <w:szCs w:val="20"/>
          <w:lang w:val="fr-CA"/>
        </w:rPr>
        <w:pict>
          <v:rect id="_x0000_i1042" style="width:2in;height:1pt" o:hrpct="0" o:hralign="center" o:hrstd="t" o:hrnoshade="t" o:hr="t" fillcolor="black [3213]" stroked="f"/>
        </w:pict>
      </w:r>
    </w:p>
    <w:p w:rsidR="00A22E16" w:rsidRDefault="00A22E16" w:rsidP="008D292F">
      <w:pPr>
        <w:rPr>
          <w:sz w:val="20"/>
          <w:szCs w:val="20"/>
          <w:lang w:val="fr-CA"/>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40FC4" w:rsidRPr="00291AC9" w:rsidTr="00B52EFD">
        <w:trPr>
          <w:cantSplit/>
        </w:trPr>
        <w:tc>
          <w:tcPr>
            <w:tcW w:w="1458" w:type="dxa"/>
          </w:tcPr>
          <w:p w:rsidR="00B40FC4" w:rsidRPr="00E44CD7" w:rsidRDefault="00B40FC4" w:rsidP="00B52EFD">
            <w:pPr>
              <w:rPr>
                <w:sz w:val="20"/>
                <w:szCs w:val="20"/>
              </w:rPr>
            </w:pPr>
            <w:r w:rsidRPr="00E44CD7">
              <w:rPr>
                <w:rStyle w:val="SCCFileNumberChar"/>
                <w:sz w:val="20"/>
                <w:szCs w:val="20"/>
              </w:rPr>
              <w:t>34174</w:t>
            </w:r>
          </w:p>
          <w:p w:rsidR="00B40FC4" w:rsidRPr="00E44CD7" w:rsidRDefault="00B40FC4" w:rsidP="00B52EFD">
            <w:pPr>
              <w:rPr>
                <w:b/>
                <w:sz w:val="20"/>
                <w:szCs w:val="20"/>
                <w:lang w:val="fr-CA"/>
              </w:rPr>
            </w:pPr>
          </w:p>
        </w:tc>
        <w:tc>
          <w:tcPr>
            <w:tcW w:w="8118" w:type="dxa"/>
          </w:tcPr>
          <w:p w:rsidR="00B40FC4" w:rsidRPr="00E44CD7" w:rsidRDefault="00B40FC4" w:rsidP="00B40FC4">
            <w:pPr>
              <w:jc w:val="both"/>
              <w:rPr>
                <w:sz w:val="20"/>
                <w:szCs w:val="20"/>
                <w:lang w:val="fr-CA"/>
              </w:rPr>
            </w:pPr>
            <w:r w:rsidRPr="00E44CD7">
              <w:rPr>
                <w:rStyle w:val="SCCLsocChar"/>
                <w:sz w:val="20"/>
                <w:szCs w:val="20"/>
              </w:rPr>
              <w:t>Jacques Marquis c. Conseil d'arbitrage des comptes des avocats du Barreau du Québec</w:t>
            </w:r>
            <w:r w:rsidRPr="00E44CD7">
              <w:rPr>
                <w:sz w:val="20"/>
                <w:szCs w:val="20"/>
                <w:lang w:val="fr-CA"/>
              </w:rPr>
              <w:t xml:space="preserve"> (Qc) (Civile) (Autorisation)</w:t>
            </w:r>
          </w:p>
          <w:p w:rsidR="00B40FC4" w:rsidRPr="00E44CD7" w:rsidRDefault="00B40FC4" w:rsidP="00B52EFD">
            <w:pPr>
              <w:rPr>
                <w:sz w:val="20"/>
                <w:szCs w:val="20"/>
                <w:lang w:val="fr-CA"/>
              </w:rPr>
            </w:pPr>
          </w:p>
        </w:tc>
      </w:tr>
      <w:tr w:rsidR="00B40FC4" w:rsidRPr="00291AC9" w:rsidTr="00B52EFD">
        <w:trPr>
          <w:cantSplit/>
        </w:trPr>
        <w:tc>
          <w:tcPr>
            <w:tcW w:w="1458" w:type="dxa"/>
          </w:tcPr>
          <w:p w:rsidR="00B40FC4" w:rsidRPr="00E44CD7" w:rsidRDefault="00B40FC4" w:rsidP="00B52EFD">
            <w:pPr>
              <w:rPr>
                <w:sz w:val="20"/>
                <w:szCs w:val="20"/>
              </w:rPr>
            </w:pPr>
            <w:r w:rsidRPr="00E44CD7">
              <w:rPr>
                <w:sz w:val="20"/>
                <w:szCs w:val="20"/>
              </w:rPr>
              <w:t>Coram :</w:t>
            </w:r>
          </w:p>
        </w:tc>
        <w:tc>
          <w:tcPr>
            <w:tcW w:w="8118" w:type="dxa"/>
          </w:tcPr>
          <w:p w:rsidR="00B40FC4" w:rsidRPr="00E44CD7" w:rsidRDefault="00B40FC4" w:rsidP="00B52EFD">
            <w:pPr>
              <w:rPr>
                <w:sz w:val="20"/>
                <w:szCs w:val="20"/>
                <w:lang w:val="fr-CA"/>
              </w:rPr>
            </w:pPr>
            <w:r w:rsidRPr="00E44CD7">
              <w:rPr>
                <w:rStyle w:val="SCCCoramChar"/>
                <w:sz w:val="20"/>
                <w:szCs w:val="20"/>
              </w:rPr>
              <w:t>Les juges LeBel, Fish et Cromwell</w:t>
            </w:r>
          </w:p>
          <w:p w:rsidR="00B40FC4" w:rsidRPr="00E44CD7" w:rsidRDefault="00B40FC4" w:rsidP="00B52EFD">
            <w:pPr>
              <w:rPr>
                <w:sz w:val="20"/>
                <w:szCs w:val="20"/>
                <w:u w:val="single"/>
                <w:lang w:val="fr-CA"/>
              </w:rPr>
            </w:pPr>
          </w:p>
        </w:tc>
      </w:tr>
      <w:tr w:rsidR="00B40FC4" w:rsidRPr="00E44CD7" w:rsidTr="00B52EFD">
        <w:trPr>
          <w:cantSplit/>
        </w:trPr>
        <w:tc>
          <w:tcPr>
            <w:tcW w:w="9576" w:type="dxa"/>
            <w:gridSpan w:val="2"/>
          </w:tcPr>
          <w:p w:rsidR="00B40FC4" w:rsidRPr="00E44CD7" w:rsidRDefault="00B40FC4" w:rsidP="00B52EFD">
            <w:pPr>
              <w:pStyle w:val="SCCShortJudgment"/>
              <w:rPr>
                <w:szCs w:val="20"/>
                <w:lang w:val="fr-CA"/>
              </w:rPr>
            </w:pPr>
            <w:r w:rsidRPr="00E44CD7">
              <w:rPr>
                <w:szCs w:val="20"/>
                <w:lang w:val="fr-CA"/>
              </w:rPr>
              <w:t>La demande d’autorisation d’appel de l’arrêt de la Cour d’appel du Québec (Montréal), numéro 500-09-020723-102, 2011 QCCA 133, daté du 27 janvier 2011, est rejetée sans dépens.</w:t>
            </w:r>
          </w:p>
          <w:p w:rsidR="00B40FC4" w:rsidRPr="00E44CD7" w:rsidRDefault="00B40FC4" w:rsidP="00B52EFD">
            <w:pPr>
              <w:pStyle w:val="SCCShortJudgment"/>
              <w:ind w:firstLine="0"/>
              <w:rPr>
                <w:szCs w:val="20"/>
                <w:lang w:val="fr-CA"/>
              </w:rPr>
            </w:pPr>
          </w:p>
          <w:p w:rsidR="00B40FC4" w:rsidRPr="00E44CD7" w:rsidRDefault="00B40FC4" w:rsidP="00B40FC4">
            <w:pPr>
              <w:pStyle w:val="SCCShortJudgment"/>
              <w:rPr>
                <w:szCs w:val="20"/>
              </w:rPr>
            </w:pPr>
            <w:r w:rsidRPr="00E44CD7">
              <w:rPr>
                <w:szCs w:val="20"/>
              </w:rPr>
              <w:t>The application for leave to appeal from the judgment of the Court of Appeal of Quebec (Montréal), Number 500-09-020723-102,  2011 QCCA 133, dated January 27, 2011, is dismissed without costs.</w:t>
            </w:r>
          </w:p>
        </w:tc>
      </w:tr>
    </w:tbl>
    <w:p w:rsidR="00BB204D" w:rsidRDefault="00BB204D" w:rsidP="008D292F">
      <w:pPr>
        <w:rPr>
          <w:sz w:val="20"/>
          <w:szCs w:val="20"/>
        </w:rPr>
      </w:pPr>
    </w:p>
    <w:p w:rsidR="00A22E16" w:rsidRPr="00A22E16" w:rsidRDefault="00A22E16" w:rsidP="00A22E16">
      <w:pPr>
        <w:rPr>
          <w:sz w:val="20"/>
          <w:szCs w:val="20"/>
          <w:u w:val="single"/>
        </w:rPr>
      </w:pPr>
      <w:r>
        <w:rPr>
          <w:sz w:val="20"/>
          <w:szCs w:val="20"/>
          <w:u w:val="single"/>
        </w:rPr>
        <w:t>CASE SUMMARY</w:t>
      </w:r>
    </w:p>
    <w:p w:rsidR="00A22E16" w:rsidRDefault="00A22E16" w:rsidP="00A22E16">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BB204D" w:rsidRPr="008F06E4" w:rsidTr="004E3031">
        <w:tc>
          <w:tcPr>
            <w:tcW w:w="5000" w:type="pct"/>
            <w:gridSpan w:val="3"/>
          </w:tcPr>
          <w:p w:rsidR="00BB204D" w:rsidRPr="008F06E4" w:rsidRDefault="00BB204D" w:rsidP="004E3031">
            <w:pPr>
              <w:jc w:val="both"/>
              <w:rPr>
                <w:rFonts w:eastAsia="Calibri"/>
                <w:sz w:val="20"/>
              </w:rPr>
            </w:pPr>
            <w:r w:rsidRPr="008F06E4">
              <w:rPr>
                <w:rFonts w:eastAsia="Calibri"/>
                <w:sz w:val="20"/>
              </w:rPr>
              <w:t xml:space="preserve">Administrative law — Civil law — Arbitration — Legal fees — Balance of lawyer’s account reduced to nil by council of arbitration appointed by professional order — Application for judicial review based on alleged abuse of authority — Whether decisions of council of arbitration for accounts of members of Barreau du Québec subject to superintending and reforming power of Superior Court — </w:t>
            </w:r>
            <w:r w:rsidRPr="008F06E4">
              <w:rPr>
                <w:rFonts w:eastAsia="Calibri"/>
                <w:i/>
                <w:sz w:val="20"/>
              </w:rPr>
              <w:t>Professional Code</w:t>
            </w:r>
            <w:r w:rsidRPr="008F06E4">
              <w:rPr>
                <w:rFonts w:eastAsia="Calibri"/>
                <w:sz w:val="20"/>
              </w:rPr>
              <w:t>, R.S.Q., c. C</w:t>
            </w:r>
            <w:r w:rsidRPr="008F06E4">
              <w:rPr>
                <w:rFonts w:eastAsia="Calibri"/>
                <w:sz w:val="20"/>
              </w:rPr>
              <w:noBreakHyphen/>
              <w:t xml:space="preserve">26, s. 88 — </w:t>
            </w:r>
            <w:r w:rsidRPr="008F06E4">
              <w:rPr>
                <w:rFonts w:eastAsia="Calibri"/>
                <w:i/>
                <w:sz w:val="20"/>
              </w:rPr>
              <w:t>Regulation respecting the conciliation and arbitration procedure for the accounts of advocates</w:t>
            </w:r>
            <w:r w:rsidRPr="008F06E4">
              <w:rPr>
                <w:rFonts w:eastAsia="Calibri"/>
                <w:sz w:val="20"/>
              </w:rPr>
              <w:t>, R.R.Q., c. B</w:t>
            </w:r>
            <w:r w:rsidRPr="008F06E4">
              <w:rPr>
                <w:rFonts w:eastAsia="Calibri"/>
                <w:sz w:val="20"/>
              </w:rPr>
              <w:noBreakHyphen/>
              <w:t xml:space="preserve">1, r. 17, s. 31 — </w:t>
            </w:r>
            <w:r w:rsidRPr="008F06E4">
              <w:rPr>
                <w:rFonts w:eastAsia="Calibri"/>
                <w:i/>
                <w:sz w:val="20"/>
              </w:rPr>
              <w:t>Civil Code of Québec</w:t>
            </w:r>
            <w:r w:rsidRPr="008F06E4">
              <w:rPr>
                <w:rFonts w:eastAsia="Calibri"/>
                <w:sz w:val="20"/>
              </w:rPr>
              <w:t xml:space="preserve">, S.Q. 1991, c. 64, arts. 1379, 2640 </w:t>
            </w:r>
            <w:r w:rsidRPr="008F06E4">
              <w:rPr>
                <w:rFonts w:eastAsia="Calibri"/>
                <w:sz w:val="20"/>
              </w:rPr>
              <w:noBreakHyphen/>
              <w:t xml:space="preserve"> </w:t>
            </w:r>
            <w:r w:rsidRPr="008F06E4">
              <w:rPr>
                <w:rFonts w:eastAsia="Calibri"/>
                <w:i/>
                <w:sz w:val="20"/>
              </w:rPr>
              <w:t>Code of Civil Procedure</w:t>
            </w:r>
            <w:r w:rsidRPr="008F06E4">
              <w:rPr>
                <w:rFonts w:eastAsia="Calibri"/>
                <w:sz w:val="20"/>
              </w:rPr>
              <w:t>, R.S.Q., c. C</w:t>
            </w:r>
            <w:r w:rsidRPr="008F06E4">
              <w:rPr>
                <w:rFonts w:eastAsia="Calibri"/>
                <w:sz w:val="20"/>
              </w:rPr>
              <w:noBreakHyphen/>
              <w:t xml:space="preserve">25, arts. 846, 946 to 946.6 — Application of </w:t>
            </w:r>
            <w:r w:rsidRPr="008F06E4">
              <w:rPr>
                <w:rFonts w:eastAsia="Calibri"/>
                <w:i/>
                <w:sz w:val="20"/>
              </w:rPr>
              <w:t>Desputeaux v. Éditions Chouette</w:t>
            </w:r>
            <w:r w:rsidRPr="008F06E4">
              <w:rPr>
                <w:rFonts w:eastAsia="Calibri"/>
                <w:sz w:val="20"/>
              </w:rPr>
              <w:t>, [2003] 1 S.C.R. 178.</w:t>
            </w:r>
          </w:p>
          <w:p w:rsidR="00BB204D" w:rsidRPr="008F06E4" w:rsidRDefault="00BB204D" w:rsidP="004E3031">
            <w:pPr>
              <w:jc w:val="both"/>
              <w:rPr>
                <w:rFonts w:eastAsia="Calibri"/>
                <w:sz w:val="20"/>
              </w:rPr>
            </w:pPr>
          </w:p>
        </w:tc>
      </w:tr>
      <w:tr w:rsidR="00BB204D" w:rsidRPr="008F06E4" w:rsidTr="004E3031">
        <w:tc>
          <w:tcPr>
            <w:tcW w:w="5000" w:type="pct"/>
            <w:gridSpan w:val="3"/>
          </w:tcPr>
          <w:p w:rsidR="00BB204D" w:rsidRPr="008F06E4" w:rsidRDefault="00BB204D" w:rsidP="004E3031">
            <w:pPr>
              <w:jc w:val="both"/>
              <w:rPr>
                <w:rFonts w:eastAsia="Calibri"/>
                <w:sz w:val="20"/>
              </w:rPr>
            </w:pPr>
            <w:r w:rsidRPr="008F06E4">
              <w:rPr>
                <w:rFonts w:eastAsia="Calibri"/>
                <w:sz w:val="20"/>
              </w:rPr>
              <w:t>On February 22, 2010, the council of arbitration for lawyers’ accounts reduced the balance of a fee account of lawyer Jacques Marquis in the amount of $78,745 to nil.  The council found that the amount the client had already paid at the hourly rate was very high for a straightforward case; it accordingly struck out the additional percentage provided for in the agreement.</w:t>
            </w:r>
          </w:p>
          <w:p w:rsidR="00BB204D" w:rsidRPr="008F06E4" w:rsidRDefault="00BB204D" w:rsidP="004E3031">
            <w:pPr>
              <w:jc w:val="both"/>
              <w:rPr>
                <w:rFonts w:eastAsia="Calibri"/>
                <w:sz w:val="20"/>
              </w:rPr>
            </w:pPr>
          </w:p>
          <w:p w:rsidR="00BB204D" w:rsidRPr="008F06E4" w:rsidRDefault="00BB204D" w:rsidP="004E3031">
            <w:pPr>
              <w:jc w:val="both"/>
              <w:rPr>
                <w:rFonts w:eastAsia="Calibri"/>
                <w:sz w:val="20"/>
              </w:rPr>
            </w:pPr>
            <w:r w:rsidRPr="008F06E4">
              <w:rPr>
                <w:rFonts w:eastAsia="Calibri"/>
                <w:sz w:val="20"/>
              </w:rPr>
              <w:t xml:space="preserve">Mr. Marquis filed a motion in evocation.  He argued that the council of arbitration did not have jurisdiction to annul </w:t>
            </w:r>
            <w:r w:rsidRPr="008F06E4">
              <w:rPr>
                <w:rFonts w:eastAsia="Calibri"/>
                <w:sz w:val="20"/>
              </w:rPr>
              <w:lastRenderedPageBreak/>
              <w:t>the fee agreement in part.  The council countered that the arbitration award was a private decision and asked that the motion be dismissed.</w:t>
            </w:r>
          </w:p>
          <w:p w:rsidR="00BB204D" w:rsidRPr="008F06E4" w:rsidRDefault="00BB204D" w:rsidP="004E3031">
            <w:pPr>
              <w:jc w:val="both"/>
              <w:rPr>
                <w:rFonts w:eastAsia="Calibri"/>
                <w:sz w:val="20"/>
              </w:rPr>
            </w:pPr>
          </w:p>
        </w:tc>
      </w:tr>
      <w:tr w:rsidR="00BB204D" w:rsidRPr="008F06E4" w:rsidTr="004E3031">
        <w:tc>
          <w:tcPr>
            <w:tcW w:w="2427" w:type="pct"/>
          </w:tcPr>
          <w:p w:rsidR="00BB204D" w:rsidRPr="008F06E4" w:rsidRDefault="00BB204D" w:rsidP="004E3031">
            <w:pPr>
              <w:jc w:val="both"/>
              <w:rPr>
                <w:rFonts w:eastAsia="Calibri"/>
                <w:sz w:val="20"/>
              </w:rPr>
            </w:pPr>
            <w:r w:rsidRPr="008F06E4">
              <w:rPr>
                <w:rFonts w:eastAsia="Calibri"/>
                <w:sz w:val="20"/>
              </w:rPr>
              <w:lastRenderedPageBreak/>
              <w:t>May 28, 2010</w:t>
            </w:r>
          </w:p>
          <w:p w:rsidR="00BB204D" w:rsidRPr="008F06E4" w:rsidRDefault="00BB204D" w:rsidP="004E3031">
            <w:pPr>
              <w:jc w:val="both"/>
              <w:rPr>
                <w:rFonts w:eastAsia="Calibri"/>
                <w:sz w:val="20"/>
              </w:rPr>
            </w:pPr>
            <w:r w:rsidRPr="008F06E4">
              <w:rPr>
                <w:rFonts w:eastAsia="Calibri"/>
                <w:sz w:val="20"/>
              </w:rPr>
              <w:t>Quebec Superior Court</w:t>
            </w:r>
          </w:p>
          <w:p w:rsidR="00BB204D" w:rsidRPr="008F06E4" w:rsidRDefault="00BB204D" w:rsidP="004E3031">
            <w:pPr>
              <w:jc w:val="both"/>
              <w:rPr>
                <w:rFonts w:eastAsia="Calibri"/>
                <w:sz w:val="20"/>
              </w:rPr>
            </w:pPr>
            <w:r w:rsidRPr="008F06E4">
              <w:rPr>
                <w:rFonts w:eastAsia="Calibri"/>
                <w:sz w:val="20"/>
              </w:rPr>
              <w:t>(Hallée J.)</w:t>
            </w:r>
          </w:p>
          <w:p w:rsidR="00BB204D" w:rsidRPr="008F06E4" w:rsidRDefault="00BB204D" w:rsidP="004E3031">
            <w:pPr>
              <w:jc w:val="both"/>
              <w:rPr>
                <w:rFonts w:eastAsia="Calibri"/>
                <w:sz w:val="20"/>
              </w:rPr>
            </w:pPr>
          </w:p>
        </w:tc>
        <w:tc>
          <w:tcPr>
            <w:tcW w:w="243" w:type="pct"/>
          </w:tcPr>
          <w:p w:rsidR="00BB204D" w:rsidRPr="008F06E4" w:rsidRDefault="00BB204D" w:rsidP="004E3031">
            <w:pPr>
              <w:jc w:val="both"/>
              <w:rPr>
                <w:rFonts w:eastAsia="Calibri"/>
                <w:sz w:val="20"/>
              </w:rPr>
            </w:pPr>
          </w:p>
        </w:tc>
        <w:tc>
          <w:tcPr>
            <w:tcW w:w="2330" w:type="pct"/>
          </w:tcPr>
          <w:p w:rsidR="00BB204D" w:rsidRPr="008F06E4" w:rsidRDefault="00BB204D" w:rsidP="004E3031">
            <w:pPr>
              <w:jc w:val="both"/>
              <w:rPr>
                <w:rFonts w:eastAsia="Calibri"/>
                <w:sz w:val="20"/>
              </w:rPr>
            </w:pPr>
            <w:r w:rsidRPr="008F06E4">
              <w:rPr>
                <w:rFonts w:eastAsia="Calibri"/>
                <w:sz w:val="20"/>
              </w:rPr>
              <w:t>Respondent’s motion to dismiss applicant’s motion in evocation of arbitration award dismissed</w:t>
            </w:r>
          </w:p>
          <w:p w:rsidR="00BB204D" w:rsidRPr="008F06E4" w:rsidRDefault="00BB204D" w:rsidP="004E3031">
            <w:pPr>
              <w:jc w:val="both"/>
              <w:rPr>
                <w:rFonts w:eastAsia="Calibri"/>
                <w:sz w:val="20"/>
              </w:rPr>
            </w:pPr>
          </w:p>
        </w:tc>
      </w:tr>
      <w:tr w:rsidR="00BB204D" w:rsidRPr="008F06E4" w:rsidTr="004E3031">
        <w:tc>
          <w:tcPr>
            <w:tcW w:w="2427" w:type="pct"/>
          </w:tcPr>
          <w:p w:rsidR="00BB204D" w:rsidRPr="008F06E4" w:rsidRDefault="00BB204D" w:rsidP="004E3031">
            <w:pPr>
              <w:jc w:val="both"/>
              <w:rPr>
                <w:rFonts w:eastAsia="Calibri"/>
                <w:sz w:val="20"/>
              </w:rPr>
            </w:pPr>
            <w:r w:rsidRPr="008F06E4">
              <w:rPr>
                <w:rFonts w:eastAsia="Calibri"/>
                <w:sz w:val="20"/>
              </w:rPr>
              <w:t>January 27, 2011</w:t>
            </w:r>
          </w:p>
          <w:p w:rsidR="00BB204D" w:rsidRPr="008F06E4" w:rsidRDefault="00BB204D" w:rsidP="004E3031">
            <w:pPr>
              <w:jc w:val="both"/>
              <w:rPr>
                <w:rFonts w:eastAsia="Calibri"/>
                <w:sz w:val="20"/>
              </w:rPr>
            </w:pPr>
            <w:r w:rsidRPr="008F06E4">
              <w:rPr>
                <w:rFonts w:eastAsia="Calibri"/>
                <w:sz w:val="20"/>
              </w:rPr>
              <w:t>Quebec Court of Appeal (Montréal)</w:t>
            </w:r>
          </w:p>
          <w:p w:rsidR="00BB204D" w:rsidRPr="008F06E4" w:rsidRDefault="00BB204D" w:rsidP="004E3031">
            <w:pPr>
              <w:jc w:val="both"/>
              <w:rPr>
                <w:rFonts w:eastAsia="Calibri"/>
                <w:sz w:val="20"/>
              </w:rPr>
            </w:pPr>
            <w:r w:rsidRPr="008F06E4">
              <w:rPr>
                <w:rFonts w:eastAsia="Calibri"/>
                <w:sz w:val="20"/>
              </w:rPr>
              <w:t>(Pelletier, Dalphond and Morissette JJ.A.)</w:t>
            </w:r>
          </w:p>
          <w:p w:rsidR="00BB204D" w:rsidRPr="008F06E4" w:rsidRDefault="00BB204D" w:rsidP="004E3031">
            <w:pPr>
              <w:jc w:val="both"/>
              <w:rPr>
                <w:rFonts w:eastAsia="Calibri"/>
                <w:sz w:val="20"/>
              </w:rPr>
            </w:pPr>
            <w:r w:rsidRPr="008F06E4">
              <w:rPr>
                <w:rFonts w:eastAsia="Calibri"/>
                <w:sz w:val="20"/>
              </w:rPr>
              <w:t>Neutral citation: 2011 QCCA 133</w:t>
            </w:r>
          </w:p>
          <w:p w:rsidR="00BB204D" w:rsidRPr="008F06E4" w:rsidRDefault="00BB204D" w:rsidP="004E3031">
            <w:pPr>
              <w:jc w:val="both"/>
              <w:rPr>
                <w:rFonts w:eastAsia="Calibri"/>
                <w:sz w:val="20"/>
              </w:rPr>
            </w:pPr>
          </w:p>
        </w:tc>
        <w:tc>
          <w:tcPr>
            <w:tcW w:w="243" w:type="pct"/>
          </w:tcPr>
          <w:p w:rsidR="00BB204D" w:rsidRPr="008F06E4" w:rsidRDefault="00BB204D" w:rsidP="004E3031">
            <w:pPr>
              <w:jc w:val="both"/>
              <w:rPr>
                <w:rFonts w:eastAsia="Calibri"/>
                <w:sz w:val="20"/>
              </w:rPr>
            </w:pPr>
          </w:p>
        </w:tc>
        <w:tc>
          <w:tcPr>
            <w:tcW w:w="2330" w:type="pct"/>
          </w:tcPr>
          <w:p w:rsidR="00BB204D" w:rsidRPr="008F06E4" w:rsidRDefault="00BB204D" w:rsidP="004E3031">
            <w:pPr>
              <w:jc w:val="both"/>
              <w:rPr>
                <w:rFonts w:eastAsia="Calibri"/>
                <w:sz w:val="20"/>
              </w:rPr>
            </w:pPr>
            <w:r w:rsidRPr="008F06E4">
              <w:rPr>
                <w:rFonts w:eastAsia="Calibri"/>
                <w:sz w:val="20"/>
              </w:rPr>
              <w:t>Procedure in Superior Court maintained, but as action in nullity, without possibility of judicial review</w:t>
            </w:r>
          </w:p>
        </w:tc>
      </w:tr>
      <w:tr w:rsidR="00BB204D" w:rsidRPr="008F06E4" w:rsidTr="004E3031">
        <w:tc>
          <w:tcPr>
            <w:tcW w:w="2427" w:type="pct"/>
          </w:tcPr>
          <w:p w:rsidR="00BB204D" w:rsidRPr="008F06E4" w:rsidRDefault="00BB204D" w:rsidP="004E3031">
            <w:pPr>
              <w:jc w:val="both"/>
              <w:rPr>
                <w:rFonts w:eastAsia="Calibri"/>
                <w:sz w:val="20"/>
              </w:rPr>
            </w:pPr>
            <w:r w:rsidRPr="008F06E4">
              <w:rPr>
                <w:rFonts w:eastAsia="Calibri"/>
                <w:sz w:val="20"/>
              </w:rPr>
              <w:t>March 14, 2011</w:t>
            </w:r>
          </w:p>
          <w:p w:rsidR="00BB204D" w:rsidRPr="008F06E4" w:rsidRDefault="00BB204D" w:rsidP="004E3031">
            <w:pPr>
              <w:jc w:val="both"/>
              <w:rPr>
                <w:rFonts w:eastAsia="Calibri"/>
                <w:sz w:val="20"/>
              </w:rPr>
            </w:pPr>
            <w:r w:rsidRPr="008F06E4">
              <w:rPr>
                <w:rFonts w:eastAsia="Calibri"/>
                <w:sz w:val="20"/>
              </w:rPr>
              <w:t>Supreme Court of Canada</w:t>
            </w:r>
          </w:p>
        </w:tc>
        <w:tc>
          <w:tcPr>
            <w:tcW w:w="243" w:type="pct"/>
          </w:tcPr>
          <w:p w:rsidR="00BB204D" w:rsidRPr="008F06E4" w:rsidRDefault="00BB204D" w:rsidP="004E3031">
            <w:pPr>
              <w:jc w:val="both"/>
              <w:rPr>
                <w:rFonts w:eastAsia="Calibri"/>
                <w:sz w:val="20"/>
              </w:rPr>
            </w:pPr>
          </w:p>
        </w:tc>
        <w:tc>
          <w:tcPr>
            <w:tcW w:w="2330" w:type="pct"/>
          </w:tcPr>
          <w:p w:rsidR="00BB204D" w:rsidRPr="008F06E4" w:rsidRDefault="00BB204D" w:rsidP="004E3031">
            <w:pPr>
              <w:jc w:val="both"/>
              <w:rPr>
                <w:rFonts w:eastAsia="Calibri"/>
                <w:sz w:val="20"/>
              </w:rPr>
            </w:pPr>
            <w:r w:rsidRPr="008F06E4">
              <w:rPr>
                <w:rFonts w:eastAsia="Calibri"/>
                <w:sz w:val="20"/>
              </w:rPr>
              <w:t>Application for leave to appeal filed</w:t>
            </w:r>
          </w:p>
          <w:p w:rsidR="00BB204D" w:rsidRPr="008F06E4" w:rsidRDefault="00BB204D" w:rsidP="004E3031">
            <w:pPr>
              <w:jc w:val="both"/>
              <w:rPr>
                <w:rFonts w:eastAsia="Calibri"/>
                <w:sz w:val="20"/>
              </w:rPr>
            </w:pPr>
          </w:p>
        </w:tc>
      </w:tr>
    </w:tbl>
    <w:p w:rsidR="00A22E16" w:rsidRDefault="00A22E16" w:rsidP="00A22E16">
      <w:pPr>
        <w:rPr>
          <w:sz w:val="20"/>
          <w:szCs w:val="20"/>
        </w:rPr>
      </w:pPr>
    </w:p>
    <w:p w:rsidR="00A22E16" w:rsidRDefault="004D20D2" w:rsidP="00A22E16">
      <w:pPr>
        <w:rPr>
          <w:sz w:val="20"/>
          <w:szCs w:val="20"/>
        </w:rPr>
      </w:pPr>
      <w:r w:rsidRPr="004D20D2">
        <w:rPr>
          <w:sz w:val="20"/>
          <w:szCs w:val="20"/>
          <w:lang w:val="fr-CA"/>
        </w:rPr>
        <w:pict>
          <v:rect id="_x0000_i1043" style="width:2in;height:1pt" o:hrpct="0" o:hralign="center" o:hrstd="t" o:hrnoshade="t" o:hr="t" fillcolor="black [3213]" stroked="f"/>
        </w:pict>
      </w:r>
    </w:p>
    <w:p w:rsidR="00A22E16" w:rsidRDefault="00A22E16" w:rsidP="00A22E16">
      <w:pPr>
        <w:rPr>
          <w:sz w:val="20"/>
          <w:szCs w:val="20"/>
        </w:rPr>
      </w:pPr>
    </w:p>
    <w:p w:rsidR="00A22E16" w:rsidRPr="00A22E16" w:rsidRDefault="00A22E16" w:rsidP="00A22E16">
      <w:pPr>
        <w:rPr>
          <w:sz w:val="20"/>
          <w:szCs w:val="20"/>
        </w:rPr>
      </w:pPr>
      <w:r>
        <w:rPr>
          <w:sz w:val="20"/>
          <w:szCs w:val="20"/>
          <w:u w:val="single"/>
        </w:rPr>
        <w:t>RÉSUMÉ DE L’AFFAIRE</w:t>
      </w:r>
    </w:p>
    <w:p w:rsidR="00A22E16" w:rsidRDefault="00A22E16" w:rsidP="00A22E16">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BB204D" w:rsidRPr="00291AC9" w:rsidTr="004E3031">
        <w:tc>
          <w:tcPr>
            <w:tcW w:w="5000" w:type="pct"/>
            <w:gridSpan w:val="3"/>
          </w:tcPr>
          <w:p w:rsidR="00BB204D" w:rsidRPr="008F06E4" w:rsidRDefault="00BB204D" w:rsidP="004E3031">
            <w:pPr>
              <w:jc w:val="both"/>
              <w:rPr>
                <w:rFonts w:eastAsia="Calibri"/>
                <w:sz w:val="20"/>
                <w:lang w:val="fr-CA"/>
              </w:rPr>
            </w:pPr>
            <w:r w:rsidRPr="008F06E4">
              <w:rPr>
                <w:rFonts w:eastAsia="Calibri"/>
                <w:sz w:val="20"/>
                <w:lang w:val="fr-CA"/>
              </w:rPr>
              <w:t xml:space="preserve">Droit administratif — Droit civil — Arbitrage — Honoraires d’avocats </w:t>
            </w:r>
            <w:r w:rsidRPr="008F06E4">
              <w:rPr>
                <w:rFonts w:eastAsia="Calibri"/>
                <w:sz w:val="20"/>
                <w:lang w:val="fr-CA"/>
              </w:rPr>
              <w:noBreakHyphen/>
              <w:t xml:space="preserve"> Solde du compte d’un avocat ramené à zéro par un conseil d’arbitrage désigné par l’ordre professionnel — Demande de révision judiciaire fondée sur une allégation d’abus de compétence </w:t>
            </w:r>
            <w:r w:rsidRPr="008F06E4">
              <w:rPr>
                <w:rFonts w:eastAsia="Calibri"/>
                <w:sz w:val="20"/>
                <w:lang w:val="fr-CA"/>
              </w:rPr>
              <w:noBreakHyphen/>
              <w:t xml:space="preserve"> Les décisions du Conseil d’arbitrage des comptes des avocats du Barreau du Québec sont</w:t>
            </w:r>
            <w:r w:rsidRPr="008F06E4">
              <w:rPr>
                <w:rFonts w:eastAsia="Calibri"/>
                <w:sz w:val="20"/>
                <w:lang w:val="fr-CA"/>
              </w:rPr>
              <w:noBreakHyphen/>
              <w:t xml:space="preserve">elles assujetties au pouvoir de contrôle et de surveillance de la Cour supérieure? — </w:t>
            </w:r>
            <w:r w:rsidRPr="008F06E4">
              <w:rPr>
                <w:rFonts w:eastAsia="Calibri"/>
                <w:i/>
                <w:sz w:val="20"/>
                <w:lang w:val="fr-CA"/>
              </w:rPr>
              <w:t>Code des professions</w:t>
            </w:r>
            <w:r w:rsidRPr="008F06E4">
              <w:rPr>
                <w:rFonts w:eastAsia="Calibri"/>
                <w:sz w:val="20"/>
                <w:lang w:val="fr-CA"/>
              </w:rPr>
              <w:t>, L.R.Q. ch. C</w:t>
            </w:r>
            <w:r w:rsidRPr="008F06E4">
              <w:rPr>
                <w:rFonts w:eastAsia="Calibri"/>
                <w:sz w:val="20"/>
                <w:lang w:val="fr-CA"/>
              </w:rPr>
              <w:noBreakHyphen/>
              <w:t xml:space="preserve">26, art. 88 — </w:t>
            </w:r>
            <w:r w:rsidRPr="008F06E4">
              <w:rPr>
                <w:rFonts w:eastAsia="Calibri"/>
                <w:i/>
                <w:sz w:val="20"/>
                <w:lang w:val="fr-CA"/>
              </w:rPr>
              <w:t>Règlement sur la procédure de conciliation et d’arbitrage des comptes des avocats</w:t>
            </w:r>
            <w:r w:rsidRPr="008F06E4">
              <w:rPr>
                <w:rFonts w:eastAsia="Calibri"/>
                <w:sz w:val="20"/>
                <w:lang w:val="fr-CA"/>
              </w:rPr>
              <w:t>, R.R.Q. ch. B</w:t>
            </w:r>
            <w:r w:rsidRPr="008F06E4">
              <w:rPr>
                <w:rFonts w:eastAsia="Calibri"/>
                <w:sz w:val="20"/>
                <w:lang w:val="fr-CA"/>
              </w:rPr>
              <w:noBreakHyphen/>
              <w:t xml:space="preserve">1, r. 17, art. 31 — </w:t>
            </w:r>
            <w:r w:rsidRPr="008F06E4">
              <w:rPr>
                <w:rFonts w:eastAsia="Calibri"/>
                <w:i/>
                <w:sz w:val="20"/>
                <w:lang w:val="fr-CA"/>
              </w:rPr>
              <w:t>Code civil du Québec</w:t>
            </w:r>
            <w:r w:rsidRPr="008F06E4">
              <w:rPr>
                <w:rFonts w:eastAsia="Calibri"/>
                <w:sz w:val="20"/>
                <w:lang w:val="fr-CA"/>
              </w:rPr>
              <w:t xml:space="preserve">, L.Q. 1991, ch. 64, art. 1379, 2640 — </w:t>
            </w:r>
            <w:r w:rsidRPr="008F06E4">
              <w:rPr>
                <w:rFonts w:eastAsia="Calibri"/>
                <w:i/>
                <w:sz w:val="20"/>
                <w:lang w:val="fr-CA"/>
              </w:rPr>
              <w:t>Code de procédure civile</w:t>
            </w:r>
            <w:r w:rsidRPr="008F06E4">
              <w:rPr>
                <w:rFonts w:eastAsia="Calibri"/>
                <w:sz w:val="20"/>
                <w:lang w:val="fr-CA"/>
              </w:rPr>
              <w:t>, L.R.Q. ch. C</w:t>
            </w:r>
            <w:r w:rsidRPr="008F06E4">
              <w:rPr>
                <w:rFonts w:eastAsia="Calibri"/>
                <w:sz w:val="20"/>
                <w:lang w:val="fr-CA"/>
              </w:rPr>
              <w:noBreakHyphen/>
              <w:t xml:space="preserve">25, art. 846, 946 à 946.6 — Application de </w:t>
            </w:r>
            <w:r w:rsidRPr="008F06E4">
              <w:rPr>
                <w:rFonts w:eastAsia="Calibri"/>
                <w:i/>
                <w:sz w:val="20"/>
                <w:lang w:val="fr-CA"/>
              </w:rPr>
              <w:t>Desputeaux c. Éditions Chouette</w:t>
            </w:r>
            <w:r w:rsidRPr="008F06E4">
              <w:rPr>
                <w:rFonts w:eastAsia="Calibri"/>
                <w:sz w:val="20"/>
                <w:lang w:val="fr-CA"/>
              </w:rPr>
              <w:t>, [2003] 1 R.C.S. 178.</w:t>
            </w:r>
          </w:p>
          <w:p w:rsidR="00BB204D" w:rsidRPr="008F06E4" w:rsidRDefault="00BB204D" w:rsidP="004E3031">
            <w:pPr>
              <w:jc w:val="both"/>
              <w:rPr>
                <w:rFonts w:eastAsia="Calibri"/>
                <w:sz w:val="20"/>
                <w:lang w:val="fr-FR"/>
              </w:rPr>
            </w:pPr>
          </w:p>
        </w:tc>
      </w:tr>
      <w:tr w:rsidR="00BB204D" w:rsidRPr="00291AC9" w:rsidTr="004E3031">
        <w:tc>
          <w:tcPr>
            <w:tcW w:w="5000" w:type="pct"/>
            <w:gridSpan w:val="3"/>
          </w:tcPr>
          <w:p w:rsidR="00BB204D" w:rsidRPr="008F06E4" w:rsidRDefault="00BB204D" w:rsidP="004E3031">
            <w:pPr>
              <w:jc w:val="both"/>
              <w:rPr>
                <w:rFonts w:eastAsia="Calibri"/>
                <w:sz w:val="20"/>
                <w:lang w:val="fr-CA"/>
              </w:rPr>
            </w:pPr>
            <w:r w:rsidRPr="008F06E4">
              <w:rPr>
                <w:rFonts w:eastAsia="Calibri"/>
                <w:sz w:val="20"/>
                <w:lang w:val="fr-CA"/>
              </w:rPr>
              <w:t>Le 22 février 2010, le Conseil d’arbitrage des comptes des avocats réduit à zéro le solde d’un compte d’honoraires de Me Jacques Marquis, au montant de 78 745 $.  Le Conseil constate que la somme déjà payée par le client en vertu du tarif horaire est très élevée pour une cause simple; il exclut donc le supplément en pourcentage prévu.</w:t>
            </w:r>
          </w:p>
          <w:p w:rsidR="00BB204D" w:rsidRPr="008F06E4" w:rsidRDefault="00BB204D" w:rsidP="004E3031">
            <w:pPr>
              <w:jc w:val="both"/>
              <w:rPr>
                <w:rFonts w:eastAsia="Calibri"/>
                <w:sz w:val="20"/>
                <w:lang w:val="fr-CA"/>
              </w:rPr>
            </w:pPr>
          </w:p>
          <w:p w:rsidR="00BB204D" w:rsidRPr="008F06E4" w:rsidRDefault="00BB204D" w:rsidP="004E3031">
            <w:pPr>
              <w:jc w:val="both"/>
              <w:rPr>
                <w:rFonts w:eastAsia="Calibri"/>
                <w:sz w:val="20"/>
                <w:lang w:val="fr-CA"/>
              </w:rPr>
            </w:pPr>
            <w:r w:rsidRPr="008F06E4">
              <w:rPr>
                <w:rFonts w:eastAsia="Calibri"/>
                <w:sz w:val="20"/>
                <w:lang w:val="fr-CA"/>
              </w:rPr>
              <w:t>Me Marquis dépose une requête en évocation.  Il plaide que le Conseil d’arbitrage n’avait pas compétence pour annuler, en partie, la convention d’honoraires.  Le Conseil lui objecte que la sentence arbitrale survenue est une décision privée et demande le rejet de la requête.</w:t>
            </w:r>
          </w:p>
          <w:p w:rsidR="00BB204D" w:rsidRPr="008F06E4" w:rsidRDefault="00BB204D" w:rsidP="004E3031">
            <w:pPr>
              <w:jc w:val="both"/>
              <w:rPr>
                <w:rFonts w:eastAsia="Calibri"/>
                <w:sz w:val="20"/>
                <w:lang w:val="fr-CA"/>
              </w:rPr>
            </w:pPr>
          </w:p>
        </w:tc>
      </w:tr>
      <w:tr w:rsidR="00BB204D" w:rsidRPr="00291AC9" w:rsidTr="004E3031">
        <w:tc>
          <w:tcPr>
            <w:tcW w:w="2427" w:type="pct"/>
          </w:tcPr>
          <w:p w:rsidR="00BB204D" w:rsidRPr="008F06E4" w:rsidRDefault="00BB204D" w:rsidP="004E3031">
            <w:pPr>
              <w:jc w:val="both"/>
              <w:rPr>
                <w:rFonts w:eastAsia="Calibri"/>
                <w:sz w:val="20"/>
                <w:lang w:val="fr-CA"/>
              </w:rPr>
            </w:pPr>
            <w:r w:rsidRPr="008F06E4">
              <w:rPr>
                <w:rFonts w:eastAsia="Calibri"/>
                <w:sz w:val="20"/>
                <w:lang w:val="fr-CA"/>
              </w:rPr>
              <w:t>Le 28 mai 2010</w:t>
            </w:r>
          </w:p>
          <w:p w:rsidR="00BB204D" w:rsidRPr="008F06E4" w:rsidRDefault="00BB204D" w:rsidP="004E3031">
            <w:pPr>
              <w:jc w:val="both"/>
              <w:rPr>
                <w:rFonts w:eastAsia="Calibri"/>
                <w:sz w:val="20"/>
                <w:lang w:val="fr-CA"/>
              </w:rPr>
            </w:pPr>
            <w:r w:rsidRPr="008F06E4">
              <w:rPr>
                <w:rFonts w:eastAsia="Calibri"/>
                <w:sz w:val="20"/>
                <w:lang w:val="fr-CA"/>
              </w:rPr>
              <w:t>Cour supérieure du Québec</w:t>
            </w:r>
          </w:p>
          <w:p w:rsidR="00BB204D" w:rsidRPr="008F06E4" w:rsidRDefault="00BB204D" w:rsidP="004E3031">
            <w:pPr>
              <w:jc w:val="both"/>
              <w:rPr>
                <w:rFonts w:eastAsia="Calibri"/>
                <w:sz w:val="20"/>
                <w:lang w:val="fr-CA"/>
              </w:rPr>
            </w:pPr>
            <w:r w:rsidRPr="008F06E4">
              <w:rPr>
                <w:rFonts w:eastAsia="Calibri"/>
                <w:sz w:val="20"/>
                <w:lang w:val="fr-CA"/>
              </w:rPr>
              <w:t>(La juge Hallée)</w:t>
            </w:r>
          </w:p>
          <w:p w:rsidR="00BB204D" w:rsidRPr="008F06E4" w:rsidRDefault="00BB204D" w:rsidP="004E3031">
            <w:pPr>
              <w:jc w:val="both"/>
              <w:rPr>
                <w:rFonts w:eastAsia="Calibri"/>
                <w:sz w:val="20"/>
              </w:rPr>
            </w:pPr>
          </w:p>
        </w:tc>
        <w:tc>
          <w:tcPr>
            <w:tcW w:w="243" w:type="pct"/>
          </w:tcPr>
          <w:p w:rsidR="00BB204D" w:rsidRPr="008F06E4" w:rsidRDefault="00BB204D" w:rsidP="004E3031">
            <w:pPr>
              <w:jc w:val="both"/>
              <w:rPr>
                <w:rFonts w:eastAsia="Calibri"/>
                <w:sz w:val="20"/>
              </w:rPr>
            </w:pPr>
          </w:p>
        </w:tc>
        <w:tc>
          <w:tcPr>
            <w:tcW w:w="2330" w:type="pct"/>
          </w:tcPr>
          <w:p w:rsidR="00BB204D" w:rsidRPr="008F06E4" w:rsidRDefault="00BB204D" w:rsidP="004E3031">
            <w:pPr>
              <w:jc w:val="both"/>
              <w:rPr>
                <w:rFonts w:eastAsia="Calibri"/>
                <w:sz w:val="20"/>
                <w:lang w:val="fr-CA"/>
              </w:rPr>
            </w:pPr>
            <w:r w:rsidRPr="008F06E4">
              <w:rPr>
                <w:rFonts w:eastAsia="Calibri"/>
                <w:sz w:val="20"/>
                <w:lang w:val="fr-CA"/>
              </w:rPr>
              <w:t>Rejet de la requête de l’intimé en rejet d’une requête du demandeur en évocation de la sentence arbitrale.</w:t>
            </w:r>
          </w:p>
          <w:p w:rsidR="00BB204D" w:rsidRPr="008F06E4" w:rsidRDefault="00BB204D" w:rsidP="004E3031">
            <w:pPr>
              <w:jc w:val="both"/>
              <w:rPr>
                <w:rFonts w:eastAsia="Calibri"/>
                <w:sz w:val="20"/>
                <w:lang w:val="fr-CA"/>
              </w:rPr>
            </w:pPr>
          </w:p>
        </w:tc>
      </w:tr>
      <w:tr w:rsidR="00BB204D" w:rsidRPr="00291AC9" w:rsidTr="004E3031">
        <w:tc>
          <w:tcPr>
            <w:tcW w:w="2427" w:type="pct"/>
          </w:tcPr>
          <w:p w:rsidR="00BB204D" w:rsidRPr="008F06E4" w:rsidRDefault="00BB204D" w:rsidP="004E3031">
            <w:pPr>
              <w:jc w:val="both"/>
              <w:rPr>
                <w:rFonts w:eastAsia="Calibri"/>
                <w:sz w:val="20"/>
                <w:lang w:val="fr-CA"/>
              </w:rPr>
            </w:pPr>
            <w:r w:rsidRPr="008F06E4">
              <w:rPr>
                <w:rFonts w:eastAsia="Calibri"/>
                <w:sz w:val="20"/>
                <w:lang w:val="fr-CA"/>
              </w:rPr>
              <w:t>Le 27 janvier 2011</w:t>
            </w:r>
          </w:p>
          <w:p w:rsidR="00BB204D" w:rsidRPr="008F06E4" w:rsidRDefault="00BB204D" w:rsidP="004E3031">
            <w:pPr>
              <w:jc w:val="both"/>
              <w:rPr>
                <w:rFonts w:eastAsia="Calibri"/>
                <w:sz w:val="20"/>
                <w:lang w:val="fr-CA"/>
              </w:rPr>
            </w:pPr>
            <w:r w:rsidRPr="008F06E4">
              <w:rPr>
                <w:rFonts w:eastAsia="Calibri"/>
                <w:sz w:val="20"/>
                <w:lang w:val="fr-CA"/>
              </w:rPr>
              <w:t>Cour d’appel du Québec (Montréal)</w:t>
            </w:r>
          </w:p>
          <w:p w:rsidR="00BB204D" w:rsidRPr="008F06E4" w:rsidRDefault="00BB204D" w:rsidP="004E3031">
            <w:pPr>
              <w:jc w:val="both"/>
              <w:rPr>
                <w:rFonts w:eastAsia="Calibri"/>
                <w:sz w:val="20"/>
                <w:lang w:val="fr-CA"/>
              </w:rPr>
            </w:pPr>
            <w:r w:rsidRPr="008F06E4">
              <w:rPr>
                <w:rFonts w:eastAsia="Calibri"/>
                <w:sz w:val="20"/>
                <w:lang w:val="fr-CA"/>
              </w:rPr>
              <w:t>(Les juges Pelletier, Dalphond  et Morissette)</w:t>
            </w:r>
          </w:p>
          <w:p w:rsidR="00BB204D" w:rsidRPr="008F06E4" w:rsidRDefault="00BB204D" w:rsidP="004E3031">
            <w:pPr>
              <w:jc w:val="both"/>
              <w:rPr>
                <w:rFonts w:eastAsia="Calibri"/>
                <w:sz w:val="20"/>
                <w:lang w:val="fr-CA"/>
              </w:rPr>
            </w:pPr>
            <w:r w:rsidRPr="008F06E4">
              <w:rPr>
                <w:rFonts w:eastAsia="Calibri"/>
                <w:sz w:val="20"/>
                <w:lang w:val="fr-CA"/>
              </w:rPr>
              <w:t>Référence neutre : 2011 QCCA 133</w:t>
            </w:r>
          </w:p>
          <w:p w:rsidR="00BB204D" w:rsidRPr="008F06E4" w:rsidRDefault="00BB204D" w:rsidP="004E3031">
            <w:pPr>
              <w:jc w:val="both"/>
              <w:rPr>
                <w:rFonts w:eastAsia="Calibri"/>
                <w:sz w:val="20"/>
                <w:lang w:val="fr-FR"/>
              </w:rPr>
            </w:pPr>
          </w:p>
        </w:tc>
        <w:tc>
          <w:tcPr>
            <w:tcW w:w="243" w:type="pct"/>
          </w:tcPr>
          <w:p w:rsidR="00BB204D" w:rsidRPr="008F06E4" w:rsidRDefault="00BB204D" w:rsidP="004E3031">
            <w:pPr>
              <w:jc w:val="both"/>
              <w:rPr>
                <w:rFonts w:eastAsia="Calibri"/>
                <w:sz w:val="20"/>
                <w:lang w:val="fr-FR"/>
              </w:rPr>
            </w:pPr>
          </w:p>
        </w:tc>
        <w:tc>
          <w:tcPr>
            <w:tcW w:w="2330" w:type="pct"/>
          </w:tcPr>
          <w:p w:rsidR="00BB204D" w:rsidRPr="008F06E4" w:rsidRDefault="00BB204D" w:rsidP="004E3031">
            <w:pPr>
              <w:jc w:val="both"/>
              <w:rPr>
                <w:rFonts w:eastAsia="Calibri"/>
                <w:sz w:val="20"/>
                <w:lang w:val="fr-CA"/>
              </w:rPr>
            </w:pPr>
            <w:r w:rsidRPr="008F06E4">
              <w:rPr>
                <w:rFonts w:eastAsia="Calibri"/>
                <w:sz w:val="20"/>
                <w:lang w:val="fr-CA"/>
              </w:rPr>
              <w:t>Maintien de la procédure devant la Cour supérieure mais en termes d’action en nullité, sans possibilité de contrôle judiciaire.</w:t>
            </w:r>
          </w:p>
        </w:tc>
      </w:tr>
      <w:tr w:rsidR="00BB204D" w:rsidRPr="00291AC9" w:rsidTr="004E3031">
        <w:tc>
          <w:tcPr>
            <w:tcW w:w="2427" w:type="pct"/>
          </w:tcPr>
          <w:p w:rsidR="00BB204D" w:rsidRPr="008F06E4" w:rsidRDefault="00BB204D" w:rsidP="004E3031">
            <w:pPr>
              <w:jc w:val="both"/>
              <w:rPr>
                <w:rFonts w:eastAsia="Calibri"/>
                <w:sz w:val="20"/>
                <w:lang w:val="fr-CA"/>
              </w:rPr>
            </w:pPr>
            <w:r w:rsidRPr="008F06E4">
              <w:rPr>
                <w:rFonts w:eastAsia="Calibri"/>
                <w:sz w:val="20"/>
                <w:lang w:val="fr-CA"/>
              </w:rPr>
              <w:t>Le 14 mars 2011</w:t>
            </w:r>
          </w:p>
          <w:p w:rsidR="00BB204D" w:rsidRPr="008F06E4" w:rsidRDefault="00BB204D" w:rsidP="004E3031">
            <w:pPr>
              <w:jc w:val="both"/>
              <w:rPr>
                <w:rFonts w:eastAsia="Calibri"/>
                <w:sz w:val="20"/>
                <w:lang w:val="fr-FR"/>
              </w:rPr>
            </w:pPr>
            <w:r w:rsidRPr="008F06E4">
              <w:rPr>
                <w:rFonts w:eastAsia="Calibri"/>
                <w:sz w:val="20"/>
                <w:lang w:val="fr-CA"/>
              </w:rPr>
              <w:t>Cour suprême du Canada</w:t>
            </w:r>
          </w:p>
        </w:tc>
        <w:tc>
          <w:tcPr>
            <w:tcW w:w="243" w:type="pct"/>
          </w:tcPr>
          <w:p w:rsidR="00BB204D" w:rsidRPr="008F06E4" w:rsidRDefault="00BB204D" w:rsidP="004E3031">
            <w:pPr>
              <w:jc w:val="both"/>
              <w:rPr>
                <w:rFonts w:eastAsia="Calibri"/>
                <w:sz w:val="20"/>
                <w:lang w:val="fr-FR"/>
              </w:rPr>
            </w:pPr>
          </w:p>
        </w:tc>
        <w:tc>
          <w:tcPr>
            <w:tcW w:w="2330" w:type="pct"/>
          </w:tcPr>
          <w:p w:rsidR="00BB204D" w:rsidRPr="008F06E4" w:rsidRDefault="00BB204D" w:rsidP="004E3031">
            <w:pPr>
              <w:jc w:val="both"/>
              <w:rPr>
                <w:rFonts w:eastAsia="Calibri"/>
                <w:sz w:val="20"/>
                <w:lang w:val="fr-CA"/>
              </w:rPr>
            </w:pPr>
            <w:r w:rsidRPr="008F06E4">
              <w:rPr>
                <w:rFonts w:eastAsia="Calibri"/>
                <w:sz w:val="20"/>
                <w:lang w:val="fr-CA"/>
              </w:rPr>
              <w:t>Dépôt de la demande d’autorisation d’appel.</w:t>
            </w:r>
          </w:p>
          <w:p w:rsidR="00BB204D" w:rsidRPr="008F06E4" w:rsidRDefault="00BB204D" w:rsidP="004E3031">
            <w:pPr>
              <w:jc w:val="both"/>
              <w:rPr>
                <w:rFonts w:eastAsia="Calibri"/>
                <w:sz w:val="20"/>
                <w:lang w:val="fr-CA"/>
              </w:rPr>
            </w:pPr>
          </w:p>
        </w:tc>
      </w:tr>
    </w:tbl>
    <w:p w:rsidR="00A22E16" w:rsidRPr="00BB204D" w:rsidRDefault="00A22E16" w:rsidP="00A22E16">
      <w:pPr>
        <w:rPr>
          <w:sz w:val="20"/>
          <w:szCs w:val="20"/>
          <w:lang w:val="fr-CA"/>
        </w:rPr>
      </w:pPr>
    </w:p>
    <w:p w:rsidR="00A22E16" w:rsidRDefault="004D20D2" w:rsidP="00A22E16">
      <w:pPr>
        <w:rPr>
          <w:sz w:val="20"/>
          <w:szCs w:val="20"/>
        </w:rPr>
      </w:pPr>
      <w:r w:rsidRPr="004D20D2">
        <w:rPr>
          <w:sz w:val="20"/>
          <w:szCs w:val="20"/>
          <w:lang w:val="fr-CA"/>
        </w:rPr>
        <w:pict>
          <v:rect id="_x0000_i1044" style="width:2in;height:1pt" o:hrpct="0" o:hralign="center" o:hrstd="t" o:hrnoshade="t" o:hr="t" fillcolor="black [3213]" stroked="f"/>
        </w:pict>
      </w:r>
    </w:p>
    <w:p w:rsidR="00A22E16" w:rsidRPr="00A22E16" w:rsidRDefault="00A22E16" w:rsidP="00A22E16">
      <w:pPr>
        <w:rPr>
          <w:sz w:val="20"/>
          <w:szCs w:val="20"/>
        </w:rPr>
      </w:pPr>
    </w:p>
    <w:p w:rsidR="00890FEB" w:rsidRPr="00C50A5C" w:rsidRDefault="00890FEB" w:rsidP="008D292F">
      <w:pPr>
        <w:rPr>
          <w:sz w:val="20"/>
          <w:szCs w:val="20"/>
          <w:lang w:val="fr-CA"/>
        </w:rPr>
      </w:pPr>
    </w:p>
    <w:p w:rsidR="00890FEB" w:rsidRPr="00C50A5C" w:rsidRDefault="00890FEB" w:rsidP="008D292F">
      <w:pPr>
        <w:rPr>
          <w:b/>
          <w:sz w:val="20"/>
          <w:szCs w:val="20"/>
          <w:lang w:val="fr-CA"/>
        </w:rPr>
        <w:sectPr w:rsidR="00890FEB" w:rsidRPr="00C50A5C" w:rsidSect="008D292F">
          <w:headerReference w:type="even" r:id="rId23"/>
          <w:headerReference w:type="default" r:id="rId24"/>
          <w:footerReference w:type="even" r:id="rId25"/>
          <w:footerReference w:type="default" r:id="rId26"/>
          <w:headerReference w:type="first" r:id="rId27"/>
          <w:footerReference w:type="first" r:id="rId28"/>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890FEB" w:rsidRPr="001D0D5F" w:rsidTr="00BA6468">
        <w:tc>
          <w:tcPr>
            <w:tcW w:w="4200" w:type="dxa"/>
            <w:shd w:val="clear" w:color="auto" w:fill="auto"/>
            <w:tcMar>
              <w:left w:w="0" w:type="dxa"/>
              <w:right w:w="0" w:type="dxa"/>
            </w:tcMar>
          </w:tcPr>
          <w:p w:rsidR="00890FEB" w:rsidRPr="001D0D5F" w:rsidRDefault="00890FEB" w:rsidP="00EB2B90">
            <w:pPr>
              <w:rPr>
                <w:b/>
                <w:szCs w:val="24"/>
              </w:rPr>
            </w:pPr>
            <w:r w:rsidRPr="001D0D5F">
              <w:rPr>
                <w:b/>
                <w:szCs w:val="24"/>
              </w:rPr>
              <w:lastRenderedPageBreak/>
              <w:t>JUDGMENT ON MOTION</w:t>
            </w:r>
          </w:p>
        </w:tc>
        <w:tc>
          <w:tcPr>
            <w:tcW w:w="1200" w:type="dxa"/>
            <w:shd w:val="clear" w:color="auto" w:fill="auto"/>
            <w:tcMar>
              <w:left w:w="0" w:type="dxa"/>
              <w:right w:w="0" w:type="dxa"/>
            </w:tcMar>
          </w:tcPr>
          <w:p w:rsidR="00890FEB" w:rsidRPr="001D0D5F" w:rsidRDefault="00890FEB" w:rsidP="00890FEB">
            <w:pPr>
              <w:jc w:val="center"/>
              <w:rPr>
                <w:b/>
                <w:szCs w:val="24"/>
              </w:rPr>
            </w:pPr>
          </w:p>
          <w:p w:rsidR="00890FEB" w:rsidRPr="001D0D5F" w:rsidRDefault="00890FEB" w:rsidP="00890FEB">
            <w:pPr>
              <w:jc w:val="center"/>
              <w:rPr>
                <w:b/>
                <w:szCs w:val="24"/>
              </w:rPr>
            </w:pPr>
          </w:p>
        </w:tc>
        <w:tc>
          <w:tcPr>
            <w:tcW w:w="4080" w:type="dxa"/>
            <w:shd w:val="clear" w:color="auto" w:fill="auto"/>
            <w:tcMar>
              <w:left w:w="0" w:type="dxa"/>
              <w:right w:w="0" w:type="dxa"/>
            </w:tcMar>
          </w:tcPr>
          <w:p w:rsidR="00890FEB" w:rsidRPr="001D0D5F" w:rsidRDefault="00890FEB" w:rsidP="00EB2B90">
            <w:pPr>
              <w:rPr>
                <w:b/>
                <w:szCs w:val="24"/>
                <w:lang w:val="fr-CA"/>
              </w:rPr>
            </w:pPr>
            <w:r w:rsidRPr="001D0D5F">
              <w:rPr>
                <w:b/>
                <w:szCs w:val="24"/>
                <w:lang w:val="fr-CA"/>
              </w:rPr>
              <w:t>JUGEMENT SUR REQUÊTE</w:t>
            </w:r>
          </w:p>
        </w:tc>
      </w:tr>
    </w:tbl>
    <w:p w:rsidR="00890FEB" w:rsidRPr="00C50A5C" w:rsidRDefault="00890FEB" w:rsidP="00890FEB">
      <w:pPr>
        <w:rPr>
          <w:sz w:val="20"/>
          <w:szCs w:val="20"/>
        </w:rPr>
      </w:pPr>
    </w:p>
    <w:p w:rsidR="00D64901" w:rsidRPr="00D64901" w:rsidRDefault="00FC2730" w:rsidP="00D64901">
      <w:pPr>
        <w:rPr>
          <w:sz w:val="20"/>
          <w:szCs w:val="20"/>
        </w:rPr>
      </w:pPr>
      <w:r>
        <w:rPr>
          <w:sz w:val="20"/>
          <w:szCs w:val="20"/>
        </w:rPr>
        <w:t>2</w:t>
      </w:r>
      <w:r w:rsidR="00D64901" w:rsidRPr="00D64901">
        <w:rPr>
          <w:sz w:val="20"/>
          <w:szCs w:val="20"/>
        </w:rPr>
        <w:t>8.</w:t>
      </w:r>
      <w:r>
        <w:rPr>
          <w:sz w:val="20"/>
          <w:szCs w:val="20"/>
        </w:rPr>
        <w:t>07</w:t>
      </w:r>
      <w:r w:rsidR="00D64901" w:rsidRPr="00D64901">
        <w:rPr>
          <w:sz w:val="20"/>
          <w:szCs w:val="20"/>
        </w:rPr>
        <w:t>.201</w:t>
      </w:r>
      <w:r>
        <w:rPr>
          <w:sz w:val="20"/>
          <w:szCs w:val="20"/>
        </w:rPr>
        <w:t>1</w:t>
      </w:r>
      <w:r w:rsidR="00D64901" w:rsidRPr="00D64901">
        <w:rPr>
          <w:sz w:val="20"/>
          <w:szCs w:val="20"/>
        </w:rPr>
        <w:t xml:space="preserve">  - 201</w:t>
      </w:r>
      <w:r>
        <w:rPr>
          <w:sz w:val="20"/>
          <w:szCs w:val="20"/>
        </w:rPr>
        <w:t>1</w:t>
      </w:r>
      <w:r w:rsidR="00D64901" w:rsidRPr="00D64901">
        <w:rPr>
          <w:sz w:val="20"/>
          <w:szCs w:val="20"/>
        </w:rPr>
        <w:t xml:space="preserve"> SCC 4</w:t>
      </w:r>
      <w:r>
        <w:rPr>
          <w:sz w:val="20"/>
          <w:szCs w:val="20"/>
        </w:rPr>
        <w:t>1</w:t>
      </w:r>
      <w:r w:rsidR="00D64901" w:rsidRPr="00D64901">
        <w:rPr>
          <w:sz w:val="20"/>
          <w:szCs w:val="20"/>
        </w:rPr>
        <w:t xml:space="preserve"> / 201</w:t>
      </w:r>
      <w:r>
        <w:rPr>
          <w:sz w:val="20"/>
          <w:szCs w:val="20"/>
        </w:rPr>
        <w:t>1</w:t>
      </w:r>
      <w:r w:rsidR="00D64901" w:rsidRPr="00D64901">
        <w:rPr>
          <w:sz w:val="20"/>
          <w:szCs w:val="20"/>
        </w:rPr>
        <w:t xml:space="preserve"> CSC 4</w:t>
      </w:r>
      <w:r>
        <w:rPr>
          <w:sz w:val="20"/>
          <w:szCs w:val="20"/>
        </w:rPr>
        <w:t>1</w:t>
      </w:r>
    </w:p>
    <w:p w:rsidR="00D64901" w:rsidRDefault="00D64901" w:rsidP="00D64901">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1"/>
        <w:gridCol w:w="467"/>
        <w:gridCol w:w="4687"/>
      </w:tblGrid>
      <w:tr w:rsidR="00D64901" w:rsidRPr="00AF4773" w:rsidTr="003367E5">
        <w:trPr>
          <w:cantSplit/>
        </w:trPr>
        <w:tc>
          <w:tcPr>
            <w:tcW w:w="4681" w:type="dxa"/>
          </w:tcPr>
          <w:p w:rsidR="00D64901" w:rsidRPr="00992FA8" w:rsidRDefault="00A5607E" w:rsidP="00992FA8">
            <w:pPr>
              <w:rPr>
                <w:b/>
                <w:sz w:val="20"/>
                <w:szCs w:val="20"/>
              </w:rPr>
            </w:pPr>
            <w:r w:rsidRPr="00992FA8">
              <w:rPr>
                <w:b/>
                <w:sz w:val="20"/>
                <w:szCs w:val="20"/>
              </w:rPr>
              <w:t>Misce</w:t>
            </w:r>
            <w:r w:rsidR="00992FA8" w:rsidRPr="00992FA8">
              <w:rPr>
                <w:b/>
                <w:sz w:val="20"/>
                <w:szCs w:val="20"/>
              </w:rPr>
              <w:t>l</w:t>
            </w:r>
            <w:r w:rsidRPr="00992FA8">
              <w:rPr>
                <w:b/>
                <w:sz w:val="20"/>
                <w:szCs w:val="20"/>
              </w:rPr>
              <w:t>lan</w:t>
            </w:r>
            <w:r w:rsidR="00992FA8" w:rsidRPr="00992FA8">
              <w:rPr>
                <w:b/>
                <w:sz w:val="20"/>
                <w:szCs w:val="20"/>
              </w:rPr>
              <w:t>eou</w:t>
            </w:r>
            <w:r w:rsidRPr="00992FA8">
              <w:rPr>
                <w:b/>
                <w:sz w:val="20"/>
                <w:szCs w:val="20"/>
              </w:rPr>
              <w:t>s m</w:t>
            </w:r>
            <w:r w:rsidR="00D64901" w:rsidRPr="00992FA8">
              <w:rPr>
                <w:b/>
                <w:sz w:val="20"/>
                <w:szCs w:val="20"/>
              </w:rPr>
              <w:t xml:space="preserve">otion </w:t>
            </w:r>
          </w:p>
        </w:tc>
        <w:tc>
          <w:tcPr>
            <w:tcW w:w="467" w:type="dxa"/>
          </w:tcPr>
          <w:p w:rsidR="00D64901" w:rsidRPr="00D67826" w:rsidRDefault="00D64901" w:rsidP="003367E5">
            <w:pPr>
              <w:rPr>
                <w:sz w:val="20"/>
                <w:szCs w:val="20"/>
                <w:lang w:val="fr-CA"/>
              </w:rPr>
            </w:pPr>
          </w:p>
          <w:p w:rsidR="00D64901" w:rsidRPr="00D67826" w:rsidRDefault="00D64901" w:rsidP="003367E5">
            <w:pPr>
              <w:rPr>
                <w:sz w:val="20"/>
                <w:szCs w:val="20"/>
                <w:lang w:val="fr-CA"/>
              </w:rPr>
            </w:pPr>
          </w:p>
        </w:tc>
        <w:tc>
          <w:tcPr>
            <w:tcW w:w="4687" w:type="dxa"/>
          </w:tcPr>
          <w:p w:rsidR="00D64901" w:rsidRPr="00C73EE6" w:rsidRDefault="00D64901" w:rsidP="00992FA8">
            <w:pPr>
              <w:rPr>
                <w:b/>
                <w:sz w:val="20"/>
                <w:szCs w:val="20"/>
                <w:lang w:val="fr-CA"/>
              </w:rPr>
            </w:pPr>
            <w:r w:rsidRPr="00C73EE6">
              <w:rPr>
                <w:b/>
                <w:sz w:val="20"/>
                <w:szCs w:val="20"/>
                <w:lang w:val="fr-CA"/>
              </w:rPr>
              <w:t>Requête</w:t>
            </w:r>
            <w:r w:rsidR="00A5607E">
              <w:rPr>
                <w:b/>
                <w:sz w:val="20"/>
                <w:szCs w:val="20"/>
                <w:lang w:val="fr-CA"/>
              </w:rPr>
              <w:t xml:space="preserve"> diverse</w:t>
            </w:r>
            <w:r>
              <w:rPr>
                <w:b/>
                <w:sz w:val="20"/>
                <w:szCs w:val="20"/>
                <w:lang w:val="fr-CA"/>
              </w:rPr>
              <w:t xml:space="preserve"> </w:t>
            </w:r>
          </w:p>
        </w:tc>
      </w:tr>
      <w:tr w:rsidR="00D64901" w:rsidRPr="00B52EFD" w:rsidTr="003367E5">
        <w:trPr>
          <w:cantSplit/>
        </w:trPr>
        <w:tc>
          <w:tcPr>
            <w:tcW w:w="4681" w:type="dxa"/>
          </w:tcPr>
          <w:p w:rsidR="00D64901" w:rsidRPr="00BB204D" w:rsidRDefault="00A62785" w:rsidP="003367E5">
            <w:pPr>
              <w:rPr>
                <w:sz w:val="20"/>
                <w:szCs w:val="20"/>
                <w:lang w:val="fr-CA"/>
              </w:rPr>
            </w:pPr>
            <w:r w:rsidRPr="00BB204D">
              <w:rPr>
                <w:sz w:val="20"/>
                <w:szCs w:val="20"/>
                <w:lang w:val="fr-CA"/>
              </w:rPr>
              <w:t>Kuwait Airways Corp</w:t>
            </w:r>
            <w:r w:rsidR="00992FA8">
              <w:rPr>
                <w:sz w:val="20"/>
                <w:szCs w:val="20"/>
                <w:lang w:val="fr-CA"/>
              </w:rPr>
              <w:t>oration</w:t>
            </w:r>
          </w:p>
          <w:p w:rsidR="00D64901" w:rsidRPr="00BB204D" w:rsidRDefault="00D64901" w:rsidP="003367E5">
            <w:pPr>
              <w:rPr>
                <w:sz w:val="20"/>
                <w:szCs w:val="20"/>
                <w:lang w:val="fr-CA"/>
              </w:rPr>
            </w:pPr>
          </w:p>
          <w:p w:rsidR="00D64901" w:rsidRPr="00BB204D" w:rsidRDefault="00D64901" w:rsidP="003367E5">
            <w:pPr>
              <w:rPr>
                <w:sz w:val="20"/>
                <w:szCs w:val="20"/>
                <w:lang w:val="fr-CA"/>
              </w:rPr>
            </w:pPr>
            <w:r w:rsidRPr="00BB204D">
              <w:rPr>
                <w:sz w:val="20"/>
                <w:szCs w:val="20"/>
                <w:lang w:val="fr-CA"/>
              </w:rPr>
              <w:tab/>
              <w:t>v. (33</w:t>
            </w:r>
            <w:r w:rsidR="00992FA8">
              <w:rPr>
                <w:sz w:val="20"/>
                <w:szCs w:val="20"/>
                <w:lang w:val="fr-CA"/>
              </w:rPr>
              <w:t>14</w:t>
            </w:r>
            <w:r w:rsidRPr="00BB204D">
              <w:rPr>
                <w:sz w:val="20"/>
                <w:szCs w:val="20"/>
                <w:lang w:val="fr-CA"/>
              </w:rPr>
              <w:t>5)</w:t>
            </w:r>
          </w:p>
          <w:p w:rsidR="00D64901" w:rsidRPr="00BB204D" w:rsidRDefault="00D64901" w:rsidP="003367E5">
            <w:pPr>
              <w:rPr>
                <w:sz w:val="20"/>
                <w:szCs w:val="20"/>
                <w:lang w:val="fr-CA"/>
              </w:rPr>
            </w:pPr>
          </w:p>
          <w:p w:rsidR="00D64901" w:rsidRPr="00C73EE6" w:rsidRDefault="00A62785" w:rsidP="00A62785">
            <w:pPr>
              <w:rPr>
                <w:sz w:val="20"/>
                <w:szCs w:val="20"/>
                <w:lang w:val="fr-CA"/>
              </w:rPr>
            </w:pPr>
            <w:r w:rsidRPr="00BB204D">
              <w:rPr>
                <w:sz w:val="20"/>
                <w:szCs w:val="20"/>
                <w:lang w:val="fr-CA"/>
              </w:rPr>
              <w:t>Republic of Iraq et al.</w:t>
            </w:r>
            <w:r w:rsidR="00D64901" w:rsidRPr="00BB204D">
              <w:rPr>
                <w:sz w:val="20"/>
                <w:szCs w:val="20"/>
                <w:lang w:val="fr-CA"/>
              </w:rPr>
              <w:t xml:space="preserve"> (</w:t>
            </w:r>
            <w:r w:rsidRPr="00BB204D">
              <w:rPr>
                <w:sz w:val="20"/>
                <w:szCs w:val="20"/>
                <w:lang w:val="fr-CA"/>
              </w:rPr>
              <w:t>Que</w:t>
            </w:r>
            <w:r w:rsidR="00D64901" w:rsidRPr="00BB204D">
              <w:rPr>
                <w:sz w:val="20"/>
                <w:szCs w:val="20"/>
                <w:lang w:val="fr-CA"/>
              </w:rPr>
              <w:t>.)</w:t>
            </w:r>
          </w:p>
        </w:tc>
        <w:tc>
          <w:tcPr>
            <w:tcW w:w="467" w:type="dxa"/>
          </w:tcPr>
          <w:p w:rsidR="00D64901" w:rsidRPr="00C73EE6" w:rsidRDefault="00D64901" w:rsidP="003367E5">
            <w:pPr>
              <w:rPr>
                <w:sz w:val="20"/>
                <w:szCs w:val="20"/>
                <w:lang w:val="fr-CA"/>
              </w:rPr>
            </w:pPr>
          </w:p>
          <w:p w:rsidR="00D64901" w:rsidRPr="00C73EE6" w:rsidRDefault="00D64901" w:rsidP="003367E5">
            <w:pPr>
              <w:rPr>
                <w:sz w:val="20"/>
                <w:szCs w:val="20"/>
                <w:lang w:val="fr-CA"/>
              </w:rPr>
            </w:pPr>
          </w:p>
          <w:p w:rsidR="00D64901" w:rsidRPr="00C73EE6" w:rsidRDefault="00D64901" w:rsidP="003367E5">
            <w:pPr>
              <w:rPr>
                <w:sz w:val="20"/>
                <w:szCs w:val="20"/>
                <w:lang w:val="fr-CA"/>
              </w:rPr>
            </w:pPr>
          </w:p>
          <w:p w:rsidR="00D64901" w:rsidRPr="00C73EE6" w:rsidRDefault="00D64901" w:rsidP="003367E5">
            <w:pPr>
              <w:rPr>
                <w:sz w:val="20"/>
                <w:szCs w:val="20"/>
                <w:lang w:val="fr-CA"/>
              </w:rPr>
            </w:pPr>
          </w:p>
          <w:p w:rsidR="00D64901" w:rsidRPr="00C73EE6" w:rsidRDefault="00D64901" w:rsidP="003367E5">
            <w:pPr>
              <w:rPr>
                <w:sz w:val="20"/>
                <w:szCs w:val="20"/>
                <w:lang w:val="fr-CA"/>
              </w:rPr>
            </w:pPr>
          </w:p>
        </w:tc>
        <w:tc>
          <w:tcPr>
            <w:tcW w:w="4687" w:type="dxa"/>
          </w:tcPr>
          <w:p w:rsidR="00D64901" w:rsidRPr="00BB204D" w:rsidRDefault="00D64901" w:rsidP="003367E5">
            <w:pPr>
              <w:rPr>
                <w:sz w:val="20"/>
                <w:szCs w:val="20"/>
                <w:lang w:val="fr-CA"/>
              </w:rPr>
            </w:pPr>
          </w:p>
        </w:tc>
      </w:tr>
    </w:tbl>
    <w:p w:rsidR="00D64901" w:rsidRDefault="00D64901" w:rsidP="00D64901">
      <w:pPr>
        <w:rPr>
          <w:sz w:val="20"/>
          <w:szCs w:val="20"/>
          <w:lang w:val="fr-CA"/>
        </w:rPr>
      </w:pPr>
    </w:p>
    <w:p w:rsidR="00992FA8" w:rsidRPr="00F921D0" w:rsidRDefault="00992FA8" w:rsidP="00992FA8">
      <w:pPr>
        <w:widowControl w:val="0"/>
        <w:rPr>
          <w:b/>
          <w:sz w:val="20"/>
          <w:szCs w:val="20"/>
          <w:u w:val="single"/>
        </w:rPr>
      </w:pPr>
      <w:r w:rsidRPr="00F921D0">
        <w:rPr>
          <w:b/>
          <w:sz w:val="20"/>
          <w:szCs w:val="20"/>
          <w:u w:val="single"/>
        </w:rPr>
        <w:t>LEBEL J.:</w:t>
      </w:r>
    </w:p>
    <w:p w:rsidR="00992FA8" w:rsidRPr="00F921D0" w:rsidRDefault="00992FA8" w:rsidP="00992FA8">
      <w:pPr>
        <w:widowControl w:val="0"/>
        <w:rPr>
          <w:b/>
          <w:sz w:val="20"/>
          <w:szCs w:val="20"/>
          <w:u w:val="single"/>
        </w:rPr>
      </w:pPr>
    </w:p>
    <w:p w:rsidR="00992FA8" w:rsidRPr="00B52EFD" w:rsidRDefault="00992FA8" w:rsidP="00992FA8">
      <w:pPr>
        <w:pStyle w:val="ParaNoNdepar-AltN"/>
        <w:numPr>
          <w:ilvl w:val="0"/>
          <w:numId w:val="3"/>
        </w:numPr>
        <w:tabs>
          <w:tab w:val="clear" w:pos="1152"/>
        </w:tabs>
        <w:spacing w:before="0" w:after="0" w:line="240" w:lineRule="auto"/>
        <w:rPr>
          <w:sz w:val="20"/>
          <w:szCs w:val="20"/>
          <w:lang w:val="en-CA"/>
        </w:rPr>
      </w:pPr>
      <w:r w:rsidRPr="00B52EFD">
        <w:rPr>
          <w:sz w:val="20"/>
          <w:szCs w:val="20"/>
          <w:lang w:val="en-CA"/>
        </w:rPr>
        <w:t xml:space="preserve">The respondent, mis-en-cause, Bombardier Aerospace has made a motion under r. 47 of the </w:t>
      </w:r>
      <w:r w:rsidRPr="00B52EFD">
        <w:rPr>
          <w:i/>
          <w:sz w:val="20"/>
          <w:szCs w:val="20"/>
          <w:lang w:val="en-CA"/>
        </w:rPr>
        <w:t>Rules of the Supreme Court of Canada</w:t>
      </w:r>
      <w:r w:rsidRPr="00B52EFD">
        <w:rPr>
          <w:sz w:val="20"/>
          <w:szCs w:val="20"/>
          <w:lang w:val="en-CA"/>
        </w:rPr>
        <w:t xml:space="preserve">, SOR/2002-156, to resolve an issue relating to the taxation of costs in the appeal.  It also asks for an extension of time to serve and make this motion.  The appellant, Kuwait Airways Corporation, which succeeded in this appeal (see </w:t>
      </w:r>
      <w:r w:rsidRPr="00B52EFD">
        <w:rPr>
          <w:i/>
          <w:sz w:val="20"/>
          <w:szCs w:val="20"/>
          <w:lang w:val="en-CA"/>
        </w:rPr>
        <w:t>Kuwait Airways Corp. v. Iraq</w:t>
      </w:r>
      <w:r w:rsidRPr="00B52EFD">
        <w:rPr>
          <w:sz w:val="20"/>
          <w:szCs w:val="20"/>
          <w:lang w:val="en-CA"/>
        </w:rPr>
        <w:t>, 2010 SCC 40, [2010] 2 S.C.R. 571), takes no position on this motion and defers to this Court’s decision.</w:t>
      </w:r>
    </w:p>
    <w:p w:rsidR="00992FA8" w:rsidRPr="00F921D0" w:rsidRDefault="00992FA8" w:rsidP="00992FA8">
      <w:pPr>
        <w:widowControl w:val="0"/>
        <w:jc w:val="both"/>
        <w:rPr>
          <w:sz w:val="20"/>
          <w:szCs w:val="20"/>
        </w:rPr>
      </w:pPr>
    </w:p>
    <w:p w:rsidR="00992FA8" w:rsidRPr="00F921D0" w:rsidRDefault="00992FA8" w:rsidP="00992FA8">
      <w:pPr>
        <w:pStyle w:val="ParaNoNdepar-AltN"/>
        <w:tabs>
          <w:tab w:val="clear" w:pos="1152"/>
        </w:tabs>
        <w:spacing w:before="0" w:after="0" w:line="240" w:lineRule="auto"/>
        <w:rPr>
          <w:sz w:val="20"/>
          <w:szCs w:val="20"/>
          <w:lang w:val="en-CA"/>
        </w:rPr>
      </w:pPr>
      <w:r w:rsidRPr="00F921D0">
        <w:rPr>
          <w:sz w:val="20"/>
          <w:szCs w:val="20"/>
          <w:lang w:val="en-CA"/>
        </w:rPr>
        <w:t>In its judgment, this Court allowed the appeal of Kuwait Airways Corporation with costs throughout.  The appellant’s bill of costs was filed for taxation against the Republic of Iraq and Bombardier Aerospace, both of which were respondents in this Court.  Prior to the Court’s judgment, Bombardier Aerospace had made no representations with respect either to its status in this Court or to the conclusions that might be granted in a judgment of the Court, which would have been an appropriate precaution to take.</w:t>
      </w:r>
    </w:p>
    <w:p w:rsidR="00992FA8" w:rsidRPr="00F921D0" w:rsidRDefault="00992FA8" w:rsidP="00992FA8">
      <w:pPr>
        <w:widowControl w:val="0"/>
        <w:jc w:val="both"/>
        <w:rPr>
          <w:sz w:val="20"/>
          <w:szCs w:val="20"/>
        </w:rPr>
      </w:pPr>
    </w:p>
    <w:p w:rsidR="00992FA8" w:rsidRPr="00F921D0" w:rsidRDefault="00992FA8" w:rsidP="00992FA8">
      <w:pPr>
        <w:pStyle w:val="ParaNoNdepar-AltN"/>
        <w:tabs>
          <w:tab w:val="clear" w:pos="1152"/>
        </w:tabs>
        <w:spacing w:before="0" w:after="0" w:line="240" w:lineRule="auto"/>
        <w:rPr>
          <w:sz w:val="20"/>
          <w:szCs w:val="20"/>
          <w:lang w:val="en-CA"/>
        </w:rPr>
      </w:pPr>
      <w:r w:rsidRPr="00F921D0">
        <w:rPr>
          <w:sz w:val="20"/>
          <w:szCs w:val="20"/>
          <w:lang w:val="en-CA"/>
        </w:rPr>
        <w:t>Nevertheless, although Bombardier Aerospace was designated a respondent under this Court’s rules of procedure, it did not participate in the proceedings before the Court.  In these circumstances, to infer that the Court intended to also award costs against Bombardier Aerospace would be to unduly expand the scope of its conclusion.  The Court awarded costs to the appellant without specifying that the award was against all the respondents.  Its judgment necessarily concerned the Republic of Iraq alone, and not Bombardier Aerospace, which did not participate in the proceedings before it, and the Court had no reason to award costs against Bombardier Aerospace in the circumstances.</w:t>
      </w:r>
    </w:p>
    <w:p w:rsidR="00992FA8" w:rsidRPr="00F921D0" w:rsidRDefault="00992FA8" w:rsidP="00992FA8">
      <w:pPr>
        <w:widowControl w:val="0"/>
        <w:jc w:val="both"/>
        <w:rPr>
          <w:sz w:val="20"/>
          <w:szCs w:val="20"/>
        </w:rPr>
      </w:pPr>
    </w:p>
    <w:p w:rsidR="00992FA8" w:rsidRPr="00F921D0" w:rsidRDefault="00992FA8" w:rsidP="00992FA8">
      <w:pPr>
        <w:pStyle w:val="ParaNoNdepar-AltN"/>
        <w:tabs>
          <w:tab w:val="clear" w:pos="1152"/>
        </w:tabs>
        <w:spacing w:before="0" w:after="0" w:line="240" w:lineRule="auto"/>
        <w:rPr>
          <w:sz w:val="20"/>
          <w:szCs w:val="20"/>
          <w:lang w:val="en-CA"/>
        </w:rPr>
      </w:pPr>
      <w:r w:rsidRPr="00F921D0">
        <w:rPr>
          <w:sz w:val="20"/>
          <w:szCs w:val="20"/>
          <w:lang w:val="en-CA"/>
        </w:rPr>
        <w:t>Bombardier Aerospace could of course have exercised greater diligence regarding this issue of costs.  However, discussions about it have been under way for several months in various forms and with various people at the Court.  What is more, the appellant has not raised the lateness of this proceeding.  It would accordingly be inappropriate to deny the extension of time sought by Bombardier Aerospace.</w:t>
      </w:r>
    </w:p>
    <w:p w:rsidR="00992FA8" w:rsidRPr="00F921D0" w:rsidRDefault="00992FA8" w:rsidP="00992FA8">
      <w:pPr>
        <w:widowControl w:val="0"/>
        <w:jc w:val="both"/>
        <w:rPr>
          <w:sz w:val="20"/>
          <w:szCs w:val="20"/>
        </w:rPr>
      </w:pPr>
    </w:p>
    <w:p w:rsidR="00992FA8" w:rsidRPr="00F921D0" w:rsidRDefault="00992FA8" w:rsidP="00992FA8">
      <w:pPr>
        <w:pStyle w:val="ParaNoNdepar-AltN"/>
        <w:tabs>
          <w:tab w:val="clear" w:pos="1152"/>
        </w:tabs>
        <w:spacing w:before="0" w:after="0" w:line="240" w:lineRule="auto"/>
        <w:rPr>
          <w:sz w:val="20"/>
          <w:szCs w:val="20"/>
        </w:rPr>
      </w:pPr>
      <w:r w:rsidRPr="00F921D0">
        <w:rPr>
          <w:sz w:val="20"/>
          <w:szCs w:val="20"/>
          <w:lang w:val="en-CA"/>
        </w:rPr>
        <w:t>For these reasons, the motion of the respondent, mis-en-cause, Bombardier Aerospace is granted in part in order to extend the time to serve and file the motion and to declare that the award of costs does not apply to the respondent, mis-en-cause, Bombardier Aerospace and that the bill of costs may not be taxed against it.  Costs will not be awarded on this motion</w:t>
      </w:r>
      <w:r w:rsidRPr="00F921D0">
        <w:rPr>
          <w:sz w:val="20"/>
          <w:szCs w:val="20"/>
        </w:rPr>
        <w:t>.</w:t>
      </w:r>
    </w:p>
    <w:p w:rsidR="00992FA8" w:rsidRDefault="00992FA8" w:rsidP="00D64901">
      <w:pPr>
        <w:rPr>
          <w:sz w:val="20"/>
          <w:szCs w:val="20"/>
          <w:lang w:val="fr-CA"/>
        </w:rPr>
      </w:pPr>
    </w:p>
    <w:p w:rsidR="00992FA8" w:rsidRDefault="00992FA8" w:rsidP="00D64901">
      <w:pPr>
        <w:rPr>
          <w:sz w:val="20"/>
          <w:szCs w:val="20"/>
          <w:lang w:val="fr-CA"/>
        </w:rPr>
      </w:pPr>
    </w:p>
    <w:p w:rsidR="00902D80" w:rsidRDefault="00902D80" w:rsidP="00D64901">
      <w:pPr>
        <w:rPr>
          <w:sz w:val="20"/>
          <w:szCs w:val="20"/>
          <w:lang w:val="fr-CA"/>
        </w:rPr>
      </w:pPr>
    </w:p>
    <w:p w:rsidR="00B40FC4" w:rsidRPr="005C7BB8" w:rsidRDefault="00B40FC4" w:rsidP="00B40FC4">
      <w:pPr>
        <w:widowControl w:val="0"/>
        <w:rPr>
          <w:b/>
          <w:sz w:val="20"/>
          <w:szCs w:val="20"/>
          <w:u w:val="single"/>
        </w:rPr>
      </w:pPr>
      <w:r w:rsidRPr="005C7BB8">
        <w:rPr>
          <w:b/>
          <w:sz w:val="20"/>
          <w:szCs w:val="20"/>
          <w:u w:val="single"/>
        </w:rPr>
        <w:t>LE JUGE LEBEL :</w:t>
      </w:r>
    </w:p>
    <w:p w:rsidR="00B40FC4" w:rsidRPr="005C7BB8" w:rsidRDefault="00B40FC4" w:rsidP="00B40FC4">
      <w:pPr>
        <w:widowControl w:val="0"/>
        <w:jc w:val="both"/>
        <w:rPr>
          <w:sz w:val="20"/>
          <w:szCs w:val="20"/>
        </w:rPr>
      </w:pPr>
    </w:p>
    <w:p w:rsidR="00B40FC4" w:rsidRPr="00992FA8" w:rsidRDefault="00B40FC4" w:rsidP="00992FA8">
      <w:pPr>
        <w:pStyle w:val="ParaNoNdepar-AltN"/>
        <w:numPr>
          <w:ilvl w:val="0"/>
          <w:numId w:val="4"/>
        </w:numPr>
        <w:tabs>
          <w:tab w:val="clear" w:pos="1152"/>
        </w:tabs>
        <w:spacing w:before="0" w:after="0" w:line="240" w:lineRule="auto"/>
        <w:rPr>
          <w:sz w:val="20"/>
          <w:szCs w:val="20"/>
        </w:rPr>
      </w:pPr>
      <w:r w:rsidRPr="00992FA8">
        <w:rPr>
          <w:sz w:val="20"/>
          <w:szCs w:val="20"/>
        </w:rPr>
        <w:t xml:space="preserve">L’intimée, mise en cause, Bombardier Aéronautique, a présenté une requête en vertu de l’art. 47 des </w:t>
      </w:r>
      <w:r w:rsidRPr="00992FA8">
        <w:rPr>
          <w:i/>
          <w:sz w:val="20"/>
          <w:szCs w:val="20"/>
        </w:rPr>
        <w:t>Règles de la Cour suprême du Canada</w:t>
      </w:r>
      <w:r w:rsidRPr="00992FA8">
        <w:rPr>
          <w:sz w:val="20"/>
          <w:szCs w:val="20"/>
        </w:rPr>
        <w:t xml:space="preserve">, DORS/2002-156, pour régler un problème relatif à la taxation des dépens dans le pourvoi. Elle demande accessoirement un délai supplémentaire pour la signification et la présentation de cette requête. Je note que l’appelante, Kuwait Airways Corporation, qui a eu gain de cause dans ce pourvoi (voir </w:t>
      </w:r>
      <w:r w:rsidRPr="00992FA8">
        <w:rPr>
          <w:i/>
          <w:sz w:val="20"/>
          <w:szCs w:val="20"/>
        </w:rPr>
        <w:t>Kuwait Airways Corp. c. Irak</w:t>
      </w:r>
      <w:r w:rsidRPr="00992FA8">
        <w:rPr>
          <w:sz w:val="20"/>
          <w:szCs w:val="20"/>
        </w:rPr>
        <w:t>, 2010 CSC 40, [2010] 2 R.C.S. 571) ne prend pas position à l’égard de cette requête et s’en remet à la décision de notre Cour.</w:t>
      </w:r>
    </w:p>
    <w:p w:rsidR="00B40FC4" w:rsidRPr="00B40FC4" w:rsidRDefault="00B40FC4" w:rsidP="00B40FC4">
      <w:pPr>
        <w:widowControl w:val="0"/>
        <w:jc w:val="both"/>
        <w:rPr>
          <w:sz w:val="20"/>
          <w:szCs w:val="20"/>
          <w:lang w:val="fr-CA"/>
        </w:rPr>
      </w:pPr>
    </w:p>
    <w:p w:rsidR="00B40FC4" w:rsidRPr="005C7BB8" w:rsidRDefault="00B40FC4" w:rsidP="00B40FC4">
      <w:pPr>
        <w:pStyle w:val="ParaNoNdepar-AltN"/>
        <w:tabs>
          <w:tab w:val="clear" w:pos="1152"/>
        </w:tabs>
        <w:spacing w:before="0" w:after="0" w:line="240" w:lineRule="auto"/>
        <w:rPr>
          <w:sz w:val="20"/>
          <w:szCs w:val="20"/>
        </w:rPr>
      </w:pPr>
      <w:r w:rsidRPr="005C7BB8">
        <w:rPr>
          <w:sz w:val="20"/>
          <w:szCs w:val="20"/>
        </w:rPr>
        <w:lastRenderedPageBreak/>
        <w:t>L’arrêt de notre Cour a accueilli le pourvoi de Kuwait Airways Corporation avec dépens dans toutes les cours. Le mémoire de frais de l’appelante a été présenté pour taxation contre la République d’Irak et contre Bombardier Aéronautique, qui ont toutes les deux le statut d’intimée devant notre Cour. Jusqu’à l’arrêt de notre Cour, Bombardier Aéronautique n’a présenté aucune observation au sujet de son statut devant la Cour, ni à propos des conclusions éventuelles d’un arrêt de notre Cour, ce qui aurait été une précaution utile.</w:t>
      </w:r>
    </w:p>
    <w:p w:rsidR="00B40FC4" w:rsidRPr="00B40FC4" w:rsidRDefault="00B40FC4" w:rsidP="00B40FC4">
      <w:pPr>
        <w:widowControl w:val="0"/>
        <w:jc w:val="both"/>
        <w:rPr>
          <w:sz w:val="20"/>
          <w:szCs w:val="20"/>
          <w:lang w:val="fr-CA"/>
        </w:rPr>
      </w:pPr>
    </w:p>
    <w:p w:rsidR="00B40FC4" w:rsidRPr="005C7BB8" w:rsidRDefault="00B40FC4" w:rsidP="00B40FC4">
      <w:pPr>
        <w:pStyle w:val="ParaNoNdepar-AltN"/>
        <w:tabs>
          <w:tab w:val="clear" w:pos="1152"/>
        </w:tabs>
        <w:spacing w:before="0" w:after="0" w:line="240" w:lineRule="auto"/>
        <w:rPr>
          <w:sz w:val="20"/>
          <w:szCs w:val="20"/>
        </w:rPr>
      </w:pPr>
      <w:r w:rsidRPr="005C7BB8">
        <w:rPr>
          <w:sz w:val="20"/>
          <w:szCs w:val="20"/>
        </w:rPr>
        <w:t>Cependant, bien qu’elle ait été qualifiée d’intimée selon les règles de procédure de notre Cour, Bombardier Aéronautique n’a pas participé au débat devant celle-ci. Dans ce contexte, ce serait élargir indûment la portée de la conclusion de la Cour que d’inférer qu’elle entendait condamner aussi Bombardier Aéronautique aux dépens. L’arrêt accorde les dépens à l’appelante, sans préciser qu’elle les accorde contre toutes les intimées. Le jugement de la Cour vise nécessairement la République d’Irak, seulement, et non Bombardier Aéronautique, qui est demeurée absente du débat devant la Cour et que celle-ci n’avait aucune raison de condamner aux dépens dans les circonstances.</w:t>
      </w:r>
    </w:p>
    <w:p w:rsidR="00B40FC4" w:rsidRPr="00B40FC4" w:rsidRDefault="00B40FC4" w:rsidP="00B40FC4">
      <w:pPr>
        <w:widowControl w:val="0"/>
        <w:jc w:val="both"/>
        <w:rPr>
          <w:sz w:val="20"/>
          <w:szCs w:val="20"/>
          <w:lang w:val="fr-CA"/>
        </w:rPr>
      </w:pPr>
    </w:p>
    <w:p w:rsidR="00B40FC4" w:rsidRPr="005C7BB8" w:rsidRDefault="00B40FC4" w:rsidP="00B40FC4">
      <w:pPr>
        <w:pStyle w:val="ParaNoNdepar-AltN"/>
        <w:tabs>
          <w:tab w:val="clear" w:pos="1152"/>
        </w:tabs>
        <w:spacing w:before="0" w:after="0" w:line="240" w:lineRule="auto"/>
        <w:rPr>
          <w:sz w:val="20"/>
          <w:szCs w:val="20"/>
        </w:rPr>
      </w:pPr>
      <w:r w:rsidRPr="005C7BB8">
        <w:rPr>
          <w:sz w:val="20"/>
          <w:szCs w:val="20"/>
        </w:rPr>
        <w:t>Certes, Bombardier Aéronautique aurait pu faire preuve de plus de diligence relativement à cette question concernant les dépens. Cependant, le débat relatif à celle-ci se déroule depuis quelques mois sous des formes et devant des instances diverses devant la Cour. De plus, l’appelante ne soulève pas la tardivité de cette procédure. Il ne conviendrait pas alors de refuser d’accorder la prorogation de délai sollicitée par Bombardier Aéronautique.</w:t>
      </w:r>
    </w:p>
    <w:p w:rsidR="00B40FC4" w:rsidRPr="00B40FC4" w:rsidRDefault="00B40FC4" w:rsidP="00B40FC4">
      <w:pPr>
        <w:widowControl w:val="0"/>
        <w:jc w:val="both"/>
        <w:rPr>
          <w:sz w:val="20"/>
          <w:szCs w:val="20"/>
          <w:lang w:val="fr-CA"/>
        </w:rPr>
      </w:pPr>
    </w:p>
    <w:p w:rsidR="00B40FC4" w:rsidRPr="005C7BB8" w:rsidRDefault="00B40FC4" w:rsidP="00B40FC4">
      <w:pPr>
        <w:pStyle w:val="ParaNoNdepar-AltN"/>
        <w:tabs>
          <w:tab w:val="clear" w:pos="1152"/>
        </w:tabs>
        <w:spacing w:before="0" w:after="0" w:line="240" w:lineRule="auto"/>
        <w:rPr>
          <w:sz w:val="20"/>
          <w:szCs w:val="20"/>
        </w:rPr>
      </w:pPr>
      <w:r w:rsidRPr="005C7BB8">
        <w:rPr>
          <w:sz w:val="20"/>
          <w:szCs w:val="20"/>
        </w:rPr>
        <w:t>Pour ces motifs, il est fait droit en partie à la requête de l’intimée, mise en cause, Bombardier Aéronautique, aux fins de proroger le délai de signification et de présentation de la requête et de déclarer que la condamnation aux dépens ne vise pas l’intimée, mise en cause, Bombardier Aéronautique, et que le mémoire de frais ne peut être taxé contre elle, le tout sans frais.</w:t>
      </w:r>
    </w:p>
    <w:p w:rsidR="00B40FC4" w:rsidRDefault="00B40FC4" w:rsidP="00D64901">
      <w:pPr>
        <w:rPr>
          <w:sz w:val="20"/>
          <w:szCs w:val="20"/>
          <w:lang w:val="fr-CA"/>
        </w:rPr>
      </w:pPr>
    </w:p>
    <w:p w:rsidR="00D64901" w:rsidRPr="00C50A5C" w:rsidRDefault="004D20D2" w:rsidP="00D64901">
      <w:pPr>
        <w:jc w:val="both"/>
        <w:rPr>
          <w:sz w:val="20"/>
          <w:szCs w:val="20"/>
        </w:rPr>
      </w:pPr>
      <w:r w:rsidRPr="004D20D2">
        <w:rPr>
          <w:sz w:val="20"/>
          <w:szCs w:val="20"/>
        </w:rPr>
        <w:pict>
          <v:rect id="_x0000_i1047" style="width:2in;height:1pt" o:hrpct="0" o:hralign="center" o:hrstd="t" o:hrnoshade="t" o:hr="t" fillcolor="black" stroked="f"/>
        </w:pict>
      </w:r>
    </w:p>
    <w:p w:rsidR="00D64901" w:rsidRPr="00E01CF4" w:rsidRDefault="00D64901" w:rsidP="00890FEB">
      <w:pPr>
        <w:rPr>
          <w:sz w:val="20"/>
          <w:szCs w:val="20"/>
          <w:lang w:val="fr-CA"/>
        </w:rPr>
      </w:pPr>
    </w:p>
    <w:p w:rsidR="00890FEB" w:rsidRPr="00C50A5C" w:rsidRDefault="00890FEB" w:rsidP="00C50A5C">
      <w:pPr>
        <w:jc w:val="both"/>
        <w:rPr>
          <w:sz w:val="20"/>
          <w:szCs w:val="20"/>
        </w:rPr>
      </w:pPr>
    </w:p>
    <w:p w:rsidR="00890FEB" w:rsidRPr="00C50A5C" w:rsidRDefault="00890FEB" w:rsidP="00890FEB">
      <w:pPr>
        <w:spacing w:line="0" w:lineRule="atLeast"/>
        <w:rPr>
          <w:sz w:val="20"/>
          <w:szCs w:val="20"/>
          <w:lang w:val="fr-CA"/>
        </w:rPr>
      </w:pPr>
    </w:p>
    <w:p w:rsidR="00890FEB" w:rsidRPr="00C50A5C" w:rsidRDefault="00890FEB" w:rsidP="00890FEB">
      <w:pPr>
        <w:spacing w:line="0" w:lineRule="atLeast"/>
        <w:rPr>
          <w:sz w:val="20"/>
          <w:szCs w:val="20"/>
          <w:lang w:val="fr-CA"/>
        </w:rPr>
        <w:sectPr w:rsidR="00890FEB" w:rsidRPr="00C50A5C" w:rsidSect="00890FEB">
          <w:headerReference w:type="even" r:id="rId29"/>
          <w:headerReference w:type="default" r:id="rId30"/>
          <w:footerReference w:type="even" r:id="rId31"/>
          <w:footerReference w:type="default" r:id="rId32"/>
          <w:headerReference w:type="first" r:id="rId33"/>
          <w:footerReference w:type="first" r:id="rId34"/>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890FEB" w:rsidRPr="001D0D5F" w:rsidTr="00BA6468">
        <w:tc>
          <w:tcPr>
            <w:tcW w:w="4230" w:type="dxa"/>
            <w:shd w:val="clear" w:color="auto" w:fill="auto"/>
            <w:tcMar>
              <w:left w:w="0" w:type="dxa"/>
              <w:right w:w="0" w:type="dxa"/>
            </w:tcMar>
          </w:tcPr>
          <w:p w:rsidR="00890FEB" w:rsidRPr="001D0D5F" w:rsidRDefault="00890FEB" w:rsidP="00EB2B90">
            <w:pPr>
              <w:keepNext/>
              <w:keepLines/>
              <w:tabs>
                <w:tab w:val="left" w:pos="-1440"/>
                <w:tab w:val="left" w:pos="-720"/>
              </w:tabs>
              <w:jc w:val="both"/>
              <w:rPr>
                <w:szCs w:val="24"/>
              </w:rPr>
            </w:pPr>
            <w:r w:rsidRPr="001D0D5F">
              <w:rPr>
                <w:b/>
                <w:szCs w:val="24"/>
              </w:rPr>
              <w:lastRenderedPageBreak/>
              <w:t>MOTIONS</w:t>
            </w:r>
          </w:p>
        </w:tc>
        <w:tc>
          <w:tcPr>
            <w:tcW w:w="1170" w:type="dxa"/>
            <w:shd w:val="clear" w:color="auto" w:fill="auto"/>
            <w:tcMar>
              <w:left w:w="0" w:type="dxa"/>
              <w:right w:w="0" w:type="dxa"/>
            </w:tcMar>
          </w:tcPr>
          <w:p w:rsidR="00890FEB" w:rsidRPr="001D0D5F" w:rsidRDefault="00890FEB" w:rsidP="00890FEB">
            <w:pPr>
              <w:keepNext/>
              <w:keepLines/>
              <w:tabs>
                <w:tab w:val="left" w:pos="-1440"/>
                <w:tab w:val="left" w:pos="-720"/>
              </w:tabs>
              <w:jc w:val="center"/>
              <w:rPr>
                <w:szCs w:val="24"/>
              </w:rPr>
            </w:pPr>
          </w:p>
          <w:p w:rsidR="00890FEB" w:rsidRPr="001D0D5F" w:rsidRDefault="00890FEB" w:rsidP="00890FEB">
            <w:pPr>
              <w:keepNext/>
              <w:keepLines/>
              <w:tabs>
                <w:tab w:val="left" w:pos="-1440"/>
                <w:tab w:val="left" w:pos="-720"/>
              </w:tabs>
              <w:jc w:val="center"/>
              <w:rPr>
                <w:szCs w:val="24"/>
              </w:rPr>
            </w:pPr>
          </w:p>
        </w:tc>
        <w:tc>
          <w:tcPr>
            <w:tcW w:w="4080" w:type="dxa"/>
            <w:shd w:val="clear" w:color="auto" w:fill="auto"/>
            <w:tcMar>
              <w:left w:w="0" w:type="dxa"/>
              <w:right w:w="0" w:type="dxa"/>
            </w:tcMar>
          </w:tcPr>
          <w:p w:rsidR="00890FEB" w:rsidRPr="00BA6468" w:rsidRDefault="00890FEB" w:rsidP="00831CA9">
            <w:pPr>
              <w:keepNext/>
              <w:keepLines/>
              <w:tabs>
                <w:tab w:val="left" w:pos="-1440"/>
                <w:tab w:val="left" w:pos="-720"/>
              </w:tabs>
              <w:rPr>
                <w:szCs w:val="24"/>
                <w:lang w:val="fr-CA"/>
              </w:rPr>
            </w:pPr>
            <w:r w:rsidRPr="00BA6468">
              <w:rPr>
                <w:b/>
                <w:szCs w:val="24"/>
                <w:lang w:val="fr-CA"/>
              </w:rPr>
              <w:t>REQUÊTES</w:t>
            </w:r>
          </w:p>
        </w:tc>
      </w:tr>
    </w:tbl>
    <w:p w:rsidR="00890FEB" w:rsidRDefault="00890FEB" w:rsidP="00890FEB">
      <w:pPr>
        <w:rPr>
          <w:sz w:val="20"/>
          <w:szCs w:val="20"/>
        </w:rPr>
      </w:pPr>
    </w:p>
    <w:p w:rsidR="00992FA8" w:rsidRPr="00992FA8" w:rsidRDefault="00992FA8" w:rsidP="00992FA8">
      <w:pPr>
        <w:tabs>
          <w:tab w:val="left" w:pos="-1440"/>
          <w:tab w:val="left" w:pos="-720"/>
        </w:tabs>
        <w:jc w:val="both"/>
        <w:rPr>
          <w:rFonts w:eastAsia="Times New Roman" w:cs="Times New Roman"/>
          <w:sz w:val="20"/>
          <w:szCs w:val="20"/>
          <w:lang w:val="fr-CA" w:eastAsia="en-CA"/>
        </w:rPr>
      </w:pPr>
      <w:r w:rsidRPr="00992FA8">
        <w:rPr>
          <w:rFonts w:eastAsia="Times New Roman" w:cs="Times New Roman"/>
          <w:sz w:val="20"/>
          <w:szCs w:val="20"/>
          <w:lang w:val="fr-CA" w:eastAsia="en-CA"/>
        </w:rPr>
        <w:t>19.07.2011</w:t>
      </w:r>
    </w:p>
    <w:p w:rsidR="00992FA8" w:rsidRPr="00992FA8" w:rsidRDefault="00992FA8" w:rsidP="00992FA8">
      <w:pPr>
        <w:tabs>
          <w:tab w:val="left" w:pos="-1440"/>
          <w:tab w:val="left" w:pos="-720"/>
        </w:tabs>
        <w:jc w:val="both"/>
        <w:rPr>
          <w:rFonts w:eastAsia="Times New Roman" w:cs="Times New Roman"/>
          <w:sz w:val="20"/>
          <w:szCs w:val="20"/>
          <w:lang w:val="fr-CA" w:eastAsia="en-CA"/>
        </w:rPr>
      </w:pPr>
    </w:p>
    <w:p w:rsidR="00992FA8" w:rsidRPr="00992FA8" w:rsidRDefault="00992FA8" w:rsidP="00992FA8">
      <w:pPr>
        <w:tabs>
          <w:tab w:val="left" w:pos="-1440"/>
          <w:tab w:val="left" w:pos="-720"/>
        </w:tabs>
        <w:jc w:val="both"/>
        <w:rPr>
          <w:rFonts w:eastAsia="Times New Roman" w:cs="Times New Roman"/>
          <w:sz w:val="20"/>
          <w:szCs w:val="20"/>
          <w:lang w:val="fr-CA" w:eastAsia="en-CA"/>
        </w:rPr>
      </w:pPr>
      <w:r w:rsidRPr="00992FA8">
        <w:rPr>
          <w:rFonts w:eastAsia="Times New Roman" w:cs="Times New Roman"/>
          <w:sz w:val="20"/>
          <w:szCs w:val="20"/>
          <w:lang w:val="fr-CA" w:eastAsia="en-CA"/>
        </w:rPr>
        <w:t>Before / Devant :   LEBEL J. / LE JUGE LEBEL</w:t>
      </w:r>
    </w:p>
    <w:p w:rsidR="00992FA8" w:rsidRPr="00992FA8" w:rsidRDefault="00992FA8" w:rsidP="00992FA8">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2970"/>
        <w:gridCol w:w="1170"/>
        <w:gridCol w:w="4327"/>
      </w:tblGrid>
      <w:tr w:rsidR="00992FA8" w:rsidRPr="00992FA8" w:rsidTr="00992FA8">
        <w:tc>
          <w:tcPr>
            <w:tcW w:w="4338" w:type="dxa"/>
            <w:gridSpan w:val="2"/>
          </w:tcPr>
          <w:p w:rsidR="00992FA8" w:rsidRPr="00992FA8" w:rsidRDefault="00992FA8" w:rsidP="00992FA8">
            <w:pPr>
              <w:rPr>
                <w:b/>
              </w:rPr>
            </w:pPr>
            <w:r w:rsidRPr="00992FA8">
              <w:rPr>
                <w:b/>
              </w:rPr>
              <w:t>Motions for leave to intervene</w:t>
            </w:r>
            <w:r w:rsidRPr="00992FA8">
              <w:rPr>
                <w:szCs w:val="24"/>
                <w:lang w:val="en-US"/>
              </w:rPr>
              <w:t xml:space="preserve"> </w:t>
            </w:r>
            <w:r w:rsidR="004D20D2" w:rsidRPr="00992FA8">
              <w:rPr>
                <w:szCs w:val="24"/>
                <w:lang w:val="en-US"/>
              </w:rPr>
              <w:fldChar w:fldCharType="begin"/>
            </w:r>
            <w:r w:rsidRPr="00992FA8">
              <w:rPr>
                <w:szCs w:val="24"/>
              </w:rPr>
              <w:instrText xml:space="preserve"> SEQ CHAPTER \h \r 1</w:instrText>
            </w:r>
            <w:r w:rsidR="004D20D2" w:rsidRPr="00992FA8">
              <w:rPr>
                <w:szCs w:val="24"/>
                <w:lang w:val="en-US"/>
              </w:rPr>
              <w:fldChar w:fldCharType="end"/>
            </w:r>
          </w:p>
        </w:tc>
        <w:tc>
          <w:tcPr>
            <w:tcW w:w="1170" w:type="dxa"/>
          </w:tcPr>
          <w:p w:rsidR="00992FA8" w:rsidRPr="00992FA8" w:rsidRDefault="00992FA8" w:rsidP="00992FA8"/>
          <w:p w:rsidR="00992FA8" w:rsidRPr="00992FA8" w:rsidRDefault="00992FA8" w:rsidP="00992FA8"/>
        </w:tc>
        <w:tc>
          <w:tcPr>
            <w:tcW w:w="4327" w:type="dxa"/>
          </w:tcPr>
          <w:p w:rsidR="00992FA8" w:rsidRPr="00992FA8" w:rsidRDefault="00992FA8" w:rsidP="00992FA8">
            <w:pPr>
              <w:rPr>
                <w:b/>
              </w:rPr>
            </w:pPr>
            <w:r w:rsidRPr="00992FA8">
              <w:rPr>
                <w:b/>
                <w:bCs/>
                <w:lang w:val="fr-CA"/>
              </w:rPr>
              <w:t>Requêtes en autorisation d’intervenir</w:t>
            </w:r>
            <w:r w:rsidRPr="00992FA8">
              <w:rPr>
                <w:szCs w:val="24"/>
                <w:lang w:val="en-US"/>
              </w:rPr>
              <w:t xml:space="preserve"> </w:t>
            </w:r>
            <w:r w:rsidR="004D20D2" w:rsidRPr="00992FA8">
              <w:rPr>
                <w:szCs w:val="24"/>
                <w:lang w:val="en-US"/>
              </w:rPr>
              <w:fldChar w:fldCharType="begin"/>
            </w:r>
            <w:r w:rsidRPr="00992FA8">
              <w:rPr>
                <w:szCs w:val="24"/>
              </w:rPr>
              <w:instrText xml:space="preserve"> SEQ CHAPTER \h \r 1</w:instrText>
            </w:r>
            <w:r w:rsidR="004D20D2" w:rsidRPr="00992FA8">
              <w:rPr>
                <w:szCs w:val="24"/>
                <w:lang w:val="en-US"/>
              </w:rPr>
              <w:fldChar w:fldCharType="end"/>
            </w:r>
          </w:p>
        </w:tc>
      </w:tr>
      <w:tr w:rsidR="00992FA8" w:rsidRPr="00992FA8" w:rsidTr="00992FA8">
        <w:tc>
          <w:tcPr>
            <w:tcW w:w="1368" w:type="dxa"/>
          </w:tcPr>
          <w:p w:rsidR="00992FA8" w:rsidRPr="00992FA8" w:rsidRDefault="00992FA8" w:rsidP="00992FA8">
            <w:r w:rsidRPr="00992FA8">
              <w:t>BY / PAR</w:t>
            </w:r>
          </w:p>
        </w:tc>
        <w:tc>
          <w:tcPr>
            <w:tcW w:w="2970" w:type="dxa"/>
          </w:tcPr>
          <w:p w:rsidR="00992FA8" w:rsidRPr="00992FA8" w:rsidRDefault="00992FA8" w:rsidP="00992FA8">
            <w:r w:rsidRPr="00992FA8">
              <w:t>City of Toronto;</w:t>
            </w:r>
          </w:p>
        </w:tc>
        <w:tc>
          <w:tcPr>
            <w:tcW w:w="1170" w:type="dxa"/>
          </w:tcPr>
          <w:p w:rsidR="00992FA8" w:rsidRPr="00992FA8" w:rsidRDefault="00992FA8" w:rsidP="00992FA8"/>
        </w:tc>
        <w:tc>
          <w:tcPr>
            <w:tcW w:w="4327" w:type="dxa"/>
          </w:tcPr>
          <w:p w:rsidR="00992FA8" w:rsidRPr="00992FA8" w:rsidRDefault="00992FA8" w:rsidP="00992FA8"/>
        </w:tc>
      </w:tr>
      <w:tr w:rsidR="00992FA8" w:rsidRPr="00992FA8" w:rsidTr="00992FA8">
        <w:tc>
          <w:tcPr>
            <w:tcW w:w="1368" w:type="dxa"/>
          </w:tcPr>
          <w:p w:rsidR="00992FA8" w:rsidRPr="00992FA8" w:rsidRDefault="00992FA8" w:rsidP="00992FA8"/>
        </w:tc>
        <w:tc>
          <w:tcPr>
            <w:tcW w:w="2970" w:type="dxa"/>
          </w:tcPr>
          <w:p w:rsidR="00992FA8" w:rsidRPr="00992FA8" w:rsidRDefault="00992FA8" w:rsidP="00992FA8">
            <w:r w:rsidRPr="00992FA8">
              <w:t>Federation of Canadian Municipalities;</w:t>
            </w:r>
          </w:p>
        </w:tc>
        <w:tc>
          <w:tcPr>
            <w:tcW w:w="1170" w:type="dxa"/>
          </w:tcPr>
          <w:p w:rsidR="00992FA8" w:rsidRPr="00992FA8" w:rsidRDefault="00992FA8" w:rsidP="00992FA8"/>
        </w:tc>
        <w:tc>
          <w:tcPr>
            <w:tcW w:w="4327" w:type="dxa"/>
          </w:tcPr>
          <w:p w:rsidR="00992FA8" w:rsidRPr="00992FA8" w:rsidRDefault="00992FA8" w:rsidP="00992FA8"/>
        </w:tc>
      </w:tr>
      <w:tr w:rsidR="00992FA8" w:rsidRPr="00992FA8" w:rsidTr="00992FA8">
        <w:tc>
          <w:tcPr>
            <w:tcW w:w="1368" w:type="dxa"/>
          </w:tcPr>
          <w:p w:rsidR="00992FA8" w:rsidRPr="00992FA8" w:rsidRDefault="00992FA8" w:rsidP="00992FA8"/>
        </w:tc>
        <w:tc>
          <w:tcPr>
            <w:tcW w:w="2970" w:type="dxa"/>
          </w:tcPr>
          <w:p w:rsidR="00992FA8" w:rsidRPr="00992FA8" w:rsidRDefault="00992FA8" w:rsidP="00992FA8">
            <w:r w:rsidRPr="00992FA8">
              <w:t>Association of Canadian Port Authorities</w:t>
            </w:r>
          </w:p>
        </w:tc>
        <w:tc>
          <w:tcPr>
            <w:tcW w:w="1170" w:type="dxa"/>
          </w:tcPr>
          <w:p w:rsidR="00992FA8" w:rsidRPr="00992FA8" w:rsidRDefault="00992FA8" w:rsidP="00992FA8"/>
        </w:tc>
        <w:tc>
          <w:tcPr>
            <w:tcW w:w="4327" w:type="dxa"/>
          </w:tcPr>
          <w:p w:rsidR="00992FA8" w:rsidRPr="00992FA8" w:rsidRDefault="00992FA8" w:rsidP="00992FA8"/>
        </w:tc>
      </w:tr>
      <w:tr w:rsidR="00992FA8" w:rsidRPr="00992FA8" w:rsidTr="00992FA8">
        <w:tc>
          <w:tcPr>
            <w:tcW w:w="1368" w:type="dxa"/>
          </w:tcPr>
          <w:p w:rsidR="00992FA8" w:rsidRPr="00992FA8" w:rsidRDefault="00992FA8" w:rsidP="00992FA8"/>
        </w:tc>
        <w:tc>
          <w:tcPr>
            <w:tcW w:w="2970" w:type="dxa"/>
          </w:tcPr>
          <w:p w:rsidR="00992FA8" w:rsidRPr="00992FA8" w:rsidRDefault="00992FA8" w:rsidP="00992FA8"/>
        </w:tc>
        <w:tc>
          <w:tcPr>
            <w:tcW w:w="1170" w:type="dxa"/>
          </w:tcPr>
          <w:p w:rsidR="00992FA8" w:rsidRPr="00992FA8" w:rsidRDefault="00992FA8" w:rsidP="00992FA8"/>
        </w:tc>
        <w:tc>
          <w:tcPr>
            <w:tcW w:w="4327" w:type="dxa"/>
          </w:tcPr>
          <w:p w:rsidR="00992FA8" w:rsidRPr="00992FA8" w:rsidRDefault="00992FA8" w:rsidP="00992FA8"/>
        </w:tc>
      </w:tr>
      <w:tr w:rsidR="00992FA8" w:rsidRPr="00992FA8" w:rsidTr="00992FA8">
        <w:tc>
          <w:tcPr>
            <w:tcW w:w="1368" w:type="dxa"/>
          </w:tcPr>
          <w:p w:rsidR="00992FA8" w:rsidRPr="00992FA8" w:rsidRDefault="00992FA8" w:rsidP="00992FA8">
            <w:r w:rsidRPr="00992FA8">
              <w:t>IN / DANS :</w:t>
            </w:r>
          </w:p>
        </w:tc>
        <w:tc>
          <w:tcPr>
            <w:tcW w:w="2970" w:type="dxa"/>
          </w:tcPr>
          <w:p w:rsidR="00992FA8" w:rsidRPr="00992FA8" w:rsidRDefault="00992FA8" w:rsidP="00992FA8">
            <w:r w:rsidRPr="00992FA8">
              <w:t>Halifax Regional Municipality</w:t>
            </w:r>
          </w:p>
          <w:p w:rsidR="00992FA8" w:rsidRPr="00992FA8" w:rsidRDefault="00992FA8" w:rsidP="00992FA8"/>
        </w:tc>
        <w:tc>
          <w:tcPr>
            <w:tcW w:w="1170" w:type="dxa"/>
          </w:tcPr>
          <w:p w:rsidR="00992FA8" w:rsidRPr="00992FA8" w:rsidRDefault="00992FA8" w:rsidP="00992FA8"/>
        </w:tc>
        <w:tc>
          <w:tcPr>
            <w:tcW w:w="4327" w:type="dxa"/>
          </w:tcPr>
          <w:p w:rsidR="00992FA8" w:rsidRPr="00992FA8" w:rsidRDefault="00992FA8" w:rsidP="00992FA8"/>
        </w:tc>
      </w:tr>
      <w:tr w:rsidR="00992FA8" w:rsidRPr="00992FA8" w:rsidTr="00992FA8">
        <w:tc>
          <w:tcPr>
            <w:tcW w:w="1368" w:type="dxa"/>
          </w:tcPr>
          <w:p w:rsidR="00992FA8" w:rsidRPr="00992FA8" w:rsidRDefault="00992FA8" w:rsidP="00992FA8"/>
        </w:tc>
        <w:tc>
          <w:tcPr>
            <w:tcW w:w="2970" w:type="dxa"/>
          </w:tcPr>
          <w:p w:rsidR="00992FA8" w:rsidRPr="00992FA8" w:rsidRDefault="00992FA8" w:rsidP="00992FA8">
            <w:r w:rsidRPr="00992FA8">
              <w:tab/>
              <w:t>v. (33876)</w:t>
            </w:r>
          </w:p>
          <w:p w:rsidR="00992FA8" w:rsidRPr="00992FA8" w:rsidRDefault="00992FA8" w:rsidP="00992FA8"/>
        </w:tc>
        <w:tc>
          <w:tcPr>
            <w:tcW w:w="1170" w:type="dxa"/>
          </w:tcPr>
          <w:p w:rsidR="00992FA8" w:rsidRPr="00992FA8" w:rsidRDefault="00992FA8" w:rsidP="00992FA8"/>
        </w:tc>
        <w:tc>
          <w:tcPr>
            <w:tcW w:w="4327" w:type="dxa"/>
          </w:tcPr>
          <w:p w:rsidR="00992FA8" w:rsidRPr="00992FA8" w:rsidRDefault="00992FA8" w:rsidP="00992FA8"/>
        </w:tc>
      </w:tr>
      <w:tr w:rsidR="00992FA8" w:rsidRPr="00992FA8" w:rsidTr="00992FA8">
        <w:tc>
          <w:tcPr>
            <w:tcW w:w="1368" w:type="dxa"/>
          </w:tcPr>
          <w:p w:rsidR="00992FA8" w:rsidRPr="00992FA8" w:rsidRDefault="00992FA8" w:rsidP="00992FA8"/>
        </w:tc>
        <w:tc>
          <w:tcPr>
            <w:tcW w:w="2970" w:type="dxa"/>
          </w:tcPr>
          <w:p w:rsidR="00992FA8" w:rsidRPr="00992FA8" w:rsidRDefault="00992FA8" w:rsidP="00992FA8">
            <w:pPr>
              <w:jc w:val="both"/>
            </w:pPr>
            <w:r w:rsidRPr="00992FA8">
              <w:t>Her Majesty the Queen in Right of Canada, as represented by the Minister of Public Works and Government Services (F.C.)</w:t>
            </w:r>
          </w:p>
        </w:tc>
        <w:tc>
          <w:tcPr>
            <w:tcW w:w="1170" w:type="dxa"/>
          </w:tcPr>
          <w:p w:rsidR="00992FA8" w:rsidRPr="00992FA8" w:rsidRDefault="00992FA8" w:rsidP="00992FA8"/>
        </w:tc>
        <w:tc>
          <w:tcPr>
            <w:tcW w:w="4327" w:type="dxa"/>
          </w:tcPr>
          <w:p w:rsidR="00992FA8" w:rsidRPr="00992FA8" w:rsidRDefault="00992FA8" w:rsidP="00992FA8"/>
        </w:tc>
      </w:tr>
    </w:tbl>
    <w:p w:rsidR="00992FA8" w:rsidRPr="00992FA8" w:rsidRDefault="00992FA8" w:rsidP="00992FA8">
      <w:pPr>
        <w:tabs>
          <w:tab w:val="left" w:pos="-1440"/>
          <w:tab w:val="left" w:pos="-720"/>
        </w:tabs>
        <w:jc w:val="both"/>
        <w:rPr>
          <w:rFonts w:eastAsia="Times New Roman" w:cs="Times New Roman"/>
          <w:sz w:val="20"/>
          <w:szCs w:val="20"/>
          <w:lang w:eastAsia="en-CA"/>
        </w:rPr>
      </w:pPr>
    </w:p>
    <w:p w:rsidR="00992FA8" w:rsidRPr="00992FA8" w:rsidRDefault="00992FA8" w:rsidP="00992FA8">
      <w:pPr>
        <w:tabs>
          <w:tab w:val="left" w:pos="-1440"/>
          <w:tab w:val="left" w:pos="-720"/>
        </w:tabs>
        <w:jc w:val="both"/>
        <w:rPr>
          <w:rFonts w:eastAsia="Times New Roman" w:cs="Times New Roman"/>
          <w:b/>
          <w:sz w:val="20"/>
          <w:szCs w:val="20"/>
          <w:lang w:eastAsia="en-CA"/>
        </w:rPr>
      </w:pPr>
      <w:r w:rsidRPr="00992FA8">
        <w:rPr>
          <w:rFonts w:eastAsia="Times New Roman" w:cs="Times New Roman"/>
          <w:b/>
          <w:sz w:val="20"/>
          <w:szCs w:val="20"/>
          <w:lang w:eastAsia="en-CA"/>
        </w:rPr>
        <w:t>GRANTED / ACCORDÉES</w:t>
      </w:r>
    </w:p>
    <w:p w:rsidR="00992FA8" w:rsidRPr="00992FA8" w:rsidRDefault="00992FA8" w:rsidP="00992FA8">
      <w:pPr>
        <w:tabs>
          <w:tab w:val="left" w:pos="-1440"/>
          <w:tab w:val="left" w:pos="-720"/>
        </w:tabs>
        <w:jc w:val="both"/>
        <w:rPr>
          <w:rFonts w:eastAsia="Times New Roman" w:cs="Times New Roman"/>
          <w:sz w:val="20"/>
          <w:szCs w:val="20"/>
          <w:lang w:eastAsia="en-CA"/>
        </w:rPr>
      </w:pPr>
    </w:p>
    <w:p w:rsidR="00992FA8" w:rsidRPr="00992FA8" w:rsidRDefault="00992FA8" w:rsidP="00992FA8">
      <w:pPr>
        <w:spacing w:line="233" w:lineRule="auto"/>
        <w:jc w:val="both"/>
        <w:rPr>
          <w:rFonts w:eastAsia="Times New Roman" w:cs="Times New Roman"/>
          <w:sz w:val="20"/>
          <w:szCs w:val="20"/>
          <w:lang w:val="en-US" w:eastAsia="en-CA"/>
        </w:rPr>
      </w:pPr>
      <w:r w:rsidRPr="00992FA8">
        <w:rPr>
          <w:rFonts w:eastAsia="Times New Roman" w:cs="Times New Roman"/>
          <w:b/>
          <w:bCs/>
          <w:sz w:val="20"/>
          <w:szCs w:val="20"/>
          <w:lang w:val="en-US" w:eastAsia="en-CA"/>
        </w:rPr>
        <w:t xml:space="preserve">UPON APPLICATIONS </w:t>
      </w:r>
      <w:r w:rsidRPr="00992FA8">
        <w:rPr>
          <w:rFonts w:eastAsia="Times New Roman" w:cs="Times New Roman"/>
          <w:sz w:val="20"/>
          <w:szCs w:val="20"/>
          <w:lang w:val="en-US" w:eastAsia="en-CA"/>
        </w:rPr>
        <w:t>by the City of Toronto, the Federation of Canadian Municipalities and the Association of Canadian Port Authorities for leave to intervene in the above appeal;</w:t>
      </w:r>
    </w:p>
    <w:p w:rsidR="00992FA8" w:rsidRPr="00992FA8" w:rsidRDefault="00992FA8" w:rsidP="00992FA8">
      <w:pPr>
        <w:spacing w:line="233" w:lineRule="auto"/>
        <w:jc w:val="both"/>
        <w:rPr>
          <w:rFonts w:eastAsia="Times New Roman" w:cs="Times New Roman"/>
          <w:sz w:val="20"/>
          <w:szCs w:val="20"/>
          <w:lang w:val="en-US" w:eastAsia="en-CA"/>
        </w:rPr>
      </w:pPr>
    </w:p>
    <w:p w:rsidR="00992FA8" w:rsidRPr="00992FA8" w:rsidRDefault="00992FA8" w:rsidP="00992FA8">
      <w:pPr>
        <w:spacing w:line="233" w:lineRule="auto"/>
        <w:jc w:val="both"/>
        <w:rPr>
          <w:rFonts w:eastAsia="Times New Roman" w:cs="Times New Roman"/>
          <w:sz w:val="20"/>
          <w:szCs w:val="20"/>
          <w:lang w:val="en-US" w:eastAsia="en-CA"/>
        </w:rPr>
      </w:pPr>
      <w:r w:rsidRPr="00992FA8">
        <w:rPr>
          <w:rFonts w:eastAsia="Times New Roman" w:cs="Times New Roman"/>
          <w:b/>
          <w:bCs/>
          <w:sz w:val="20"/>
          <w:szCs w:val="20"/>
          <w:lang w:val="en-US" w:eastAsia="en-CA"/>
        </w:rPr>
        <w:t>AND THE MATERIAL FILED</w:t>
      </w:r>
      <w:r w:rsidRPr="00992FA8">
        <w:rPr>
          <w:rFonts w:eastAsia="Times New Roman" w:cs="Times New Roman"/>
          <w:sz w:val="20"/>
          <w:szCs w:val="20"/>
          <w:lang w:val="en-US" w:eastAsia="en-CA"/>
        </w:rPr>
        <w:t xml:space="preserve"> having been read;</w:t>
      </w:r>
    </w:p>
    <w:p w:rsidR="00992FA8" w:rsidRPr="00992FA8" w:rsidRDefault="00992FA8" w:rsidP="00992FA8">
      <w:pPr>
        <w:spacing w:line="233" w:lineRule="auto"/>
        <w:jc w:val="both"/>
        <w:rPr>
          <w:rFonts w:eastAsia="Times New Roman" w:cs="Times New Roman"/>
          <w:sz w:val="20"/>
          <w:szCs w:val="20"/>
          <w:lang w:val="en-US" w:eastAsia="en-CA"/>
        </w:rPr>
      </w:pPr>
    </w:p>
    <w:p w:rsidR="00992FA8" w:rsidRPr="00992FA8" w:rsidRDefault="00992FA8" w:rsidP="00992FA8">
      <w:pPr>
        <w:spacing w:line="233" w:lineRule="auto"/>
        <w:jc w:val="both"/>
        <w:rPr>
          <w:rFonts w:eastAsia="Times New Roman" w:cs="Times New Roman"/>
          <w:sz w:val="20"/>
          <w:szCs w:val="20"/>
          <w:lang w:val="en-US" w:eastAsia="en-CA"/>
        </w:rPr>
      </w:pPr>
      <w:r w:rsidRPr="00992FA8">
        <w:rPr>
          <w:rFonts w:eastAsia="Times New Roman" w:cs="Times New Roman"/>
          <w:b/>
          <w:bCs/>
          <w:sz w:val="20"/>
          <w:szCs w:val="20"/>
          <w:lang w:val="en-US" w:eastAsia="en-CA"/>
        </w:rPr>
        <w:t>IT IS HEREBY ORDERED THAT:</w:t>
      </w:r>
    </w:p>
    <w:p w:rsidR="00992FA8" w:rsidRPr="00992FA8" w:rsidRDefault="00992FA8" w:rsidP="00992FA8">
      <w:pPr>
        <w:spacing w:line="233" w:lineRule="auto"/>
        <w:jc w:val="both"/>
        <w:rPr>
          <w:rFonts w:eastAsia="Times New Roman" w:cs="Times New Roman"/>
          <w:sz w:val="20"/>
          <w:szCs w:val="20"/>
          <w:lang w:val="en-US" w:eastAsia="en-CA"/>
        </w:rPr>
      </w:pPr>
    </w:p>
    <w:p w:rsidR="00992FA8" w:rsidRPr="00992FA8" w:rsidRDefault="00992FA8" w:rsidP="00992FA8">
      <w:pPr>
        <w:spacing w:line="233" w:lineRule="auto"/>
        <w:jc w:val="both"/>
        <w:rPr>
          <w:rFonts w:eastAsia="Times New Roman" w:cs="Times New Roman"/>
          <w:sz w:val="20"/>
          <w:szCs w:val="20"/>
          <w:lang w:val="en-US" w:eastAsia="en-CA"/>
        </w:rPr>
      </w:pPr>
      <w:r w:rsidRPr="00992FA8">
        <w:rPr>
          <w:rFonts w:eastAsia="Times New Roman" w:cs="Times New Roman"/>
          <w:sz w:val="20"/>
          <w:szCs w:val="20"/>
          <w:lang w:val="en-US" w:eastAsia="en-CA"/>
        </w:rPr>
        <w:t>The motions for leave to intervene of the City of Toronto, the Federation of Canadian Municipalities and the Association of Canadian Port Authorities are granted and the said interveners shall be entitled to serve and file a factum not to exceed 10 pages in length.</w:t>
      </w:r>
    </w:p>
    <w:p w:rsidR="00992FA8" w:rsidRPr="00992FA8" w:rsidRDefault="00992FA8" w:rsidP="00992FA8">
      <w:pPr>
        <w:spacing w:line="233" w:lineRule="auto"/>
        <w:jc w:val="both"/>
        <w:rPr>
          <w:rFonts w:eastAsia="Times New Roman" w:cs="Times New Roman"/>
          <w:sz w:val="20"/>
          <w:szCs w:val="20"/>
          <w:lang w:val="en-US" w:eastAsia="en-CA"/>
        </w:rPr>
      </w:pPr>
    </w:p>
    <w:p w:rsidR="00992FA8" w:rsidRPr="00992FA8" w:rsidRDefault="00992FA8" w:rsidP="00992FA8">
      <w:pPr>
        <w:spacing w:line="233" w:lineRule="auto"/>
        <w:jc w:val="both"/>
        <w:rPr>
          <w:rFonts w:eastAsia="Times New Roman" w:cs="Times New Roman"/>
          <w:sz w:val="20"/>
          <w:szCs w:val="20"/>
          <w:lang w:val="en-US" w:eastAsia="en-CA"/>
        </w:rPr>
      </w:pPr>
      <w:r w:rsidRPr="00992FA8">
        <w:rPr>
          <w:rFonts w:eastAsia="Times New Roman" w:cs="Times New Roman"/>
          <w:sz w:val="20"/>
          <w:szCs w:val="20"/>
          <w:lang w:val="en-US" w:eastAsia="en-CA"/>
        </w:rPr>
        <w:t>The request to present oral argument is deferred to a date following receipt and consideration of the written arguments of the parties and the interveners.</w:t>
      </w:r>
    </w:p>
    <w:p w:rsidR="00992FA8" w:rsidRPr="00992FA8" w:rsidRDefault="00992FA8" w:rsidP="00992FA8">
      <w:pPr>
        <w:spacing w:line="233" w:lineRule="auto"/>
        <w:jc w:val="both"/>
        <w:rPr>
          <w:rFonts w:eastAsia="Times New Roman" w:cs="Times New Roman"/>
          <w:sz w:val="20"/>
          <w:szCs w:val="20"/>
          <w:lang w:val="en-US" w:eastAsia="en-CA"/>
        </w:rPr>
      </w:pPr>
    </w:p>
    <w:p w:rsidR="00992FA8" w:rsidRPr="00992FA8" w:rsidRDefault="00992FA8" w:rsidP="00992FA8">
      <w:pPr>
        <w:spacing w:line="233" w:lineRule="auto"/>
        <w:jc w:val="both"/>
        <w:rPr>
          <w:rFonts w:eastAsia="Times New Roman" w:cs="Times New Roman"/>
          <w:sz w:val="20"/>
          <w:szCs w:val="20"/>
          <w:lang w:val="en-US" w:eastAsia="en-CA"/>
        </w:rPr>
      </w:pPr>
      <w:r w:rsidRPr="00992FA8">
        <w:rPr>
          <w:rFonts w:eastAsia="Times New Roman" w:cs="Times New Roman"/>
          <w:sz w:val="20"/>
          <w:szCs w:val="20"/>
          <w:lang w:val="en-US" w:eastAsia="en-CA"/>
        </w:rPr>
        <w:t>The interveners shall not be entitled to raise new issues or to adduce further evidence or otherwise to supplement the record of the parties.</w:t>
      </w:r>
    </w:p>
    <w:p w:rsidR="00992FA8" w:rsidRPr="00992FA8" w:rsidRDefault="00992FA8" w:rsidP="00992FA8">
      <w:pPr>
        <w:spacing w:line="233" w:lineRule="auto"/>
        <w:jc w:val="both"/>
        <w:rPr>
          <w:rFonts w:eastAsia="Times New Roman" w:cs="Times New Roman"/>
          <w:sz w:val="20"/>
          <w:szCs w:val="20"/>
          <w:lang w:val="en-US" w:eastAsia="en-CA"/>
        </w:rPr>
      </w:pPr>
    </w:p>
    <w:p w:rsidR="00992FA8" w:rsidRPr="00992FA8" w:rsidRDefault="00992FA8" w:rsidP="00992FA8">
      <w:pPr>
        <w:spacing w:line="233" w:lineRule="auto"/>
        <w:jc w:val="both"/>
        <w:rPr>
          <w:rFonts w:eastAsia="Times New Roman" w:cs="Times New Roman"/>
          <w:sz w:val="20"/>
          <w:szCs w:val="20"/>
          <w:lang w:val="en-US" w:eastAsia="en-CA"/>
        </w:rPr>
      </w:pPr>
      <w:r w:rsidRPr="00992FA8">
        <w:rPr>
          <w:rFonts w:eastAsia="Times New Roman" w:cs="Times New Roman"/>
          <w:sz w:val="20"/>
          <w:szCs w:val="20"/>
          <w:lang w:val="en-US" w:eastAsia="en-CA"/>
        </w:rPr>
        <w:t>Pursuant to Rule 59(1)(</w:t>
      </w:r>
      <w:r w:rsidRPr="00992FA8">
        <w:rPr>
          <w:rFonts w:eastAsia="Times New Roman" w:cs="Times New Roman"/>
          <w:i/>
          <w:iCs/>
          <w:sz w:val="20"/>
          <w:szCs w:val="20"/>
          <w:lang w:val="en-US" w:eastAsia="en-CA"/>
        </w:rPr>
        <w:t>a</w:t>
      </w:r>
      <w:r w:rsidRPr="00992FA8">
        <w:rPr>
          <w:rFonts w:eastAsia="Times New Roman" w:cs="Times New Roman"/>
          <w:sz w:val="20"/>
          <w:szCs w:val="20"/>
          <w:lang w:val="en-US" w:eastAsia="en-CA"/>
        </w:rPr>
        <w:t xml:space="preserve">) of the </w:t>
      </w:r>
      <w:r w:rsidRPr="00992FA8">
        <w:rPr>
          <w:rFonts w:eastAsia="Times New Roman" w:cs="Times New Roman"/>
          <w:i/>
          <w:iCs/>
          <w:sz w:val="20"/>
          <w:szCs w:val="20"/>
          <w:lang w:val="en-US" w:eastAsia="en-CA"/>
        </w:rPr>
        <w:t>Rules of the Supreme Court of Canada</w:t>
      </w:r>
      <w:r w:rsidRPr="00992FA8">
        <w:rPr>
          <w:rFonts w:eastAsia="Times New Roman" w:cs="Times New Roman"/>
          <w:sz w:val="20"/>
          <w:szCs w:val="20"/>
          <w:lang w:val="en-US" w:eastAsia="en-CA"/>
        </w:rPr>
        <w:t>, the interveners shall pay to the appellant and respondent any additional disbursements occasioned to the appellant and respondent by their intervention.</w:t>
      </w:r>
    </w:p>
    <w:p w:rsidR="00992FA8" w:rsidRPr="00992FA8" w:rsidRDefault="00992FA8" w:rsidP="00992FA8">
      <w:pPr>
        <w:tabs>
          <w:tab w:val="left" w:pos="-1440"/>
          <w:tab w:val="left" w:pos="-720"/>
        </w:tabs>
        <w:jc w:val="both"/>
        <w:rPr>
          <w:rFonts w:eastAsia="Times New Roman" w:cs="Times New Roman"/>
          <w:sz w:val="20"/>
          <w:szCs w:val="20"/>
          <w:lang w:val="en-US" w:eastAsia="en-CA"/>
        </w:rPr>
      </w:pPr>
    </w:p>
    <w:p w:rsidR="00992FA8" w:rsidRPr="00992FA8" w:rsidRDefault="00992FA8" w:rsidP="00992FA8">
      <w:pPr>
        <w:tabs>
          <w:tab w:val="left" w:pos="-1440"/>
          <w:tab w:val="left" w:pos="-720"/>
        </w:tabs>
        <w:jc w:val="both"/>
        <w:rPr>
          <w:rFonts w:eastAsia="Times New Roman" w:cs="Times New Roman"/>
          <w:sz w:val="20"/>
          <w:szCs w:val="20"/>
          <w:lang w:val="en-US" w:eastAsia="en-CA"/>
        </w:rPr>
      </w:pPr>
    </w:p>
    <w:p w:rsidR="00992FA8" w:rsidRPr="00992FA8" w:rsidRDefault="00992FA8" w:rsidP="00992FA8">
      <w:pPr>
        <w:tabs>
          <w:tab w:val="left" w:pos="-1440"/>
          <w:tab w:val="left" w:pos="-720"/>
        </w:tabs>
        <w:jc w:val="both"/>
        <w:rPr>
          <w:rFonts w:eastAsia="Times New Roman" w:cs="Times New Roman"/>
          <w:sz w:val="20"/>
          <w:szCs w:val="20"/>
          <w:lang w:val="en-US" w:eastAsia="en-CA"/>
        </w:rPr>
      </w:pPr>
    </w:p>
    <w:p w:rsidR="00992FA8" w:rsidRPr="00992FA8" w:rsidRDefault="00992FA8" w:rsidP="00992FA8">
      <w:pPr>
        <w:spacing w:line="233" w:lineRule="auto"/>
        <w:jc w:val="both"/>
        <w:rPr>
          <w:rFonts w:eastAsia="Times New Roman" w:cs="Times New Roman"/>
          <w:sz w:val="20"/>
          <w:szCs w:val="20"/>
          <w:lang w:val="fr-FR" w:eastAsia="en-CA"/>
        </w:rPr>
      </w:pPr>
      <w:r w:rsidRPr="00992FA8">
        <w:rPr>
          <w:rFonts w:eastAsia="Times New Roman" w:cs="Times New Roman"/>
          <w:b/>
          <w:sz w:val="20"/>
          <w:szCs w:val="20"/>
          <w:lang w:val="fr-FR" w:eastAsia="en-CA"/>
        </w:rPr>
        <w:t>À LA SUITE DES DEMANDES</w:t>
      </w:r>
      <w:r w:rsidRPr="00992FA8">
        <w:rPr>
          <w:rFonts w:eastAsia="Times New Roman" w:cs="Times New Roman"/>
          <w:sz w:val="20"/>
          <w:szCs w:val="20"/>
          <w:lang w:val="fr-FR" w:eastAsia="en-CA"/>
        </w:rPr>
        <w:t xml:space="preserve"> présentées par la Ville de Toronto, par la Fédération </w:t>
      </w:r>
      <w:r w:rsidRPr="00992FA8">
        <w:rPr>
          <w:rFonts w:eastAsia="Times New Roman" w:cs="Times New Roman"/>
          <w:bCs/>
          <w:sz w:val="20"/>
          <w:szCs w:val="20"/>
          <w:lang w:val="fr-FR" w:eastAsia="en-CA"/>
        </w:rPr>
        <w:t>canadienne des municipalités</w:t>
      </w:r>
      <w:r w:rsidRPr="00992FA8">
        <w:rPr>
          <w:rFonts w:ascii="Verdana" w:eastAsia="Times New Roman" w:hAnsi="Verdana" w:cs="Times New Roman"/>
          <w:b/>
          <w:bCs/>
          <w:color w:val="003366"/>
          <w:sz w:val="20"/>
          <w:szCs w:val="20"/>
          <w:lang w:val="fr-FR" w:eastAsia="en-CA"/>
        </w:rPr>
        <w:t xml:space="preserve"> </w:t>
      </w:r>
      <w:r w:rsidRPr="00992FA8">
        <w:rPr>
          <w:rFonts w:eastAsia="Times New Roman" w:cs="Times New Roman"/>
          <w:sz w:val="20"/>
          <w:szCs w:val="20"/>
          <w:lang w:val="fr-FR" w:eastAsia="en-CA"/>
        </w:rPr>
        <w:t xml:space="preserve">et par l’Association des administrations portuaires canadiennes en vue d'intervenir dans l'appel; </w:t>
      </w:r>
    </w:p>
    <w:p w:rsidR="00992FA8" w:rsidRPr="00992FA8" w:rsidRDefault="00992FA8" w:rsidP="00992FA8">
      <w:pPr>
        <w:spacing w:line="233" w:lineRule="auto"/>
        <w:jc w:val="both"/>
        <w:rPr>
          <w:rFonts w:eastAsia="Times New Roman" w:cs="Times New Roman"/>
          <w:sz w:val="20"/>
          <w:szCs w:val="20"/>
          <w:lang w:val="fr-FR" w:eastAsia="en-CA"/>
        </w:rPr>
      </w:pPr>
    </w:p>
    <w:p w:rsidR="00992FA8" w:rsidRPr="00992FA8" w:rsidRDefault="00992FA8" w:rsidP="00992FA8">
      <w:pPr>
        <w:spacing w:line="233" w:lineRule="auto"/>
        <w:jc w:val="both"/>
        <w:rPr>
          <w:rFonts w:eastAsia="Times New Roman" w:cs="Times New Roman"/>
          <w:sz w:val="20"/>
          <w:szCs w:val="20"/>
          <w:lang w:val="fr-FR" w:eastAsia="en-CA"/>
        </w:rPr>
      </w:pPr>
      <w:r w:rsidRPr="00992FA8">
        <w:rPr>
          <w:rFonts w:eastAsia="Times New Roman" w:cs="Times New Roman"/>
          <w:b/>
          <w:sz w:val="20"/>
          <w:szCs w:val="20"/>
          <w:lang w:val="fr-FR" w:eastAsia="en-CA"/>
        </w:rPr>
        <w:t>ET APRÈS EXAMEN</w:t>
      </w:r>
      <w:r w:rsidRPr="00992FA8">
        <w:rPr>
          <w:rFonts w:eastAsia="Times New Roman" w:cs="Times New Roman"/>
          <w:sz w:val="20"/>
          <w:szCs w:val="20"/>
          <w:lang w:val="fr-FR" w:eastAsia="en-CA"/>
        </w:rPr>
        <w:t xml:space="preserve"> des documents déposés ; </w:t>
      </w:r>
    </w:p>
    <w:p w:rsidR="00992FA8" w:rsidRPr="00992FA8" w:rsidRDefault="00992FA8" w:rsidP="00992FA8">
      <w:pPr>
        <w:spacing w:line="233" w:lineRule="auto"/>
        <w:jc w:val="both"/>
        <w:rPr>
          <w:rFonts w:eastAsia="Times New Roman" w:cs="Times New Roman"/>
          <w:sz w:val="20"/>
          <w:szCs w:val="20"/>
          <w:lang w:val="fr-FR" w:eastAsia="en-CA"/>
        </w:rPr>
      </w:pPr>
    </w:p>
    <w:p w:rsidR="00992FA8" w:rsidRPr="00992FA8" w:rsidRDefault="00992FA8" w:rsidP="00992FA8">
      <w:pPr>
        <w:spacing w:line="233" w:lineRule="auto"/>
        <w:jc w:val="both"/>
        <w:rPr>
          <w:rFonts w:eastAsia="Times New Roman" w:cs="Times New Roman"/>
          <w:b/>
          <w:sz w:val="20"/>
          <w:szCs w:val="20"/>
          <w:lang w:val="fr-FR" w:eastAsia="en-CA"/>
        </w:rPr>
      </w:pPr>
      <w:r w:rsidRPr="00992FA8">
        <w:rPr>
          <w:rFonts w:eastAsia="Times New Roman" w:cs="Times New Roman"/>
          <w:b/>
          <w:sz w:val="20"/>
          <w:szCs w:val="20"/>
          <w:lang w:val="fr-FR" w:eastAsia="en-CA"/>
        </w:rPr>
        <w:t xml:space="preserve">IL EST ORDONNÉ CE QUI SUIT : </w:t>
      </w:r>
    </w:p>
    <w:p w:rsidR="00992FA8" w:rsidRPr="00992FA8" w:rsidRDefault="00992FA8" w:rsidP="00992FA8">
      <w:pPr>
        <w:spacing w:line="233" w:lineRule="auto"/>
        <w:jc w:val="both"/>
        <w:rPr>
          <w:rFonts w:eastAsia="Times New Roman" w:cs="Times New Roman"/>
          <w:sz w:val="20"/>
          <w:szCs w:val="20"/>
          <w:lang w:val="fr-FR" w:eastAsia="en-CA"/>
        </w:rPr>
      </w:pPr>
    </w:p>
    <w:p w:rsidR="00992FA8" w:rsidRPr="00992FA8" w:rsidRDefault="00992FA8" w:rsidP="00992FA8">
      <w:pPr>
        <w:spacing w:line="233" w:lineRule="auto"/>
        <w:jc w:val="both"/>
        <w:rPr>
          <w:rFonts w:eastAsia="Times New Roman" w:cs="Times New Roman"/>
          <w:sz w:val="20"/>
          <w:szCs w:val="20"/>
          <w:lang w:val="fr-FR" w:eastAsia="en-CA"/>
        </w:rPr>
      </w:pPr>
      <w:r w:rsidRPr="00992FA8">
        <w:rPr>
          <w:rFonts w:eastAsia="Times New Roman" w:cs="Times New Roman"/>
          <w:sz w:val="20"/>
          <w:szCs w:val="20"/>
          <w:lang w:val="fr-FR" w:eastAsia="en-CA"/>
        </w:rPr>
        <w:t xml:space="preserve">Les requêtes en autorisation d'intervenir présentées par la Ville de Toronto, par la Fédération </w:t>
      </w:r>
      <w:r w:rsidRPr="00992FA8">
        <w:rPr>
          <w:rFonts w:eastAsia="Times New Roman" w:cs="Times New Roman"/>
          <w:bCs/>
          <w:sz w:val="20"/>
          <w:szCs w:val="20"/>
          <w:lang w:val="fr-FR" w:eastAsia="en-CA"/>
        </w:rPr>
        <w:t>canadienne des municipalités</w:t>
      </w:r>
      <w:r w:rsidRPr="00992FA8">
        <w:rPr>
          <w:rFonts w:ascii="Verdana" w:eastAsia="Times New Roman" w:hAnsi="Verdana" w:cs="Times New Roman"/>
          <w:b/>
          <w:bCs/>
          <w:color w:val="003366"/>
          <w:sz w:val="20"/>
          <w:szCs w:val="20"/>
          <w:lang w:val="fr-FR" w:eastAsia="en-CA"/>
        </w:rPr>
        <w:t xml:space="preserve"> </w:t>
      </w:r>
      <w:r w:rsidRPr="00992FA8">
        <w:rPr>
          <w:rFonts w:eastAsia="Times New Roman" w:cs="Times New Roman"/>
          <w:sz w:val="20"/>
          <w:szCs w:val="20"/>
          <w:lang w:val="fr-FR" w:eastAsia="en-CA"/>
        </w:rPr>
        <w:t xml:space="preserve">et par l’Association des administrations portuaires canadiennes sont accordées.  Ces intervenants pourront signifier et déposer un mémoire d'au plus 10 pages. </w:t>
      </w:r>
    </w:p>
    <w:p w:rsidR="00992FA8" w:rsidRPr="00992FA8" w:rsidRDefault="00992FA8" w:rsidP="00992FA8">
      <w:pPr>
        <w:spacing w:line="233" w:lineRule="auto"/>
        <w:jc w:val="both"/>
        <w:rPr>
          <w:rFonts w:eastAsia="Times New Roman" w:cs="Times New Roman"/>
          <w:sz w:val="20"/>
          <w:szCs w:val="20"/>
          <w:lang w:val="fr-FR" w:eastAsia="en-CA"/>
        </w:rPr>
      </w:pPr>
      <w:r w:rsidRPr="00992FA8">
        <w:rPr>
          <w:rFonts w:eastAsia="Times New Roman" w:cs="Times New Roman"/>
          <w:sz w:val="20"/>
          <w:szCs w:val="20"/>
          <w:lang w:val="fr-FR" w:eastAsia="en-CA"/>
        </w:rPr>
        <w:lastRenderedPageBreak/>
        <w:t>La décision sur les demandes en vue de présenter une plaidoirie orale sera rendue après réception et examen des arguments écrits des parties et des intervenants.</w:t>
      </w:r>
    </w:p>
    <w:p w:rsidR="00992FA8" w:rsidRPr="00992FA8" w:rsidRDefault="00992FA8" w:rsidP="00992FA8">
      <w:pPr>
        <w:spacing w:line="233" w:lineRule="auto"/>
        <w:jc w:val="both"/>
        <w:rPr>
          <w:rFonts w:eastAsia="Times New Roman" w:cs="Times New Roman"/>
          <w:sz w:val="20"/>
          <w:szCs w:val="20"/>
          <w:lang w:val="fr-FR" w:eastAsia="en-CA"/>
        </w:rPr>
      </w:pPr>
    </w:p>
    <w:p w:rsidR="00992FA8" w:rsidRPr="00992FA8" w:rsidRDefault="00992FA8" w:rsidP="00992FA8">
      <w:pPr>
        <w:spacing w:line="233" w:lineRule="auto"/>
        <w:jc w:val="both"/>
        <w:rPr>
          <w:rFonts w:eastAsia="Times New Roman" w:cs="Times New Roman"/>
          <w:sz w:val="20"/>
          <w:szCs w:val="20"/>
          <w:lang w:val="fr-FR" w:eastAsia="en-CA"/>
        </w:rPr>
      </w:pPr>
      <w:r w:rsidRPr="00992FA8">
        <w:rPr>
          <w:rFonts w:eastAsia="Times New Roman" w:cs="Times New Roman"/>
          <w:sz w:val="20"/>
          <w:szCs w:val="20"/>
          <w:lang w:val="fr-FR" w:eastAsia="en-CA"/>
        </w:rPr>
        <w:t>Les intervenants n'ont pas le droit de soulever de nouvelles questions, de produire d'autres éléments de preuve ni de compléter de quelque autre façon le dossier des parties.</w:t>
      </w:r>
    </w:p>
    <w:p w:rsidR="00992FA8" w:rsidRPr="00992FA8" w:rsidRDefault="00992FA8" w:rsidP="00992FA8">
      <w:pPr>
        <w:spacing w:line="233" w:lineRule="auto"/>
        <w:jc w:val="both"/>
        <w:rPr>
          <w:rFonts w:eastAsia="Times New Roman" w:cs="Times New Roman"/>
          <w:sz w:val="20"/>
          <w:szCs w:val="20"/>
          <w:lang w:val="fr-FR" w:eastAsia="en-CA"/>
        </w:rPr>
      </w:pPr>
    </w:p>
    <w:p w:rsidR="00992FA8" w:rsidRPr="00992FA8" w:rsidRDefault="00992FA8" w:rsidP="00992FA8">
      <w:pPr>
        <w:spacing w:line="233" w:lineRule="auto"/>
        <w:jc w:val="both"/>
        <w:rPr>
          <w:rFonts w:eastAsia="Times New Roman" w:cs="Times New Roman"/>
          <w:sz w:val="20"/>
          <w:szCs w:val="20"/>
          <w:lang w:val="fr-FR" w:eastAsia="en-CA"/>
        </w:rPr>
      </w:pPr>
      <w:r w:rsidRPr="00992FA8">
        <w:rPr>
          <w:rFonts w:eastAsia="Times New Roman" w:cs="Times New Roman"/>
          <w:sz w:val="20"/>
          <w:szCs w:val="20"/>
          <w:lang w:val="fr-FR" w:eastAsia="en-CA"/>
        </w:rPr>
        <w:t>Conformément à l'alinéa 59(1)</w:t>
      </w:r>
      <w:r w:rsidRPr="00992FA8">
        <w:rPr>
          <w:rFonts w:eastAsia="Times New Roman" w:cs="Times New Roman"/>
          <w:i/>
          <w:sz w:val="20"/>
          <w:szCs w:val="20"/>
          <w:lang w:val="fr-FR" w:eastAsia="en-CA"/>
        </w:rPr>
        <w:t>a</w:t>
      </w:r>
      <w:r w:rsidRPr="00992FA8">
        <w:rPr>
          <w:rFonts w:eastAsia="Times New Roman" w:cs="Times New Roman"/>
          <w:sz w:val="20"/>
          <w:szCs w:val="20"/>
          <w:lang w:val="fr-FR" w:eastAsia="en-CA"/>
        </w:rPr>
        <w:t xml:space="preserve">) des </w:t>
      </w:r>
      <w:r w:rsidRPr="00992FA8">
        <w:rPr>
          <w:rFonts w:eastAsia="Times New Roman" w:cs="Times New Roman"/>
          <w:i/>
          <w:sz w:val="20"/>
          <w:szCs w:val="20"/>
          <w:lang w:val="fr-FR" w:eastAsia="en-CA"/>
        </w:rPr>
        <w:t>Règles de la Cour suprême du Canada</w:t>
      </w:r>
      <w:r w:rsidRPr="00992FA8">
        <w:rPr>
          <w:rFonts w:eastAsia="Times New Roman" w:cs="Times New Roman"/>
          <w:sz w:val="20"/>
          <w:szCs w:val="20"/>
          <w:lang w:val="fr-FR" w:eastAsia="en-CA"/>
        </w:rPr>
        <w:t>, les intervenants paieront à l'appelante et à l'intimée tous débours supplémentaires résultant de leur intervention.</w:t>
      </w:r>
    </w:p>
    <w:p w:rsidR="00992FA8" w:rsidRPr="00992FA8" w:rsidRDefault="00992FA8" w:rsidP="00992FA8">
      <w:pPr>
        <w:tabs>
          <w:tab w:val="left" w:pos="-1440"/>
          <w:tab w:val="left" w:pos="-720"/>
        </w:tabs>
        <w:jc w:val="both"/>
        <w:rPr>
          <w:rFonts w:eastAsia="Times New Roman" w:cs="Times New Roman"/>
          <w:sz w:val="20"/>
          <w:szCs w:val="20"/>
          <w:lang w:val="fr-FR" w:eastAsia="en-CA"/>
        </w:rPr>
      </w:pPr>
    </w:p>
    <w:p w:rsidR="00992FA8" w:rsidRPr="00992FA8" w:rsidRDefault="004D20D2" w:rsidP="00992FA8">
      <w:pPr>
        <w:tabs>
          <w:tab w:val="left" w:pos="-1440"/>
          <w:tab w:val="left" w:pos="-720"/>
        </w:tabs>
        <w:jc w:val="both"/>
        <w:rPr>
          <w:rFonts w:eastAsia="Times New Roman" w:cs="Times New Roman"/>
          <w:sz w:val="20"/>
          <w:szCs w:val="20"/>
          <w:lang w:val="fr-CA" w:eastAsia="en-CA"/>
        </w:rPr>
      </w:pPr>
      <w:r w:rsidRPr="004D20D2">
        <w:rPr>
          <w:rFonts w:eastAsia="Times New Roman" w:cs="Times New Roman"/>
          <w:sz w:val="20"/>
          <w:szCs w:val="20"/>
          <w:lang w:val="fr-CA" w:eastAsia="en-CA"/>
        </w:rPr>
        <w:pict>
          <v:rect id="_x0000_i1050" style="width:2in;height:1pt" o:hrpct="0" o:hralign="center" o:hrstd="t" o:hrnoshade="t" o:hr="t" fillcolor="black [3213]" stroked="f"/>
        </w:pict>
      </w:r>
    </w:p>
    <w:p w:rsidR="00992FA8" w:rsidRPr="00992FA8" w:rsidRDefault="00992FA8" w:rsidP="00992FA8">
      <w:pPr>
        <w:tabs>
          <w:tab w:val="left" w:pos="-1440"/>
          <w:tab w:val="left" w:pos="-720"/>
        </w:tabs>
        <w:jc w:val="both"/>
        <w:rPr>
          <w:rFonts w:eastAsia="Times New Roman" w:cs="Times New Roman"/>
          <w:sz w:val="20"/>
          <w:szCs w:val="20"/>
          <w:lang w:eastAsia="en-CA"/>
        </w:rPr>
      </w:pPr>
    </w:p>
    <w:p w:rsidR="00992FA8" w:rsidRPr="00992FA8" w:rsidRDefault="00992FA8" w:rsidP="00992FA8">
      <w:pPr>
        <w:tabs>
          <w:tab w:val="left" w:pos="-1440"/>
          <w:tab w:val="left" w:pos="-720"/>
        </w:tabs>
        <w:jc w:val="both"/>
        <w:rPr>
          <w:rFonts w:eastAsia="Times New Roman" w:cs="Times New Roman"/>
          <w:sz w:val="20"/>
          <w:szCs w:val="20"/>
          <w:lang w:val="fr-CA" w:eastAsia="en-CA"/>
        </w:rPr>
      </w:pPr>
      <w:r w:rsidRPr="00992FA8">
        <w:rPr>
          <w:rFonts w:eastAsia="Times New Roman" w:cs="Times New Roman"/>
          <w:sz w:val="20"/>
          <w:szCs w:val="20"/>
          <w:lang w:val="fr-CA" w:eastAsia="en-CA"/>
        </w:rPr>
        <w:t>19.07.2011</w:t>
      </w:r>
    </w:p>
    <w:p w:rsidR="00992FA8" w:rsidRPr="00992FA8" w:rsidRDefault="00992FA8" w:rsidP="00992FA8">
      <w:pPr>
        <w:tabs>
          <w:tab w:val="left" w:pos="-1440"/>
          <w:tab w:val="left" w:pos="-720"/>
        </w:tabs>
        <w:jc w:val="both"/>
        <w:rPr>
          <w:rFonts w:eastAsia="Times New Roman" w:cs="Times New Roman"/>
          <w:sz w:val="20"/>
          <w:szCs w:val="20"/>
          <w:lang w:val="fr-CA" w:eastAsia="en-CA"/>
        </w:rPr>
      </w:pPr>
    </w:p>
    <w:p w:rsidR="00992FA8" w:rsidRPr="00992FA8" w:rsidRDefault="00992FA8" w:rsidP="00992FA8">
      <w:pPr>
        <w:tabs>
          <w:tab w:val="left" w:pos="-1440"/>
          <w:tab w:val="left" w:pos="-720"/>
        </w:tabs>
        <w:jc w:val="both"/>
        <w:rPr>
          <w:rFonts w:eastAsia="Times New Roman" w:cs="Times New Roman"/>
          <w:sz w:val="20"/>
          <w:szCs w:val="20"/>
          <w:lang w:val="fr-CA" w:eastAsia="en-CA"/>
        </w:rPr>
      </w:pPr>
      <w:r w:rsidRPr="00992FA8">
        <w:rPr>
          <w:rFonts w:eastAsia="Times New Roman" w:cs="Times New Roman"/>
          <w:sz w:val="20"/>
          <w:szCs w:val="20"/>
          <w:lang w:val="fr-CA" w:eastAsia="en-CA"/>
        </w:rPr>
        <w:t>Before / Devant :   LEBEL J. / LE JUGE LEBEL</w:t>
      </w:r>
    </w:p>
    <w:p w:rsidR="00992FA8" w:rsidRPr="00992FA8" w:rsidRDefault="00992FA8" w:rsidP="00992FA8">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2970"/>
        <w:gridCol w:w="1170"/>
        <w:gridCol w:w="4327"/>
      </w:tblGrid>
      <w:tr w:rsidR="00992FA8" w:rsidRPr="00992FA8" w:rsidTr="00992FA8">
        <w:tc>
          <w:tcPr>
            <w:tcW w:w="4338" w:type="dxa"/>
            <w:gridSpan w:val="2"/>
          </w:tcPr>
          <w:p w:rsidR="00992FA8" w:rsidRPr="00992FA8" w:rsidRDefault="00992FA8" w:rsidP="00992FA8">
            <w:pPr>
              <w:rPr>
                <w:b/>
              </w:rPr>
            </w:pPr>
            <w:r w:rsidRPr="00992FA8">
              <w:rPr>
                <w:b/>
              </w:rPr>
              <w:t>Motion for leave to intervene</w:t>
            </w:r>
            <w:r w:rsidRPr="00992FA8">
              <w:rPr>
                <w:szCs w:val="24"/>
                <w:lang w:val="en-US"/>
              </w:rPr>
              <w:t xml:space="preserve"> </w:t>
            </w:r>
            <w:r w:rsidR="004D20D2" w:rsidRPr="00992FA8">
              <w:rPr>
                <w:szCs w:val="24"/>
                <w:lang w:val="en-US"/>
              </w:rPr>
              <w:fldChar w:fldCharType="begin"/>
            </w:r>
            <w:r w:rsidRPr="00992FA8">
              <w:rPr>
                <w:szCs w:val="24"/>
              </w:rPr>
              <w:instrText xml:space="preserve"> SEQ CHAPTER \h \r 1</w:instrText>
            </w:r>
            <w:r w:rsidR="004D20D2" w:rsidRPr="00992FA8">
              <w:rPr>
                <w:szCs w:val="24"/>
                <w:lang w:val="en-US"/>
              </w:rPr>
              <w:fldChar w:fldCharType="end"/>
            </w:r>
          </w:p>
        </w:tc>
        <w:tc>
          <w:tcPr>
            <w:tcW w:w="1170" w:type="dxa"/>
          </w:tcPr>
          <w:p w:rsidR="00992FA8" w:rsidRPr="00992FA8" w:rsidRDefault="00992FA8" w:rsidP="00992FA8"/>
          <w:p w:rsidR="00992FA8" w:rsidRPr="00992FA8" w:rsidRDefault="00992FA8" w:rsidP="00992FA8"/>
        </w:tc>
        <w:tc>
          <w:tcPr>
            <w:tcW w:w="4327" w:type="dxa"/>
          </w:tcPr>
          <w:p w:rsidR="00992FA8" w:rsidRPr="00992FA8" w:rsidRDefault="00992FA8" w:rsidP="00992FA8">
            <w:pPr>
              <w:rPr>
                <w:b/>
              </w:rPr>
            </w:pPr>
            <w:r w:rsidRPr="00992FA8">
              <w:rPr>
                <w:b/>
                <w:bCs/>
                <w:lang w:val="fr-CA"/>
              </w:rPr>
              <w:t>Requête en autorisation d’intervenir</w:t>
            </w:r>
            <w:r w:rsidRPr="00992FA8">
              <w:rPr>
                <w:szCs w:val="24"/>
                <w:lang w:val="en-US"/>
              </w:rPr>
              <w:t xml:space="preserve"> </w:t>
            </w:r>
            <w:r w:rsidR="004D20D2" w:rsidRPr="00992FA8">
              <w:rPr>
                <w:szCs w:val="24"/>
                <w:lang w:val="en-US"/>
              </w:rPr>
              <w:fldChar w:fldCharType="begin"/>
            </w:r>
            <w:r w:rsidRPr="00992FA8">
              <w:rPr>
                <w:szCs w:val="24"/>
              </w:rPr>
              <w:instrText xml:space="preserve"> SEQ CHAPTER \h \r 1</w:instrText>
            </w:r>
            <w:r w:rsidR="004D20D2" w:rsidRPr="00992FA8">
              <w:rPr>
                <w:szCs w:val="24"/>
                <w:lang w:val="en-US"/>
              </w:rPr>
              <w:fldChar w:fldCharType="end"/>
            </w:r>
          </w:p>
        </w:tc>
      </w:tr>
      <w:tr w:rsidR="00992FA8" w:rsidRPr="00992FA8" w:rsidTr="00992FA8">
        <w:tc>
          <w:tcPr>
            <w:tcW w:w="1368" w:type="dxa"/>
          </w:tcPr>
          <w:p w:rsidR="00992FA8" w:rsidRPr="00992FA8" w:rsidRDefault="00992FA8" w:rsidP="00992FA8">
            <w:r w:rsidRPr="00992FA8">
              <w:t>BY / PAR</w:t>
            </w:r>
          </w:p>
        </w:tc>
        <w:tc>
          <w:tcPr>
            <w:tcW w:w="2970" w:type="dxa"/>
          </w:tcPr>
          <w:p w:rsidR="00992FA8" w:rsidRPr="00992FA8" w:rsidRDefault="00992FA8" w:rsidP="00992FA8">
            <w:r w:rsidRPr="00992FA8">
              <w:t>Attorney General of Ontario</w:t>
            </w:r>
          </w:p>
        </w:tc>
        <w:tc>
          <w:tcPr>
            <w:tcW w:w="1170" w:type="dxa"/>
          </w:tcPr>
          <w:p w:rsidR="00992FA8" w:rsidRPr="00992FA8" w:rsidRDefault="00992FA8" w:rsidP="00992FA8"/>
        </w:tc>
        <w:tc>
          <w:tcPr>
            <w:tcW w:w="4327" w:type="dxa"/>
          </w:tcPr>
          <w:p w:rsidR="00992FA8" w:rsidRPr="00992FA8" w:rsidRDefault="00992FA8" w:rsidP="00992FA8"/>
        </w:tc>
      </w:tr>
      <w:tr w:rsidR="00992FA8" w:rsidRPr="00992FA8" w:rsidTr="00992FA8">
        <w:tc>
          <w:tcPr>
            <w:tcW w:w="1368" w:type="dxa"/>
          </w:tcPr>
          <w:p w:rsidR="00992FA8" w:rsidRPr="00992FA8" w:rsidRDefault="00992FA8" w:rsidP="00992FA8"/>
        </w:tc>
        <w:tc>
          <w:tcPr>
            <w:tcW w:w="2970" w:type="dxa"/>
          </w:tcPr>
          <w:p w:rsidR="00992FA8" w:rsidRPr="00992FA8" w:rsidRDefault="00992FA8" w:rsidP="00992FA8"/>
        </w:tc>
        <w:tc>
          <w:tcPr>
            <w:tcW w:w="1170" w:type="dxa"/>
          </w:tcPr>
          <w:p w:rsidR="00992FA8" w:rsidRPr="00992FA8" w:rsidRDefault="00992FA8" w:rsidP="00992FA8"/>
        </w:tc>
        <w:tc>
          <w:tcPr>
            <w:tcW w:w="4327" w:type="dxa"/>
          </w:tcPr>
          <w:p w:rsidR="00992FA8" w:rsidRPr="00992FA8" w:rsidRDefault="00992FA8" w:rsidP="00992FA8"/>
        </w:tc>
      </w:tr>
      <w:tr w:rsidR="00992FA8" w:rsidRPr="00992FA8" w:rsidTr="00992FA8">
        <w:tc>
          <w:tcPr>
            <w:tcW w:w="1368" w:type="dxa"/>
          </w:tcPr>
          <w:p w:rsidR="00992FA8" w:rsidRPr="00992FA8" w:rsidRDefault="00992FA8" w:rsidP="00992FA8">
            <w:r w:rsidRPr="00992FA8">
              <w:t>IN / DANS :</w:t>
            </w:r>
          </w:p>
        </w:tc>
        <w:tc>
          <w:tcPr>
            <w:tcW w:w="2970" w:type="dxa"/>
          </w:tcPr>
          <w:p w:rsidR="00992FA8" w:rsidRPr="00992FA8" w:rsidRDefault="00992FA8" w:rsidP="00992FA8">
            <w:r w:rsidRPr="00992FA8">
              <w:t>Damon William Knott et al.</w:t>
            </w:r>
          </w:p>
          <w:p w:rsidR="00992FA8" w:rsidRPr="00992FA8" w:rsidRDefault="00992FA8" w:rsidP="00992FA8"/>
        </w:tc>
        <w:tc>
          <w:tcPr>
            <w:tcW w:w="1170" w:type="dxa"/>
          </w:tcPr>
          <w:p w:rsidR="00992FA8" w:rsidRPr="00992FA8" w:rsidRDefault="00992FA8" w:rsidP="00992FA8"/>
        </w:tc>
        <w:tc>
          <w:tcPr>
            <w:tcW w:w="4327" w:type="dxa"/>
          </w:tcPr>
          <w:p w:rsidR="00992FA8" w:rsidRPr="00992FA8" w:rsidRDefault="00992FA8" w:rsidP="00992FA8"/>
        </w:tc>
      </w:tr>
      <w:tr w:rsidR="00992FA8" w:rsidRPr="00992FA8" w:rsidTr="00992FA8">
        <w:tc>
          <w:tcPr>
            <w:tcW w:w="1368" w:type="dxa"/>
          </w:tcPr>
          <w:p w:rsidR="00992FA8" w:rsidRPr="00992FA8" w:rsidRDefault="00992FA8" w:rsidP="00992FA8"/>
        </w:tc>
        <w:tc>
          <w:tcPr>
            <w:tcW w:w="2970" w:type="dxa"/>
          </w:tcPr>
          <w:p w:rsidR="00992FA8" w:rsidRPr="00992FA8" w:rsidRDefault="00992FA8" w:rsidP="00992FA8">
            <w:r w:rsidRPr="00992FA8">
              <w:tab/>
              <w:t>v. (33911)</w:t>
            </w:r>
          </w:p>
          <w:p w:rsidR="00992FA8" w:rsidRPr="00992FA8" w:rsidRDefault="00992FA8" w:rsidP="00992FA8"/>
        </w:tc>
        <w:tc>
          <w:tcPr>
            <w:tcW w:w="1170" w:type="dxa"/>
          </w:tcPr>
          <w:p w:rsidR="00992FA8" w:rsidRPr="00992FA8" w:rsidRDefault="00992FA8" w:rsidP="00992FA8"/>
        </w:tc>
        <w:tc>
          <w:tcPr>
            <w:tcW w:w="4327" w:type="dxa"/>
          </w:tcPr>
          <w:p w:rsidR="00992FA8" w:rsidRPr="00992FA8" w:rsidRDefault="00992FA8" w:rsidP="00992FA8"/>
        </w:tc>
      </w:tr>
      <w:tr w:rsidR="00992FA8" w:rsidRPr="00992FA8" w:rsidTr="00992FA8">
        <w:tc>
          <w:tcPr>
            <w:tcW w:w="1368" w:type="dxa"/>
          </w:tcPr>
          <w:p w:rsidR="00992FA8" w:rsidRPr="00992FA8" w:rsidRDefault="00992FA8" w:rsidP="00992FA8"/>
        </w:tc>
        <w:tc>
          <w:tcPr>
            <w:tcW w:w="2970" w:type="dxa"/>
          </w:tcPr>
          <w:p w:rsidR="00992FA8" w:rsidRPr="00992FA8" w:rsidRDefault="00992FA8" w:rsidP="00992FA8">
            <w:pPr>
              <w:jc w:val="both"/>
            </w:pPr>
            <w:r w:rsidRPr="00992FA8">
              <w:t>Her Majesty the Queen et al. (Crim.) (B.C.)</w:t>
            </w:r>
          </w:p>
        </w:tc>
        <w:tc>
          <w:tcPr>
            <w:tcW w:w="1170" w:type="dxa"/>
          </w:tcPr>
          <w:p w:rsidR="00992FA8" w:rsidRPr="00992FA8" w:rsidRDefault="00992FA8" w:rsidP="00992FA8"/>
        </w:tc>
        <w:tc>
          <w:tcPr>
            <w:tcW w:w="4327" w:type="dxa"/>
          </w:tcPr>
          <w:p w:rsidR="00992FA8" w:rsidRPr="00992FA8" w:rsidRDefault="00992FA8" w:rsidP="00992FA8"/>
        </w:tc>
      </w:tr>
    </w:tbl>
    <w:p w:rsidR="00992FA8" w:rsidRPr="00992FA8" w:rsidRDefault="00992FA8" w:rsidP="00992FA8">
      <w:pPr>
        <w:tabs>
          <w:tab w:val="left" w:pos="-1440"/>
          <w:tab w:val="left" w:pos="-720"/>
        </w:tabs>
        <w:jc w:val="both"/>
        <w:rPr>
          <w:rFonts w:eastAsia="Times New Roman" w:cs="Times New Roman"/>
          <w:sz w:val="20"/>
          <w:szCs w:val="20"/>
          <w:lang w:eastAsia="en-CA"/>
        </w:rPr>
      </w:pPr>
    </w:p>
    <w:p w:rsidR="00992FA8" w:rsidRPr="00992FA8" w:rsidRDefault="00992FA8" w:rsidP="00992FA8">
      <w:pPr>
        <w:tabs>
          <w:tab w:val="left" w:pos="-1440"/>
          <w:tab w:val="left" w:pos="-720"/>
        </w:tabs>
        <w:jc w:val="both"/>
        <w:rPr>
          <w:rFonts w:eastAsia="Times New Roman" w:cs="Times New Roman"/>
          <w:b/>
          <w:sz w:val="20"/>
          <w:szCs w:val="20"/>
          <w:lang w:eastAsia="en-CA"/>
        </w:rPr>
      </w:pPr>
      <w:r w:rsidRPr="00992FA8">
        <w:rPr>
          <w:rFonts w:eastAsia="Times New Roman" w:cs="Times New Roman"/>
          <w:b/>
          <w:sz w:val="20"/>
          <w:szCs w:val="20"/>
          <w:lang w:eastAsia="en-CA"/>
        </w:rPr>
        <w:t>DISMISSED / REJETÉE</w:t>
      </w:r>
    </w:p>
    <w:p w:rsidR="00992FA8" w:rsidRPr="00992FA8" w:rsidRDefault="00992FA8" w:rsidP="00992FA8">
      <w:pPr>
        <w:tabs>
          <w:tab w:val="left" w:pos="-1440"/>
          <w:tab w:val="left" w:pos="-720"/>
        </w:tabs>
        <w:jc w:val="both"/>
        <w:rPr>
          <w:rFonts w:eastAsia="Times New Roman" w:cs="Times New Roman"/>
          <w:sz w:val="20"/>
          <w:szCs w:val="20"/>
          <w:lang w:eastAsia="en-CA"/>
        </w:rPr>
      </w:pPr>
    </w:p>
    <w:p w:rsidR="00992FA8" w:rsidRPr="00992FA8" w:rsidRDefault="00992FA8" w:rsidP="00992FA8">
      <w:pPr>
        <w:spacing w:line="233" w:lineRule="auto"/>
        <w:jc w:val="both"/>
        <w:rPr>
          <w:rFonts w:eastAsia="Times New Roman" w:cs="Times New Roman"/>
          <w:sz w:val="20"/>
          <w:szCs w:val="20"/>
          <w:lang w:val="en-US" w:eastAsia="en-CA"/>
        </w:rPr>
      </w:pPr>
      <w:r w:rsidRPr="00992FA8">
        <w:rPr>
          <w:rFonts w:eastAsia="Times New Roman" w:cs="Times New Roman"/>
          <w:b/>
          <w:bCs/>
          <w:sz w:val="20"/>
          <w:szCs w:val="20"/>
          <w:lang w:val="en-US" w:eastAsia="en-CA"/>
        </w:rPr>
        <w:t xml:space="preserve">UPON APPLICATION </w:t>
      </w:r>
      <w:r w:rsidRPr="00992FA8">
        <w:rPr>
          <w:rFonts w:eastAsia="Times New Roman" w:cs="Times New Roman"/>
          <w:sz w:val="20"/>
          <w:szCs w:val="20"/>
          <w:lang w:val="en-US" w:eastAsia="en-CA"/>
        </w:rPr>
        <w:t>by the Attorney General of Ontario for leave to intervene in the above appeal;</w:t>
      </w:r>
    </w:p>
    <w:p w:rsidR="00992FA8" w:rsidRPr="00992FA8" w:rsidRDefault="00992FA8" w:rsidP="00992FA8">
      <w:pPr>
        <w:spacing w:line="233" w:lineRule="auto"/>
        <w:rPr>
          <w:rFonts w:eastAsia="Times New Roman" w:cs="Times New Roman"/>
          <w:sz w:val="20"/>
          <w:szCs w:val="20"/>
          <w:lang w:val="en-US" w:eastAsia="en-CA"/>
        </w:rPr>
      </w:pPr>
    </w:p>
    <w:p w:rsidR="00992FA8" w:rsidRPr="00992FA8" w:rsidRDefault="00992FA8" w:rsidP="00992FA8">
      <w:pPr>
        <w:spacing w:line="233" w:lineRule="auto"/>
        <w:rPr>
          <w:rFonts w:eastAsia="Times New Roman" w:cs="Times New Roman"/>
          <w:sz w:val="20"/>
          <w:szCs w:val="20"/>
          <w:lang w:val="en-US" w:eastAsia="en-CA"/>
        </w:rPr>
      </w:pPr>
      <w:r w:rsidRPr="00992FA8">
        <w:rPr>
          <w:rFonts w:eastAsia="Times New Roman" w:cs="Times New Roman"/>
          <w:b/>
          <w:bCs/>
          <w:sz w:val="20"/>
          <w:szCs w:val="20"/>
          <w:lang w:val="en-US" w:eastAsia="en-CA"/>
        </w:rPr>
        <w:t>AND THE MATERIAL FILED</w:t>
      </w:r>
      <w:r w:rsidRPr="00992FA8">
        <w:rPr>
          <w:rFonts w:eastAsia="Times New Roman" w:cs="Times New Roman"/>
          <w:sz w:val="20"/>
          <w:szCs w:val="20"/>
          <w:lang w:val="en-US" w:eastAsia="en-CA"/>
        </w:rPr>
        <w:t xml:space="preserve"> having been read;</w:t>
      </w:r>
    </w:p>
    <w:p w:rsidR="00992FA8" w:rsidRPr="00992FA8" w:rsidRDefault="00992FA8" w:rsidP="00992FA8">
      <w:pPr>
        <w:spacing w:line="233" w:lineRule="auto"/>
        <w:rPr>
          <w:rFonts w:eastAsia="Times New Roman" w:cs="Times New Roman"/>
          <w:sz w:val="20"/>
          <w:szCs w:val="20"/>
          <w:lang w:val="en-US" w:eastAsia="en-CA"/>
        </w:rPr>
      </w:pPr>
    </w:p>
    <w:p w:rsidR="00992FA8" w:rsidRPr="00992FA8" w:rsidRDefault="00992FA8" w:rsidP="00992FA8">
      <w:pPr>
        <w:spacing w:line="233" w:lineRule="auto"/>
        <w:rPr>
          <w:rFonts w:eastAsia="Times New Roman" w:cs="Times New Roman"/>
          <w:sz w:val="20"/>
          <w:szCs w:val="20"/>
          <w:lang w:val="en-US" w:eastAsia="en-CA"/>
        </w:rPr>
      </w:pPr>
      <w:r w:rsidRPr="00992FA8">
        <w:rPr>
          <w:rFonts w:eastAsia="Times New Roman" w:cs="Times New Roman"/>
          <w:b/>
          <w:bCs/>
          <w:sz w:val="20"/>
          <w:szCs w:val="20"/>
          <w:lang w:val="en-US" w:eastAsia="en-CA"/>
        </w:rPr>
        <w:t>IT IS HEREBY ORDERED THAT:</w:t>
      </w:r>
    </w:p>
    <w:p w:rsidR="00992FA8" w:rsidRPr="00992FA8" w:rsidRDefault="00992FA8" w:rsidP="00992FA8">
      <w:pPr>
        <w:spacing w:line="233" w:lineRule="auto"/>
        <w:rPr>
          <w:rFonts w:eastAsia="Times New Roman" w:cs="Times New Roman"/>
          <w:sz w:val="20"/>
          <w:szCs w:val="20"/>
          <w:lang w:val="en-US" w:eastAsia="en-CA"/>
        </w:rPr>
      </w:pPr>
    </w:p>
    <w:p w:rsidR="00992FA8" w:rsidRPr="00992FA8" w:rsidRDefault="00992FA8" w:rsidP="00992FA8">
      <w:pPr>
        <w:spacing w:line="233" w:lineRule="auto"/>
        <w:jc w:val="both"/>
        <w:rPr>
          <w:rFonts w:eastAsia="Times New Roman" w:cs="Times New Roman"/>
          <w:sz w:val="20"/>
          <w:szCs w:val="20"/>
          <w:lang w:val="en-US" w:eastAsia="en-CA"/>
        </w:rPr>
      </w:pPr>
      <w:r w:rsidRPr="00992FA8">
        <w:rPr>
          <w:rFonts w:eastAsia="Times New Roman" w:cs="Times New Roman"/>
          <w:sz w:val="20"/>
          <w:szCs w:val="20"/>
          <w:lang w:val="en-US" w:eastAsia="en-CA"/>
        </w:rPr>
        <w:t>The motion for leave to intervene of the Attorney General of Ontario is dismissed.</w:t>
      </w:r>
    </w:p>
    <w:p w:rsidR="00992FA8" w:rsidRPr="00992FA8" w:rsidRDefault="00992FA8" w:rsidP="00992FA8">
      <w:pPr>
        <w:tabs>
          <w:tab w:val="left" w:pos="-1440"/>
          <w:tab w:val="left" w:pos="-720"/>
        </w:tabs>
        <w:jc w:val="both"/>
        <w:rPr>
          <w:rFonts w:eastAsia="Times New Roman" w:cs="Times New Roman"/>
          <w:sz w:val="20"/>
          <w:szCs w:val="20"/>
          <w:lang w:val="en-US" w:eastAsia="en-CA"/>
        </w:rPr>
      </w:pPr>
    </w:p>
    <w:p w:rsidR="00992FA8" w:rsidRPr="00992FA8" w:rsidRDefault="00992FA8" w:rsidP="00992FA8">
      <w:pPr>
        <w:tabs>
          <w:tab w:val="left" w:pos="-1440"/>
          <w:tab w:val="left" w:pos="-720"/>
        </w:tabs>
        <w:jc w:val="both"/>
        <w:rPr>
          <w:rFonts w:eastAsia="Times New Roman" w:cs="Times New Roman"/>
          <w:sz w:val="20"/>
          <w:szCs w:val="20"/>
          <w:lang w:val="en-US" w:eastAsia="en-CA"/>
        </w:rPr>
      </w:pPr>
    </w:p>
    <w:p w:rsidR="00992FA8" w:rsidRPr="00992FA8" w:rsidRDefault="00992FA8" w:rsidP="00992FA8">
      <w:pPr>
        <w:tabs>
          <w:tab w:val="left" w:pos="-1440"/>
          <w:tab w:val="left" w:pos="-720"/>
        </w:tabs>
        <w:jc w:val="both"/>
        <w:rPr>
          <w:rFonts w:eastAsia="Times New Roman" w:cs="Times New Roman"/>
          <w:sz w:val="20"/>
          <w:szCs w:val="20"/>
          <w:lang w:val="en-US" w:eastAsia="en-CA"/>
        </w:rPr>
      </w:pPr>
    </w:p>
    <w:p w:rsidR="00992FA8" w:rsidRPr="00992FA8" w:rsidRDefault="00992FA8" w:rsidP="00992FA8">
      <w:pPr>
        <w:spacing w:line="233" w:lineRule="auto"/>
        <w:rPr>
          <w:rFonts w:eastAsia="Times New Roman" w:cs="Times New Roman"/>
          <w:sz w:val="20"/>
          <w:szCs w:val="20"/>
          <w:lang w:val="fr-FR" w:eastAsia="en-CA"/>
        </w:rPr>
      </w:pPr>
      <w:r w:rsidRPr="00992FA8">
        <w:rPr>
          <w:rFonts w:eastAsia="Times New Roman" w:cs="Times New Roman"/>
          <w:b/>
          <w:sz w:val="20"/>
          <w:szCs w:val="20"/>
          <w:lang w:val="fr-FR" w:eastAsia="en-CA"/>
        </w:rPr>
        <w:t>À LA SUITE DE LA DEMANDE</w:t>
      </w:r>
      <w:r w:rsidRPr="00992FA8">
        <w:rPr>
          <w:rFonts w:eastAsia="Times New Roman" w:cs="Times New Roman"/>
          <w:sz w:val="20"/>
          <w:szCs w:val="20"/>
          <w:lang w:val="fr-FR" w:eastAsia="en-CA"/>
        </w:rPr>
        <w:t xml:space="preserve"> présentée par le Procureur général de l’Ontario en vue d'intervenir dans l'appel; </w:t>
      </w:r>
    </w:p>
    <w:p w:rsidR="00992FA8" w:rsidRPr="00992FA8" w:rsidRDefault="00992FA8" w:rsidP="00992FA8">
      <w:pPr>
        <w:spacing w:line="233" w:lineRule="auto"/>
        <w:rPr>
          <w:rFonts w:eastAsia="Times New Roman" w:cs="Times New Roman"/>
          <w:sz w:val="20"/>
          <w:szCs w:val="20"/>
          <w:lang w:val="fr-FR" w:eastAsia="en-CA"/>
        </w:rPr>
      </w:pPr>
      <w:r w:rsidRPr="00992FA8">
        <w:rPr>
          <w:rFonts w:eastAsia="Times New Roman" w:cs="Times New Roman"/>
          <w:sz w:val="20"/>
          <w:szCs w:val="20"/>
          <w:lang w:val="fr-FR" w:eastAsia="en-CA"/>
        </w:rPr>
        <w:tab/>
      </w:r>
    </w:p>
    <w:p w:rsidR="00992FA8" w:rsidRPr="00992FA8" w:rsidRDefault="00992FA8" w:rsidP="00992FA8">
      <w:pPr>
        <w:spacing w:line="233" w:lineRule="auto"/>
        <w:rPr>
          <w:rFonts w:eastAsia="Times New Roman" w:cs="Times New Roman"/>
          <w:sz w:val="20"/>
          <w:szCs w:val="20"/>
          <w:lang w:val="fr-FR" w:eastAsia="en-CA"/>
        </w:rPr>
      </w:pPr>
      <w:r w:rsidRPr="00992FA8">
        <w:rPr>
          <w:rFonts w:eastAsia="Times New Roman" w:cs="Times New Roman"/>
          <w:b/>
          <w:sz w:val="20"/>
          <w:szCs w:val="20"/>
          <w:lang w:val="fr-FR" w:eastAsia="en-CA"/>
        </w:rPr>
        <w:t>ET APRÈS EXAMEN</w:t>
      </w:r>
      <w:r w:rsidRPr="00992FA8">
        <w:rPr>
          <w:rFonts w:eastAsia="Times New Roman" w:cs="Times New Roman"/>
          <w:sz w:val="20"/>
          <w:szCs w:val="20"/>
          <w:lang w:val="fr-FR" w:eastAsia="en-CA"/>
        </w:rPr>
        <w:t xml:space="preserve"> des documents déposés;</w:t>
      </w:r>
    </w:p>
    <w:p w:rsidR="00992FA8" w:rsidRPr="00992FA8" w:rsidRDefault="00992FA8" w:rsidP="00992FA8">
      <w:pPr>
        <w:spacing w:line="233" w:lineRule="auto"/>
        <w:rPr>
          <w:rFonts w:eastAsia="Times New Roman" w:cs="Times New Roman"/>
          <w:sz w:val="20"/>
          <w:szCs w:val="20"/>
          <w:lang w:val="fr-FR" w:eastAsia="en-CA"/>
        </w:rPr>
      </w:pPr>
      <w:r w:rsidRPr="00992FA8">
        <w:rPr>
          <w:rFonts w:eastAsia="Times New Roman" w:cs="Times New Roman"/>
          <w:sz w:val="20"/>
          <w:szCs w:val="20"/>
          <w:lang w:val="fr-FR" w:eastAsia="en-CA"/>
        </w:rPr>
        <w:tab/>
      </w:r>
      <w:r w:rsidRPr="00992FA8">
        <w:rPr>
          <w:rFonts w:eastAsia="Times New Roman" w:cs="Times New Roman"/>
          <w:sz w:val="20"/>
          <w:szCs w:val="20"/>
          <w:lang w:val="fr-FR" w:eastAsia="en-CA"/>
        </w:rPr>
        <w:tab/>
      </w:r>
      <w:r w:rsidRPr="00992FA8">
        <w:rPr>
          <w:rFonts w:eastAsia="Times New Roman" w:cs="Times New Roman"/>
          <w:sz w:val="20"/>
          <w:szCs w:val="20"/>
          <w:lang w:val="fr-FR" w:eastAsia="en-CA"/>
        </w:rPr>
        <w:tab/>
      </w:r>
      <w:r w:rsidRPr="00992FA8">
        <w:rPr>
          <w:rFonts w:eastAsia="Times New Roman" w:cs="Times New Roman"/>
          <w:sz w:val="20"/>
          <w:szCs w:val="20"/>
          <w:lang w:val="fr-FR" w:eastAsia="en-CA"/>
        </w:rPr>
        <w:tab/>
      </w:r>
      <w:r w:rsidRPr="00992FA8">
        <w:rPr>
          <w:rFonts w:eastAsia="Times New Roman" w:cs="Times New Roman"/>
          <w:sz w:val="20"/>
          <w:szCs w:val="20"/>
          <w:lang w:val="fr-FR" w:eastAsia="en-CA"/>
        </w:rPr>
        <w:tab/>
      </w:r>
      <w:r w:rsidRPr="00992FA8">
        <w:rPr>
          <w:rFonts w:eastAsia="Times New Roman" w:cs="Times New Roman"/>
          <w:sz w:val="20"/>
          <w:szCs w:val="20"/>
          <w:lang w:val="fr-FR" w:eastAsia="en-CA"/>
        </w:rPr>
        <w:tab/>
      </w:r>
      <w:r w:rsidRPr="00992FA8">
        <w:rPr>
          <w:rFonts w:eastAsia="Times New Roman" w:cs="Times New Roman"/>
          <w:sz w:val="20"/>
          <w:szCs w:val="20"/>
          <w:lang w:val="fr-FR" w:eastAsia="en-CA"/>
        </w:rPr>
        <w:tab/>
      </w:r>
    </w:p>
    <w:p w:rsidR="00992FA8" w:rsidRPr="00992FA8" w:rsidRDefault="00992FA8" w:rsidP="00992FA8">
      <w:pPr>
        <w:spacing w:line="233" w:lineRule="auto"/>
        <w:rPr>
          <w:rFonts w:eastAsia="Times New Roman" w:cs="Times New Roman"/>
          <w:b/>
          <w:sz w:val="20"/>
          <w:szCs w:val="20"/>
          <w:lang w:val="fr-FR" w:eastAsia="en-CA"/>
        </w:rPr>
      </w:pPr>
      <w:r w:rsidRPr="00992FA8">
        <w:rPr>
          <w:rFonts w:eastAsia="Times New Roman" w:cs="Times New Roman"/>
          <w:b/>
          <w:sz w:val="20"/>
          <w:szCs w:val="20"/>
          <w:lang w:val="fr-FR" w:eastAsia="en-CA"/>
        </w:rPr>
        <w:t>IL EST ORDONNÉ CE QUI SUIT :</w:t>
      </w:r>
    </w:p>
    <w:p w:rsidR="00992FA8" w:rsidRPr="00992FA8" w:rsidRDefault="00992FA8" w:rsidP="00992FA8">
      <w:pPr>
        <w:spacing w:line="233" w:lineRule="auto"/>
        <w:rPr>
          <w:rFonts w:eastAsia="Times New Roman" w:cs="Times New Roman"/>
          <w:sz w:val="20"/>
          <w:szCs w:val="20"/>
          <w:lang w:val="fr-FR" w:eastAsia="en-CA"/>
        </w:rPr>
      </w:pPr>
      <w:r w:rsidRPr="00992FA8">
        <w:rPr>
          <w:rFonts w:eastAsia="Times New Roman" w:cs="Times New Roman"/>
          <w:sz w:val="20"/>
          <w:szCs w:val="20"/>
          <w:lang w:val="fr-FR" w:eastAsia="en-CA"/>
        </w:rPr>
        <w:tab/>
      </w:r>
    </w:p>
    <w:p w:rsidR="00992FA8" w:rsidRPr="00992FA8" w:rsidRDefault="00992FA8" w:rsidP="00992FA8">
      <w:pPr>
        <w:spacing w:line="233" w:lineRule="auto"/>
        <w:rPr>
          <w:rFonts w:eastAsia="Times New Roman" w:cs="Times New Roman"/>
          <w:sz w:val="20"/>
          <w:szCs w:val="20"/>
          <w:lang w:val="fr-FR" w:eastAsia="en-CA"/>
        </w:rPr>
      </w:pPr>
      <w:r w:rsidRPr="00992FA8">
        <w:rPr>
          <w:rFonts w:eastAsia="Times New Roman" w:cs="Times New Roman"/>
          <w:sz w:val="20"/>
          <w:szCs w:val="20"/>
          <w:lang w:val="fr-FR" w:eastAsia="en-CA"/>
        </w:rPr>
        <w:t>La requête en autorisation d'intervenir du Procureur général de l’Ontario est rejetée.</w:t>
      </w:r>
    </w:p>
    <w:p w:rsidR="00992FA8" w:rsidRPr="00992FA8" w:rsidRDefault="00992FA8" w:rsidP="00992FA8">
      <w:pPr>
        <w:tabs>
          <w:tab w:val="left" w:pos="-1440"/>
          <w:tab w:val="left" w:pos="-720"/>
        </w:tabs>
        <w:jc w:val="both"/>
        <w:rPr>
          <w:rFonts w:eastAsia="Times New Roman" w:cs="Times New Roman"/>
          <w:sz w:val="20"/>
          <w:szCs w:val="20"/>
          <w:lang w:val="fr-FR" w:eastAsia="en-CA"/>
        </w:rPr>
      </w:pPr>
    </w:p>
    <w:p w:rsidR="00992FA8" w:rsidRPr="00992FA8" w:rsidRDefault="004D20D2" w:rsidP="00992FA8">
      <w:pPr>
        <w:tabs>
          <w:tab w:val="left" w:pos="-1440"/>
          <w:tab w:val="left" w:pos="-720"/>
        </w:tabs>
        <w:jc w:val="both"/>
        <w:rPr>
          <w:rFonts w:eastAsia="Times New Roman" w:cs="Times New Roman"/>
          <w:sz w:val="20"/>
          <w:szCs w:val="20"/>
          <w:lang w:val="fr-CA" w:eastAsia="en-CA"/>
        </w:rPr>
      </w:pPr>
      <w:r w:rsidRPr="004D20D2">
        <w:rPr>
          <w:rFonts w:eastAsia="Times New Roman" w:cs="Times New Roman"/>
          <w:sz w:val="20"/>
          <w:szCs w:val="20"/>
          <w:lang w:val="fr-CA" w:eastAsia="en-CA"/>
        </w:rPr>
        <w:pict>
          <v:rect id="_x0000_i1051" style="width:2in;height:1pt" o:hrpct="0" o:hralign="center" o:hrstd="t" o:hrnoshade="t" o:hr="t" fillcolor="black [3213]" stroked="f"/>
        </w:pict>
      </w:r>
    </w:p>
    <w:p w:rsidR="00E6462D" w:rsidRDefault="00E6462D">
      <w:pPr>
        <w:rPr>
          <w:rFonts w:eastAsia="Times New Roman" w:cs="Times New Roman"/>
          <w:sz w:val="20"/>
          <w:szCs w:val="20"/>
          <w:lang w:eastAsia="en-CA"/>
        </w:rPr>
      </w:pPr>
      <w:r>
        <w:rPr>
          <w:rFonts w:eastAsia="Times New Roman" w:cs="Times New Roman"/>
          <w:sz w:val="20"/>
          <w:szCs w:val="20"/>
          <w:lang w:eastAsia="en-CA"/>
        </w:rPr>
        <w:br w:type="page"/>
      </w:r>
    </w:p>
    <w:p w:rsidR="00992FA8" w:rsidRPr="00992FA8" w:rsidRDefault="00992FA8" w:rsidP="00992FA8">
      <w:pPr>
        <w:tabs>
          <w:tab w:val="left" w:pos="-1440"/>
          <w:tab w:val="left" w:pos="-720"/>
        </w:tabs>
        <w:jc w:val="both"/>
        <w:rPr>
          <w:rFonts w:eastAsia="Times New Roman" w:cs="Times New Roman"/>
          <w:sz w:val="20"/>
          <w:szCs w:val="20"/>
          <w:lang w:val="fr-CA" w:eastAsia="en-CA"/>
        </w:rPr>
      </w:pPr>
      <w:r w:rsidRPr="00992FA8">
        <w:rPr>
          <w:rFonts w:eastAsia="Times New Roman" w:cs="Times New Roman"/>
          <w:sz w:val="20"/>
          <w:szCs w:val="20"/>
          <w:lang w:val="fr-CA" w:eastAsia="en-CA"/>
        </w:rPr>
        <w:lastRenderedPageBreak/>
        <w:t>21.07.2011</w:t>
      </w:r>
    </w:p>
    <w:p w:rsidR="00992FA8" w:rsidRPr="00992FA8" w:rsidRDefault="00992FA8" w:rsidP="00992FA8">
      <w:pPr>
        <w:tabs>
          <w:tab w:val="left" w:pos="-1440"/>
          <w:tab w:val="left" w:pos="-720"/>
        </w:tabs>
        <w:jc w:val="both"/>
        <w:rPr>
          <w:rFonts w:eastAsia="Times New Roman" w:cs="Times New Roman"/>
          <w:sz w:val="20"/>
          <w:szCs w:val="20"/>
          <w:lang w:val="fr-CA" w:eastAsia="en-CA"/>
        </w:rPr>
      </w:pPr>
    </w:p>
    <w:p w:rsidR="00992FA8" w:rsidRPr="00992FA8" w:rsidRDefault="00992FA8" w:rsidP="00992FA8">
      <w:pPr>
        <w:jc w:val="both"/>
        <w:rPr>
          <w:rFonts w:eastAsia="Times New Roman" w:cs="Times New Roman"/>
          <w:sz w:val="20"/>
          <w:szCs w:val="20"/>
          <w:lang w:val="fr-CA" w:eastAsia="en-CA"/>
        </w:rPr>
      </w:pPr>
      <w:r w:rsidRPr="00992FA8">
        <w:rPr>
          <w:rFonts w:eastAsia="Times New Roman" w:cs="Times New Roman"/>
          <w:sz w:val="20"/>
          <w:szCs w:val="20"/>
          <w:lang w:val="fr-CA" w:eastAsia="en-CA"/>
        </w:rPr>
        <w:t>Before / Devant:   LEBEL J. / LE JUGE LEBEL</w:t>
      </w:r>
    </w:p>
    <w:p w:rsidR="00992FA8" w:rsidRPr="00992FA8" w:rsidRDefault="00992FA8" w:rsidP="00992FA8">
      <w:pPr>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992FA8" w:rsidRPr="00291AC9" w:rsidTr="00992FA8">
        <w:trPr>
          <w:trHeight w:val="151"/>
        </w:trPr>
        <w:tc>
          <w:tcPr>
            <w:tcW w:w="4338" w:type="dxa"/>
          </w:tcPr>
          <w:p w:rsidR="00992FA8" w:rsidRPr="00992FA8" w:rsidRDefault="004D20D2" w:rsidP="00992FA8">
            <w:pPr>
              <w:tabs>
                <w:tab w:val="left" w:pos="-1440"/>
                <w:tab w:val="left" w:pos="-720"/>
              </w:tabs>
              <w:jc w:val="both"/>
            </w:pPr>
            <w:r w:rsidRPr="00992FA8">
              <w:rPr>
                <w:szCs w:val="24"/>
                <w:lang w:val="en-US"/>
              </w:rPr>
              <w:fldChar w:fldCharType="begin"/>
            </w:r>
            <w:r w:rsidR="00992FA8" w:rsidRPr="00992FA8">
              <w:rPr>
                <w:szCs w:val="24"/>
                <w:lang w:val="en-US"/>
              </w:rPr>
              <w:instrText xml:space="preserve"> SEQ CHAPTER \h \r 1</w:instrText>
            </w:r>
            <w:r w:rsidRPr="00992FA8">
              <w:rPr>
                <w:szCs w:val="24"/>
                <w:lang w:val="en-US"/>
              </w:rPr>
              <w:fldChar w:fldCharType="end"/>
            </w:r>
            <w:r w:rsidR="00992FA8" w:rsidRPr="00992FA8">
              <w:rPr>
                <w:b/>
                <w:bCs/>
              </w:rPr>
              <w:t>Motion to file a lengthy factum</w:t>
            </w:r>
          </w:p>
        </w:tc>
        <w:tc>
          <w:tcPr>
            <w:tcW w:w="1170" w:type="dxa"/>
          </w:tcPr>
          <w:p w:rsidR="00992FA8" w:rsidRPr="00992FA8" w:rsidRDefault="00992FA8" w:rsidP="00992FA8">
            <w:pPr>
              <w:jc w:val="both"/>
            </w:pPr>
          </w:p>
          <w:p w:rsidR="00992FA8" w:rsidRPr="00992FA8" w:rsidRDefault="00992FA8" w:rsidP="00992FA8">
            <w:pPr>
              <w:jc w:val="both"/>
            </w:pPr>
          </w:p>
          <w:p w:rsidR="00992FA8" w:rsidRPr="00992FA8" w:rsidRDefault="00992FA8" w:rsidP="00992FA8">
            <w:pPr>
              <w:jc w:val="both"/>
            </w:pPr>
          </w:p>
        </w:tc>
        <w:tc>
          <w:tcPr>
            <w:tcW w:w="4327" w:type="dxa"/>
          </w:tcPr>
          <w:p w:rsidR="00992FA8" w:rsidRPr="00992FA8" w:rsidRDefault="00992FA8" w:rsidP="00992FA8">
            <w:pPr>
              <w:jc w:val="both"/>
              <w:rPr>
                <w:b/>
                <w:lang w:val="fr-CA"/>
              </w:rPr>
            </w:pPr>
            <w:r w:rsidRPr="00992FA8">
              <w:rPr>
                <w:b/>
                <w:bCs/>
                <w:lang w:val="fr-CA"/>
              </w:rPr>
              <w:t>Requête en vue de déposer un mémoire volumineux</w:t>
            </w:r>
            <w:r w:rsidRPr="00992FA8">
              <w:rPr>
                <w:b/>
                <w:szCs w:val="24"/>
                <w:lang w:val="fr-CA"/>
              </w:rPr>
              <w:t xml:space="preserve"> </w:t>
            </w:r>
            <w:r w:rsidR="004D20D2" w:rsidRPr="00992FA8">
              <w:rPr>
                <w:b/>
                <w:szCs w:val="24"/>
                <w:lang w:val="en-US"/>
              </w:rPr>
              <w:fldChar w:fldCharType="begin"/>
            </w:r>
            <w:r w:rsidRPr="00992FA8">
              <w:rPr>
                <w:b/>
                <w:szCs w:val="24"/>
                <w:lang w:val="fr-CA"/>
              </w:rPr>
              <w:instrText xml:space="preserve"> SEQ CHAPTER \h \r 1</w:instrText>
            </w:r>
            <w:r w:rsidR="004D20D2" w:rsidRPr="00992FA8">
              <w:rPr>
                <w:b/>
                <w:szCs w:val="24"/>
                <w:lang w:val="en-US"/>
              </w:rPr>
              <w:fldChar w:fldCharType="end"/>
            </w:r>
            <w:r w:rsidR="004D20D2" w:rsidRPr="00992FA8">
              <w:rPr>
                <w:b/>
                <w:szCs w:val="24"/>
                <w:lang w:val="en-US"/>
              </w:rPr>
              <w:fldChar w:fldCharType="begin"/>
            </w:r>
            <w:r w:rsidRPr="00992FA8">
              <w:rPr>
                <w:b/>
                <w:szCs w:val="24"/>
                <w:lang w:val="fr-CA"/>
              </w:rPr>
              <w:instrText xml:space="preserve"> SEQ CHAPTER \h \r 1</w:instrText>
            </w:r>
            <w:r w:rsidR="004D20D2" w:rsidRPr="00992FA8">
              <w:rPr>
                <w:b/>
                <w:szCs w:val="24"/>
                <w:lang w:val="en-US"/>
              </w:rPr>
              <w:fldChar w:fldCharType="end"/>
            </w:r>
            <w:r w:rsidR="004D20D2" w:rsidRPr="00992FA8">
              <w:rPr>
                <w:b/>
                <w:szCs w:val="24"/>
                <w:lang w:val="en-US"/>
              </w:rPr>
              <w:fldChar w:fldCharType="begin"/>
            </w:r>
            <w:r w:rsidRPr="00992FA8">
              <w:rPr>
                <w:b/>
                <w:szCs w:val="24"/>
                <w:lang w:val="fr-CA"/>
              </w:rPr>
              <w:instrText xml:space="preserve"> SEQ CHAPTER \h \r 1</w:instrText>
            </w:r>
            <w:r w:rsidR="004D20D2" w:rsidRPr="00992FA8">
              <w:rPr>
                <w:b/>
                <w:szCs w:val="24"/>
                <w:lang w:val="en-US"/>
              </w:rPr>
              <w:fldChar w:fldCharType="end"/>
            </w:r>
          </w:p>
        </w:tc>
      </w:tr>
      <w:tr w:rsidR="00992FA8" w:rsidRPr="00992FA8" w:rsidTr="00992FA8">
        <w:trPr>
          <w:trHeight w:val="150"/>
        </w:trPr>
        <w:tc>
          <w:tcPr>
            <w:tcW w:w="4338" w:type="dxa"/>
          </w:tcPr>
          <w:p w:rsidR="00992FA8" w:rsidRPr="00992FA8" w:rsidRDefault="00992FA8" w:rsidP="00992FA8">
            <w:pPr>
              <w:tabs>
                <w:tab w:val="left" w:pos="-1440"/>
                <w:tab w:val="left" w:pos="-720"/>
              </w:tabs>
              <w:jc w:val="both"/>
              <w:rPr>
                <w:lang w:val="fr-CA"/>
              </w:rPr>
            </w:pPr>
            <w:r w:rsidRPr="00992FA8">
              <w:rPr>
                <w:lang w:val="fr-CA"/>
              </w:rPr>
              <w:t>Manitoba Métis Federation Inc. et al.</w:t>
            </w:r>
          </w:p>
          <w:p w:rsidR="00992FA8" w:rsidRPr="00992FA8" w:rsidRDefault="00992FA8" w:rsidP="00992FA8">
            <w:pPr>
              <w:tabs>
                <w:tab w:val="left" w:pos="-1440"/>
                <w:tab w:val="left" w:pos="-720"/>
              </w:tabs>
              <w:jc w:val="both"/>
              <w:rPr>
                <w:lang w:val="fr-CA"/>
              </w:rPr>
            </w:pPr>
          </w:p>
          <w:p w:rsidR="00992FA8" w:rsidRPr="00992FA8" w:rsidRDefault="00992FA8" w:rsidP="00992FA8">
            <w:pPr>
              <w:tabs>
                <w:tab w:val="left" w:pos="-1440"/>
                <w:tab w:val="left" w:pos="-720"/>
              </w:tabs>
              <w:jc w:val="both"/>
            </w:pPr>
            <w:r w:rsidRPr="00992FA8">
              <w:rPr>
                <w:lang w:val="fr-CA"/>
              </w:rPr>
              <w:tab/>
            </w:r>
            <w:r w:rsidRPr="00992FA8">
              <w:t>v. (33880)</w:t>
            </w:r>
          </w:p>
          <w:p w:rsidR="00992FA8" w:rsidRPr="00992FA8" w:rsidRDefault="00992FA8" w:rsidP="00992FA8">
            <w:pPr>
              <w:tabs>
                <w:tab w:val="left" w:pos="-1440"/>
                <w:tab w:val="left" w:pos="-720"/>
              </w:tabs>
              <w:jc w:val="both"/>
            </w:pPr>
          </w:p>
          <w:p w:rsidR="00992FA8" w:rsidRPr="00992FA8" w:rsidRDefault="00992FA8" w:rsidP="00992FA8">
            <w:pPr>
              <w:tabs>
                <w:tab w:val="left" w:pos="-1440"/>
                <w:tab w:val="left" w:pos="-720"/>
              </w:tabs>
              <w:jc w:val="both"/>
            </w:pPr>
            <w:r w:rsidRPr="00992FA8">
              <w:t>Attorney General of Canada et al. (Man.)</w:t>
            </w:r>
          </w:p>
        </w:tc>
        <w:tc>
          <w:tcPr>
            <w:tcW w:w="1170" w:type="dxa"/>
          </w:tcPr>
          <w:p w:rsidR="00992FA8" w:rsidRPr="00992FA8" w:rsidRDefault="00992FA8" w:rsidP="00992FA8">
            <w:pPr>
              <w:jc w:val="both"/>
            </w:pPr>
          </w:p>
        </w:tc>
        <w:tc>
          <w:tcPr>
            <w:tcW w:w="4327" w:type="dxa"/>
          </w:tcPr>
          <w:p w:rsidR="00992FA8" w:rsidRPr="00992FA8" w:rsidRDefault="00992FA8" w:rsidP="00992FA8">
            <w:pPr>
              <w:jc w:val="both"/>
            </w:pPr>
          </w:p>
        </w:tc>
      </w:tr>
    </w:tbl>
    <w:p w:rsidR="00992FA8" w:rsidRPr="00992FA8" w:rsidRDefault="00992FA8" w:rsidP="00992FA8">
      <w:pPr>
        <w:tabs>
          <w:tab w:val="left" w:pos="-1440"/>
          <w:tab w:val="left" w:pos="-720"/>
        </w:tabs>
        <w:jc w:val="both"/>
        <w:rPr>
          <w:rFonts w:eastAsia="Times New Roman" w:cs="Times New Roman"/>
          <w:sz w:val="20"/>
          <w:szCs w:val="20"/>
          <w:lang w:eastAsia="en-CA"/>
        </w:rPr>
      </w:pPr>
    </w:p>
    <w:p w:rsidR="00992FA8" w:rsidRPr="00992FA8" w:rsidRDefault="00992FA8" w:rsidP="00992FA8">
      <w:pPr>
        <w:tabs>
          <w:tab w:val="left" w:pos="-1440"/>
          <w:tab w:val="left" w:pos="-720"/>
        </w:tabs>
        <w:jc w:val="both"/>
        <w:rPr>
          <w:rFonts w:eastAsia="Times New Roman" w:cs="Times New Roman"/>
          <w:sz w:val="20"/>
          <w:szCs w:val="20"/>
          <w:lang w:val="fr-CA" w:eastAsia="en-CA"/>
        </w:rPr>
      </w:pPr>
      <w:r w:rsidRPr="00992FA8">
        <w:rPr>
          <w:rFonts w:eastAsia="Times New Roman" w:cs="Times New Roman"/>
          <w:b/>
          <w:sz w:val="20"/>
          <w:szCs w:val="20"/>
          <w:lang w:val="fr-CA" w:eastAsia="en-CA"/>
        </w:rPr>
        <w:t>GRANTED IN PART / ACCORDÉE EN PARTIE</w:t>
      </w:r>
    </w:p>
    <w:p w:rsidR="00992FA8" w:rsidRPr="00992FA8" w:rsidRDefault="00992FA8" w:rsidP="00992FA8">
      <w:pPr>
        <w:tabs>
          <w:tab w:val="left" w:pos="-1440"/>
          <w:tab w:val="left" w:pos="-720"/>
        </w:tabs>
        <w:jc w:val="both"/>
        <w:rPr>
          <w:rFonts w:eastAsia="Times New Roman" w:cs="Times New Roman"/>
          <w:sz w:val="20"/>
          <w:szCs w:val="20"/>
          <w:lang w:val="fr-CA" w:eastAsia="en-CA"/>
        </w:rPr>
      </w:pPr>
    </w:p>
    <w:p w:rsidR="00992FA8" w:rsidRPr="00992FA8" w:rsidRDefault="00992FA8" w:rsidP="00992FA8">
      <w:pPr>
        <w:jc w:val="both"/>
        <w:rPr>
          <w:rFonts w:eastAsia="Times New Roman" w:cs="Times New Roman"/>
          <w:sz w:val="20"/>
          <w:szCs w:val="20"/>
          <w:lang w:eastAsia="en-CA"/>
        </w:rPr>
      </w:pPr>
      <w:r w:rsidRPr="00992FA8">
        <w:rPr>
          <w:rFonts w:eastAsia="Times New Roman" w:cs="Times New Roman"/>
          <w:b/>
          <w:bCs/>
          <w:sz w:val="20"/>
          <w:szCs w:val="20"/>
          <w:lang w:eastAsia="en-CA"/>
        </w:rPr>
        <w:t>UPON APPLICATION</w:t>
      </w:r>
      <w:r w:rsidRPr="00992FA8">
        <w:rPr>
          <w:rFonts w:eastAsia="Times New Roman" w:cs="Times New Roman"/>
          <w:sz w:val="20"/>
          <w:szCs w:val="20"/>
          <w:lang w:eastAsia="en-CA"/>
        </w:rPr>
        <w:t xml:space="preserve"> by the appellants for an order permitting the filing of a lengthy factum on appeal of 97 pages;</w:t>
      </w:r>
    </w:p>
    <w:p w:rsidR="00992FA8" w:rsidRPr="00992FA8" w:rsidRDefault="00992FA8" w:rsidP="00992FA8">
      <w:pPr>
        <w:rPr>
          <w:rFonts w:eastAsia="Times New Roman" w:cs="Times New Roman"/>
          <w:sz w:val="20"/>
          <w:szCs w:val="20"/>
          <w:lang w:eastAsia="en-CA"/>
        </w:rPr>
      </w:pPr>
    </w:p>
    <w:p w:rsidR="00992FA8" w:rsidRPr="00992FA8" w:rsidRDefault="00992FA8" w:rsidP="00992FA8">
      <w:pPr>
        <w:rPr>
          <w:rFonts w:eastAsia="Times New Roman" w:cs="Times New Roman"/>
          <w:sz w:val="20"/>
          <w:szCs w:val="20"/>
          <w:lang w:eastAsia="en-CA"/>
        </w:rPr>
      </w:pPr>
      <w:r w:rsidRPr="00992FA8">
        <w:rPr>
          <w:rFonts w:eastAsia="Times New Roman" w:cs="Times New Roman"/>
          <w:b/>
          <w:bCs/>
          <w:sz w:val="20"/>
          <w:szCs w:val="20"/>
          <w:lang w:eastAsia="en-CA"/>
        </w:rPr>
        <w:t>AND HAVING READ</w:t>
      </w:r>
      <w:r w:rsidRPr="00992FA8">
        <w:rPr>
          <w:rFonts w:eastAsia="Times New Roman" w:cs="Times New Roman"/>
          <w:sz w:val="20"/>
          <w:szCs w:val="20"/>
          <w:lang w:eastAsia="en-CA"/>
        </w:rPr>
        <w:t xml:space="preserve"> the material filed;</w:t>
      </w:r>
    </w:p>
    <w:p w:rsidR="00992FA8" w:rsidRPr="00992FA8" w:rsidRDefault="00992FA8" w:rsidP="00992FA8">
      <w:pPr>
        <w:rPr>
          <w:rFonts w:eastAsia="Times New Roman" w:cs="Times New Roman"/>
          <w:sz w:val="20"/>
          <w:szCs w:val="20"/>
          <w:lang w:eastAsia="en-CA"/>
        </w:rPr>
      </w:pPr>
      <w:r w:rsidRPr="00992FA8">
        <w:rPr>
          <w:rFonts w:eastAsia="Times New Roman" w:cs="Times New Roman"/>
          <w:sz w:val="20"/>
          <w:szCs w:val="20"/>
          <w:lang w:eastAsia="en-CA"/>
        </w:rPr>
        <w:tab/>
      </w:r>
    </w:p>
    <w:p w:rsidR="00992FA8" w:rsidRPr="00992FA8" w:rsidRDefault="00992FA8" w:rsidP="00992FA8">
      <w:pPr>
        <w:rPr>
          <w:rFonts w:eastAsia="Times New Roman" w:cs="Times New Roman"/>
          <w:sz w:val="20"/>
          <w:szCs w:val="20"/>
          <w:lang w:eastAsia="en-CA"/>
        </w:rPr>
      </w:pPr>
      <w:r w:rsidRPr="00992FA8">
        <w:rPr>
          <w:rFonts w:eastAsia="Times New Roman" w:cs="Times New Roman"/>
          <w:b/>
          <w:bCs/>
          <w:sz w:val="20"/>
          <w:szCs w:val="20"/>
          <w:lang w:eastAsia="en-CA"/>
        </w:rPr>
        <w:t>IT IS HEREBY ORDERED THAT:</w:t>
      </w:r>
    </w:p>
    <w:p w:rsidR="00992FA8" w:rsidRPr="00992FA8" w:rsidRDefault="00992FA8" w:rsidP="00992FA8">
      <w:pPr>
        <w:rPr>
          <w:rFonts w:eastAsia="Times New Roman" w:cs="Times New Roman"/>
          <w:sz w:val="20"/>
          <w:szCs w:val="20"/>
          <w:lang w:eastAsia="en-CA"/>
        </w:rPr>
      </w:pPr>
    </w:p>
    <w:p w:rsidR="00992FA8" w:rsidRPr="00992FA8" w:rsidRDefault="00992FA8" w:rsidP="00992FA8">
      <w:pPr>
        <w:jc w:val="both"/>
        <w:rPr>
          <w:rFonts w:eastAsia="Times New Roman" w:cs="Times New Roman"/>
          <w:sz w:val="20"/>
          <w:szCs w:val="20"/>
          <w:lang w:eastAsia="en-CA"/>
        </w:rPr>
      </w:pPr>
      <w:r w:rsidRPr="00992FA8">
        <w:rPr>
          <w:rFonts w:eastAsia="Times New Roman" w:cs="Times New Roman"/>
          <w:sz w:val="20"/>
          <w:szCs w:val="20"/>
          <w:lang w:eastAsia="en-CA"/>
        </w:rPr>
        <w:t xml:space="preserve">The motion is granted in part. The appellants are granted permission to file a lengthy factum on appeal not to exceed 80 pages in length. </w:t>
      </w:r>
    </w:p>
    <w:p w:rsidR="00992FA8" w:rsidRPr="00992FA8" w:rsidRDefault="00992FA8" w:rsidP="00992FA8">
      <w:pPr>
        <w:rPr>
          <w:rFonts w:eastAsia="Times New Roman" w:cs="Times New Roman"/>
          <w:sz w:val="20"/>
          <w:szCs w:val="20"/>
          <w:lang w:eastAsia="en-CA"/>
        </w:rPr>
      </w:pPr>
    </w:p>
    <w:p w:rsidR="00992FA8" w:rsidRPr="00992FA8" w:rsidRDefault="00992FA8" w:rsidP="00992FA8">
      <w:pPr>
        <w:rPr>
          <w:rFonts w:eastAsia="Times New Roman" w:cs="Times New Roman"/>
          <w:sz w:val="20"/>
          <w:szCs w:val="20"/>
          <w:lang w:eastAsia="en-CA"/>
        </w:rPr>
      </w:pPr>
      <w:r w:rsidRPr="00992FA8">
        <w:rPr>
          <w:rFonts w:eastAsia="Times New Roman" w:cs="Times New Roman"/>
          <w:b/>
          <w:bCs/>
          <w:sz w:val="20"/>
          <w:szCs w:val="20"/>
          <w:lang w:eastAsia="en-CA"/>
        </w:rPr>
        <w:t>IT IS HEREBY FURTHER ORDERED THAT:</w:t>
      </w:r>
    </w:p>
    <w:p w:rsidR="00992FA8" w:rsidRPr="00992FA8" w:rsidRDefault="00992FA8" w:rsidP="00992FA8">
      <w:pPr>
        <w:rPr>
          <w:rFonts w:eastAsia="Times New Roman" w:cs="Times New Roman"/>
          <w:sz w:val="20"/>
          <w:szCs w:val="20"/>
          <w:lang w:eastAsia="en-CA"/>
        </w:rPr>
      </w:pPr>
    </w:p>
    <w:p w:rsidR="00992FA8" w:rsidRPr="00992FA8" w:rsidRDefault="00992FA8" w:rsidP="00992FA8">
      <w:pPr>
        <w:jc w:val="both"/>
        <w:rPr>
          <w:rFonts w:eastAsia="Times New Roman" w:cs="Times New Roman"/>
          <w:sz w:val="20"/>
          <w:szCs w:val="20"/>
          <w:lang w:eastAsia="en-CA"/>
        </w:rPr>
      </w:pPr>
      <w:r w:rsidRPr="00992FA8">
        <w:rPr>
          <w:rFonts w:eastAsia="Times New Roman" w:cs="Times New Roman"/>
          <w:sz w:val="20"/>
          <w:szCs w:val="20"/>
          <w:lang w:eastAsia="en-CA"/>
        </w:rPr>
        <w:t>The respondents are each granted permission to file a factum on appeal not to exceed 60 pages in length.</w:t>
      </w:r>
    </w:p>
    <w:p w:rsidR="00992FA8" w:rsidRPr="00992FA8" w:rsidRDefault="00992FA8" w:rsidP="00992FA8">
      <w:pPr>
        <w:tabs>
          <w:tab w:val="left" w:pos="-1440"/>
          <w:tab w:val="left" w:pos="-720"/>
        </w:tabs>
        <w:jc w:val="both"/>
        <w:rPr>
          <w:rFonts w:eastAsia="Times New Roman" w:cs="Times New Roman"/>
          <w:sz w:val="20"/>
          <w:szCs w:val="20"/>
          <w:lang w:eastAsia="en-CA"/>
        </w:rPr>
      </w:pPr>
    </w:p>
    <w:p w:rsidR="00992FA8" w:rsidRPr="00992FA8" w:rsidRDefault="00992FA8" w:rsidP="00992FA8">
      <w:pPr>
        <w:tabs>
          <w:tab w:val="left" w:pos="-1440"/>
          <w:tab w:val="left" w:pos="-720"/>
        </w:tabs>
        <w:jc w:val="both"/>
        <w:rPr>
          <w:rFonts w:eastAsia="Times New Roman" w:cs="Times New Roman"/>
          <w:sz w:val="20"/>
          <w:szCs w:val="20"/>
          <w:lang w:eastAsia="en-CA"/>
        </w:rPr>
      </w:pPr>
    </w:p>
    <w:p w:rsidR="00992FA8" w:rsidRPr="00992FA8" w:rsidRDefault="00992FA8" w:rsidP="00992FA8">
      <w:pPr>
        <w:tabs>
          <w:tab w:val="left" w:pos="-1440"/>
          <w:tab w:val="left" w:pos="-720"/>
        </w:tabs>
        <w:jc w:val="both"/>
        <w:rPr>
          <w:rFonts w:eastAsia="Times New Roman" w:cs="Times New Roman"/>
          <w:sz w:val="20"/>
          <w:szCs w:val="20"/>
          <w:lang w:eastAsia="en-CA"/>
        </w:rPr>
      </w:pPr>
    </w:p>
    <w:p w:rsidR="00992FA8" w:rsidRPr="00992FA8" w:rsidRDefault="00992FA8" w:rsidP="00992FA8">
      <w:pPr>
        <w:rPr>
          <w:rFonts w:eastAsia="Times New Roman" w:cs="Times New Roman"/>
          <w:bCs/>
          <w:sz w:val="20"/>
          <w:szCs w:val="20"/>
          <w:lang w:val="fr-FR" w:eastAsia="en-CA"/>
        </w:rPr>
      </w:pPr>
      <w:r w:rsidRPr="00992FA8">
        <w:rPr>
          <w:rFonts w:eastAsia="Times New Roman" w:cs="Times New Roman"/>
          <w:b/>
          <w:bCs/>
          <w:sz w:val="20"/>
          <w:szCs w:val="20"/>
          <w:lang w:val="fr-FR" w:eastAsia="en-CA"/>
        </w:rPr>
        <w:t xml:space="preserve">À LA SUITE DE LA DEMANDE </w:t>
      </w:r>
      <w:r w:rsidRPr="00992FA8">
        <w:rPr>
          <w:rFonts w:eastAsia="Times New Roman" w:cs="Times New Roman"/>
          <w:bCs/>
          <w:sz w:val="20"/>
          <w:szCs w:val="20"/>
          <w:lang w:val="fr-FR" w:eastAsia="en-CA"/>
        </w:rPr>
        <w:t>des appelants en vue d’être autorisés à déposer un mémoire volumineux de 97 pages ;</w:t>
      </w:r>
    </w:p>
    <w:p w:rsidR="00992FA8" w:rsidRPr="00992FA8" w:rsidRDefault="00992FA8" w:rsidP="00992FA8">
      <w:pPr>
        <w:rPr>
          <w:rFonts w:eastAsia="Times New Roman" w:cs="Times New Roman"/>
          <w:bCs/>
          <w:sz w:val="20"/>
          <w:szCs w:val="20"/>
          <w:lang w:val="fr-FR" w:eastAsia="en-CA"/>
        </w:rPr>
      </w:pPr>
    </w:p>
    <w:p w:rsidR="00992FA8" w:rsidRPr="00992FA8" w:rsidRDefault="00992FA8" w:rsidP="00992FA8">
      <w:pPr>
        <w:rPr>
          <w:rFonts w:eastAsia="Times New Roman" w:cs="Times New Roman"/>
          <w:bCs/>
          <w:sz w:val="20"/>
          <w:szCs w:val="20"/>
          <w:lang w:val="fr-FR" w:eastAsia="en-CA"/>
        </w:rPr>
      </w:pPr>
      <w:r w:rsidRPr="00992FA8">
        <w:rPr>
          <w:rFonts w:eastAsia="Times New Roman" w:cs="Times New Roman"/>
          <w:b/>
          <w:bCs/>
          <w:sz w:val="20"/>
          <w:szCs w:val="20"/>
          <w:lang w:val="fr-FR" w:eastAsia="en-CA"/>
        </w:rPr>
        <w:t>ET APRÈS EXAMEN</w:t>
      </w:r>
      <w:r w:rsidRPr="00992FA8">
        <w:rPr>
          <w:rFonts w:eastAsia="Times New Roman" w:cs="Times New Roman"/>
          <w:bCs/>
          <w:sz w:val="20"/>
          <w:szCs w:val="20"/>
          <w:lang w:val="fr-FR" w:eastAsia="en-CA"/>
        </w:rPr>
        <w:t xml:space="preserve"> des documents déposés; </w:t>
      </w:r>
    </w:p>
    <w:p w:rsidR="00992FA8" w:rsidRPr="00992FA8" w:rsidRDefault="00992FA8" w:rsidP="00992FA8">
      <w:pPr>
        <w:rPr>
          <w:rFonts w:eastAsia="Times New Roman" w:cs="Times New Roman"/>
          <w:bCs/>
          <w:sz w:val="20"/>
          <w:szCs w:val="20"/>
          <w:lang w:val="fr-FR" w:eastAsia="en-CA"/>
        </w:rPr>
      </w:pPr>
    </w:p>
    <w:p w:rsidR="00992FA8" w:rsidRPr="00992FA8" w:rsidRDefault="00992FA8" w:rsidP="00992FA8">
      <w:pPr>
        <w:rPr>
          <w:rFonts w:eastAsia="Times New Roman" w:cs="Times New Roman"/>
          <w:b/>
          <w:bCs/>
          <w:sz w:val="20"/>
          <w:szCs w:val="20"/>
          <w:lang w:val="fr-FR" w:eastAsia="en-CA"/>
        </w:rPr>
      </w:pPr>
      <w:r w:rsidRPr="00992FA8">
        <w:rPr>
          <w:rFonts w:eastAsia="Times New Roman" w:cs="Times New Roman"/>
          <w:b/>
          <w:bCs/>
          <w:sz w:val="20"/>
          <w:szCs w:val="20"/>
          <w:lang w:val="fr-FR" w:eastAsia="en-CA"/>
        </w:rPr>
        <w:t>IL EST ORDONNÉ CE QUI SUIT :</w:t>
      </w:r>
    </w:p>
    <w:p w:rsidR="00992FA8" w:rsidRPr="00992FA8" w:rsidRDefault="00992FA8" w:rsidP="00992FA8">
      <w:pPr>
        <w:rPr>
          <w:rFonts w:eastAsia="Times New Roman" w:cs="Times New Roman"/>
          <w:b/>
          <w:bCs/>
          <w:sz w:val="20"/>
          <w:szCs w:val="20"/>
          <w:lang w:val="fr-FR" w:eastAsia="en-CA"/>
        </w:rPr>
      </w:pPr>
    </w:p>
    <w:p w:rsidR="00992FA8" w:rsidRPr="00992FA8" w:rsidRDefault="00992FA8" w:rsidP="00992FA8">
      <w:pPr>
        <w:rPr>
          <w:rFonts w:eastAsia="Times New Roman" w:cs="Times New Roman"/>
          <w:sz w:val="20"/>
          <w:szCs w:val="20"/>
          <w:lang w:val="fr-FR" w:eastAsia="en-CA"/>
        </w:rPr>
      </w:pPr>
      <w:r w:rsidRPr="00992FA8">
        <w:rPr>
          <w:rFonts w:eastAsia="Times New Roman" w:cs="Times New Roman"/>
          <w:sz w:val="20"/>
          <w:szCs w:val="20"/>
          <w:lang w:val="fr-FR" w:eastAsia="en-CA"/>
        </w:rPr>
        <w:t>La requête est accordée en partie. Les appelants sont autorisés à déposer un mémoire volumineux d’au plus 80 pages.</w:t>
      </w:r>
    </w:p>
    <w:p w:rsidR="00992FA8" w:rsidRPr="00992FA8" w:rsidRDefault="00992FA8" w:rsidP="00992FA8">
      <w:pPr>
        <w:rPr>
          <w:rFonts w:eastAsia="Times New Roman" w:cs="Times New Roman"/>
          <w:sz w:val="20"/>
          <w:szCs w:val="20"/>
          <w:lang w:val="fr-FR" w:eastAsia="en-CA"/>
        </w:rPr>
      </w:pPr>
    </w:p>
    <w:p w:rsidR="00992FA8" w:rsidRPr="00992FA8" w:rsidRDefault="00992FA8" w:rsidP="00992FA8">
      <w:pPr>
        <w:rPr>
          <w:rFonts w:eastAsia="Times New Roman" w:cs="Times New Roman"/>
          <w:b/>
          <w:sz w:val="20"/>
          <w:szCs w:val="20"/>
          <w:lang w:val="fr-FR" w:eastAsia="en-CA"/>
        </w:rPr>
      </w:pPr>
      <w:r w:rsidRPr="00992FA8">
        <w:rPr>
          <w:rFonts w:eastAsia="Times New Roman" w:cs="Times New Roman"/>
          <w:b/>
          <w:sz w:val="20"/>
          <w:szCs w:val="20"/>
          <w:lang w:val="fr-FR" w:eastAsia="en-CA"/>
        </w:rPr>
        <w:t>IL EST EN OUTRE ORDONNÉ CE QUI SUIT :</w:t>
      </w:r>
    </w:p>
    <w:p w:rsidR="00992FA8" w:rsidRPr="00992FA8" w:rsidRDefault="00992FA8" w:rsidP="00992FA8">
      <w:pPr>
        <w:rPr>
          <w:rFonts w:eastAsia="Times New Roman" w:cs="Times New Roman"/>
          <w:b/>
          <w:sz w:val="20"/>
          <w:szCs w:val="20"/>
          <w:lang w:val="fr-FR" w:eastAsia="en-CA"/>
        </w:rPr>
      </w:pPr>
    </w:p>
    <w:p w:rsidR="00992FA8" w:rsidRPr="00992FA8" w:rsidRDefault="00992FA8" w:rsidP="00992FA8">
      <w:pPr>
        <w:rPr>
          <w:rFonts w:eastAsia="Times New Roman" w:cs="Times New Roman"/>
          <w:sz w:val="20"/>
          <w:szCs w:val="20"/>
          <w:lang w:val="fr-FR" w:eastAsia="en-CA"/>
        </w:rPr>
      </w:pPr>
      <w:r w:rsidRPr="00992FA8">
        <w:rPr>
          <w:rFonts w:eastAsia="Times New Roman" w:cs="Times New Roman"/>
          <w:sz w:val="20"/>
          <w:szCs w:val="20"/>
          <w:lang w:val="fr-FR" w:eastAsia="en-CA"/>
        </w:rPr>
        <w:t>Les intimés sont chacun autorisés à déposer un mémoire d’au plus 60 pages.</w:t>
      </w:r>
    </w:p>
    <w:p w:rsidR="00992FA8" w:rsidRPr="00992FA8" w:rsidRDefault="00992FA8" w:rsidP="00992FA8">
      <w:pPr>
        <w:tabs>
          <w:tab w:val="left" w:pos="-1440"/>
          <w:tab w:val="left" w:pos="-720"/>
        </w:tabs>
        <w:jc w:val="both"/>
        <w:rPr>
          <w:rFonts w:eastAsia="Times New Roman" w:cs="Times New Roman"/>
          <w:sz w:val="20"/>
          <w:szCs w:val="20"/>
          <w:lang w:val="fr-FR" w:eastAsia="en-CA"/>
        </w:rPr>
      </w:pPr>
    </w:p>
    <w:p w:rsidR="00992FA8" w:rsidRPr="00992FA8" w:rsidRDefault="00992FA8" w:rsidP="00992FA8">
      <w:pPr>
        <w:tabs>
          <w:tab w:val="left" w:pos="-1440"/>
          <w:tab w:val="left" w:pos="-720"/>
        </w:tabs>
        <w:spacing w:line="-19" w:lineRule="auto"/>
        <w:jc w:val="both"/>
        <w:rPr>
          <w:rFonts w:eastAsia="Times New Roman" w:cs="Times New Roman"/>
          <w:sz w:val="20"/>
          <w:szCs w:val="20"/>
          <w:lang w:val="fr-CA" w:eastAsia="en-CA"/>
        </w:rPr>
      </w:pPr>
    </w:p>
    <w:p w:rsidR="00992FA8" w:rsidRPr="00992FA8" w:rsidRDefault="004D20D2" w:rsidP="00992FA8">
      <w:pPr>
        <w:tabs>
          <w:tab w:val="left" w:pos="-1440"/>
          <w:tab w:val="left" w:pos="-720"/>
        </w:tabs>
        <w:jc w:val="both"/>
        <w:rPr>
          <w:rFonts w:eastAsia="Times New Roman" w:cs="Times New Roman"/>
          <w:sz w:val="20"/>
          <w:szCs w:val="20"/>
          <w:lang w:eastAsia="en-CA"/>
        </w:rPr>
      </w:pPr>
      <w:r w:rsidRPr="004D20D2">
        <w:rPr>
          <w:rFonts w:eastAsia="Times New Roman" w:cs="Times New Roman"/>
          <w:sz w:val="20"/>
          <w:szCs w:val="20"/>
          <w:lang w:val="fr-CA" w:eastAsia="en-CA"/>
        </w:rPr>
        <w:pict>
          <v:rect id="_x0000_i1052" style="width:2in;height:1pt" o:hrpct="0" o:hralign="center" o:hrstd="t" o:hrnoshade="t" o:hr="t" fillcolor="black [3213]" stroked="f"/>
        </w:pict>
      </w:r>
    </w:p>
    <w:p w:rsidR="00E6462D" w:rsidRDefault="00E6462D">
      <w:pPr>
        <w:rPr>
          <w:rFonts w:eastAsia="Times New Roman" w:cs="Times New Roman"/>
          <w:sz w:val="20"/>
          <w:szCs w:val="20"/>
          <w:lang w:eastAsia="en-CA"/>
        </w:rPr>
      </w:pPr>
      <w:r>
        <w:rPr>
          <w:rFonts w:eastAsia="Times New Roman" w:cs="Times New Roman"/>
          <w:sz w:val="20"/>
          <w:szCs w:val="20"/>
          <w:lang w:eastAsia="en-CA"/>
        </w:rPr>
        <w:br w:type="page"/>
      </w:r>
    </w:p>
    <w:p w:rsidR="00992FA8" w:rsidRPr="00992FA8" w:rsidRDefault="00992FA8" w:rsidP="00992FA8">
      <w:pPr>
        <w:tabs>
          <w:tab w:val="left" w:pos="-1440"/>
          <w:tab w:val="left" w:pos="-720"/>
        </w:tabs>
        <w:jc w:val="both"/>
        <w:rPr>
          <w:rFonts w:eastAsia="Times New Roman" w:cs="Times New Roman"/>
          <w:sz w:val="20"/>
          <w:szCs w:val="20"/>
          <w:lang w:val="fr-CA" w:eastAsia="en-CA"/>
        </w:rPr>
      </w:pPr>
      <w:r w:rsidRPr="00992FA8">
        <w:rPr>
          <w:rFonts w:eastAsia="Times New Roman" w:cs="Times New Roman"/>
          <w:sz w:val="20"/>
          <w:szCs w:val="20"/>
          <w:lang w:val="fr-CA" w:eastAsia="en-CA"/>
        </w:rPr>
        <w:lastRenderedPageBreak/>
        <w:t>22.07.2011</w:t>
      </w:r>
    </w:p>
    <w:p w:rsidR="00992FA8" w:rsidRPr="00992FA8" w:rsidRDefault="00992FA8" w:rsidP="00992FA8">
      <w:pPr>
        <w:tabs>
          <w:tab w:val="left" w:pos="-1440"/>
          <w:tab w:val="left" w:pos="-720"/>
        </w:tabs>
        <w:jc w:val="both"/>
        <w:rPr>
          <w:rFonts w:eastAsia="Times New Roman" w:cs="Times New Roman"/>
          <w:sz w:val="20"/>
          <w:szCs w:val="20"/>
          <w:lang w:val="fr-CA" w:eastAsia="en-CA"/>
        </w:rPr>
      </w:pPr>
    </w:p>
    <w:p w:rsidR="00992FA8" w:rsidRPr="00992FA8" w:rsidRDefault="00992FA8" w:rsidP="00992FA8">
      <w:pPr>
        <w:tabs>
          <w:tab w:val="left" w:pos="-1440"/>
          <w:tab w:val="left" w:pos="-720"/>
        </w:tabs>
        <w:jc w:val="both"/>
        <w:rPr>
          <w:rFonts w:eastAsia="Times New Roman" w:cs="Times New Roman"/>
          <w:sz w:val="20"/>
          <w:szCs w:val="20"/>
          <w:lang w:val="fr-CA" w:eastAsia="en-CA"/>
        </w:rPr>
      </w:pPr>
      <w:r w:rsidRPr="00992FA8">
        <w:rPr>
          <w:rFonts w:eastAsia="Times New Roman" w:cs="Times New Roman"/>
          <w:sz w:val="20"/>
          <w:szCs w:val="20"/>
          <w:lang w:val="fr-CA" w:eastAsia="en-CA"/>
        </w:rPr>
        <w:t>Before / Devant :   LEBEL J. / LE JUGE LEBEL</w:t>
      </w:r>
    </w:p>
    <w:p w:rsidR="00992FA8" w:rsidRPr="00992FA8" w:rsidRDefault="00992FA8" w:rsidP="00992FA8">
      <w:pPr>
        <w:tabs>
          <w:tab w:val="left" w:pos="-1440"/>
          <w:tab w:val="left" w:pos="-720"/>
        </w:tabs>
        <w:jc w:val="both"/>
        <w:rPr>
          <w:rFonts w:eastAsia="Times New Roman" w:cs="Times New Roman"/>
          <w:sz w:val="20"/>
          <w:szCs w:val="20"/>
          <w:lang w:val="fr-CA" w:eastAsia="en-C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992FA8" w:rsidRPr="00992FA8" w:rsidTr="00992FA8">
        <w:tc>
          <w:tcPr>
            <w:tcW w:w="4338" w:type="dxa"/>
          </w:tcPr>
          <w:p w:rsidR="00992FA8" w:rsidRPr="00992FA8" w:rsidRDefault="00992FA8" w:rsidP="00992FA8">
            <w:pPr>
              <w:jc w:val="both"/>
            </w:pPr>
            <w:r w:rsidRPr="00992FA8">
              <w:rPr>
                <w:b/>
              </w:rPr>
              <w:t>Miscellaneous motion</w:t>
            </w:r>
          </w:p>
        </w:tc>
        <w:tc>
          <w:tcPr>
            <w:tcW w:w="1170" w:type="dxa"/>
          </w:tcPr>
          <w:p w:rsidR="00992FA8" w:rsidRPr="00992FA8" w:rsidRDefault="00992FA8" w:rsidP="00992FA8">
            <w:pPr>
              <w:tabs>
                <w:tab w:val="left" w:pos="-1440"/>
                <w:tab w:val="left" w:pos="-720"/>
              </w:tabs>
              <w:jc w:val="both"/>
            </w:pPr>
          </w:p>
          <w:p w:rsidR="00992FA8" w:rsidRPr="00992FA8" w:rsidRDefault="00992FA8" w:rsidP="00992FA8">
            <w:pPr>
              <w:tabs>
                <w:tab w:val="left" w:pos="-1440"/>
                <w:tab w:val="left" w:pos="-720"/>
              </w:tabs>
              <w:jc w:val="both"/>
            </w:pPr>
          </w:p>
        </w:tc>
        <w:tc>
          <w:tcPr>
            <w:tcW w:w="4327" w:type="dxa"/>
          </w:tcPr>
          <w:p w:rsidR="00992FA8" w:rsidRPr="00992FA8" w:rsidRDefault="00992FA8" w:rsidP="00992FA8">
            <w:pPr>
              <w:tabs>
                <w:tab w:val="left" w:pos="-1440"/>
                <w:tab w:val="left" w:pos="-720"/>
              </w:tabs>
              <w:jc w:val="both"/>
              <w:rPr>
                <w:b/>
                <w:lang w:val="fr-CA"/>
              </w:rPr>
            </w:pPr>
            <w:r w:rsidRPr="00992FA8">
              <w:rPr>
                <w:b/>
                <w:lang w:val="en-US"/>
              </w:rPr>
              <w:t>Requête diverse</w:t>
            </w:r>
            <w:r w:rsidR="004D20D2" w:rsidRPr="00992FA8">
              <w:rPr>
                <w:b/>
                <w:bCs/>
                <w:lang w:val="fr-CA"/>
              </w:rPr>
              <w:fldChar w:fldCharType="begin"/>
            </w:r>
            <w:r w:rsidRPr="00992FA8">
              <w:rPr>
                <w:b/>
                <w:bCs/>
                <w:lang w:val="fr-CA"/>
              </w:rPr>
              <w:instrText xml:space="preserve"> SEQ CHAPTER \h \r 1</w:instrText>
            </w:r>
            <w:r w:rsidR="004D20D2" w:rsidRPr="00992FA8">
              <w:rPr>
                <w:b/>
                <w:bCs/>
                <w:lang w:val="fr-CA"/>
              </w:rPr>
              <w:fldChar w:fldCharType="end"/>
            </w:r>
          </w:p>
        </w:tc>
      </w:tr>
      <w:tr w:rsidR="00992FA8" w:rsidRPr="00291AC9" w:rsidTr="00992FA8">
        <w:tc>
          <w:tcPr>
            <w:tcW w:w="4338" w:type="dxa"/>
          </w:tcPr>
          <w:p w:rsidR="00992FA8" w:rsidRPr="00992FA8" w:rsidRDefault="00992FA8" w:rsidP="00992FA8">
            <w:pPr>
              <w:tabs>
                <w:tab w:val="left" w:pos="-1440"/>
                <w:tab w:val="left" w:pos="-720"/>
              </w:tabs>
              <w:jc w:val="both"/>
              <w:rPr>
                <w:lang w:val="fr-CA"/>
              </w:rPr>
            </w:pPr>
            <w:r w:rsidRPr="00992FA8">
              <w:rPr>
                <w:lang w:val="fr-CA"/>
              </w:rPr>
              <w:t>Procureur général du Québec et autres</w:t>
            </w:r>
          </w:p>
          <w:p w:rsidR="00992FA8" w:rsidRPr="00992FA8" w:rsidRDefault="00992FA8" w:rsidP="00992FA8">
            <w:pPr>
              <w:tabs>
                <w:tab w:val="left" w:pos="-1440"/>
                <w:tab w:val="left" w:pos="-720"/>
              </w:tabs>
              <w:jc w:val="both"/>
              <w:rPr>
                <w:lang w:val="fr-CA"/>
              </w:rPr>
            </w:pPr>
          </w:p>
          <w:p w:rsidR="00992FA8" w:rsidRPr="00992FA8" w:rsidRDefault="00992FA8" w:rsidP="00992FA8">
            <w:pPr>
              <w:tabs>
                <w:tab w:val="left" w:pos="-1440"/>
                <w:tab w:val="left" w:pos="-720"/>
              </w:tabs>
              <w:jc w:val="both"/>
              <w:rPr>
                <w:lang w:val="fr-CA"/>
              </w:rPr>
            </w:pPr>
            <w:r w:rsidRPr="00992FA8">
              <w:rPr>
                <w:lang w:val="fr-CA"/>
              </w:rPr>
              <w:tab/>
              <w:t>c. (33990)</w:t>
            </w:r>
          </w:p>
          <w:p w:rsidR="00992FA8" w:rsidRPr="00992FA8" w:rsidRDefault="00992FA8" w:rsidP="00992FA8">
            <w:pPr>
              <w:tabs>
                <w:tab w:val="left" w:pos="-1440"/>
                <w:tab w:val="left" w:pos="-720"/>
              </w:tabs>
              <w:jc w:val="both"/>
              <w:rPr>
                <w:lang w:val="fr-CA"/>
              </w:rPr>
            </w:pPr>
          </w:p>
          <w:p w:rsidR="00992FA8" w:rsidRPr="00992FA8" w:rsidRDefault="00992FA8" w:rsidP="00992FA8">
            <w:pPr>
              <w:tabs>
                <w:tab w:val="left" w:pos="-1440"/>
                <w:tab w:val="left" w:pos="-720"/>
              </w:tabs>
              <w:jc w:val="both"/>
              <w:rPr>
                <w:lang w:val="fr-CA"/>
              </w:rPr>
            </w:pPr>
            <w:r w:rsidRPr="00992FA8">
              <w:rPr>
                <w:lang w:val="fr-CA"/>
              </w:rPr>
              <w:t>A et autres (Qc)</w:t>
            </w:r>
          </w:p>
        </w:tc>
        <w:tc>
          <w:tcPr>
            <w:tcW w:w="1170" w:type="dxa"/>
          </w:tcPr>
          <w:p w:rsidR="00992FA8" w:rsidRPr="00992FA8" w:rsidRDefault="00992FA8" w:rsidP="00992FA8">
            <w:pPr>
              <w:tabs>
                <w:tab w:val="left" w:pos="-1440"/>
                <w:tab w:val="left" w:pos="-720"/>
              </w:tabs>
              <w:jc w:val="both"/>
              <w:rPr>
                <w:lang w:val="fr-CA"/>
              </w:rPr>
            </w:pPr>
          </w:p>
        </w:tc>
        <w:tc>
          <w:tcPr>
            <w:tcW w:w="4327" w:type="dxa"/>
          </w:tcPr>
          <w:p w:rsidR="00992FA8" w:rsidRPr="00992FA8" w:rsidRDefault="00992FA8" w:rsidP="00992FA8">
            <w:pPr>
              <w:tabs>
                <w:tab w:val="left" w:pos="-1440"/>
                <w:tab w:val="left" w:pos="-720"/>
              </w:tabs>
              <w:jc w:val="both"/>
              <w:rPr>
                <w:lang w:val="fr-CA"/>
              </w:rPr>
            </w:pPr>
          </w:p>
        </w:tc>
      </w:tr>
    </w:tbl>
    <w:p w:rsidR="00992FA8" w:rsidRPr="00992FA8" w:rsidRDefault="00992FA8" w:rsidP="00992FA8">
      <w:pPr>
        <w:tabs>
          <w:tab w:val="left" w:pos="-1440"/>
          <w:tab w:val="left" w:pos="-720"/>
        </w:tabs>
        <w:jc w:val="both"/>
        <w:rPr>
          <w:rFonts w:eastAsia="Times New Roman" w:cs="Times New Roman"/>
          <w:b/>
          <w:sz w:val="20"/>
          <w:szCs w:val="20"/>
          <w:lang w:val="fr-CA" w:eastAsia="en-CA"/>
        </w:rPr>
      </w:pPr>
    </w:p>
    <w:p w:rsidR="00992FA8" w:rsidRPr="00992FA8" w:rsidRDefault="00992FA8" w:rsidP="00992FA8">
      <w:pPr>
        <w:tabs>
          <w:tab w:val="left" w:pos="-1440"/>
          <w:tab w:val="left" w:pos="-720"/>
        </w:tabs>
        <w:jc w:val="both"/>
        <w:rPr>
          <w:rFonts w:eastAsia="Times New Roman" w:cs="Times New Roman"/>
          <w:sz w:val="20"/>
          <w:szCs w:val="20"/>
          <w:lang w:val="fr-CA" w:eastAsia="en-CA"/>
        </w:rPr>
      </w:pPr>
      <w:r w:rsidRPr="00992FA8">
        <w:rPr>
          <w:rFonts w:eastAsia="Times New Roman" w:cs="Times New Roman"/>
          <w:b/>
          <w:sz w:val="20"/>
          <w:szCs w:val="20"/>
          <w:lang w:val="fr-CA" w:eastAsia="en-CA"/>
        </w:rPr>
        <w:t>GRANTED / ACCORDÉE</w:t>
      </w:r>
    </w:p>
    <w:p w:rsidR="00992FA8" w:rsidRPr="00992FA8" w:rsidRDefault="00992FA8" w:rsidP="00992FA8">
      <w:pPr>
        <w:tabs>
          <w:tab w:val="left" w:pos="-1440"/>
          <w:tab w:val="left" w:pos="-720"/>
        </w:tabs>
        <w:jc w:val="both"/>
        <w:rPr>
          <w:rFonts w:eastAsia="Times New Roman" w:cs="Times New Roman"/>
          <w:sz w:val="20"/>
          <w:szCs w:val="20"/>
          <w:lang w:val="fr-CA" w:eastAsia="en-CA"/>
        </w:rPr>
      </w:pPr>
    </w:p>
    <w:p w:rsidR="00992FA8" w:rsidRPr="00992FA8" w:rsidRDefault="00992FA8" w:rsidP="00992FA8">
      <w:pPr>
        <w:jc w:val="both"/>
        <w:rPr>
          <w:rFonts w:eastAsia="Times New Roman" w:cs="Times New Roman"/>
          <w:sz w:val="20"/>
          <w:szCs w:val="20"/>
          <w:lang w:val="fr-FR" w:eastAsia="en-CA"/>
        </w:rPr>
      </w:pPr>
      <w:r w:rsidRPr="00992FA8">
        <w:rPr>
          <w:rFonts w:eastAsia="Times New Roman" w:cs="Times New Roman"/>
          <w:b/>
          <w:sz w:val="20"/>
          <w:szCs w:val="20"/>
          <w:lang w:val="fr-FR" w:eastAsia="en-CA"/>
        </w:rPr>
        <w:t>À LA SUITE D’UNE REQUÊTE</w:t>
      </w:r>
      <w:r w:rsidRPr="00992FA8">
        <w:rPr>
          <w:rFonts w:eastAsia="Times New Roman" w:cs="Times New Roman"/>
          <w:sz w:val="20"/>
          <w:szCs w:val="20"/>
          <w:lang w:val="fr-FR" w:eastAsia="en-CA"/>
        </w:rPr>
        <w:t xml:space="preserve"> de B pour obtenir des directives quant à la confection des dossiers et mémoires ainsi qu’aux délais pour la production desdits documents;</w:t>
      </w:r>
    </w:p>
    <w:p w:rsidR="00992FA8" w:rsidRPr="00992FA8" w:rsidRDefault="00992FA8" w:rsidP="00992FA8">
      <w:pPr>
        <w:jc w:val="both"/>
        <w:rPr>
          <w:rFonts w:eastAsia="Times New Roman" w:cs="Times New Roman"/>
          <w:sz w:val="20"/>
          <w:szCs w:val="20"/>
          <w:lang w:val="fr-FR" w:eastAsia="en-CA"/>
        </w:rPr>
      </w:pPr>
    </w:p>
    <w:p w:rsidR="00992FA8" w:rsidRPr="00992FA8" w:rsidRDefault="00992FA8" w:rsidP="00992FA8">
      <w:pPr>
        <w:jc w:val="both"/>
        <w:rPr>
          <w:rFonts w:eastAsia="Times New Roman" w:cs="Times New Roman"/>
          <w:sz w:val="20"/>
          <w:szCs w:val="20"/>
          <w:lang w:val="fr-FR" w:eastAsia="en-CA"/>
        </w:rPr>
      </w:pPr>
      <w:r w:rsidRPr="00992FA8">
        <w:rPr>
          <w:rFonts w:eastAsia="Times New Roman" w:cs="Times New Roman"/>
          <w:b/>
          <w:sz w:val="20"/>
          <w:szCs w:val="20"/>
          <w:lang w:val="fr-FR" w:eastAsia="en-CA"/>
        </w:rPr>
        <w:t xml:space="preserve">ET APRÈS EXAMEN </w:t>
      </w:r>
      <w:r w:rsidRPr="00992FA8">
        <w:rPr>
          <w:rFonts w:eastAsia="Times New Roman" w:cs="Times New Roman"/>
          <w:sz w:val="20"/>
          <w:szCs w:val="20"/>
          <w:lang w:val="fr-FR" w:eastAsia="en-CA"/>
        </w:rPr>
        <w:t>des documents déposés par chacune des parties;</w:t>
      </w:r>
    </w:p>
    <w:p w:rsidR="00992FA8" w:rsidRPr="00992FA8" w:rsidRDefault="00992FA8" w:rsidP="00992FA8">
      <w:pPr>
        <w:jc w:val="both"/>
        <w:rPr>
          <w:rFonts w:eastAsia="Times New Roman" w:cs="Times New Roman"/>
          <w:sz w:val="20"/>
          <w:szCs w:val="20"/>
          <w:lang w:val="fr-FR" w:eastAsia="en-CA"/>
        </w:rPr>
      </w:pPr>
    </w:p>
    <w:p w:rsidR="00992FA8" w:rsidRPr="00992FA8" w:rsidRDefault="00992FA8" w:rsidP="00992FA8">
      <w:pPr>
        <w:jc w:val="both"/>
        <w:rPr>
          <w:rFonts w:eastAsia="Times New Roman" w:cs="Times New Roman"/>
          <w:b/>
          <w:caps/>
          <w:sz w:val="20"/>
          <w:szCs w:val="20"/>
          <w:lang w:val="fr-FR" w:eastAsia="en-CA"/>
        </w:rPr>
      </w:pPr>
      <w:r w:rsidRPr="00992FA8">
        <w:rPr>
          <w:rFonts w:eastAsia="Times New Roman" w:cs="Times New Roman"/>
          <w:b/>
          <w:caps/>
          <w:sz w:val="20"/>
          <w:szCs w:val="20"/>
          <w:lang w:val="fr-FR" w:eastAsia="en-CA"/>
        </w:rPr>
        <w:t>IL EST PAR LA PRÉSENTE ORDONNÉ CE QUI SUIT:</w:t>
      </w:r>
    </w:p>
    <w:p w:rsidR="00992FA8" w:rsidRPr="00992FA8" w:rsidRDefault="00992FA8" w:rsidP="00992FA8">
      <w:pPr>
        <w:jc w:val="both"/>
        <w:rPr>
          <w:rFonts w:eastAsia="Times New Roman" w:cs="Times New Roman"/>
          <w:sz w:val="20"/>
          <w:szCs w:val="20"/>
          <w:lang w:val="fr-FR" w:eastAsia="en-CA"/>
        </w:rPr>
      </w:pPr>
    </w:p>
    <w:p w:rsidR="00992FA8" w:rsidRPr="00992FA8" w:rsidRDefault="00992FA8" w:rsidP="00992FA8">
      <w:pPr>
        <w:numPr>
          <w:ilvl w:val="0"/>
          <w:numId w:val="5"/>
        </w:numPr>
        <w:contextualSpacing/>
        <w:jc w:val="both"/>
        <w:rPr>
          <w:sz w:val="20"/>
          <w:szCs w:val="20"/>
          <w:lang w:val="fr-FR"/>
        </w:rPr>
      </w:pPr>
      <w:r w:rsidRPr="00992FA8">
        <w:rPr>
          <w:sz w:val="20"/>
          <w:szCs w:val="20"/>
          <w:lang w:val="fr-FR"/>
        </w:rPr>
        <w:t>Le dépôt d’un seul dossier conjoint est accordé.</w:t>
      </w:r>
    </w:p>
    <w:p w:rsidR="00992FA8" w:rsidRPr="00992FA8" w:rsidRDefault="00992FA8" w:rsidP="00992FA8">
      <w:pPr>
        <w:ind w:left="360"/>
        <w:contextualSpacing/>
        <w:jc w:val="both"/>
        <w:rPr>
          <w:sz w:val="20"/>
          <w:szCs w:val="20"/>
          <w:lang w:val="fr-FR"/>
        </w:rPr>
      </w:pPr>
    </w:p>
    <w:p w:rsidR="00992FA8" w:rsidRPr="00992FA8" w:rsidRDefault="00992FA8" w:rsidP="00992FA8">
      <w:pPr>
        <w:numPr>
          <w:ilvl w:val="0"/>
          <w:numId w:val="5"/>
        </w:numPr>
        <w:contextualSpacing/>
        <w:jc w:val="both"/>
        <w:rPr>
          <w:sz w:val="20"/>
          <w:szCs w:val="20"/>
          <w:lang w:val="fr-FR"/>
        </w:rPr>
      </w:pPr>
      <w:r w:rsidRPr="00992FA8">
        <w:rPr>
          <w:sz w:val="20"/>
          <w:szCs w:val="20"/>
          <w:lang w:val="fr-FR"/>
        </w:rPr>
        <w:t>Le délai pour le dépôt du dossier conjoint et des mémoires des appelants est prorogé jusqu’au 2 septembre 2011.</w:t>
      </w:r>
    </w:p>
    <w:p w:rsidR="00992FA8" w:rsidRPr="00992FA8" w:rsidRDefault="00992FA8" w:rsidP="00992FA8">
      <w:pPr>
        <w:ind w:left="360"/>
        <w:contextualSpacing/>
        <w:jc w:val="both"/>
        <w:rPr>
          <w:sz w:val="20"/>
          <w:szCs w:val="20"/>
          <w:lang w:val="fr-FR"/>
        </w:rPr>
      </w:pPr>
    </w:p>
    <w:p w:rsidR="00992FA8" w:rsidRPr="00992FA8" w:rsidRDefault="00992FA8" w:rsidP="00992FA8">
      <w:pPr>
        <w:numPr>
          <w:ilvl w:val="0"/>
          <w:numId w:val="5"/>
        </w:numPr>
        <w:contextualSpacing/>
        <w:jc w:val="both"/>
        <w:rPr>
          <w:sz w:val="20"/>
          <w:szCs w:val="20"/>
          <w:lang w:val="fr-FR"/>
        </w:rPr>
      </w:pPr>
      <w:r w:rsidRPr="00992FA8">
        <w:rPr>
          <w:sz w:val="20"/>
          <w:szCs w:val="20"/>
          <w:lang w:val="fr-FR"/>
        </w:rPr>
        <w:t>Le délai pour le dépôt des mémoires des intimés et de l’intervenante Fédération des associations de familles monoparentales et recomposées du Québec est prorogé jusqu’au 28 octobre 2011.</w:t>
      </w:r>
    </w:p>
    <w:p w:rsidR="00992FA8" w:rsidRPr="00992FA8" w:rsidRDefault="00992FA8" w:rsidP="00992FA8">
      <w:pPr>
        <w:ind w:left="360"/>
        <w:contextualSpacing/>
        <w:jc w:val="both"/>
        <w:rPr>
          <w:sz w:val="20"/>
          <w:szCs w:val="20"/>
          <w:lang w:val="fr-FR"/>
        </w:rPr>
      </w:pPr>
    </w:p>
    <w:p w:rsidR="00992FA8" w:rsidRPr="00992FA8" w:rsidRDefault="00992FA8" w:rsidP="00992FA8">
      <w:pPr>
        <w:numPr>
          <w:ilvl w:val="0"/>
          <w:numId w:val="5"/>
        </w:numPr>
        <w:contextualSpacing/>
        <w:jc w:val="both"/>
        <w:rPr>
          <w:sz w:val="20"/>
          <w:szCs w:val="20"/>
          <w:lang w:val="fr-FR"/>
        </w:rPr>
      </w:pPr>
      <w:r w:rsidRPr="00992FA8">
        <w:rPr>
          <w:sz w:val="20"/>
          <w:szCs w:val="20"/>
          <w:lang w:val="fr-FR"/>
        </w:rPr>
        <w:t>L’ajout du Procureur général du Québec comme intimé dans le cadre de l’appel de A est accordé.</w:t>
      </w:r>
    </w:p>
    <w:p w:rsidR="00992FA8" w:rsidRPr="00992FA8" w:rsidRDefault="00992FA8" w:rsidP="00992FA8">
      <w:pPr>
        <w:ind w:left="360"/>
        <w:contextualSpacing/>
        <w:jc w:val="both"/>
        <w:rPr>
          <w:sz w:val="20"/>
          <w:szCs w:val="20"/>
          <w:lang w:val="fr-FR"/>
        </w:rPr>
      </w:pPr>
    </w:p>
    <w:p w:rsidR="00992FA8" w:rsidRPr="00992FA8" w:rsidRDefault="00992FA8" w:rsidP="00992FA8">
      <w:pPr>
        <w:numPr>
          <w:ilvl w:val="0"/>
          <w:numId w:val="5"/>
        </w:numPr>
        <w:contextualSpacing/>
        <w:jc w:val="both"/>
        <w:rPr>
          <w:sz w:val="20"/>
          <w:szCs w:val="20"/>
          <w:lang w:val="fr-FR"/>
        </w:rPr>
      </w:pPr>
      <w:r w:rsidRPr="00992FA8">
        <w:rPr>
          <w:sz w:val="20"/>
          <w:szCs w:val="20"/>
          <w:lang w:val="fr-FR"/>
        </w:rPr>
        <w:t>Le retrait du Procureur général du Canada du dossier est accordé.</w:t>
      </w:r>
    </w:p>
    <w:p w:rsidR="00992FA8" w:rsidRPr="00992FA8" w:rsidRDefault="00992FA8" w:rsidP="00992FA8">
      <w:pPr>
        <w:ind w:left="720"/>
        <w:contextualSpacing/>
        <w:rPr>
          <w:sz w:val="20"/>
          <w:szCs w:val="20"/>
          <w:lang w:val="fr-FR"/>
        </w:rPr>
      </w:pPr>
    </w:p>
    <w:p w:rsidR="00992FA8" w:rsidRPr="00992FA8" w:rsidRDefault="00992FA8" w:rsidP="00992FA8">
      <w:pPr>
        <w:numPr>
          <w:ilvl w:val="0"/>
          <w:numId w:val="5"/>
        </w:numPr>
        <w:contextualSpacing/>
        <w:jc w:val="both"/>
        <w:rPr>
          <w:sz w:val="20"/>
          <w:szCs w:val="20"/>
          <w:lang w:val="fr-FR"/>
        </w:rPr>
      </w:pPr>
      <w:r w:rsidRPr="00992FA8">
        <w:rPr>
          <w:sz w:val="20"/>
          <w:szCs w:val="20"/>
          <w:lang w:val="fr-FR"/>
        </w:rPr>
        <w:t>Les appelants A, B et Procureur général du Québec sont chacun autorisés à déposer un mémoire n’excédant pas 60 pages.</w:t>
      </w:r>
    </w:p>
    <w:p w:rsidR="00992FA8" w:rsidRPr="00992FA8" w:rsidRDefault="00992FA8" w:rsidP="00992FA8">
      <w:pPr>
        <w:jc w:val="both"/>
        <w:rPr>
          <w:rFonts w:eastAsia="Times New Roman" w:cs="Times New Roman"/>
          <w:sz w:val="20"/>
          <w:szCs w:val="20"/>
          <w:lang w:val="fr-FR" w:eastAsia="en-CA"/>
        </w:rPr>
      </w:pPr>
    </w:p>
    <w:p w:rsidR="00992FA8" w:rsidRPr="00992FA8" w:rsidRDefault="00992FA8" w:rsidP="00992FA8">
      <w:pPr>
        <w:ind w:left="1080"/>
        <w:contextualSpacing/>
        <w:jc w:val="both"/>
        <w:rPr>
          <w:sz w:val="20"/>
          <w:szCs w:val="20"/>
          <w:lang w:val="fr-FR"/>
        </w:rPr>
      </w:pPr>
      <w:r w:rsidRPr="00992FA8">
        <w:rPr>
          <w:sz w:val="20"/>
          <w:szCs w:val="20"/>
          <w:lang w:val="fr-FR"/>
        </w:rPr>
        <w:t>L’intimée A est autorisée à déposer un mémoire n’excédant pas 40 pages.</w:t>
      </w:r>
    </w:p>
    <w:p w:rsidR="00992FA8" w:rsidRPr="00992FA8" w:rsidRDefault="00992FA8" w:rsidP="00992FA8">
      <w:pPr>
        <w:ind w:left="1080"/>
        <w:contextualSpacing/>
        <w:jc w:val="both"/>
        <w:rPr>
          <w:sz w:val="20"/>
          <w:szCs w:val="20"/>
          <w:lang w:val="fr-FR"/>
        </w:rPr>
      </w:pPr>
    </w:p>
    <w:p w:rsidR="00992FA8" w:rsidRPr="00992FA8" w:rsidRDefault="00992FA8" w:rsidP="00992FA8">
      <w:pPr>
        <w:ind w:left="1080"/>
        <w:contextualSpacing/>
        <w:jc w:val="both"/>
        <w:rPr>
          <w:sz w:val="20"/>
          <w:szCs w:val="20"/>
          <w:lang w:val="fr-FR"/>
        </w:rPr>
      </w:pPr>
      <w:r w:rsidRPr="00992FA8">
        <w:rPr>
          <w:sz w:val="20"/>
          <w:szCs w:val="20"/>
          <w:lang w:val="fr-FR"/>
        </w:rPr>
        <w:t>Les intimés B et Procureur général du Québec sont chacun autorisés à déposer un mémoire n’excédant pas 20 pages.</w:t>
      </w:r>
    </w:p>
    <w:p w:rsidR="00992FA8" w:rsidRPr="00992FA8" w:rsidRDefault="00992FA8" w:rsidP="00992FA8">
      <w:pPr>
        <w:ind w:left="1080"/>
        <w:contextualSpacing/>
        <w:jc w:val="both"/>
        <w:rPr>
          <w:sz w:val="20"/>
          <w:szCs w:val="20"/>
          <w:lang w:val="fr-FR"/>
        </w:rPr>
      </w:pPr>
    </w:p>
    <w:p w:rsidR="00992FA8" w:rsidRPr="00992FA8" w:rsidRDefault="00992FA8" w:rsidP="00992FA8">
      <w:pPr>
        <w:ind w:left="1080"/>
        <w:contextualSpacing/>
        <w:jc w:val="both"/>
        <w:rPr>
          <w:sz w:val="20"/>
          <w:szCs w:val="20"/>
          <w:lang w:val="fr-FR"/>
        </w:rPr>
      </w:pPr>
      <w:r w:rsidRPr="00992FA8">
        <w:rPr>
          <w:sz w:val="20"/>
          <w:szCs w:val="20"/>
          <w:lang w:val="fr-FR"/>
        </w:rPr>
        <w:t>L’intervenante Fédération des associations de familles monoparentales et recomposées du Québec n’est autorisée qu’à déposer un seul mémoire n’excédant pas 10 pages.</w:t>
      </w:r>
    </w:p>
    <w:p w:rsidR="00992FA8" w:rsidRPr="00992FA8" w:rsidRDefault="00992FA8" w:rsidP="00992FA8">
      <w:pPr>
        <w:tabs>
          <w:tab w:val="left" w:pos="-1440"/>
          <w:tab w:val="left" w:pos="-720"/>
        </w:tabs>
        <w:jc w:val="both"/>
        <w:rPr>
          <w:rFonts w:eastAsia="Times New Roman" w:cs="Times New Roman"/>
          <w:sz w:val="20"/>
          <w:szCs w:val="20"/>
          <w:lang w:val="fr-FR" w:eastAsia="en-CA"/>
        </w:rPr>
      </w:pPr>
    </w:p>
    <w:p w:rsidR="00992FA8" w:rsidRPr="00992FA8" w:rsidRDefault="00992FA8" w:rsidP="00992FA8">
      <w:pPr>
        <w:tabs>
          <w:tab w:val="left" w:pos="-1440"/>
          <w:tab w:val="left" w:pos="-720"/>
        </w:tabs>
        <w:jc w:val="both"/>
        <w:rPr>
          <w:rFonts w:eastAsia="Times New Roman" w:cs="Times New Roman"/>
          <w:sz w:val="20"/>
          <w:szCs w:val="20"/>
          <w:lang w:val="fr-FR" w:eastAsia="en-CA"/>
        </w:rPr>
      </w:pPr>
    </w:p>
    <w:p w:rsidR="00992FA8" w:rsidRPr="00992FA8" w:rsidRDefault="00992FA8" w:rsidP="00992FA8">
      <w:pPr>
        <w:tabs>
          <w:tab w:val="left" w:pos="-1440"/>
          <w:tab w:val="left" w:pos="-720"/>
        </w:tabs>
        <w:jc w:val="both"/>
        <w:rPr>
          <w:rFonts w:eastAsia="Times New Roman" w:cs="Times New Roman"/>
          <w:sz w:val="20"/>
          <w:szCs w:val="20"/>
          <w:lang w:val="fr-FR" w:eastAsia="en-CA"/>
        </w:rPr>
      </w:pPr>
    </w:p>
    <w:p w:rsidR="00992FA8" w:rsidRPr="00992FA8" w:rsidRDefault="00992FA8" w:rsidP="00992FA8">
      <w:pPr>
        <w:jc w:val="both"/>
        <w:rPr>
          <w:rFonts w:eastAsia="Times New Roman" w:cs="Times New Roman"/>
          <w:sz w:val="20"/>
          <w:szCs w:val="20"/>
          <w:lang w:val="en-US" w:eastAsia="en-CA"/>
        </w:rPr>
      </w:pPr>
      <w:r w:rsidRPr="00992FA8">
        <w:rPr>
          <w:rFonts w:eastAsia="Times New Roman" w:cs="Times New Roman"/>
          <w:b/>
          <w:sz w:val="20"/>
          <w:szCs w:val="20"/>
          <w:lang w:val="en-US" w:eastAsia="en-CA"/>
        </w:rPr>
        <w:t xml:space="preserve">UPON A MOTION </w:t>
      </w:r>
      <w:r w:rsidRPr="00992FA8">
        <w:rPr>
          <w:rFonts w:eastAsia="Times New Roman" w:cs="Times New Roman"/>
          <w:sz w:val="20"/>
          <w:szCs w:val="20"/>
          <w:lang w:val="en-US" w:eastAsia="en-CA"/>
        </w:rPr>
        <w:t>by B for directions regarding the preparation of and the time to file records and factums;</w:t>
      </w:r>
    </w:p>
    <w:p w:rsidR="00992FA8" w:rsidRPr="00992FA8" w:rsidRDefault="00992FA8" w:rsidP="00992FA8">
      <w:pPr>
        <w:jc w:val="both"/>
        <w:rPr>
          <w:rFonts w:eastAsia="Times New Roman" w:cs="Times New Roman"/>
          <w:sz w:val="20"/>
          <w:szCs w:val="20"/>
          <w:lang w:val="en-US" w:eastAsia="en-CA"/>
        </w:rPr>
      </w:pPr>
    </w:p>
    <w:p w:rsidR="00992FA8" w:rsidRPr="00992FA8" w:rsidRDefault="00992FA8" w:rsidP="00992FA8">
      <w:pPr>
        <w:jc w:val="both"/>
        <w:rPr>
          <w:rFonts w:eastAsia="Times New Roman" w:cs="Times New Roman"/>
          <w:sz w:val="20"/>
          <w:szCs w:val="20"/>
          <w:lang w:val="en-US" w:eastAsia="en-CA"/>
        </w:rPr>
      </w:pPr>
      <w:r w:rsidRPr="00992FA8">
        <w:rPr>
          <w:rFonts w:eastAsia="Times New Roman" w:cs="Times New Roman"/>
          <w:b/>
          <w:sz w:val="20"/>
          <w:szCs w:val="20"/>
          <w:lang w:val="en-US" w:eastAsia="en-CA"/>
        </w:rPr>
        <w:t xml:space="preserve">AND THE MATERIAL FILED </w:t>
      </w:r>
      <w:r w:rsidRPr="00992FA8">
        <w:rPr>
          <w:rFonts w:eastAsia="Times New Roman" w:cs="Times New Roman"/>
          <w:sz w:val="20"/>
          <w:szCs w:val="20"/>
          <w:lang w:val="en-US" w:eastAsia="en-CA"/>
        </w:rPr>
        <w:t>by each of the parties having been read;</w:t>
      </w:r>
    </w:p>
    <w:p w:rsidR="00992FA8" w:rsidRPr="00992FA8" w:rsidRDefault="00992FA8" w:rsidP="00992FA8">
      <w:pPr>
        <w:jc w:val="both"/>
        <w:rPr>
          <w:rFonts w:eastAsia="Times New Roman" w:cs="Times New Roman"/>
          <w:sz w:val="20"/>
          <w:szCs w:val="20"/>
          <w:lang w:val="en-US" w:eastAsia="en-CA"/>
        </w:rPr>
      </w:pPr>
    </w:p>
    <w:p w:rsidR="00992FA8" w:rsidRPr="00992FA8" w:rsidRDefault="00992FA8" w:rsidP="00992FA8">
      <w:pPr>
        <w:jc w:val="both"/>
        <w:rPr>
          <w:rFonts w:eastAsia="Times New Roman" w:cs="Times New Roman"/>
          <w:b/>
          <w:caps/>
          <w:sz w:val="20"/>
          <w:szCs w:val="20"/>
          <w:lang w:val="en-US" w:eastAsia="en-CA"/>
        </w:rPr>
      </w:pPr>
      <w:r w:rsidRPr="00992FA8">
        <w:rPr>
          <w:rFonts w:eastAsia="Times New Roman" w:cs="Times New Roman"/>
          <w:b/>
          <w:caps/>
          <w:sz w:val="20"/>
          <w:szCs w:val="20"/>
          <w:lang w:val="en-US" w:eastAsia="en-CA"/>
        </w:rPr>
        <w:t>IT IS HEREBY ORDERED THAT:</w:t>
      </w:r>
    </w:p>
    <w:p w:rsidR="00992FA8" w:rsidRPr="00992FA8" w:rsidRDefault="00992FA8" w:rsidP="00992FA8">
      <w:pPr>
        <w:jc w:val="both"/>
        <w:rPr>
          <w:rFonts w:eastAsia="Times New Roman" w:cs="Times New Roman"/>
          <w:sz w:val="20"/>
          <w:szCs w:val="20"/>
          <w:lang w:val="en-US" w:eastAsia="en-CA"/>
        </w:rPr>
      </w:pPr>
    </w:p>
    <w:p w:rsidR="00992FA8" w:rsidRPr="00992FA8" w:rsidRDefault="00992FA8" w:rsidP="00992FA8">
      <w:pPr>
        <w:numPr>
          <w:ilvl w:val="0"/>
          <w:numId w:val="6"/>
        </w:numPr>
        <w:contextualSpacing/>
        <w:jc w:val="both"/>
        <w:rPr>
          <w:sz w:val="20"/>
          <w:szCs w:val="20"/>
        </w:rPr>
      </w:pPr>
      <w:r w:rsidRPr="00992FA8">
        <w:rPr>
          <w:sz w:val="20"/>
          <w:szCs w:val="20"/>
        </w:rPr>
        <w:t>The filing of a single joint record is granted.</w:t>
      </w:r>
    </w:p>
    <w:p w:rsidR="00992FA8" w:rsidRPr="00992FA8" w:rsidRDefault="00992FA8" w:rsidP="00992FA8">
      <w:pPr>
        <w:ind w:left="360"/>
        <w:contextualSpacing/>
        <w:jc w:val="both"/>
        <w:rPr>
          <w:sz w:val="20"/>
          <w:szCs w:val="20"/>
        </w:rPr>
      </w:pPr>
    </w:p>
    <w:p w:rsidR="00992FA8" w:rsidRPr="00992FA8" w:rsidRDefault="00992FA8" w:rsidP="00992FA8">
      <w:pPr>
        <w:numPr>
          <w:ilvl w:val="0"/>
          <w:numId w:val="6"/>
        </w:numPr>
        <w:contextualSpacing/>
        <w:jc w:val="both"/>
        <w:rPr>
          <w:sz w:val="20"/>
          <w:szCs w:val="20"/>
        </w:rPr>
      </w:pPr>
      <w:r w:rsidRPr="00992FA8">
        <w:rPr>
          <w:sz w:val="20"/>
          <w:szCs w:val="20"/>
        </w:rPr>
        <w:t>The time to file the joint record and the appellants’ factums is extended to September 2, 2011.</w:t>
      </w:r>
    </w:p>
    <w:p w:rsidR="00992FA8" w:rsidRPr="00992FA8" w:rsidRDefault="00992FA8" w:rsidP="00992FA8">
      <w:pPr>
        <w:numPr>
          <w:ilvl w:val="0"/>
          <w:numId w:val="6"/>
        </w:numPr>
        <w:contextualSpacing/>
        <w:jc w:val="both"/>
        <w:rPr>
          <w:sz w:val="20"/>
          <w:szCs w:val="20"/>
        </w:rPr>
      </w:pPr>
      <w:r w:rsidRPr="00992FA8">
        <w:rPr>
          <w:sz w:val="20"/>
          <w:szCs w:val="20"/>
        </w:rPr>
        <w:lastRenderedPageBreak/>
        <w:t>The time to file the factums of the respondents and of the intervener Fédération des associations de familles monoparentales et recomposées du Québec is extended to October 28, 2011.</w:t>
      </w:r>
    </w:p>
    <w:p w:rsidR="00992FA8" w:rsidRPr="00992FA8" w:rsidRDefault="00992FA8" w:rsidP="00992FA8">
      <w:pPr>
        <w:ind w:left="360"/>
        <w:contextualSpacing/>
        <w:jc w:val="both"/>
        <w:rPr>
          <w:sz w:val="20"/>
          <w:szCs w:val="20"/>
        </w:rPr>
      </w:pPr>
    </w:p>
    <w:p w:rsidR="00992FA8" w:rsidRPr="00992FA8" w:rsidRDefault="00992FA8" w:rsidP="00992FA8">
      <w:pPr>
        <w:numPr>
          <w:ilvl w:val="0"/>
          <w:numId w:val="6"/>
        </w:numPr>
        <w:contextualSpacing/>
        <w:jc w:val="both"/>
        <w:rPr>
          <w:sz w:val="20"/>
          <w:szCs w:val="20"/>
        </w:rPr>
      </w:pPr>
      <w:r w:rsidRPr="00992FA8">
        <w:rPr>
          <w:sz w:val="20"/>
          <w:szCs w:val="20"/>
        </w:rPr>
        <w:t>The addition of the Attorney General of Quebec as a respondent in A’s appeal is granted.</w:t>
      </w:r>
    </w:p>
    <w:p w:rsidR="00992FA8" w:rsidRPr="00992FA8" w:rsidRDefault="00992FA8" w:rsidP="00992FA8">
      <w:pPr>
        <w:ind w:left="360"/>
        <w:contextualSpacing/>
        <w:jc w:val="both"/>
        <w:rPr>
          <w:sz w:val="20"/>
          <w:szCs w:val="20"/>
        </w:rPr>
      </w:pPr>
    </w:p>
    <w:p w:rsidR="00992FA8" w:rsidRPr="00992FA8" w:rsidRDefault="00992FA8" w:rsidP="00992FA8">
      <w:pPr>
        <w:numPr>
          <w:ilvl w:val="0"/>
          <w:numId w:val="6"/>
        </w:numPr>
        <w:contextualSpacing/>
        <w:jc w:val="both"/>
        <w:rPr>
          <w:sz w:val="20"/>
          <w:szCs w:val="20"/>
        </w:rPr>
      </w:pPr>
      <w:r w:rsidRPr="00992FA8">
        <w:rPr>
          <w:sz w:val="20"/>
          <w:szCs w:val="20"/>
        </w:rPr>
        <w:t>The withdrawal of the Attorney General of Canada from the case is granted.</w:t>
      </w:r>
    </w:p>
    <w:p w:rsidR="00992FA8" w:rsidRPr="00992FA8" w:rsidRDefault="00992FA8" w:rsidP="00992FA8">
      <w:pPr>
        <w:ind w:left="720"/>
        <w:contextualSpacing/>
        <w:rPr>
          <w:sz w:val="20"/>
          <w:szCs w:val="20"/>
        </w:rPr>
      </w:pPr>
    </w:p>
    <w:p w:rsidR="00992FA8" w:rsidRPr="00992FA8" w:rsidRDefault="00992FA8" w:rsidP="00992FA8">
      <w:pPr>
        <w:numPr>
          <w:ilvl w:val="0"/>
          <w:numId w:val="6"/>
        </w:numPr>
        <w:contextualSpacing/>
        <w:jc w:val="both"/>
        <w:rPr>
          <w:sz w:val="20"/>
          <w:szCs w:val="20"/>
        </w:rPr>
      </w:pPr>
      <w:r w:rsidRPr="00992FA8">
        <w:rPr>
          <w:sz w:val="20"/>
          <w:szCs w:val="20"/>
        </w:rPr>
        <w:t>Each of the appellants A, B and Attorney General of Quebec is authorized to file a factum not exceeding 60 pages.</w:t>
      </w:r>
    </w:p>
    <w:p w:rsidR="00992FA8" w:rsidRPr="00992FA8" w:rsidRDefault="00992FA8" w:rsidP="00992FA8">
      <w:pPr>
        <w:jc w:val="both"/>
        <w:rPr>
          <w:rFonts w:eastAsia="Times New Roman" w:cs="Times New Roman"/>
          <w:sz w:val="20"/>
          <w:szCs w:val="20"/>
          <w:lang w:val="en-US" w:eastAsia="en-CA"/>
        </w:rPr>
      </w:pPr>
    </w:p>
    <w:p w:rsidR="00992FA8" w:rsidRPr="00992FA8" w:rsidRDefault="00992FA8" w:rsidP="00992FA8">
      <w:pPr>
        <w:ind w:left="1080"/>
        <w:contextualSpacing/>
        <w:jc w:val="both"/>
        <w:rPr>
          <w:sz w:val="20"/>
          <w:szCs w:val="20"/>
        </w:rPr>
      </w:pPr>
      <w:r w:rsidRPr="00992FA8">
        <w:rPr>
          <w:sz w:val="20"/>
          <w:szCs w:val="20"/>
        </w:rPr>
        <w:t>The respondent A is authorized to file a factum not exceeding 40 pages.</w:t>
      </w:r>
    </w:p>
    <w:p w:rsidR="00992FA8" w:rsidRPr="00992FA8" w:rsidRDefault="00992FA8" w:rsidP="00992FA8">
      <w:pPr>
        <w:ind w:left="1080"/>
        <w:contextualSpacing/>
        <w:jc w:val="both"/>
        <w:rPr>
          <w:sz w:val="20"/>
          <w:szCs w:val="20"/>
        </w:rPr>
      </w:pPr>
    </w:p>
    <w:p w:rsidR="00992FA8" w:rsidRPr="00992FA8" w:rsidRDefault="00992FA8" w:rsidP="00992FA8">
      <w:pPr>
        <w:ind w:left="1080"/>
        <w:contextualSpacing/>
        <w:jc w:val="both"/>
        <w:rPr>
          <w:sz w:val="20"/>
          <w:szCs w:val="20"/>
        </w:rPr>
      </w:pPr>
      <w:r w:rsidRPr="00992FA8">
        <w:rPr>
          <w:sz w:val="20"/>
          <w:szCs w:val="20"/>
        </w:rPr>
        <w:t>Each of the respondents B and Attorney General of Quebec is authorized to file a factum not exceeding 20 pages.</w:t>
      </w:r>
    </w:p>
    <w:p w:rsidR="00992FA8" w:rsidRPr="00992FA8" w:rsidRDefault="00992FA8" w:rsidP="00992FA8">
      <w:pPr>
        <w:ind w:left="1080"/>
        <w:contextualSpacing/>
        <w:jc w:val="both"/>
        <w:rPr>
          <w:sz w:val="20"/>
          <w:szCs w:val="20"/>
        </w:rPr>
      </w:pPr>
    </w:p>
    <w:p w:rsidR="00992FA8" w:rsidRPr="00992FA8" w:rsidRDefault="00992FA8" w:rsidP="00992FA8">
      <w:pPr>
        <w:ind w:left="1080"/>
        <w:contextualSpacing/>
        <w:jc w:val="both"/>
        <w:rPr>
          <w:sz w:val="20"/>
          <w:szCs w:val="20"/>
        </w:rPr>
      </w:pPr>
      <w:r w:rsidRPr="00992FA8">
        <w:rPr>
          <w:sz w:val="20"/>
          <w:szCs w:val="20"/>
        </w:rPr>
        <w:t>The intervener Fédération des associations de familles monoparentales et recomposées du Québec is authorized to file only one factum not exceeding 10 pages.</w:t>
      </w:r>
    </w:p>
    <w:p w:rsidR="00992FA8" w:rsidRPr="00992FA8" w:rsidRDefault="00992FA8" w:rsidP="00992FA8">
      <w:pPr>
        <w:tabs>
          <w:tab w:val="left" w:pos="-1440"/>
          <w:tab w:val="left" w:pos="-720"/>
        </w:tabs>
        <w:jc w:val="both"/>
        <w:rPr>
          <w:rFonts w:eastAsia="Times New Roman" w:cs="Times New Roman"/>
          <w:sz w:val="20"/>
          <w:szCs w:val="20"/>
          <w:lang w:eastAsia="en-CA"/>
        </w:rPr>
      </w:pPr>
    </w:p>
    <w:p w:rsidR="00992FA8" w:rsidRPr="00992FA8" w:rsidRDefault="00992FA8" w:rsidP="00992FA8">
      <w:pPr>
        <w:tabs>
          <w:tab w:val="left" w:pos="-1440"/>
          <w:tab w:val="left" w:pos="-720"/>
        </w:tabs>
        <w:spacing w:line="-19" w:lineRule="auto"/>
        <w:jc w:val="both"/>
        <w:rPr>
          <w:rFonts w:eastAsia="Times New Roman" w:cs="Times New Roman"/>
          <w:sz w:val="20"/>
          <w:szCs w:val="20"/>
          <w:lang w:eastAsia="en-CA"/>
        </w:rPr>
      </w:pPr>
    </w:p>
    <w:p w:rsidR="00992FA8" w:rsidRPr="00992FA8" w:rsidRDefault="004D20D2" w:rsidP="00992FA8">
      <w:pPr>
        <w:tabs>
          <w:tab w:val="left" w:pos="-1440"/>
          <w:tab w:val="left" w:pos="-720"/>
        </w:tabs>
        <w:jc w:val="both"/>
        <w:rPr>
          <w:rFonts w:eastAsia="Times New Roman" w:cs="Times New Roman"/>
          <w:sz w:val="20"/>
          <w:szCs w:val="20"/>
          <w:lang w:eastAsia="en-CA"/>
        </w:rPr>
      </w:pPr>
      <w:r w:rsidRPr="004D20D2">
        <w:rPr>
          <w:rFonts w:eastAsia="Times New Roman" w:cs="Times New Roman"/>
          <w:sz w:val="20"/>
          <w:szCs w:val="20"/>
          <w:lang w:val="fr-CA" w:eastAsia="en-CA"/>
        </w:rPr>
        <w:pict>
          <v:rect id="_x0000_i1053" style="width:2in;height:1pt" o:hrpct="0" o:hralign="center" o:hrstd="t" o:hrnoshade="t" o:hr="t" fillcolor="black [3213]" stroked="f"/>
        </w:pict>
      </w:r>
    </w:p>
    <w:p w:rsidR="00992FA8" w:rsidRPr="00992FA8" w:rsidRDefault="00992FA8" w:rsidP="00992FA8">
      <w:pPr>
        <w:tabs>
          <w:tab w:val="left" w:pos="-1440"/>
          <w:tab w:val="left" w:pos="-720"/>
        </w:tabs>
        <w:jc w:val="both"/>
        <w:rPr>
          <w:rFonts w:eastAsia="Times New Roman" w:cs="Times New Roman"/>
          <w:sz w:val="20"/>
          <w:szCs w:val="20"/>
          <w:lang w:val="fr-CA" w:eastAsia="en-CA"/>
        </w:rPr>
      </w:pPr>
    </w:p>
    <w:p w:rsidR="00890FEB" w:rsidRPr="00C50A5C" w:rsidRDefault="00890FEB" w:rsidP="00831CA9">
      <w:pPr>
        <w:jc w:val="both"/>
        <w:rPr>
          <w:sz w:val="20"/>
          <w:szCs w:val="20"/>
          <w:lang w:val="fr-CA"/>
        </w:rPr>
      </w:pPr>
    </w:p>
    <w:p w:rsidR="00831CA9" w:rsidRPr="00C50A5C" w:rsidRDefault="00831CA9" w:rsidP="00831CA9">
      <w:pPr>
        <w:jc w:val="both"/>
        <w:rPr>
          <w:sz w:val="20"/>
          <w:szCs w:val="20"/>
          <w:lang w:val="fr-CA"/>
        </w:rPr>
        <w:sectPr w:rsidR="00831CA9" w:rsidRPr="00C50A5C" w:rsidSect="00831CA9">
          <w:headerReference w:type="even" r:id="rId35"/>
          <w:headerReference w:type="default" r:id="rId36"/>
          <w:footerReference w:type="even" r:id="rId37"/>
          <w:footerReference w:type="default" r:id="rId38"/>
          <w:headerReference w:type="first" r:id="rId39"/>
          <w:footerReference w:type="first" r:id="rId40"/>
          <w:pgSz w:w="12240" w:h="15840"/>
          <w:pgMar w:top="720" w:right="965" w:bottom="1080" w:left="1656" w:header="720" w:footer="965" w:gutter="0"/>
          <w:cols w:space="720"/>
          <w:titlePg/>
          <w:docGrid w:linePitch="326"/>
        </w:sectPr>
      </w:pPr>
    </w:p>
    <w:tbl>
      <w:tblPr>
        <w:tblW w:w="9630" w:type="dxa"/>
        <w:tblBorders>
          <w:bottom w:val="single" w:sz="12" w:space="0" w:color="auto"/>
        </w:tblBorders>
        <w:tblLayout w:type="fixed"/>
        <w:tblCellMar>
          <w:left w:w="0" w:type="dxa"/>
          <w:right w:w="0" w:type="dxa"/>
        </w:tblCellMar>
        <w:tblLook w:val="0000"/>
      </w:tblPr>
      <w:tblGrid>
        <w:gridCol w:w="4200"/>
        <w:gridCol w:w="1200"/>
        <w:gridCol w:w="4230"/>
      </w:tblGrid>
      <w:tr w:rsidR="00F40249" w:rsidRPr="00291AC9" w:rsidTr="00EB2B90">
        <w:tc>
          <w:tcPr>
            <w:tcW w:w="4200" w:type="dxa"/>
            <w:shd w:val="clear" w:color="auto" w:fill="auto"/>
            <w:tcMar>
              <w:left w:w="0" w:type="dxa"/>
              <w:right w:w="0" w:type="dxa"/>
            </w:tcMar>
          </w:tcPr>
          <w:p w:rsidR="00F40249" w:rsidRPr="002D72EB" w:rsidRDefault="00F40249" w:rsidP="00EB2B90">
            <w:pPr>
              <w:rPr>
                <w:b/>
                <w:szCs w:val="24"/>
              </w:rPr>
            </w:pPr>
            <w:r w:rsidRPr="002D72EB">
              <w:rPr>
                <w:b/>
                <w:szCs w:val="24"/>
              </w:rPr>
              <w:lastRenderedPageBreak/>
              <w:t>NOTICES OF APPEAL FILED SINCE LAST ISSUE</w:t>
            </w:r>
          </w:p>
        </w:tc>
        <w:tc>
          <w:tcPr>
            <w:tcW w:w="1200" w:type="dxa"/>
            <w:shd w:val="clear" w:color="auto" w:fill="auto"/>
            <w:tcMar>
              <w:left w:w="0" w:type="dxa"/>
              <w:right w:w="0" w:type="dxa"/>
            </w:tcMar>
          </w:tcPr>
          <w:p w:rsidR="00F40249" w:rsidRPr="002D72EB" w:rsidRDefault="00F40249" w:rsidP="00F40249">
            <w:pPr>
              <w:jc w:val="center"/>
              <w:rPr>
                <w:szCs w:val="24"/>
              </w:rPr>
            </w:pPr>
          </w:p>
          <w:p w:rsidR="00F33CCE" w:rsidRPr="002D72EB" w:rsidRDefault="00F33CCE" w:rsidP="00F40249">
            <w:pPr>
              <w:jc w:val="center"/>
              <w:rPr>
                <w:szCs w:val="24"/>
              </w:rPr>
            </w:pPr>
          </w:p>
          <w:p w:rsidR="00F33CCE" w:rsidRPr="002D72EB" w:rsidRDefault="00F33CCE" w:rsidP="00F40249">
            <w:pPr>
              <w:jc w:val="center"/>
              <w:rPr>
                <w:szCs w:val="24"/>
              </w:rPr>
            </w:pPr>
          </w:p>
        </w:tc>
        <w:tc>
          <w:tcPr>
            <w:tcW w:w="4230" w:type="dxa"/>
            <w:shd w:val="clear" w:color="auto" w:fill="auto"/>
            <w:tcMar>
              <w:left w:w="0" w:type="dxa"/>
              <w:right w:w="0" w:type="dxa"/>
            </w:tcMar>
          </w:tcPr>
          <w:p w:rsidR="00F40249" w:rsidRPr="002D72EB" w:rsidRDefault="00F40249" w:rsidP="00EB2B90">
            <w:pPr>
              <w:rPr>
                <w:b/>
                <w:szCs w:val="24"/>
                <w:lang w:val="fr-CA"/>
              </w:rPr>
            </w:pPr>
            <w:r w:rsidRPr="002D72EB">
              <w:rPr>
                <w:b/>
                <w:szCs w:val="24"/>
                <w:lang w:val="fr-CA"/>
              </w:rPr>
              <w:t>AVIS D’APPEL DÉPOSÉS DEPUIS LA DERNIÈRE PARUTION</w:t>
            </w:r>
          </w:p>
        </w:tc>
      </w:tr>
    </w:tbl>
    <w:p w:rsidR="00F40249" w:rsidRPr="00C50A5C" w:rsidRDefault="00F40249" w:rsidP="00F40249">
      <w:pPr>
        <w:rPr>
          <w:sz w:val="20"/>
          <w:szCs w:val="20"/>
          <w:lang w:val="fr-CA"/>
        </w:rPr>
      </w:pPr>
    </w:p>
    <w:tbl>
      <w:tblPr>
        <w:tblW w:w="5000" w:type="pct"/>
        <w:tblCellMar>
          <w:left w:w="0" w:type="dxa"/>
          <w:right w:w="0" w:type="dxa"/>
        </w:tblCellMar>
        <w:tblLook w:val="0000"/>
      </w:tblPr>
      <w:tblGrid>
        <w:gridCol w:w="4244"/>
        <w:gridCol w:w="1131"/>
        <w:gridCol w:w="4244"/>
      </w:tblGrid>
      <w:tr w:rsidR="0010587F" w:rsidRPr="003B3977" w:rsidTr="0010587F">
        <w:trPr>
          <w:cantSplit/>
        </w:trPr>
        <w:tc>
          <w:tcPr>
            <w:tcW w:w="2206" w:type="pct"/>
            <w:tcMar>
              <w:left w:w="0" w:type="dxa"/>
              <w:right w:w="0" w:type="dxa"/>
            </w:tcMar>
          </w:tcPr>
          <w:p w:rsidR="0010587F" w:rsidRPr="003B3977" w:rsidRDefault="00AF4773" w:rsidP="003B3977">
            <w:pPr>
              <w:rPr>
                <w:sz w:val="20"/>
                <w:szCs w:val="20"/>
              </w:rPr>
            </w:pPr>
            <w:r>
              <w:rPr>
                <w:sz w:val="20"/>
                <w:szCs w:val="20"/>
              </w:rPr>
              <w:t>15</w:t>
            </w:r>
            <w:r w:rsidR="0010587F" w:rsidRPr="003B3977">
              <w:rPr>
                <w:sz w:val="20"/>
                <w:szCs w:val="20"/>
              </w:rPr>
              <w:t>.0</w:t>
            </w:r>
            <w:r>
              <w:rPr>
                <w:sz w:val="20"/>
                <w:szCs w:val="20"/>
              </w:rPr>
              <w:t>7</w:t>
            </w:r>
            <w:r w:rsidR="0010587F" w:rsidRPr="003B3977">
              <w:rPr>
                <w:sz w:val="20"/>
                <w:szCs w:val="20"/>
              </w:rPr>
              <w:t>.201</w:t>
            </w:r>
            <w:r>
              <w:rPr>
                <w:sz w:val="20"/>
                <w:szCs w:val="20"/>
              </w:rPr>
              <w:t>1</w:t>
            </w:r>
          </w:p>
          <w:p w:rsidR="0010587F" w:rsidRPr="003B3977" w:rsidRDefault="0010587F" w:rsidP="003B3977">
            <w:pPr>
              <w:rPr>
                <w:sz w:val="20"/>
                <w:szCs w:val="20"/>
              </w:rPr>
            </w:pPr>
          </w:p>
          <w:p w:rsidR="0010587F" w:rsidRPr="003B3977" w:rsidRDefault="00AF4773" w:rsidP="003B3977">
            <w:pPr>
              <w:rPr>
                <w:b/>
                <w:sz w:val="20"/>
                <w:szCs w:val="20"/>
              </w:rPr>
            </w:pPr>
            <w:r>
              <w:rPr>
                <w:b/>
                <w:sz w:val="20"/>
                <w:szCs w:val="20"/>
              </w:rPr>
              <w:t>Brendan David Aucoin</w:t>
            </w:r>
          </w:p>
          <w:p w:rsidR="0010587F" w:rsidRPr="003B3977" w:rsidRDefault="0010587F" w:rsidP="003B3977">
            <w:pPr>
              <w:rPr>
                <w:b/>
                <w:sz w:val="20"/>
                <w:szCs w:val="20"/>
              </w:rPr>
            </w:pPr>
          </w:p>
          <w:p w:rsidR="0010587F" w:rsidRPr="003B3977" w:rsidRDefault="0010587F" w:rsidP="003B3977">
            <w:pPr>
              <w:rPr>
                <w:b/>
                <w:sz w:val="20"/>
                <w:szCs w:val="20"/>
              </w:rPr>
            </w:pPr>
            <w:r w:rsidRPr="003B3977">
              <w:rPr>
                <w:b/>
                <w:sz w:val="20"/>
                <w:szCs w:val="20"/>
              </w:rPr>
              <w:tab/>
              <w:t>v. (3</w:t>
            </w:r>
            <w:r w:rsidR="00AF4773">
              <w:rPr>
                <w:b/>
                <w:sz w:val="20"/>
                <w:szCs w:val="20"/>
              </w:rPr>
              <w:t>4349</w:t>
            </w:r>
            <w:r w:rsidRPr="003B3977">
              <w:rPr>
                <w:b/>
                <w:sz w:val="20"/>
                <w:szCs w:val="20"/>
              </w:rPr>
              <w:t>)</w:t>
            </w:r>
          </w:p>
          <w:p w:rsidR="0010587F" w:rsidRPr="003B3977" w:rsidRDefault="0010587F" w:rsidP="003B3977">
            <w:pPr>
              <w:rPr>
                <w:b/>
                <w:sz w:val="20"/>
                <w:szCs w:val="20"/>
              </w:rPr>
            </w:pPr>
          </w:p>
          <w:p w:rsidR="0010587F" w:rsidRPr="003B3977" w:rsidRDefault="0010587F" w:rsidP="003B3977">
            <w:pPr>
              <w:rPr>
                <w:b/>
                <w:sz w:val="20"/>
                <w:szCs w:val="20"/>
              </w:rPr>
            </w:pPr>
            <w:r w:rsidRPr="003B3977">
              <w:rPr>
                <w:b/>
                <w:sz w:val="20"/>
                <w:szCs w:val="20"/>
              </w:rPr>
              <w:t>Her Majesty the Queen (</w:t>
            </w:r>
            <w:r w:rsidR="00AF4773">
              <w:rPr>
                <w:b/>
                <w:sz w:val="20"/>
                <w:szCs w:val="20"/>
              </w:rPr>
              <w:t>N</w:t>
            </w:r>
            <w:r w:rsidRPr="003B3977">
              <w:rPr>
                <w:b/>
                <w:sz w:val="20"/>
                <w:szCs w:val="20"/>
              </w:rPr>
              <w:t>.</w:t>
            </w:r>
            <w:r w:rsidR="00AF4773">
              <w:rPr>
                <w:b/>
                <w:sz w:val="20"/>
                <w:szCs w:val="20"/>
              </w:rPr>
              <w:t>S.</w:t>
            </w:r>
            <w:r w:rsidRPr="003B3977">
              <w:rPr>
                <w:b/>
                <w:sz w:val="20"/>
                <w:szCs w:val="20"/>
              </w:rPr>
              <w:t>)</w:t>
            </w:r>
          </w:p>
          <w:p w:rsidR="0010587F" w:rsidRPr="003B3977" w:rsidRDefault="0010587F" w:rsidP="003B3977">
            <w:pPr>
              <w:rPr>
                <w:sz w:val="20"/>
                <w:szCs w:val="20"/>
              </w:rPr>
            </w:pPr>
          </w:p>
          <w:p w:rsidR="0010587F" w:rsidRPr="003B3977" w:rsidRDefault="0010587F" w:rsidP="003B3977">
            <w:pPr>
              <w:rPr>
                <w:sz w:val="20"/>
                <w:szCs w:val="20"/>
              </w:rPr>
            </w:pPr>
            <w:r w:rsidRPr="003B3977">
              <w:rPr>
                <w:sz w:val="20"/>
                <w:szCs w:val="20"/>
              </w:rPr>
              <w:t>(As of Right)</w:t>
            </w:r>
          </w:p>
          <w:p w:rsidR="0010587F" w:rsidRPr="003B3977" w:rsidRDefault="0010587F" w:rsidP="003B3977">
            <w:pPr>
              <w:rPr>
                <w:sz w:val="20"/>
                <w:szCs w:val="20"/>
              </w:rPr>
            </w:pPr>
          </w:p>
          <w:p w:rsidR="0010587F" w:rsidRPr="003B3977" w:rsidRDefault="004D20D2" w:rsidP="003B3977">
            <w:pPr>
              <w:rPr>
                <w:sz w:val="20"/>
                <w:szCs w:val="20"/>
                <w:lang w:val="fr-CA"/>
              </w:rPr>
            </w:pPr>
            <w:r w:rsidRPr="004D20D2">
              <w:rPr>
                <w:sz w:val="20"/>
                <w:szCs w:val="20"/>
                <w:lang w:val="fr-CA"/>
              </w:rPr>
              <w:pict>
                <v:rect id="_x0000_i1056" style="width:106.1pt;height:1pt" o:hrpct="500" o:hralign="center" o:hrstd="t" o:hrnoshade="t" o:hr="t" fillcolor="black [3213]" stroked="f"/>
              </w:pict>
            </w:r>
          </w:p>
        </w:tc>
        <w:tc>
          <w:tcPr>
            <w:tcW w:w="588" w:type="pct"/>
          </w:tcPr>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p w:rsidR="0010587F" w:rsidRPr="003B3977" w:rsidRDefault="0010587F" w:rsidP="0010587F">
            <w:pPr>
              <w:jc w:val="center"/>
              <w:rPr>
                <w:sz w:val="20"/>
                <w:szCs w:val="20"/>
              </w:rPr>
            </w:pPr>
          </w:p>
        </w:tc>
        <w:tc>
          <w:tcPr>
            <w:tcW w:w="2206" w:type="pct"/>
          </w:tcPr>
          <w:p w:rsidR="0010587F" w:rsidRPr="003B3977" w:rsidRDefault="00AF4773" w:rsidP="003B3977">
            <w:pPr>
              <w:rPr>
                <w:sz w:val="20"/>
                <w:szCs w:val="20"/>
              </w:rPr>
            </w:pPr>
            <w:r>
              <w:rPr>
                <w:sz w:val="20"/>
                <w:szCs w:val="20"/>
              </w:rPr>
              <w:t>19</w:t>
            </w:r>
            <w:r w:rsidR="0010587F" w:rsidRPr="003B3977">
              <w:rPr>
                <w:sz w:val="20"/>
                <w:szCs w:val="20"/>
              </w:rPr>
              <w:t>.0</w:t>
            </w:r>
            <w:r>
              <w:rPr>
                <w:sz w:val="20"/>
                <w:szCs w:val="20"/>
              </w:rPr>
              <w:t>7</w:t>
            </w:r>
            <w:r w:rsidR="0010587F" w:rsidRPr="003B3977">
              <w:rPr>
                <w:sz w:val="20"/>
                <w:szCs w:val="20"/>
              </w:rPr>
              <w:t>.201</w:t>
            </w:r>
            <w:r>
              <w:rPr>
                <w:sz w:val="20"/>
                <w:szCs w:val="20"/>
              </w:rPr>
              <w:t>1</w:t>
            </w:r>
          </w:p>
          <w:p w:rsidR="0010587F" w:rsidRPr="003B3977" w:rsidRDefault="0010587F" w:rsidP="003B3977">
            <w:pPr>
              <w:rPr>
                <w:sz w:val="20"/>
                <w:szCs w:val="20"/>
              </w:rPr>
            </w:pPr>
          </w:p>
          <w:p w:rsidR="0010587F" w:rsidRPr="003B3977" w:rsidRDefault="0010587F" w:rsidP="003B3977">
            <w:pPr>
              <w:rPr>
                <w:b/>
                <w:sz w:val="20"/>
                <w:szCs w:val="20"/>
              </w:rPr>
            </w:pPr>
            <w:r w:rsidRPr="003B3977">
              <w:rPr>
                <w:b/>
                <w:sz w:val="20"/>
                <w:szCs w:val="20"/>
              </w:rPr>
              <w:t>Her Majesty the Queen</w:t>
            </w:r>
          </w:p>
          <w:p w:rsidR="0010587F" w:rsidRPr="003B3977" w:rsidRDefault="0010587F" w:rsidP="003B3977">
            <w:pPr>
              <w:rPr>
                <w:b/>
                <w:sz w:val="20"/>
                <w:szCs w:val="20"/>
              </w:rPr>
            </w:pPr>
          </w:p>
          <w:p w:rsidR="0010587F" w:rsidRPr="003B3977" w:rsidRDefault="0010587F" w:rsidP="003B3977">
            <w:pPr>
              <w:rPr>
                <w:b/>
                <w:sz w:val="20"/>
                <w:szCs w:val="20"/>
              </w:rPr>
            </w:pPr>
            <w:r w:rsidRPr="003B3977">
              <w:rPr>
                <w:b/>
                <w:sz w:val="20"/>
                <w:szCs w:val="20"/>
              </w:rPr>
              <w:tab/>
              <w:t>v. (3</w:t>
            </w:r>
            <w:r w:rsidR="00AF4773">
              <w:rPr>
                <w:b/>
                <w:sz w:val="20"/>
                <w:szCs w:val="20"/>
              </w:rPr>
              <w:t>4245</w:t>
            </w:r>
            <w:r w:rsidRPr="003B3977">
              <w:rPr>
                <w:b/>
                <w:sz w:val="20"/>
                <w:szCs w:val="20"/>
              </w:rPr>
              <w:t>)</w:t>
            </w:r>
          </w:p>
          <w:p w:rsidR="0010587F" w:rsidRPr="003B3977" w:rsidRDefault="0010587F" w:rsidP="003B3977">
            <w:pPr>
              <w:rPr>
                <w:b/>
                <w:sz w:val="20"/>
                <w:szCs w:val="20"/>
              </w:rPr>
            </w:pPr>
          </w:p>
          <w:p w:rsidR="0010587F" w:rsidRPr="00AF4773" w:rsidRDefault="00AF4773" w:rsidP="003B3977">
            <w:pPr>
              <w:rPr>
                <w:b/>
                <w:sz w:val="20"/>
                <w:szCs w:val="20"/>
              </w:rPr>
            </w:pPr>
            <w:r w:rsidRPr="00AF4773">
              <w:rPr>
                <w:b/>
                <w:sz w:val="20"/>
                <w:szCs w:val="20"/>
              </w:rPr>
              <w:t xml:space="preserve">Frank </w:t>
            </w:r>
            <w:r w:rsidR="00810038">
              <w:rPr>
                <w:b/>
                <w:sz w:val="20"/>
                <w:szCs w:val="20"/>
              </w:rPr>
              <w:t>R</w:t>
            </w:r>
            <w:r w:rsidRPr="00AF4773">
              <w:rPr>
                <w:b/>
                <w:sz w:val="20"/>
                <w:szCs w:val="20"/>
              </w:rPr>
              <w:t>a</w:t>
            </w:r>
            <w:r w:rsidR="00810038">
              <w:rPr>
                <w:b/>
                <w:sz w:val="20"/>
                <w:szCs w:val="20"/>
              </w:rPr>
              <w:t>lph</w:t>
            </w:r>
            <w:r w:rsidRPr="00AF4773">
              <w:rPr>
                <w:b/>
                <w:sz w:val="20"/>
                <w:szCs w:val="20"/>
              </w:rPr>
              <w:t xml:space="preserve"> Ladue</w:t>
            </w:r>
            <w:r w:rsidR="0010587F" w:rsidRPr="00AF4773">
              <w:rPr>
                <w:b/>
                <w:sz w:val="20"/>
                <w:szCs w:val="20"/>
              </w:rPr>
              <w:t xml:space="preserve"> (</w:t>
            </w:r>
            <w:r w:rsidRPr="00AF4773">
              <w:rPr>
                <w:b/>
                <w:sz w:val="20"/>
                <w:szCs w:val="20"/>
              </w:rPr>
              <w:t>B</w:t>
            </w:r>
            <w:r w:rsidR="0010587F" w:rsidRPr="00AF4773">
              <w:rPr>
                <w:b/>
                <w:sz w:val="20"/>
                <w:szCs w:val="20"/>
              </w:rPr>
              <w:t>.</w:t>
            </w:r>
            <w:r w:rsidRPr="00AF4773">
              <w:rPr>
                <w:b/>
                <w:sz w:val="20"/>
                <w:szCs w:val="20"/>
              </w:rPr>
              <w:t>C.</w:t>
            </w:r>
            <w:r w:rsidR="0010587F" w:rsidRPr="00AF4773">
              <w:rPr>
                <w:b/>
                <w:sz w:val="20"/>
                <w:szCs w:val="20"/>
              </w:rPr>
              <w:t>)</w:t>
            </w:r>
          </w:p>
          <w:p w:rsidR="0010587F" w:rsidRPr="00AF4773" w:rsidRDefault="0010587F" w:rsidP="003B3977">
            <w:pPr>
              <w:rPr>
                <w:sz w:val="20"/>
                <w:szCs w:val="20"/>
              </w:rPr>
            </w:pPr>
          </w:p>
          <w:p w:rsidR="0010587F" w:rsidRPr="003B3977" w:rsidRDefault="0010587F" w:rsidP="003B3977">
            <w:pPr>
              <w:rPr>
                <w:sz w:val="20"/>
                <w:szCs w:val="20"/>
              </w:rPr>
            </w:pPr>
            <w:r w:rsidRPr="003B3977">
              <w:rPr>
                <w:sz w:val="20"/>
                <w:szCs w:val="20"/>
              </w:rPr>
              <w:t>(</w:t>
            </w:r>
            <w:r w:rsidR="00AF4773">
              <w:rPr>
                <w:sz w:val="20"/>
                <w:szCs w:val="20"/>
              </w:rPr>
              <w:t>By Leave</w:t>
            </w:r>
            <w:r w:rsidRPr="003B3977">
              <w:rPr>
                <w:sz w:val="20"/>
                <w:szCs w:val="20"/>
              </w:rPr>
              <w:t>)</w:t>
            </w:r>
          </w:p>
          <w:p w:rsidR="0010587F" w:rsidRPr="003B3977" w:rsidRDefault="0010587F" w:rsidP="003B3977">
            <w:pPr>
              <w:rPr>
                <w:sz w:val="20"/>
                <w:szCs w:val="20"/>
              </w:rPr>
            </w:pPr>
          </w:p>
          <w:p w:rsidR="0010587F" w:rsidRPr="003B3977" w:rsidRDefault="004D20D2" w:rsidP="003B3977">
            <w:pPr>
              <w:rPr>
                <w:sz w:val="20"/>
                <w:szCs w:val="20"/>
              </w:rPr>
            </w:pPr>
            <w:r w:rsidRPr="004D20D2">
              <w:rPr>
                <w:sz w:val="20"/>
                <w:szCs w:val="20"/>
                <w:lang w:val="fr-CA"/>
              </w:rPr>
              <w:pict>
                <v:rect id="_x0000_i1057" style="width:106.1pt;height:1pt" o:hrpct="500" o:hralign="center" o:hrstd="t" o:hrnoshade="t" o:hr="t" fillcolor="black [3213]" stroked="f"/>
              </w:pict>
            </w:r>
          </w:p>
        </w:tc>
      </w:tr>
    </w:tbl>
    <w:p w:rsidR="00F40249" w:rsidRDefault="00F40249" w:rsidP="00F40249">
      <w:pPr>
        <w:rPr>
          <w:sz w:val="20"/>
          <w:szCs w:val="20"/>
        </w:rPr>
      </w:pPr>
    </w:p>
    <w:p w:rsidR="0010587F" w:rsidRPr="00C50A5C" w:rsidRDefault="0010587F" w:rsidP="00F40249">
      <w:pPr>
        <w:rPr>
          <w:sz w:val="20"/>
          <w:szCs w:val="20"/>
        </w:rPr>
      </w:pPr>
    </w:p>
    <w:p w:rsidR="00EB2B90" w:rsidRPr="00C50A5C" w:rsidRDefault="00EB2B90" w:rsidP="00F40249">
      <w:pPr>
        <w:rPr>
          <w:sz w:val="20"/>
          <w:szCs w:val="20"/>
        </w:rPr>
        <w:sectPr w:rsidR="00EB2B90" w:rsidRPr="00C50A5C" w:rsidSect="00F40249">
          <w:headerReference w:type="even" r:id="rId41"/>
          <w:headerReference w:type="default" r:id="rId42"/>
          <w:footerReference w:type="even" r:id="rId43"/>
          <w:footerReference w:type="default" r:id="rId44"/>
          <w:headerReference w:type="first" r:id="rId45"/>
          <w:footerReference w:type="first" r:id="rId46"/>
          <w:pgSz w:w="12240" w:h="15840"/>
          <w:pgMar w:top="720" w:right="965" w:bottom="1080" w:left="1656" w:header="720" w:footer="965" w:gutter="0"/>
          <w:cols w:space="720"/>
          <w:titlePg/>
          <w:docGrid w:linePitch="326"/>
        </w:sectPr>
      </w:pPr>
    </w:p>
    <w:tbl>
      <w:tblPr>
        <w:tblW w:w="9720" w:type="dxa"/>
        <w:tblBorders>
          <w:bottom w:val="single" w:sz="8" w:space="0" w:color="auto"/>
        </w:tblBorders>
        <w:tblLayout w:type="fixed"/>
        <w:tblCellMar>
          <w:left w:w="0" w:type="dxa"/>
          <w:right w:w="0" w:type="dxa"/>
        </w:tblCellMar>
        <w:tblLook w:val="0000"/>
      </w:tblPr>
      <w:tblGrid>
        <w:gridCol w:w="4230"/>
        <w:gridCol w:w="1080"/>
        <w:gridCol w:w="4410"/>
      </w:tblGrid>
      <w:tr w:rsidR="00802863" w:rsidRPr="00291AC9" w:rsidTr="0085476B">
        <w:tc>
          <w:tcPr>
            <w:tcW w:w="4230" w:type="dxa"/>
            <w:shd w:val="clear" w:color="auto" w:fill="auto"/>
            <w:tcMar>
              <w:left w:w="0" w:type="dxa"/>
              <w:right w:w="0" w:type="dxa"/>
            </w:tcMar>
          </w:tcPr>
          <w:p w:rsidR="00802863" w:rsidRPr="00C1697B" w:rsidRDefault="00802863" w:rsidP="00697C62">
            <w:pPr>
              <w:rPr>
                <w:b/>
                <w:szCs w:val="24"/>
              </w:rPr>
            </w:pPr>
            <w:r w:rsidRPr="00C1697B">
              <w:rPr>
                <w:b/>
                <w:szCs w:val="24"/>
              </w:rPr>
              <w:lastRenderedPageBreak/>
              <w:t>NOTICES OF DISCONTINUANCE FILED SINCE LAST ISSUE</w:t>
            </w:r>
          </w:p>
        </w:tc>
        <w:tc>
          <w:tcPr>
            <w:tcW w:w="1080" w:type="dxa"/>
            <w:shd w:val="clear" w:color="auto" w:fill="auto"/>
            <w:tcMar>
              <w:left w:w="0" w:type="dxa"/>
              <w:right w:w="0" w:type="dxa"/>
            </w:tcMar>
          </w:tcPr>
          <w:p w:rsidR="00802863" w:rsidRPr="00C1697B" w:rsidRDefault="00802863" w:rsidP="00802863">
            <w:pPr>
              <w:jc w:val="center"/>
              <w:rPr>
                <w:b/>
                <w:szCs w:val="24"/>
              </w:rPr>
            </w:pPr>
          </w:p>
          <w:p w:rsidR="00802863" w:rsidRPr="00C1697B" w:rsidRDefault="00802863" w:rsidP="00802863">
            <w:pPr>
              <w:jc w:val="center"/>
              <w:rPr>
                <w:b/>
                <w:szCs w:val="24"/>
              </w:rPr>
            </w:pPr>
          </w:p>
          <w:p w:rsidR="00802863" w:rsidRPr="00C1697B" w:rsidRDefault="00802863" w:rsidP="00802863">
            <w:pPr>
              <w:jc w:val="center"/>
              <w:rPr>
                <w:b/>
                <w:szCs w:val="24"/>
              </w:rPr>
            </w:pPr>
          </w:p>
        </w:tc>
        <w:tc>
          <w:tcPr>
            <w:tcW w:w="4410" w:type="dxa"/>
            <w:shd w:val="clear" w:color="auto" w:fill="auto"/>
            <w:tcMar>
              <w:left w:w="0" w:type="dxa"/>
              <w:right w:w="0" w:type="dxa"/>
            </w:tcMar>
          </w:tcPr>
          <w:p w:rsidR="00802863" w:rsidRPr="00C1697B" w:rsidRDefault="00802863" w:rsidP="00697C62">
            <w:pPr>
              <w:rPr>
                <w:b/>
                <w:szCs w:val="24"/>
                <w:lang w:val="fr-CA"/>
              </w:rPr>
            </w:pPr>
            <w:r w:rsidRPr="00C1697B">
              <w:rPr>
                <w:b/>
                <w:szCs w:val="24"/>
                <w:lang w:val="fr-CA"/>
              </w:rPr>
              <w:t>AVIS DE DÉSISTEMENT DÉPOSÉS DEPUIS LA DERNIÈRE PARUTION</w:t>
            </w:r>
          </w:p>
        </w:tc>
      </w:tr>
    </w:tbl>
    <w:p w:rsidR="00802863" w:rsidRPr="00C50A5C" w:rsidRDefault="00802863" w:rsidP="00802863">
      <w:pPr>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080"/>
        <w:gridCol w:w="4417"/>
      </w:tblGrid>
      <w:tr w:rsidR="00802863" w:rsidRPr="00C50A5C" w:rsidTr="00C1697B">
        <w:trPr>
          <w:cantSplit/>
        </w:trPr>
        <w:tc>
          <w:tcPr>
            <w:tcW w:w="4338" w:type="dxa"/>
            <w:shd w:val="clear" w:color="auto" w:fill="auto"/>
          </w:tcPr>
          <w:p w:rsidR="00C1697B" w:rsidRPr="00C50A5C" w:rsidRDefault="00D21010" w:rsidP="00C1697B">
            <w:pPr>
              <w:rPr>
                <w:sz w:val="20"/>
                <w:szCs w:val="20"/>
              </w:rPr>
            </w:pPr>
            <w:r>
              <w:rPr>
                <w:sz w:val="20"/>
                <w:szCs w:val="20"/>
              </w:rPr>
              <w:t>20</w:t>
            </w:r>
            <w:r w:rsidR="00C1697B" w:rsidRPr="00C50A5C">
              <w:rPr>
                <w:sz w:val="20"/>
                <w:szCs w:val="20"/>
              </w:rPr>
              <w:t>.0</w:t>
            </w:r>
            <w:r>
              <w:rPr>
                <w:sz w:val="20"/>
                <w:szCs w:val="20"/>
              </w:rPr>
              <w:t>7</w:t>
            </w:r>
            <w:r w:rsidR="00C1697B" w:rsidRPr="00C50A5C">
              <w:rPr>
                <w:sz w:val="20"/>
                <w:szCs w:val="20"/>
              </w:rPr>
              <w:t>.201</w:t>
            </w:r>
            <w:r>
              <w:rPr>
                <w:sz w:val="20"/>
                <w:szCs w:val="20"/>
              </w:rPr>
              <w:t>1</w:t>
            </w:r>
          </w:p>
          <w:p w:rsidR="00C1697B" w:rsidRPr="00C50A5C" w:rsidRDefault="00C1697B" w:rsidP="00C1697B">
            <w:pPr>
              <w:rPr>
                <w:sz w:val="20"/>
                <w:szCs w:val="20"/>
              </w:rPr>
            </w:pPr>
          </w:p>
          <w:p w:rsidR="00C1697B" w:rsidRPr="00C1697B" w:rsidRDefault="00D21010" w:rsidP="00C1697B">
            <w:pPr>
              <w:rPr>
                <w:b/>
                <w:sz w:val="20"/>
                <w:szCs w:val="20"/>
              </w:rPr>
            </w:pPr>
            <w:r>
              <w:rPr>
                <w:b/>
                <w:sz w:val="20"/>
                <w:szCs w:val="20"/>
              </w:rPr>
              <w:t>Sun Life Assurance Company of Canada</w:t>
            </w:r>
          </w:p>
          <w:p w:rsidR="00C1697B" w:rsidRPr="00C1697B" w:rsidRDefault="00C1697B" w:rsidP="00C1697B">
            <w:pPr>
              <w:rPr>
                <w:b/>
                <w:sz w:val="20"/>
                <w:szCs w:val="20"/>
              </w:rPr>
            </w:pPr>
          </w:p>
          <w:p w:rsidR="00C1697B" w:rsidRPr="00C1697B" w:rsidRDefault="00C1697B" w:rsidP="00C1697B">
            <w:pPr>
              <w:rPr>
                <w:b/>
                <w:sz w:val="20"/>
                <w:szCs w:val="20"/>
              </w:rPr>
            </w:pPr>
            <w:r w:rsidRPr="00C1697B">
              <w:rPr>
                <w:b/>
                <w:sz w:val="20"/>
                <w:szCs w:val="20"/>
              </w:rPr>
              <w:tab/>
              <w:t>v. (3</w:t>
            </w:r>
            <w:r w:rsidR="00D21010">
              <w:rPr>
                <w:b/>
                <w:sz w:val="20"/>
                <w:szCs w:val="20"/>
              </w:rPr>
              <w:t>41</w:t>
            </w:r>
            <w:r w:rsidRPr="00C1697B">
              <w:rPr>
                <w:b/>
                <w:sz w:val="20"/>
                <w:szCs w:val="20"/>
              </w:rPr>
              <w:t>3</w:t>
            </w:r>
            <w:r w:rsidR="00D21010">
              <w:rPr>
                <w:b/>
                <w:sz w:val="20"/>
                <w:szCs w:val="20"/>
              </w:rPr>
              <w:t>3</w:t>
            </w:r>
            <w:r w:rsidRPr="00C1697B">
              <w:rPr>
                <w:b/>
                <w:sz w:val="20"/>
                <w:szCs w:val="20"/>
              </w:rPr>
              <w:t>)</w:t>
            </w:r>
          </w:p>
          <w:p w:rsidR="00C1697B" w:rsidRPr="00C1697B" w:rsidRDefault="00C1697B" w:rsidP="00C1697B">
            <w:pPr>
              <w:rPr>
                <w:b/>
                <w:sz w:val="20"/>
                <w:szCs w:val="20"/>
              </w:rPr>
            </w:pPr>
          </w:p>
          <w:p w:rsidR="00C1697B" w:rsidRPr="00C1697B" w:rsidRDefault="00D21010" w:rsidP="00C1697B">
            <w:pPr>
              <w:rPr>
                <w:b/>
                <w:sz w:val="20"/>
                <w:szCs w:val="20"/>
              </w:rPr>
            </w:pPr>
            <w:r>
              <w:rPr>
                <w:b/>
                <w:sz w:val="20"/>
                <w:szCs w:val="20"/>
              </w:rPr>
              <w:t>Kenneth Sander</w:t>
            </w:r>
            <w:r w:rsidR="00C1697B" w:rsidRPr="00C1697B">
              <w:rPr>
                <w:b/>
                <w:sz w:val="20"/>
                <w:szCs w:val="20"/>
              </w:rPr>
              <w:t xml:space="preserve"> (</w:t>
            </w:r>
            <w:r>
              <w:rPr>
                <w:b/>
                <w:sz w:val="20"/>
                <w:szCs w:val="20"/>
              </w:rPr>
              <w:t>B</w:t>
            </w:r>
            <w:r w:rsidR="00C1697B" w:rsidRPr="00C1697B">
              <w:rPr>
                <w:b/>
                <w:sz w:val="20"/>
                <w:szCs w:val="20"/>
              </w:rPr>
              <w:t>.</w:t>
            </w:r>
            <w:r>
              <w:rPr>
                <w:b/>
                <w:sz w:val="20"/>
                <w:szCs w:val="20"/>
              </w:rPr>
              <w:t>C.</w:t>
            </w:r>
            <w:r w:rsidR="00C1697B" w:rsidRPr="00C1697B">
              <w:rPr>
                <w:b/>
                <w:sz w:val="20"/>
                <w:szCs w:val="20"/>
              </w:rPr>
              <w:t xml:space="preserve">) </w:t>
            </w:r>
          </w:p>
          <w:p w:rsidR="00C1697B" w:rsidRPr="00C50A5C" w:rsidRDefault="00C1697B" w:rsidP="00C1697B">
            <w:pPr>
              <w:rPr>
                <w:sz w:val="20"/>
                <w:szCs w:val="20"/>
              </w:rPr>
            </w:pPr>
          </w:p>
          <w:p w:rsidR="00C1697B" w:rsidRPr="00C50A5C" w:rsidRDefault="00C1697B" w:rsidP="00C1697B">
            <w:pPr>
              <w:rPr>
                <w:sz w:val="20"/>
                <w:szCs w:val="20"/>
              </w:rPr>
            </w:pPr>
            <w:r w:rsidRPr="00C50A5C">
              <w:rPr>
                <w:sz w:val="20"/>
                <w:szCs w:val="20"/>
              </w:rPr>
              <w:t>(By Leave)</w:t>
            </w:r>
          </w:p>
          <w:p w:rsidR="00802863" w:rsidRPr="00C50A5C" w:rsidRDefault="00802863" w:rsidP="00697C62">
            <w:pPr>
              <w:rPr>
                <w:sz w:val="20"/>
                <w:szCs w:val="20"/>
              </w:rPr>
            </w:pPr>
          </w:p>
          <w:p w:rsidR="00802863" w:rsidRPr="00D21010" w:rsidRDefault="004D20D2" w:rsidP="00697C62">
            <w:pPr>
              <w:rPr>
                <w:sz w:val="20"/>
                <w:szCs w:val="20"/>
              </w:rPr>
            </w:pPr>
            <w:r w:rsidRPr="004D20D2">
              <w:rPr>
                <w:sz w:val="20"/>
                <w:szCs w:val="20"/>
                <w:lang w:val="fr-CA"/>
              </w:rPr>
              <w:pict>
                <v:rect id="_x0000_i1060" style="width:108pt;height:1pt" o:hrpct="0" o:hralign="center" o:hrstd="t" o:hrnoshade="t" o:hr="t" fillcolor="black [3213]" stroked="f"/>
              </w:pict>
            </w:r>
          </w:p>
        </w:tc>
        <w:tc>
          <w:tcPr>
            <w:tcW w:w="1080" w:type="dxa"/>
            <w:shd w:val="clear" w:color="auto" w:fill="auto"/>
          </w:tcPr>
          <w:p w:rsidR="00802863" w:rsidRPr="00D21010" w:rsidRDefault="00802863" w:rsidP="00802863">
            <w:pPr>
              <w:jc w:val="center"/>
              <w:rPr>
                <w:sz w:val="20"/>
                <w:szCs w:val="20"/>
              </w:rPr>
            </w:pPr>
          </w:p>
          <w:p w:rsidR="003B3977" w:rsidRPr="00D21010" w:rsidRDefault="003B3977" w:rsidP="00802863">
            <w:pPr>
              <w:jc w:val="center"/>
              <w:rPr>
                <w:sz w:val="20"/>
                <w:szCs w:val="20"/>
              </w:rPr>
            </w:pPr>
          </w:p>
          <w:p w:rsidR="003B3977" w:rsidRPr="00D21010" w:rsidRDefault="003B3977" w:rsidP="00802863">
            <w:pPr>
              <w:jc w:val="center"/>
              <w:rPr>
                <w:sz w:val="20"/>
                <w:szCs w:val="20"/>
              </w:rPr>
            </w:pPr>
          </w:p>
          <w:p w:rsidR="003B3977" w:rsidRPr="00D21010" w:rsidRDefault="003B3977" w:rsidP="00802863">
            <w:pPr>
              <w:jc w:val="center"/>
              <w:rPr>
                <w:sz w:val="20"/>
                <w:szCs w:val="20"/>
              </w:rPr>
            </w:pPr>
          </w:p>
          <w:p w:rsidR="003B3977" w:rsidRPr="00D21010" w:rsidRDefault="003B3977" w:rsidP="00802863">
            <w:pPr>
              <w:jc w:val="center"/>
              <w:rPr>
                <w:sz w:val="20"/>
                <w:szCs w:val="20"/>
              </w:rPr>
            </w:pPr>
          </w:p>
          <w:p w:rsidR="003B3977" w:rsidRPr="00D21010" w:rsidRDefault="003B3977" w:rsidP="00802863">
            <w:pPr>
              <w:jc w:val="center"/>
              <w:rPr>
                <w:sz w:val="20"/>
                <w:szCs w:val="20"/>
              </w:rPr>
            </w:pPr>
          </w:p>
          <w:p w:rsidR="003B3977" w:rsidRPr="00D21010" w:rsidRDefault="003B3977" w:rsidP="00802863">
            <w:pPr>
              <w:jc w:val="center"/>
              <w:rPr>
                <w:sz w:val="20"/>
                <w:szCs w:val="20"/>
              </w:rPr>
            </w:pPr>
          </w:p>
          <w:p w:rsidR="003B3977" w:rsidRPr="00D21010" w:rsidRDefault="003B3977" w:rsidP="00802863">
            <w:pPr>
              <w:jc w:val="center"/>
              <w:rPr>
                <w:sz w:val="20"/>
                <w:szCs w:val="20"/>
              </w:rPr>
            </w:pPr>
          </w:p>
          <w:p w:rsidR="003B3977" w:rsidRPr="00D21010" w:rsidRDefault="003B3977" w:rsidP="00802863">
            <w:pPr>
              <w:jc w:val="center"/>
              <w:rPr>
                <w:sz w:val="20"/>
                <w:szCs w:val="20"/>
              </w:rPr>
            </w:pPr>
          </w:p>
          <w:p w:rsidR="003B3977" w:rsidRPr="00D21010" w:rsidRDefault="003B3977" w:rsidP="00802863">
            <w:pPr>
              <w:jc w:val="center"/>
              <w:rPr>
                <w:sz w:val="20"/>
                <w:szCs w:val="20"/>
              </w:rPr>
            </w:pPr>
          </w:p>
          <w:p w:rsidR="003B3977" w:rsidRPr="00D21010" w:rsidRDefault="003B3977" w:rsidP="00802863">
            <w:pPr>
              <w:jc w:val="center"/>
              <w:rPr>
                <w:sz w:val="20"/>
                <w:szCs w:val="20"/>
              </w:rPr>
            </w:pPr>
          </w:p>
          <w:p w:rsidR="003B3977" w:rsidRPr="00D21010" w:rsidRDefault="003B3977" w:rsidP="00802863">
            <w:pPr>
              <w:jc w:val="center"/>
              <w:rPr>
                <w:sz w:val="20"/>
                <w:szCs w:val="20"/>
              </w:rPr>
            </w:pPr>
          </w:p>
        </w:tc>
        <w:tc>
          <w:tcPr>
            <w:tcW w:w="4417" w:type="dxa"/>
            <w:shd w:val="clear" w:color="auto" w:fill="auto"/>
          </w:tcPr>
          <w:p w:rsidR="00802863" w:rsidRPr="00D21010" w:rsidRDefault="00802863" w:rsidP="00802863">
            <w:pPr>
              <w:rPr>
                <w:sz w:val="20"/>
                <w:szCs w:val="20"/>
              </w:rPr>
            </w:pPr>
          </w:p>
        </w:tc>
      </w:tr>
    </w:tbl>
    <w:p w:rsidR="00802863" w:rsidRPr="00C50A5C" w:rsidRDefault="00802863" w:rsidP="00802863">
      <w:pPr>
        <w:rPr>
          <w:sz w:val="20"/>
          <w:szCs w:val="20"/>
          <w:lang w:val="fr-CA"/>
        </w:rPr>
      </w:pPr>
    </w:p>
    <w:p w:rsidR="00802863" w:rsidRPr="00C50A5C" w:rsidRDefault="00802863" w:rsidP="00802863">
      <w:pPr>
        <w:rPr>
          <w:sz w:val="20"/>
          <w:szCs w:val="20"/>
        </w:rPr>
      </w:pPr>
    </w:p>
    <w:p w:rsidR="00802863" w:rsidRPr="00C50A5C" w:rsidRDefault="00802863" w:rsidP="00831CA9">
      <w:pPr>
        <w:jc w:val="both"/>
        <w:rPr>
          <w:sz w:val="20"/>
          <w:szCs w:val="20"/>
        </w:rPr>
        <w:sectPr w:rsidR="00802863" w:rsidRPr="00C50A5C" w:rsidSect="00802863">
          <w:headerReference w:type="even" r:id="rId47"/>
          <w:headerReference w:type="default" r:id="rId48"/>
          <w:footerReference w:type="even" r:id="rId49"/>
          <w:footerReference w:type="default" r:id="rId50"/>
          <w:headerReference w:type="first" r:id="rId51"/>
          <w:footerReference w:type="first" r:id="rId52"/>
          <w:pgSz w:w="12240" w:h="15840"/>
          <w:pgMar w:top="720" w:right="965" w:bottom="1080" w:left="1656" w:header="720" w:footer="965" w:gutter="0"/>
          <w:cols w:space="720"/>
          <w:titlePg/>
          <w:docGrid w:linePitch="272"/>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FF6EEC" w:rsidRPr="00291AC9" w:rsidTr="0085476B">
        <w:tc>
          <w:tcPr>
            <w:tcW w:w="4200" w:type="dxa"/>
            <w:tcMar>
              <w:left w:w="0" w:type="dxa"/>
              <w:right w:w="0" w:type="dxa"/>
            </w:tcMar>
          </w:tcPr>
          <w:p w:rsidR="00FF6EEC" w:rsidRPr="00C1697B" w:rsidRDefault="00FF6EEC" w:rsidP="0085476B">
            <w:pPr>
              <w:keepNext/>
              <w:keepLines/>
              <w:tabs>
                <w:tab w:val="left" w:pos="-1440"/>
                <w:tab w:val="left" w:pos="-720"/>
              </w:tabs>
              <w:rPr>
                <w:b/>
                <w:szCs w:val="24"/>
              </w:rPr>
            </w:pPr>
            <w:r w:rsidRPr="00C1697B">
              <w:rPr>
                <w:b/>
                <w:szCs w:val="24"/>
              </w:rPr>
              <w:lastRenderedPageBreak/>
              <w:t>PRONOUNCEMENTS OF APPEALS</w:t>
            </w:r>
            <w:r w:rsidR="0085476B">
              <w:rPr>
                <w:b/>
                <w:szCs w:val="24"/>
              </w:rPr>
              <w:t xml:space="preserve"> </w:t>
            </w:r>
            <w:r w:rsidRPr="00C1697B">
              <w:rPr>
                <w:b/>
                <w:szCs w:val="24"/>
              </w:rPr>
              <w:t>RESERVED</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C1697B">
              <w:rPr>
                <w:b/>
                <w:szCs w:val="24"/>
              </w:rPr>
              <w:t>Reasons for judgment are available</w:t>
            </w:r>
          </w:p>
        </w:tc>
        <w:tc>
          <w:tcPr>
            <w:tcW w:w="1200" w:type="dxa"/>
            <w:tcMar>
              <w:left w:w="0" w:type="dxa"/>
              <w:right w:w="0" w:type="dxa"/>
            </w:tcMar>
          </w:tcPr>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tc>
        <w:tc>
          <w:tcPr>
            <w:tcW w:w="4080" w:type="dxa"/>
            <w:tcMar>
              <w:left w:w="0" w:type="dxa"/>
              <w:right w:w="0" w:type="dxa"/>
            </w:tcMar>
          </w:tcPr>
          <w:p w:rsidR="00FF6EEC" w:rsidRPr="00C1697B" w:rsidRDefault="00FF6EEC" w:rsidP="00FF6EEC">
            <w:pPr>
              <w:keepNext/>
              <w:keepLines/>
              <w:tabs>
                <w:tab w:val="left" w:pos="-1440"/>
                <w:tab w:val="left" w:pos="-720"/>
              </w:tabs>
              <w:rPr>
                <w:b/>
                <w:szCs w:val="24"/>
                <w:lang w:val="fr-CA"/>
              </w:rPr>
            </w:pPr>
            <w:r w:rsidRPr="00C1697B">
              <w:rPr>
                <w:b/>
                <w:szCs w:val="24"/>
                <w:lang w:val="fr-CA"/>
              </w:rPr>
              <w:t>JUGEMENTS RENDUS SUR LES APPELS EN DÉLIBÉRÉ</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p w:rsidR="00FF6EEC" w:rsidRPr="00C1697B" w:rsidRDefault="00FF6EEC" w:rsidP="00697C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r w:rsidRPr="00C1697B">
              <w:rPr>
                <w:b/>
                <w:szCs w:val="24"/>
                <w:lang w:val="fr-CA"/>
              </w:rPr>
              <w:t>Les motifs de jugement sont disponibles</w:t>
            </w:r>
          </w:p>
        </w:tc>
      </w:tr>
    </w:tbl>
    <w:p w:rsidR="00FF6EEC" w:rsidRDefault="00FF6EEC" w:rsidP="00FF6EEC">
      <w:pPr>
        <w:rPr>
          <w:sz w:val="20"/>
          <w:szCs w:val="20"/>
          <w:lang w:val="fr-CA"/>
        </w:rPr>
      </w:pPr>
    </w:p>
    <w:p w:rsidR="00F755C3" w:rsidRPr="00A71CD4" w:rsidRDefault="00F755C3" w:rsidP="00FF6EEC">
      <w:pPr>
        <w:rPr>
          <w:b/>
          <w:sz w:val="20"/>
          <w:szCs w:val="20"/>
        </w:rPr>
      </w:pPr>
      <w:r w:rsidRPr="00A71CD4">
        <w:rPr>
          <w:b/>
          <w:sz w:val="20"/>
          <w:szCs w:val="20"/>
        </w:rPr>
        <w:t>JULY 28, 2011 / LE 28 JUILLET 2011</w:t>
      </w:r>
    </w:p>
    <w:p w:rsidR="00F755C3" w:rsidRPr="00A71CD4" w:rsidRDefault="00F755C3" w:rsidP="00FF6EEC">
      <w:pPr>
        <w:rPr>
          <w:sz w:val="20"/>
          <w:szCs w:val="20"/>
        </w:rPr>
      </w:pPr>
    </w:p>
    <w:p w:rsidR="00A71CD4" w:rsidRPr="00383602" w:rsidRDefault="00A71CD4" w:rsidP="00A71CD4">
      <w:pPr>
        <w:ind w:left="1440" w:hanging="1440"/>
        <w:jc w:val="both"/>
        <w:rPr>
          <w:rFonts w:eastAsia="Calibri" w:cs="Times New Roman"/>
          <w:sz w:val="20"/>
          <w:szCs w:val="20"/>
          <w:lang w:val="en-GB"/>
        </w:rPr>
      </w:pPr>
      <w:r w:rsidRPr="00383602">
        <w:rPr>
          <w:rFonts w:eastAsia="Calibri" w:cs="Times New Roman"/>
          <w:b/>
          <w:sz w:val="20"/>
          <w:szCs w:val="20"/>
        </w:rPr>
        <w:t>33359</w:t>
      </w:r>
      <w:r w:rsidRPr="00383602">
        <w:rPr>
          <w:rFonts w:eastAsia="Calibri" w:cs="Times New Roman"/>
          <w:sz w:val="20"/>
          <w:szCs w:val="20"/>
        </w:rPr>
        <w:tab/>
      </w:r>
      <w:r w:rsidRPr="00383602">
        <w:rPr>
          <w:rFonts w:eastAsia="Calibri" w:cs="Times New Roman"/>
          <w:b/>
          <w:iCs/>
          <w:sz w:val="20"/>
          <w:szCs w:val="20"/>
          <w:u w:val="single"/>
          <w:lang w:val="en-GB"/>
        </w:rPr>
        <w:t>Her Majesty the Queen v. Terrence Sinclair – and – Director of Public Prosecutions of Canada and Attorney General of Ontario</w:t>
      </w:r>
      <w:r w:rsidRPr="00383602">
        <w:rPr>
          <w:rFonts w:eastAsia="Calibri" w:cs="Times New Roman"/>
          <w:i/>
          <w:iCs/>
          <w:sz w:val="20"/>
          <w:szCs w:val="20"/>
          <w:lang w:val="en-GB"/>
        </w:rPr>
        <w:t xml:space="preserve"> </w:t>
      </w:r>
      <w:r w:rsidRPr="00383602">
        <w:rPr>
          <w:rFonts w:eastAsia="Calibri" w:cs="Times New Roman"/>
          <w:sz w:val="20"/>
          <w:szCs w:val="20"/>
          <w:lang w:val="en-GB"/>
        </w:rPr>
        <w:t>(Man.)</w:t>
      </w:r>
    </w:p>
    <w:p w:rsidR="00A71CD4" w:rsidRPr="00383602" w:rsidRDefault="00A71CD4" w:rsidP="00A71CD4">
      <w:pPr>
        <w:ind w:left="1440" w:hanging="1440"/>
        <w:jc w:val="both"/>
        <w:rPr>
          <w:rFonts w:eastAsia="Calibri" w:cs="Times New Roman"/>
          <w:b/>
          <w:sz w:val="20"/>
          <w:szCs w:val="20"/>
        </w:rPr>
      </w:pPr>
      <w:r w:rsidRPr="00383602">
        <w:rPr>
          <w:rFonts w:eastAsia="Calibri" w:cs="Times New Roman"/>
          <w:b/>
          <w:sz w:val="20"/>
          <w:szCs w:val="20"/>
        </w:rPr>
        <w:tab/>
        <w:t>2011 SCC 40 / 2011 CSC 40</w:t>
      </w:r>
    </w:p>
    <w:p w:rsidR="00A71CD4" w:rsidRPr="00383602" w:rsidRDefault="00A71CD4" w:rsidP="00A71CD4">
      <w:pPr>
        <w:ind w:left="1440" w:hanging="1440"/>
        <w:jc w:val="both"/>
        <w:rPr>
          <w:rFonts w:eastAsia="Calibri" w:cs="Times New Roman"/>
          <w:b/>
          <w:sz w:val="20"/>
          <w:szCs w:val="20"/>
        </w:rPr>
      </w:pPr>
    </w:p>
    <w:p w:rsidR="00A71CD4" w:rsidRPr="00383602" w:rsidRDefault="00A71CD4" w:rsidP="00A71CD4">
      <w:pPr>
        <w:ind w:left="1440" w:hanging="1440"/>
        <w:jc w:val="both"/>
        <w:rPr>
          <w:rFonts w:eastAsia="Calibri" w:cs="Times New Roman"/>
          <w:sz w:val="20"/>
          <w:szCs w:val="20"/>
        </w:rPr>
      </w:pPr>
      <w:r w:rsidRPr="00383602">
        <w:rPr>
          <w:rFonts w:eastAsia="Calibri" w:cs="Times New Roman"/>
          <w:sz w:val="20"/>
          <w:szCs w:val="20"/>
        </w:rPr>
        <w:t>Coram:</w:t>
      </w:r>
      <w:r>
        <w:rPr>
          <w:sz w:val="20"/>
          <w:szCs w:val="20"/>
        </w:rPr>
        <w:tab/>
      </w:r>
      <w:r w:rsidRPr="00383602">
        <w:rPr>
          <w:rFonts w:eastAsia="Calibri" w:cs="Times New Roman"/>
          <w:sz w:val="20"/>
          <w:szCs w:val="20"/>
          <w:u w:val="single"/>
        </w:rPr>
        <w:t>McLachlin C.J. and Binnie, LeBel, Deschamps, Fish, Abella, Charron, Rothstein and Cromwell JJ.</w:t>
      </w:r>
    </w:p>
    <w:p w:rsidR="00A71CD4" w:rsidRPr="00383602" w:rsidRDefault="00A71CD4" w:rsidP="00A71CD4">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Calibri" w:cs="Times New Roman"/>
          <w:sz w:val="20"/>
          <w:szCs w:val="20"/>
        </w:rPr>
      </w:pPr>
    </w:p>
    <w:p w:rsidR="00A71CD4" w:rsidRPr="00383602" w:rsidRDefault="00A71CD4" w:rsidP="00A71CD4">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Calibri" w:cs="Times New Roman"/>
          <w:sz w:val="20"/>
          <w:szCs w:val="20"/>
        </w:rPr>
      </w:pPr>
      <w:r w:rsidRPr="00383602">
        <w:rPr>
          <w:rFonts w:eastAsia="Calibri" w:cs="Times New Roman"/>
          <w:sz w:val="20"/>
          <w:szCs w:val="20"/>
        </w:rPr>
        <w:t>The appeal from the judgment of the Court of Appeal of Manitoba, Number AR 08-30-06888, 2009 MBCA 71, dated July 15, 2009, heard on December 14, 2010, is allowed and the respondent’s conviction is restored. McLachlin C.J. and Binnie, Fish and Cromwell JJ. are dissenting.</w:t>
      </w:r>
    </w:p>
    <w:p w:rsidR="00A71CD4" w:rsidRPr="00383602" w:rsidRDefault="00A71CD4" w:rsidP="00A71CD4">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Calibri" w:cs="Times New Roman"/>
          <w:sz w:val="20"/>
          <w:szCs w:val="20"/>
        </w:rPr>
      </w:pPr>
    </w:p>
    <w:p w:rsidR="00A71CD4" w:rsidRPr="00383602" w:rsidRDefault="00A71CD4" w:rsidP="00A71CD4">
      <w:pPr>
        <w:jc w:val="both"/>
        <w:rPr>
          <w:rFonts w:eastAsia="Calibri" w:cs="Times New Roman"/>
          <w:sz w:val="20"/>
          <w:szCs w:val="20"/>
          <w:lang w:val="fr-CA"/>
        </w:rPr>
      </w:pPr>
      <w:r w:rsidRPr="00383602">
        <w:rPr>
          <w:rFonts w:eastAsia="Calibri" w:cs="Times New Roman"/>
          <w:sz w:val="20"/>
          <w:szCs w:val="20"/>
          <w:lang w:val="fr-CA"/>
        </w:rPr>
        <w:t>L’appel interjeté contre l’arrêt de la Cour d’appel du Manitoba, numéro AR 08-30-06888, 2009 MBCA 71, en date du 15 juillet 2009, entendu le 14 décembre 2010, est accueilli et la déclaration de culpabilité visant l’intimé est rétablie. La juge en chef McLachlin et les juges Binnie, Fish et Cromwell sont dissidents.</w:t>
      </w:r>
    </w:p>
    <w:p w:rsidR="00F755C3" w:rsidRDefault="00F755C3" w:rsidP="00FF6EEC">
      <w:pPr>
        <w:rPr>
          <w:sz w:val="20"/>
          <w:szCs w:val="20"/>
          <w:lang w:val="fr-CA"/>
        </w:rPr>
      </w:pPr>
    </w:p>
    <w:p w:rsidR="00F755C3" w:rsidRDefault="004D20D2" w:rsidP="00FF6EEC">
      <w:pPr>
        <w:rPr>
          <w:sz w:val="20"/>
          <w:szCs w:val="20"/>
          <w:lang w:val="fr-CA"/>
        </w:rPr>
      </w:pPr>
      <w:r w:rsidRPr="004D20D2">
        <w:rPr>
          <w:b/>
          <w:sz w:val="20"/>
          <w:szCs w:val="20"/>
        </w:rPr>
        <w:pict>
          <v:rect id="_x0000_i1063" style="width:144.3pt;height:1pt" o:hrpct="300" o:hralign="center" o:hrstd="t" o:hrnoshade="t" o:hr="t" fillcolor="black [3213]" stroked="f"/>
        </w:pict>
      </w:r>
    </w:p>
    <w:p w:rsidR="00F755C3" w:rsidRDefault="00F755C3" w:rsidP="00FF6EEC">
      <w:pPr>
        <w:rPr>
          <w:sz w:val="20"/>
          <w:szCs w:val="20"/>
          <w:lang w:val="fr-CA"/>
        </w:rPr>
      </w:pPr>
    </w:p>
    <w:p w:rsidR="00AF1715" w:rsidRPr="003B3977" w:rsidRDefault="00E93B8E" w:rsidP="00AF1715">
      <w:pPr>
        <w:rPr>
          <w:b/>
          <w:sz w:val="20"/>
          <w:szCs w:val="20"/>
        </w:rPr>
      </w:pPr>
      <w:r>
        <w:rPr>
          <w:b/>
          <w:sz w:val="20"/>
          <w:szCs w:val="20"/>
        </w:rPr>
        <w:t>JULY 29</w:t>
      </w:r>
      <w:r w:rsidR="00AF1715" w:rsidRPr="003B3977">
        <w:rPr>
          <w:b/>
          <w:sz w:val="20"/>
          <w:szCs w:val="20"/>
        </w:rPr>
        <w:t>, 201</w:t>
      </w:r>
      <w:r>
        <w:rPr>
          <w:b/>
          <w:sz w:val="20"/>
          <w:szCs w:val="20"/>
        </w:rPr>
        <w:t>1</w:t>
      </w:r>
      <w:r w:rsidR="00AF1715" w:rsidRPr="003B3977">
        <w:rPr>
          <w:b/>
          <w:sz w:val="20"/>
          <w:szCs w:val="20"/>
        </w:rPr>
        <w:t xml:space="preserve"> / LE </w:t>
      </w:r>
      <w:r>
        <w:rPr>
          <w:b/>
          <w:sz w:val="20"/>
          <w:szCs w:val="20"/>
        </w:rPr>
        <w:t>29 JUILLET 2</w:t>
      </w:r>
      <w:r w:rsidR="00AF1715" w:rsidRPr="003B3977">
        <w:rPr>
          <w:b/>
          <w:sz w:val="20"/>
          <w:szCs w:val="20"/>
        </w:rPr>
        <w:t>01</w:t>
      </w:r>
      <w:r>
        <w:rPr>
          <w:b/>
          <w:sz w:val="20"/>
          <w:szCs w:val="20"/>
        </w:rPr>
        <w:t>1</w:t>
      </w:r>
    </w:p>
    <w:p w:rsidR="00AF1715" w:rsidRDefault="00AF1715" w:rsidP="00AF1715">
      <w:pPr>
        <w:rPr>
          <w:sz w:val="20"/>
          <w:szCs w:val="20"/>
        </w:rPr>
      </w:pPr>
    </w:p>
    <w:p w:rsidR="00775B4C" w:rsidRPr="0090627C" w:rsidRDefault="00775B4C" w:rsidP="00775B4C">
      <w:pPr>
        <w:ind w:left="1440" w:hanging="1440"/>
        <w:jc w:val="both"/>
        <w:rPr>
          <w:b/>
          <w:sz w:val="20"/>
          <w:szCs w:val="20"/>
        </w:rPr>
      </w:pPr>
      <w:r w:rsidRPr="0090627C">
        <w:rPr>
          <w:b/>
          <w:sz w:val="20"/>
          <w:szCs w:val="20"/>
        </w:rPr>
        <w:t>33559</w:t>
      </w:r>
      <w:r w:rsidRPr="0090627C">
        <w:rPr>
          <w:sz w:val="20"/>
          <w:szCs w:val="20"/>
        </w:rPr>
        <w:tab/>
      </w:r>
      <w:r w:rsidRPr="0090627C">
        <w:rPr>
          <w:b/>
          <w:sz w:val="20"/>
          <w:szCs w:val="20"/>
          <w:u w:val="single"/>
        </w:rPr>
        <w:t>Her Majesty the Queen in Right of Canada v. Imperial Tobacco Canada Limited – and – Attorney General of Ontario and Attorney General of British Columbia</w:t>
      </w:r>
      <w:r w:rsidRPr="0090627C">
        <w:rPr>
          <w:b/>
          <w:sz w:val="20"/>
          <w:szCs w:val="20"/>
        </w:rPr>
        <w:t xml:space="preserve"> </w:t>
      </w:r>
      <w:r w:rsidRPr="0090627C">
        <w:rPr>
          <w:sz w:val="20"/>
          <w:szCs w:val="20"/>
        </w:rPr>
        <w:t>(B.C.)</w:t>
      </w:r>
    </w:p>
    <w:p w:rsidR="00775B4C" w:rsidRPr="0090627C" w:rsidRDefault="00775B4C" w:rsidP="00775B4C">
      <w:pPr>
        <w:ind w:left="1440" w:hanging="1440"/>
        <w:jc w:val="both"/>
        <w:rPr>
          <w:b/>
          <w:sz w:val="20"/>
          <w:szCs w:val="20"/>
        </w:rPr>
      </w:pPr>
      <w:r w:rsidRPr="0090627C">
        <w:rPr>
          <w:b/>
          <w:sz w:val="20"/>
          <w:szCs w:val="20"/>
        </w:rPr>
        <w:tab/>
        <w:t>2011 SCC 42 / 2011 CSC 42</w:t>
      </w:r>
    </w:p>
    <w:p w:rsidR="00775B4C" w:rsidRPr="0090627C" w:rsidRDefault="00775B4C" w:rsidP="00775B4C">
      <w:pPr>
        <w:ind w:left="1440" w:hanging="1440"/>
        <w:jc w:val="both"/>
        <w:rPr>
          <w:b/>
          <w:sz w:val="20"/>
          <w:szCs w:val="20"/>
        </w:rPr>
      </w:pPr>
    </w:p>
    <w:p w:rsidR="00775B4C" w:rsidRPr="0090627C" w:rsidRDefault="00775B4C" w:rsidP="00775B4C">
      <w:pPr>
        <w:ind w:left="1440" w:hanging="1440"/>
        <w:jc w:val="both"/>
        <w:rPr>
          <w:sz w:val="20"/>
          <w:szCs w:val="20"/>
        </w:rPr>
      </w:pPr>
      <w:r w:rsidRPr="0090627C">
        <w:rPr>
          <w:sz w:val="20"/>
          <w:szCs w:val="20"/>
        </w:rPr>
        <w:t>Coram:</w:t>
      </w:r>
      <w:r>
        <w:rPr>
          <w:sz w:val="20"/>
          <w:szCs w:val="20"/>
        </w:rPr>
        <w:tab/>
      </w:r>
      <w:r w:rsidRPr="0090627C">
        <w:rPr>
          <w:sz w:val="20"/>
          <w:szCs w:val="20"/>
          <w:u w:val="single"/>
        </w:rPr>
        <w:t>McLachlin C.J. and Binnie, LeBel, Deschamps, Fish, Abella, Charron, Rothstein and Cromwell JJ.</w:t>
      </w:r>
    </w:p>
    <w:p w:rsidR="00775B4C" w:rsidRPr="0090627C" w:rsidRDefault="00775B4C" w:rsidP="00775B4C">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szCs w:val="20"/>
        </w:rPr>
      </w:pPr>
    </w:p>
    <w:p w:rsidR="00775B4C" w:rsidRPr="0090627C" w:rsidRDefault="00775B4C" w:rsidP="00775B4C">
      <w:pPr>
        <w:jc w:val="both"/>
        <w:rPr>
          <w:sz w:val="20"/>
          <w:szCs w:val="20"/>
        </w:rPr>
      </w:pPr>
      <w:r w:rsidRPr="0090627C">
        <w:rPr>
          <w:sz w:val="20"/>
          <w:szCs w:val="20"/>
        </w:rPr>
        <w:t>The appeal from the judgment of the Court of Appeal for British Columbia (Vancouver), Number CA035214, 2009 BCCA 541, dated December 8, 2009, heard on February 24, 2011, is allowed and the cross-appeal is dismissed, the whole with costs throughout.</w:t>
      </w:r>
    </w:p>
    <w:p w:rsidR="00775B4C" w:rsidRPr="0090627C" w:rsidRDefault="00775B4C" w:rsidP="00775B4C">
      <w:pPr>
        <w:jc w:val="both"/>
        <w:rPr>
          <w:sz w:val="20"/>
          <w:szCs w:val="20"/>
        </w:rPr>
      </w:pPr>
    </w:p>
    <w:p w:rsidR="00775B4C" w:rsidRPr="0090627C" w:rsidRDefault="00775B4C" w:rsidP="00775B4C">
      <w:pPr>
        <w:jc w:val="both"/>
        <w:rPr>
          <w:sz w:val="20"/>
          <w:szCs w:val="20"/>
          <w:lang w:val="fr-CA"/>
        </w:rPr>
      </w:pPr>
      <w:r w:rsidRPr="0090627C">
        <w:rPr>
          <w:sz w:val="20"/>
          <w:szCs w:val="20"/>
          <w:lang w:val="fr-CA"/>
        </w:rPr>
        <w:t>L’appel interjeté contre l’arrêt de la Cour d’appel de la Colombie-Britannique (Vancouver), numéro CA035214, 2009 BCCA 541, en date du 8 décembre 2009, entendu le 24 février 2011, est accueilli et l’appel incident est rejeté, le tout avec dépens devant toutes les cours.</w:t>
      </w:r>
    </w:p>
    <w:p w:rsidR="00E93B8E" w:rsidRPr="00775B4C" w:rsidRDefault="00E93B8E" w:rsidP="00AF1715">
      <w:pPr>
        <w:rPr>
          <w:sz w:val="20"/>
          <w:szCs w:val="20"/>
          <w:lang w:val="fr-CA"/>
        </w:rPr>
      </w:pPr>
    </w:p>
    <w:p w:rsidR="00AF1715" w:rsidRPr="003B3977" w:rsidRDefault="004D20D2" w:rsidP="00AF1715">
      <w:pPr>
        <w:spacing w:line="0" w:lineRule="atLeast"/>
        <w:rPr>
          <w:sz w:val="20"/>
          <w:szCs w:val="20"/>
        </w:rPr>
      </w:pPr>
      <w:r w:rsidRPr="004D20D2">
        <w:rPr>
          <w:b/>
          <w:sz w:val="20"/>
          <w:szCs w:val="20"/>
        </w:rPr>
        <w:pict>
          <v:rect id="_x0000_i1064" style="width:144.3pt;height:1pt" o:hrpct="300" o:hralign="center" o:hrstd="t" o:hrnoshade="t" o:hr="t" fillcolor="black [3213]" stroked="f"/>
        </w:pict>
      </w:r>
    </w:p>
    <w:p w:rsidR="00AF1715" w:rsidRDefault="00AF1715" w:rsidP="00AF1715">
      <w:pPr>
        <w:spacing w:line="0" w:lineRule="atLeast"/>
        <w:rPr>
          <w:sz w:val="20"/>
          <w:szCs w:val="20"/>
        </w:rPr>
      </w:pPr>
    </w:p>
    <w:p w:rsidR="00775B4C" w:rsidRPr="0090627C" w:rsidRDefault="00775B4C" w:rsidP="00775B4C">
      <w:pPr>
        <w:ind w:left="1440" w:hanging="1440"/>
        <w:jc w:val="both"/>
        <w:rPr>
          <w:b/>
          <w:sz w:val="20"/>
          <w:szCs w:val="20"/>
        </w:rPr>
      </w:pPr>
      <w:r w:rsidRPr="0090627C">
        <w:rPr>
          <w:b/>
          <w:sz w:val="20"/>
          <w:szCs w:val="20"/>
        </w:rPr>
        <w:t>33563</w:t>
      </w:r>
      <w:r w:rsidRPr="0090627C">
        <w:rPr>
          <w:sz w:val="20"/>
          <w:szCs w:val="20"/>
        </w:rPr>
        <w:tab/>
      </w:r>
      <w:r w:rsidRPr="0090627C">
        <w:rPr>
          <w:b/>
          <w:sz w:val="20"/>
          <w:szCs w:val="20"/>
          <w:u w:val="single"/>
        </w:rPr>
        <w:t>Attorney General of Canada v. Her Majesty the Queen in Right of British Columbia – and – Imperial Tobacco Canada Limited, Rothmans, Benson &amp; Hedges Inc., Rothmans Inc., JTI-MacDonald Corp., R.J. Reynolds Tobacco Company, R.J. Reynolds Tobacco International Inc., B.A.T. Industries p.l.c., British American Tobacco (Investments) Limited, Carreras Rothmans Limited, Philip Morris USA Inc. and Philip Morris International Inc. – and – Attorney General of Ontario, Attorney General of British Columbia and Her Majesty the Queen in Right of the Province of New Brunswick</w:t>
      </w:r>
      <w:r w:rsidRPr="0090627C">
        <w:rPr>
          <w:b/>
          <w:sz w:val="20"/>
          <w:szCs w:val="20"/>
        </w:rPr>
        <w:t xml:space="preserve"> </w:t>
      </w:r>
      <w:r w:rsidRPr="0090627C">
        <w:rPr>
          <w:sz w:val="20"/>
          <w:szCs w:val="20"/>
        </w:rPr>
        <w:t>(B.C.)</w:t>
      </w:r>
    </w:p>
    <w:p w:rsidR="00775B4C" w:rsidRPr="0090627C" w:rsidRDefault="00775B4C" w:rsidP="00775B4C">
      <w:pPr>
        <w:ind w:left="1440" w:hanging="1440"/>
        <w:jc w:val="both"/>
        <w:rPr>
          <w:b/>
          <w:sz w:val="20"/>
          <w:szCs w:val="20"/>
        </w:rPr>
      </w:pPr>
      <w:r w:rsidRPr="0090627C">
        <w:rPr>
          <w:b/>
          <w:sz w:val="20"/>
          <w:szCs w:val="20"/>
        </w:rPr>
        <w:tab/>
        <w:t>2011 SCC 42 / 2011 CSC 42</w:t>
      </w:r>
    </w:p>
    <w:p w:rsidR="00775B4C" w:rsidRPr="0090627C" w:rsidRDefault="00775B4C" w:rsidP="00775B4C">
      <w:pPr>
        <w:ind w:left="1440" w:hanging="1440"/>
        <w:jc w:val="both"/>
        <w:rPr>
          <w:b/>
          <w:sz w:val="20"/>
          <w:szCs w:val="20"/>
        </w:rPr>
      </w:pPr>
    </w:p>
    <w:p w:rsidR="00775B4C" w:rsidRPr="0090627C" w:rsidRDefault="00775B4C" w:rsidP="00775B4C">
      <w:pPr>
        <w:ind w:left="1440" w:hanging="1440"/>
        <w:jc w:val="both"/>
        <w:rPr>
          <w:sz w:val="20"/>
          <w:szCs w:val="20"/>
        </w:rPr>
      </w:pPr>
      <w:r w:rsidRPr="0090627C">
        <w:rPr>
          <w:sz w:val="20"/>
          <w:szCs w:val="20"/>
        </w:rPr>
        <w:t>Coram:</w:t>
      </w:r>
      <w:r>
        <w:rPr>
          <w:sz w:val="20"/>
          <w:szCs w:val="20"/>
        </w:rPr>
        <w:tab/>
      </w:r>
      <w:r w:rsidRPr="0090627C">
        <w:rPr>
          <w:sz w:val="20"/>
          <w:szCs w:val="20"/>
          <w:u w:val="single"/>
        </w:rPr>
        <w:t>McLachlin C.J. and Binnie, LeBel, Deschamps, Fish, Abella, Charron, Rothstein and Cromwell JJ.</w:t>
      </w:r>
    </w:p>
    <w:p w:rsidR="00775B4C" w:rsidRPr="0090627C" w:rsidRDefault="00775B4C" w:rsidP="00775B4C">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szCs w:val="20"/>
        </w:rPr>
      </w:pPr>
    </w:p>
    <w:p w:rsidR="00775B4C" w:rsidRPr="0090627C" w:rsidRDefault="00775B4C" w:rsidP="00775B4C">
      <w:pPr>
        <w:jc w:val="both"/>
        <w:rPr>
          <w:sz w:val="20"/>
          <w:szCs w:val="20"/>
        </w:rPr>
      </w:pPr>
      <w:r w:rsidRPr="0090627C">
        <w:rPr>
          <w:sz w:val="20"/>
          <w:szCs w:val="20"/>
        </w:rPr>
        <w:t>The appeal from the judgment of the Court of Appeal for British Columbia (Vancouver), Numbers CA036017, CA036048, CA036057, CA036073, CA036080, CA036800 and CA036801, 2009 BCCA 540, dated December 8, 2009, heard on February 24, 2011, is allowed and the cross-appeal is dismissed, the whole with costs throughout.  No costs are awarded against or in favour of Her Majesty the Queen in Right of British Columbia.</w:t>
      </w:r>
    </w:p>
    <w:p w:rsidR="00775B4C" w:rsidRPr="0090627C" w:rsidRDefault="00775B4C" w:rsidP="00775B4C">
      <w:pPr>
        <w:jc w:val="both"/>
        <w:rPr>
          <w:sz w:val="20"/>
          <w:szCs w:val="20"/>
          <w:lang w:val="fr-CA"/>
        </w:rPr>
      </w:pPr>
      <w:r w:rsidRPr="0090627C">
        <w:rPr>
          <w:sz w:val="20"/>
          <w:szCs w:val="20"/>
          <w:lang w:val="fr-CA"/>
        </w:rPr>
        <w:lastRenderedPageBreak/>
        <w:t>L’appel interjeté contre l’arrêt de la Cour d’appel de la Colombie-Britannique (Vancouver), numéros CA036017, CA036048, CA036057, CA036073, CA036080, CA036800 et CA036801, 2009 BCCA 540, en date du 8 décembre 2009, entendu le 24 février 2011, est accueilli et l’appel incident est rejeté, le tout avec dépens devant toutes les cours.  Aucuns dépens ne sont adjugés contre Sa Majesté la Reine du chef de la Colombie-Britannique ou à celle-ci.</w:t>
      </w:r>
    </w:p>
    <w:p w:rsidR="00775B4C" w:rsidRPr="00775B4C" w:rsidRDefault="00775B4C" w:rsidP="00AF1715">
      <w:pPr>
        <w:spacing w:line="0" w:lineRule="atLeast"/>
        <w:rPr>
          <w:sz w:val="20"/>
          <w:szCs w:val="20"/>
          <w:lang w:val="fr-CA"/>
        </w:rPr>
      </w:pPr>
    </w:p>
    <w:p w:rsidR="00AF1715" w:rsidRPr="006C5F7A" w:rsidRDefault="004D20D2" w:rsidP="00775B4C">
      <w:pPr>
        <w:jc w:val="both"/>
        <w:rPr>
          <w:rFonts w:cs="Times New Roman"/>
          <w:sz w:val="20"/>
          <w:szCs w:val="20"/>
          <w:lang w:val="fr-CA"/>
        </w:rPr>
      </w:pPr>
      <w:r w:rsidRPr="004D20D2">
        <w:rPr>
          <w:rFonts w:cs="Times New Roman"/>
          <w:b/>
          <w:sz w:val="20"/>
          <w:szCs w:val="20"/>
        </w:rPr>
        <w:pict>
          <v:rect id="_x0000_i1065" style="width:144.3pt;height:1pt" o:hrpct="300" o:hralign="center" o:hrstd="t" o:hrnoshade="t" o:hr="t" fillcolor="black [3213]" stroked="f"/>
        </w:pict>
      </w:r>
    </w:p>
    <w:p w:rsidR="00732DB7" w:rsidRPr="00C50A5C" w:rsidRDefault="00732DB7" w:rsidP="00732DB7">
      <w:pPr>
        <w:widowControl w:val="0"/>
        <w:rPr>
          <w:sz w:val="20"/>
          <w:szCs w:val="20"/>
        </w:rPr>
      </w:pPr>
    </w:p>
    <w:p w:rsidR="00697C62" w:rsidRPr="00C50A5C" w:rsidRDefault="00697C62" w:rsidP="00732DB7">
      <w:pPr>
        <w:widowControl w:val="0"/>
        <w:rPr>
          <w:sz w:val="20"/>
          <w:szCs w:val="20"/>
        </w:rPr>
        <w:sectPr w:rsidR="00697C62" w:rsidRPr="00C50A5C" w:rsidSect="00782AE4">
          <w:headerReference w:type="even" r:id="rId53"/>
          <w:headerReference w:type="default" r:id="rId54"/>
          <w:footerReference w:type="even" r:id="rId55"/>
          <w:footerReference w:type="default" r:id="rId56"/>
          <w:headerReference w:type="first" r:id="rId57"/>
          <w:footerReference w:type="first" r:id="rId58"/>
          <w:pgSz w:w="12240" w:h="15840"/>
          <w:pgMar w:top="720" w:right="965" w:bottom="1080" w:left="1656" w:header="720" w:footer="960" w:gutter="0"/>
          <w:cols w:space="720"/>
          <w:titlePg/>
          <w:docGrid w:linePitch="326"/>
        </w:sectPr>
      </w:pPr>
    </w:p>
    <w:tbl>
      <w:tblPr>
        <w:tblW w:w="9480" w:type="dxa"/>
        <w:tblBorders>
          <w:bottom w:val="single" w:sz="8" w:space="0" w:color="auto"/>
        </w:tblBorders>
        <w:tblLayout w:type="fixed"/>
        <w:tblCellMar>
          <w:left w:w="0" w:type="dxa"/>
          <w:right w:w="0" w:type="dxa"/>
        </w:tblCellMar>
        <w:tblLook w:val="0000"/>
      </w:tblPr>
      <w:tblGrid>
        <w:gridCol w:w="4200"/>
        <w:gridCol w:w="1200"/>
        <w:gridCol w:w="4080"/>
      </w:tblGrid>
      <w:tr w:rsidR="00782AE4" w:rsidRPr="00C1697B" w:rsidTr="0085476B">
        <w:tc>
          <w:tcPr>
            <w:tcW w:w="4200" w:type="dxa"/>
            <w:tcMar>
              <w:left w:w="0" w:type="dxa"/>
              <w:right w:w="0" w:type="dxa"/>
            </w:tcMar>
          </w:tcPr>
          <w:p w:rsidR="00782AE4" w:rsidRPr="00C1697B" w:rsidRDefault="00782AE4" w:rsidP="00782AE4">
            <w:pPr>
              <w:keepNext/>
              <w:keepLines/>
              <w:jc w:val="both"/>
              <w:rPr>
                <w:b/>
                <w:szCs w:val="24"/>
              </w:rPr>
            </w:pPr>
            <w:r w:rsidRPr="00C1697B">
              <w:rPr>
                <w:b/>
                <w:szCs w:val="24"/>
              </w:rPr>
              <w:lastRenderedPageBreak/>
              <w:t>HEADNOTES OF RECENT</w:t>
            </w:r>
          </w:p>
          <w:p w:rsidR="00782AE4" w:rsidRPr="00C1697B" w:rsidRDefault="00782AE4" w:rsidP="00782AE4">
            <w:pPr>
              <w:keepNext/>
              <w:keepLines/>
              <w:jc w:val="both"/>
              <w:rPr>
                <w:b/>
                <w:szCs w:val="24"/>
              </w:rPr>
            </w:pPr>
            <w:r w:rsidRPr="00C1697B">
              <w:rPr>
                <w:b/>
                <w:szCs w:val="24"/>
              </w:rPr>
              <w:t>JUDGMENTS</w:t>
            </w:r>
          </w:p>
        </w:tc>
        <w:tc>
          <w:tcPr>
            <w:tcW w:w="1200" w:type="dxa"/>
            <w:tcMar>
              <w:left w:w="0" w:type="dxa"/>
              <w:right w:w="0" w:type="dxa"/>
            </w:tcMar>
          </w:tcPr>
          <w:p w:rsidR="00782AE4" w:rsidRPr="00C1697B" w:rsidRDefault="00782AE4" w:rsidP="00102926">
            <w:pPr>
              <w:keepNext/>
              <w:keepLines/>
              <w:jc w:val="center"/>
              <w:rPr>
                <w:b/>
                <w:szCs w:val="24"/>
              </w:rPr>
            </w:pPr>
          </w:p>
          <w:p w:rsidR="00782AE4" w:rsidRPr="00C1697B" w:rsidRDefault="00782AE4" w:rsidP="00102926">
            <w:pPr>
              <w:keepNext/>
              <w:keepLines/>
              <w:jc w:val="center"/>
              <w:rPr>
                <w:b/>
                <w:szCs w:val="24"/>
              </w:rPr>
            </w:pPr>
          </w:p>
          <w:p w:rsidR="00782AE4" w:rsidRPr="00C1697B" w:rsidRDefault="00782AE4" w:rsidP="00102926">
            <w:pPr>
              <w:keepNext/>
              <w:keepLines/>
              <w:jc w:val="center"/>
              <w:rPr>
                <w:b/>
                <w:szCs w:val="24"/>
              </w:rPr>
            </w:pPr>
          </w:p>
        </w:tc>
        <w:tc>
          <w:tcPr>
            <w:tcW w:w="4080" w:type="dxa"/>
            <w:tcMar>
              <w:left w:w="0" w:type="dxa"/>
              <w:right w:w="0" w:type="dxa"/>
            </w:tcMar>
          </w:tcPr>
          <w:p w:rsidR="00782AE4" w:rsidRPr="00C1697B" w:rsidRDefault="00782AE4" w:rsidP="00782AE4">
            <w:pPr>
              <w:keepNext/>
              <w:keepLines/>
              <w:rPr>
                <w:b/>
                <w:szCs w:val="24"/>
              </w:rPr>
            </w:pPr>
            <w:r w:rsidRPr="00C1697B">
              <w:rPr>
                <w:b/>
                <w:szCs w:val="24"/>
              </w:rPr>
              <w:t>SOMMAIRES DE JUGEMENTS RÉCENTS</w:t>
            </w:r>
          </w:p>
        </w:tc>
      </w:tr>
    </w:tbl>
    <w:p w:rsidR="003B3977" w:rsidRPr="003B3977" w:rsidRDefault="003B3977" w:rsidP="005C6840">
      <w:pPr>
        <w:rPr>
          <w:rFonts w:cs="Times New Roman"/>
          <w:i/>
          <w:sz w:val="20"/>
          <w:szCs w:val="20"/>
        </w:rPr>
      </w:pPr>
    </w:p>
    <w:p w:rsidR="00322868" w:rsidRPr="00CA2BB8" w:rsidRDefault="00322868" w:rsidP="00322868">
      <w:pPr>
        <w:ind w:left="810" w:hanging="810"/>
        <w:rPr>
          <w:rFonts w:eastAsia="Calibri" w:cs="Times New Roman"/>
          <w:sz w:val="20"/>
          <w:szCs w:val="20"/>
          <w:lang w:val="en-GB"/>
        </w:rPr>
      </w:pPr>
      <w:r w:rsidRPr="00CA2BB8">
        <w:rPr>
          <w:rFonts w:eastAsia="Calibri" w:cs="Times New Roman"/>
          <w:bCs/>
          <w:i/>
          <w:sz w:val="20"/>
          <w:szCs w:val="20"/>
          <w:lang w:val="en-GB"/>
        </w:rPr>
        <w:t xml:space="preserve">Her Majesty the Queen v. Terrence Sinclair </w:t>
      </w:r>
      <w:r w:rsidRPr="00CA2BB8">
        <w:rPr>
          <w:rFonts w:eastAsia="Calibri" w:cs="Times New Roman"/>
          <w:bCs/>
          <w:sz w:val="20"/>
          <w:szCs w:val="20"/>
          <w:lang w:val="en-GB"/>
        </w:rPr>
        <w:t>(Man.) (33359)</w:t>
      </w:r>
    </w:p>
    <w:p w:rsidR="000C20D4" w:rsidRPr="0038377A" w:rsidRDefault="000C20D4" w:rsidP="000C20D4">
      <w:pPr>
        <w:jc w:val="both"/>
        <w:rPr>
          <w:b/>
          <w:sz w:val="20"/>
          <w:szCs w:val="20"/>
        </w:rPr>
      </w:pPr>
      <w:r w:rsidRPr="005A1BF6">
        <w:rPr>
          <w:b/>
          <w:sz w:val="20"/>
        </w:rPr>
        <w:t xml:space="preserve">Indexed as:  </w:t>
      </w:r>
      <w:r w:rsidRPr="000C20D4">
        <w:rPr>
          <w:rStyle w:val="SCCAppellantForIndexChar"/>
          <w:rFonts w:eastAsia="Calibri"/>
          <w:sz w:val="20"/>
          <w:lang w:val="en-CA"/>
        </w:rPr>
        <w:t>R.</w:t>
      </w:r>
      <w:r w:rsidRPr="005A1BF6">
        <w:rPr>
          <w:b/>
          <w:sz w:val="20"/>
        </w:rPr>
        <w:t xml:space="preserve"> </w:t>
      </w:r>
      <w:r w:rsidRPr="005A1BF6">
        <w:rPr>
          <w:b/>
          <w:i/>
          <w:sz w:val="20"/>
        </w:rPr>
        <w:t>v.</w:t>
      </w:r>
      <w:r w:rsidRPr="005A1BF6">
        <w:rPr>
          <w:b/>
          <w:sz w:val="20"/>
        </w:rPr>
        <w:t xml:space="preserve"> </w:t>
      </w:r>
      <w:r w:rsidRPr="005A1BF6">
        <w:rPr>
          <w:rStyle w:val="SCCRespondentForIndexChar"/>
          <w:rFonts w:eastAsia="Calibri"/>
          <w:sz w:val="20"/>
        </w:rPr>
        <w:t>Sinclair</w:t>
      </w:r>
      <w:r>
        <w:rPr>
          <w:rStyle w:val="SCCRespondentForIndexChar"/>
          <w:rFonts w:eastAsia="Calibri"/>
          <w:sz w:val="20"/>
        </w:rPr>
        <w:t xml:space="preserve"> / </w:t>
      </w:r>
      <w:r w:rsidRPr="0038377A">
        <w:rPr>
          <w:b/>
          <w:sz w:val="20"/>
          <w:szCs w:val="20"/>
        </w:rPr>
        <w:t>Répertorié : </w:t>
      </w:r>
      <w:r w:rsidRPr="000C20D4">
        <w:rPr>
          <w:rStyle w:val="SCCAppellantForIndexChar"/>
          <w:rFonts w:eastAsia="Calibri"/>
          <w:sz w:val="20"/>
          <w:lang w:val="en-CA"/>
        </w:rPr>
        <w:t>R.</w:t>
      </w:r>
      <w:r w:rsidRPr="0038377A">
        <w:rPr>
          <w:b/>
          <w:sz w:val="20"/>
          <w:szCs w:val="20"/>
        </w:rPr>
        <w:t xml:space="preserve"> </w:t>
      </w:r>
      <w:r w:rsidRPr="0038377A">
        <w:rPr>
          <w:b/>
          <w:i/>
          <w:sz w:val="20"/>
          <w:szCs w:val="20"/>
        </w:rPr>
        <w:t>c.</w:t>
      </w:r>
      <w:r w:rsidRPr="0038377A">
        <w:rPr>
          <w:b/>
          <w:sz w:val="20"/>
          <w:szCs w:val="20"/>
        </w:rPr>
        <w:t xml:space="preserve"> </w:t>
      </w:r>
      <w:r w:rsidRPr="0038377A">
        <w:rPr>
          <w:rStyle w:val="SCCRespondentForIndexChar"/>
          <w:rFonts w:eastAsia="Calibri"/>
          <w:sz w:val="20"/>
        </w:rPr>
        <w:t>Sinclair</w:t>
      </w:r>
    </w:p>
    <w:p w:rsidR="005C6840" w:rsidRPr="003B3977" w:rsidRDefault="005C6840" w:rsidP="005C6840">
      <w:pPr>
        <w:pStyle w:val="SCCSystemYear"/>
        <w:jc w:val="both"/>
        <w:rPr>
          <w:sz w:val="20"/>
        </w:rPr>
      </w:pPr>
      <w:r w:rsidRPr="003B3977">
        <w:rPr>
          <w:sz w:val="20"/>
        </w:rPr>
        <w:t>Neutral citation:  201</w:t>
      </w:r>
      <w:r w:rsidR="007F387B">
        <w:rPr>
          <w:sz w:val="20"/>
        </w:rPr>
        <w:t>1</w:t>
      </w:r>
      <w:r w:rsidRPr="003B3977">
        <w:rPr>
          <w:sz w:val="20"/>
        </w:rPr>
        <w:t xml:space="preserve"> SCC </w:t>
      </w:r>
      <w:r w:rsidR="00322868">
        <w:rPr>
          <w:sz w:val="20"/>
        </w:rPr>
        <w:t>40</w:t>
      </w:r>
      <w:r w:rsidRPr="003B3977">
        <w:rPr>
          <w:sz w:val="20"/>
        </w:rPr>
        <w:t xml:space="preserve"> / Référence neutre : 201</w:t>
      </w:r>
      <w:r w:rsidR="007F387B">
        <w:rPr>
          <w:sz w:val="20"/>
        </w:rPr>
        <w:t>1</w:t>
      </w:r>
      <w:r w:rsidRPr="003B3977">
        <w:rPr>
          <w:sz w:val="20"/>
        </w:rPr>
        <w:t xml:space="preserve"> CSC </w:t>
      </w:r>
      <w:r w:rsidR="00322868">
        <w:rPr>
          <w:sz w:val="20"/>
        </w:rPr>
        <w:t>40</w:t>
      </w:r>
    </w:p>
    <w:p w:rsidR="005C6840" w:rsidRPr="003B3977" w:rsidRDefault="005C6840" w:rsidP="005C6840">
      <w:pPr>
        <w:rPr>
          <w:rFonts w:cs="Times New Roman"/>
          <w:sz w:val="20"/>
          <w:szCs w:val="20"/>
          <w:lang w:val="fr-CA"/>
        </w:rPr>
      </w:pPr>
      <w:r w:rsidRPr="003B3977">
        <w:rPr>
          <w:rFonts w:cs="Times New Roman"/>
          <w:sz w:val="20"/>
          <w:szCs w:val="20"/>
          <w:lang w:val="fr-CA"/>
        </w:rPr>
        <w:t xml:space="preserve">Hearing:  </w:t>
      </w:r>
      <w:r w:rsidR="000C20D4">
        <w:rPr>
          <w:rFonts w:cs="Times New Roman"/>
          <w:sz w:val="20"/>
          <w:szCs w:val="20"/>
          <w:lang w:val="fr-CA"/>
        </w:rPr>
        <w:t>December 14</w:t>
      </w:r>
      <w:r w:rsidRPr="003B3977">
        <w:rPr>
          <w:rFonts w:cs="Times New Roman"/>
          <w:sz w:val="20"/>
          <w:szCs w:val="20"/>
          <w:lang w:val="fr-CA"/>
        </w:rPr>
        <w:t xml:space="preserve">, 2010 / Judgment:  </w:t>
      </w:r>
      <w:r w:rsidR="00322868">
        <w:rPr>
          <w:rFonts w:cs="Times New Roman"/>
          <w:sz w:val="20"/>
          <w:szCs w:val="20"/>
          <w:lang w:val="fr-CA"/>
        </w:rPr>
        <w:t xml:space="preserve">July </w:t>
      </w:r>
      <w:r w:rsidRPr="003B3977">
        <w:rPr>
          <w:rFonts w:cs="Times New Roman"/>
          <w:sz w:val="20"/>
          <w:szCs w:val="20"/>
          <w:lang w:val="fr-CA"/>
        </w:rPr>
        <w:t>2</w:t>
      </w:r>
      <w:r w:rsidR="00322868">
        <w:rPr>
          <w:rFonts w:cs="Times New Roman"/>
          <w:sz w:val="20"/>
          <w:szCs w:val="20"/>
          <w:lang w:val="fr-CA"/>
        </w:rPr>
        <w:t>8</w:t>
      </w:r>
      <w:r w:rsidRPr="003B3977">
        <w:rPr>
          <w:rFonts w:cs="Times New Roman"/>
          <w:sz w:val="20"/>
          <w:szCs w:val="20"/>
          <w:lang w:val="fr-CA"/>
        </w:rPr>
        <w:t>, 201</w:t>
      </w:r>
      <w:r w:rsidR="00322868">
        <w:rPr>
          <w:rFonts w:cs="Times New Roman"/>
          <w:sz w:val="20"/>
          <w:szCs w:val="20"/>
          <w:lang w:val="fr-CA"/>
        </w:rPr>
        <w:t>1</w:t>
      </w:r>
    </w:p>
    <w:p w:rsidR="005C6840" w:rsidRPr="003B3977" w:rsidRDefault="005C6840" w:rsidP="005C6840">
      <w:pPr>
        <w:rPr>
          <w:rFonts w:cs="Times New Roman"/>
          <w:sz w:val="20"/>
          <w:szCs w:val="20"/>
          <w:lang w:val="fr-CA"/>
        </w:rPr>
      </w:pPr>
      <w:r w:rsidRPr="003B3977">
        <w:rPr>
          <w:rFonts w:cs="Times New Roman"/>
          <w:sz w:val="20"/>
          <w:szCs w:val="20"/>
          <w:lang w:val="fr-CA"/>
        </w:rPr>
        <w:t xml:space="preserve">Audition : Le </w:t>
      </w:r>
      <w:r w:rsidR="000C20D4">
        <w:rPr>
          <w:rFonts w:cs="Times New Roman"/>
          <w:sz w:val="20"/>
          <w:szCs w:val="20"/>
          <w:lang w:val="fr-CA"/>
        </w:rPr>
        <w:t>14 décembre</w:t>
      </w:r>
      <w:r w:rsidRPr="003B3977">
        <w:rPr>
          <w:rFonts w:cs="Times New Roman"/>
          <w:sz w:val="20"/>
          <w:szCs w:val="20"/>
          <w:lang w:val="fr-CA"/>
        </w:rPr>
        <w:t xml:space="preserve"> 2010 / Jugement : Le 2</w:t>
      </w:r>
      <w:r w:rsidR="00322868">
        <w:rPr>
          <w:rFonts w:cs="Times New Roman"/>
          <w:sz w:val="20"/>
          <w:szCs w:val="20"/>
          <w:lang w:val="fr-CA"/>
        </w:rPr>
        <w:t xml:space="preserve">8 juillet </w:t>
      </w:r>
      <w:r w:rsidRPr="003B3977">
        <w:rPr>
          <w:rFonts w:cs="Times New Roman"/>
          <w:sz w:val="20"/>
          <w:szCs w:val="20"/>
          <w:lang w:val="fr-CA"/>
        </w:rPr>
        <w:t>201</w:t>
      </w:r>
      <w:r w:rsidR="00322868">
        <w:rPr>
          <w:rFonts w:cs="Times New Roman"/>
          <w:sz w:val="20"/>
          <w:szCs w:val="20"/>
          <w:lang w:val="fr-CA"/>
        </w:rPr>
        <w:t>1</w:t>
      </w:r>
    </w:p>
    <w:p w:rsidR="005C6840" w:rsidRPr="003B3977" w:rsidRDefault="004D20D2" w:rsidP="005C6840">
      <w:pPr>
        <w:rPr>
          <w:rFonts w:cs="Times New Roman"/>
          <w:sz w:val="20"/>
          <w:szCs w:val="20"/>
          <w:lang w:val="fr-CA"/>
        </w:rPr>
      </w:pPr>
      <w:r w:rsidRPr="004D20D2">
        <w:rPr>
          <w:rFonts w:cs="Times New Roman"/>
          <w:i/>
          <w:sz w:val="20"/>
          <w:szCs w:val="20"/>
        </w:rPr>
        <w:pict>
          <v:rect id="_x0000_i1068" style="width:480.95pt;height:1pt" o:hralign="center" o:hrstd="t" o:hrnoshade="t" o:hr="t" fillcolor="black [3213]" stroked="f"/>
        </w:pict>
      </w:r>
    </w:p>
    <w:p w:rsidR="005C6840" w:rsidRDefault="005C6840" w:rsidP="005C6840">
      <w:pPr>
        <w:rPr>
          <w:rFonts w:cs="Times New Roman"/>
          <w:sz w:val="20"/>
          <w:szCs w:val="20"/>
          <w:lang w:val="fr-CA"/>
        </w:rPr>
      </w:pPr>
    </w:p>
    <w:p w:rsidR="00E84839" w:rsidRPr="00E84839" w:rsidRDefault="00E84839" w:rsidP="00E84839">
      <w:pPr>
        <w:jc w:val="both"/>
        <w:rPr>
          <w:sz w:val="20"/>
        </w:rPr>
      </w:pPr>
      <w:r w:rsidRPr="00E84839">
        <w:rPr>
          <w:sz w:val="20"/>
        </w:rPr>
        <w:t>Present:  McLachlin C.J. and Binnie, LeBel, Deschamps, Fish, Abella, Charron, Rothstein and Cromwell JJ.</w:t>
      </w:r>
    </w:p>
    <w:p w:rsidR="00E84839" w:rsidRPr="00E84839" w:rsidRDefault="00E84839" w:rsidP="00E84839">
      <w:pPr>
        <w:pStyle w:val="SCCLowerCourtNameLowercase"/>
        <w:spacing w:line="240" w:lineRule="auto"/>
        <w:rPr>
          <w:sz w:val="20"/>
        </w:rPr>
      </w:pPr>
    </w:p>
    <w:p w:rsidR="00E84839" w:rsidRPr="00E84839" w:rsidRDefault="00E84839" w:rsidP="00E84839">
      <w:pPr>
        <w:pStyle w:val="SCCNormalDoubleSpacing"/>
        <w:spacing w:line="240" w:lineRule="auto"/>
        <w:rPr>
          <w:i/>
          <w:sz w:val="20"/>
        </w:rPr>
      </w:pPr>
      <w:r w:rsidRPr="00E84839">
        <w:rPr>
          <w:i/>
          <w:sz w:val="20"/>
        </w:rPr>
        <w:tab/>
        <w:t>Criminal law — Appeals — Powers of Court of Appeal — Unreasonable verdict — Misapprehension of evidence — Accused convicted of manslaughter — Court of Appeal setting aside conviction on basis of trial judge's misapprehension of evidence — Whether Court of Appeal applied proper test in setting aside conviction — Whether trial judge misapprehended evidence — Criminal Code, R.S.C. 1985, c. C</w:t>
      </w:r>
      <w:r w:rsidRPr="00E84839">
        <w:rPr>
          <w:i/>
          <w:sz w:val="20"/>
        </w:rPr>
        <w:noBreakHyphen/>
        <w:t>46, s. 686(1)(a)(i).</w:t>
      </w:r>
    </w:p>
    <w:p w:rsidR="00E84839" w:rsidRPr="00E84839" w:rsidRDefault="00E84839" w:rsidP="00E84839">
      <w:pPr>
        <w:pStyle w:val="SCCNormalDoubleSpacing"/>
        <w:spacing w:line="240" w:lineRule="auto"/>
        <w:rPr>
          <w:i/>
          <w:sz w:val="20"/>
        </w:rPr>
      </w:pPr>
    </w:p>
    <w:p w:rsidR="00E84839" w:rsidRPr="00E84839" w:rsidRDefault="00E84839" w:rsidP="00E84839">
      <w:pPr>
        <w:pStyle w:val="SCCNormalDoubleSpacing"/>
        <w:spacing w:line="240" w:lineRule="auto"/>
        <w:rPr>
          <w:sz w:val="20"/>
        </w:rPr>
      </w:pPr>
      <w:r w:rsidRPr="00E84839">
        <w:rPr>
          <w:sz w:val="20"/>
        </w:rPr>
        <w:tab/>
        <w:t>A driver observed three males kicking and stomping Adam Lecours on a roadway.  They left him lying on the street bleeding. Another driver failed to see Mr. Lecours lying in the road in time to avoid hitting him.  Mr. Lecours died from his injuries.  The trial judge convicted accused and a co</w:t>
      </w:r>
      <w:r w:rsidRPr="00E84839">
        <w:rPr>
          <w:sz w:val="20"/>
        </w:rPr>
        <w:noBreakHyphen/>
        <w:t>accused of manslaughter.  The Court of Appeal set aside the conviction on the basis that the trial judge had misapprehended evidence by accepting that there was evidence that the accused had planned to go out to commit a robbery together with his co</w:t>
      </w:r>
      <w:r w:rsidRPr="00E84839">
        <w:rPr>
          <w:sz w:val="20"/>
        </w:rPr>
        <w:noBreakHyphen/>
        <w:t>accused and a youth, and by inferring from this evidence that the accused was with his co</w:t>
      </w:r>
      <w:r w:rsidRPr="00E84839">
        <w:rPr>
          <w:sz w:val="20"/>
        </w:rPr>
        <w:noBreakHyphen/>
        <w:t xml:space="preserve">accused at the scene of the crime.  In setting aside the conviction, the Court of Appeal partially based its decision on this Court’s decision in </w:t>
      </w:r>
      <w:r w:rsidRPr="00E84839">
        <w:rPr>
          <w:i/>
          <w:sz w:val="20"/>
        </w:rPr>
        <w:t>R. v. Beaudry</w:t>
      </w:r>
      <w:r w:rsidRPr="00E84839">
        <w:rPr>
          <w:sz w:val="20"/>
        </w:rPr>
        <w:t>, 2007 SCC 5, [2007] 1 S.C.R. 190.</w:t>
      </w:r>
    </w:p>
    <w:p w:rsidR="00E84839" w:rsidRPr="00E84839" w:rsidRDefault="00E84839" w:rsidP="00E84839">
      <w:pPr>
        <w:pStyle w:val="SCCNormalDoubleSpacing"/>
        <w:spacing w:line="240" w:lineRule="auto"/>
        <w:rPr>
          <w:sz w:val="20"/>
        </w:rPr>
      </w:pPr>
    </w:p>
    <w:p w:rsidR="00E84839" w:rsidRPr="00E84839" w:rsidRDefault="00E84839" w:rsidP="00E84839">
      <w:pPr>
        <w:pStyle w:val="SCCNormalDoubleSpacing"/>
        <w:spacing w:line="240" w:lineRule="auto"/>
        <w:rPr>
          <w:sz w:val="20"/>
        </w:rPr>
      </w:pPr>
      <w:r w:rsidRPr="00E84839">
        <w:rPr>
          <w:rStyle w:val="QuoteChar"/>
          <w:i w:val="0"/>
          <w:color w:val="auto"/>
          <w:sz w:val="20"/>
        </w:rPr>
        <w:tab/>
        <w:t>Held (</w:t>
      </w:r>
      <w:r w:rsidRPr="00E84839">
        <w:rPr>
          <w:sz w:val="20"/>
        </w:rPr>
        <w:t>McLachlin C.J and Binnie, Fish</w:t>
      </w:r>
      <w:r w:rsidRPr="00E84839">
        <w:rPr>
          <w:b/>
          <w:i/>
          <w:sz w:val="20"/>
        </w:rPr>
        <w:t xml:space="preserve"> </w:t>
      </w:r>
      <w:r w:rsidRPr="00E84839">
        <w:rPr>
          <w:sz w:val="20"/>
        </w:rPr>
        <w:t>and Cromwell JJ. dissenting)</w:t>
      </w:r>
      <w:r w:rsidRPr="00E84839">
        <w:rPr>
          <w:rStyle w:val="QuoteChar"/>
          <w:i w:val="0"/>
          <w:color w:val="auto"/>
          <w:sz w:val="20"/>
        </w:rPr>
        <w:t>:</w:t>
      </w:r>
      <w:r w:rsidRPr="00E84839">
        <w:rPr>
          <w:sz w:val="20"/>
        </w:rPr>
        <w:t xml:space="preserve">  The appeal should be allowed.  The order for a new trial should be set aside and the conviction restored.</w:t>
      </w:r>
    </w:p>
    <w:p w:rsidR="00E84839" w:rsidRPr="00E84839" w:rsidRDefault="00E84839" w:rsidP="00E84839">
      <w:pPr>
        <w:pStyle w:val="SCCNormalDoubleSpacing"/>
        <w:spacing w:line="240" w:lineRule="auto"/>
        <w:rPr>
          <w:sz w:val="20"/>
        </w:rPr>
      </w:pPr>
    </w:p>
    <w:p w:rsidR="00E84839" w:rsidRPr="00E84839" w:rsidRDefault="00E84839" w:rsidP="00E84839">
      <w:pPr>
        <w:pStyle w:val="SCCNormalDoubleSpacing"/>
        <w:keepNext/>
        <w:tabs>
          <w:tab w:val="left" w:pos="450"/>
        </w:tabs>
        <w:spacing w:line="240" w:lineRule="auto"/>
        <w:rPr>
          <w:i/>
          <w:iCs/>
          <w:sz w:val="20"/>
          <w:u w:val="single"/>
        </w:rPr>
      </w:pPr>
      <w:r w:rsidRPr="00E84839">
        <w:rPr>
          <w:iCs/>
          <w:sz w:val="20"/>
        </w:rPr>
        <w:t>I.</w:t>
      </w:r>
      <w:r w:rsidRPr="00E84839">
        <w:rPr>
          <w:iCs/>
          <w:sz w:val="20"/>
        </w:rPr>
        <w:tab/>
      </w:r>
      <w:r w:rsidRPr="00E84839">
        <w:rPr>
          <w:i/>
          <w:iCs/>
          <w:sz w:val="20"/>
          <w:u w:val="single"/>
        </w:rPr>
        <w:t xml:space="preserve">The </w:t>
      </w:r>
      <w:r w:rsidRPr="00E84839">
        <w:rPr>
          <w:i/>
          <w:sz w:val="20"/>
          <w:u w:val="single"/>
        </w:rPr>
        <w:t>Beaudry</w:t>
      </w:r>
      <w:r w:rsidRPr="00E84839">
        <w:rPr>
          <w:i/>
          <w:iCs/>
          <w:sz w:val="20"/>
          <w:u w:val="single"/>
        </w:rPr>
        <w:t xml:space="preserve"> issue</w:t>
      </w:r>
    </w:p>
    <w:p w:rsidR="00E84839" w:rsidRPr="00E84839" w:rsidRDefault="00E84839" w:rsidP="00E84839">
      <w:pPr>
        <w:pStyle w:val="SCCNormalDoubleSpacing"/>
        <w:keepNext/>
        <w:tabs>
          <w:tab w:val="left" w:pos="450"/>
        </w:tabs>
        <w:spacing w:line="240" w:lineRule="auto"/>
        <w:rPr>
          <w:sz w:val="20"/>
        </w:rPr>
      </w:pPr>
    </w:p>
    <w:p w:rsidR="00E84839" w:rsidRPr="00E84839" w:rsidRDefault="00E84839" w:rsidP="00E84839">
      <w:pPr>
        <w:pStyle w:val="SCCNormalDoubleSpacing"/>
        <w:spacing w:line="240" w:lineRule="auto"/>
        <w:rPr>
          <w:sz w:val="20"/>
        </w:rPr>
      </w:pPr>
      <w:r w:rsidRPr="00E84839">
        <w:rPr>
          <w:i/>
          <w:sz w:val="20"/>
        </w:rPr>
        <w:tab/>
        <w:t>Per</w:t>
      </w:r>
      <w:r w:rsidRPr="00E84839">
        <w:rPr>
          <w:sz w:val="20"/>
        </w:rPr>
        <w:t xml:space="preserve"> McLachlin C.J. and Binnie, </w:t>
      </w:r>
      <w:r w:rsidRPr="00E84839">
        <w:rPr>
          <w:b/>
          <w:sz w:val="20"/>
        </w:rPr>
        <w:t>Fish</w:t>
      </w:r>
      <w:r w:rsidRPr="00E84839">
        <w:rPr>
          <w:b/>
          <w:i/>
          <w:sz w:val="20"/>
        </w:rPr>
        <w:t xml:space="preserve"> </w:t>
      </w:r>
      <w:r w:rsidRPr="00E84839">
        <w:rPr>
          <w:sz w:val="20"/>
        </w:rPr>
        <w:t xml:space="preserve">and Cromwell JJ.:  </w:t>
      </w:r>
      <w:r w:rsidRPr="00E84839">
        <w:rPr>
          <w:i/>
          <w:sz w:val="20"/>
        </w:rPr>
        <w:t>R. v. Beaudry</w:t>
      </w:r>
      <w:r w:rsidRPr="00E84839">
        <w:rPr>
          <w:sz w:val="20"/>
        </w:rPr>
        <w:t xml:space="preserve">, has no application to the error committed by the trial judge in this case.  This error falls squarely within </w:t>
      </w:r>
      <w:r w:rsidRPr="00E84839">
        <w:rPr>
          <w:i/>
          <w:sz w:val="20"/>
        </w:rPr>
        <w:t>R.v. Lohrer</w:t>
      </w:r>
      <w:r w:rsidRPr="00E84839">
        <w:rPr>
          <w:sz w:val="20"/>
        </w:rPr>
        <w:t xml:space="preserve">.  Nothing in </w:t>
      </w:r>
      <w:r w:rsidRPr="00E84839">
        <w:rPr>
          <w:i/>
          <w:sz w:val="20"/>
        </w:rPr>
        <w:t>Beaudry</w:t>
      </w:r>
      <w:r w:rsidRPr="00E84839">
        <w:rPr>
          <w:sz w:val="20"/>
        </w:rPr>
        <w:t xml:space="preserve"> modifies the principles set out in </w:t>
      </w:r>
      <w:r w:rsidRPr="00E84839">
        <w:rPr>
          <w:i/>
          <w:sz w:val="20"/>
        </w:rPr>
        <w:t>R. v. Yebes</w:t>
      </w:r>
      <w:r w:rsidRPr="00E84839">
        <w:rPr>
          <w:sz w:val="20"/>
        </w:rPr>
        <w:t xml:space="preserve">, [1987] 2 S.C.R. 168 and </w:t>
      </w:r>
      <w:r w:rsidRPr="00E84839">
        <w:rPr>
          <w:i/>
          <w:sz w:val="20"/>
        </w:rPr>
        <w:t>R. v. Biniaris</w:t>
      </w:r>
      <w:r w:rsidRPr="00E84839">
        <w:rPr>
          <w:sz w:val="20"/>
        </w:rPr>
        <w:t xml:space="preserve">,  2000 SCC 15, [2000] 1 S.C.R. 381. </w:t>
      </w:r>
      <w:r w:rsidRPr="00E84839">
        <w:rPr>
          <w:i/>
          <w:sz w:val="20"/>
        </w:rPr>
        <w:t xml:space="preserve">Yebes </w:t>
      </w:r>
      <w:r w:rsidRPr="00E84839">
        <w:rPr>
          <w:sz w:val="20"/>
        </w:rPr>
        <w:t xml:space="preserve">and </w:t>
      </w:r>
      <w:r w:rsidRPr="00E84839">
        <w:rPr>
          <w:i/>
          <w:sz w:val="20"/>
        </w:rPr>
        <w:t xml:space="preserve">Biniaris </w:t>
      </w:r>
      <w:r w:rsidRPr="00E84839">
        <w:rPr>
          <w:sz w:val="20"/>
        </w:rPr>
        <w:t xml:space="preserve">continue to apply where the issue is whether the verdict could have been reached reasonably by a properly instructed jury or a judge sitting alone. </w:t>
      </w:r>
      <w:r w:rsidRPr="00E84839">
        <w:rPr>
          <w:i/>
          <w:sz w:val="20"/>
        </w:rPr>
        <w:t>Beaudry</w:t>
      </w:r>
      <w:r w:rsidRPr="00E84839">
        <w:rPr>
          <w:sz w:val="20"/>
        </w:rPr>
        <w:t xml:space="preserve"> serves an important function of limited scope on an appellate review for unreasonableness under s. 686(1)(</w:t>
      </w:r>
      <w:r w:rsidRPr="00E84839">
        <w:rPr>
          <w:i/>
          <w:sz w:val="20"/>
        </w:rPr>
        <w:t>a</w:t>
      </w:r>
      <w:r w:rsidRPr="00E84839">
        <w:rPr>
          <w:sz w:val="20"/>
        </w:rPr>
        <w:t xml:space="preserve">)(i) of the </w:t>
      </w:r>
      <w:r w:rsidRPr="00E84839">
        <w:rPr>
          <w:i/>
          <w:sz w:val="20"/>
        </w:rPr>
        <w:t>Criminal Code</w:t>
      </w:r>
      <w:r w:rsidRPr="00E84839">
        <w:rPr>
          <w:sz w:val="20"/>
        </w:rPr>
        <w:t xml:space="preserve">.  It addresses the reasonableness of the judge’s verdict, notably by scrutinizing the logic of the judge’s findings of fact or inferences drawn from the evidence admitted at trial.  A trial judge who is not mistaken as to the evidence but reaches a verdict by an illogical or irrational reasoning process commits an error under </w:t>
      </w:r>
      <w:r w:rsidRPr="00E84839">
        <w:rPr>
          <w:i/>
          <w:sz w:val="20"/>
        </w:rPr>
        <w:t>Beaudry</w:t>
      </w:r>
      <w:r w:rsidRPr="00E84839">
        <w:rPr>
          <w:sz w:val="20"/>
        </w:rPr>
        <w:t xml:space="preserve">.  A misapprehension of evidence invites appellate scrutiny under </w:t>
      </w:r>
      <w:r w:rsidRPr="00E84839">
        <w:rPr>
          <w:i/>
          <w:sz w:val="20"/>
        </w:rPr>
        <w:t>Lohrer</w:t>
      </w:r>
      <w:r w:rsidRPr="00E84839">
        <w:rPr>
          <w:sz w:val="20"/>
        </w:rPr>
        <w:t xml:space="preserve">.  To conflate these conceptually distinct errors is to disregard the rationale of </w:t>
      </w:r>
      <w:r w:rsidRPr="00E84839">
        <w:rPr>
          <w:i/>
          <w:sz w:val="20"/>
        </w:rPr>
        <w:t>Beaudry</w:t>
      </w:r>
      <w:r w:rsidRPr="00E84839">
        <w:rPr>
          <w:sz w:val="20"/>
        </w:rPr>
        <w:t xml:space="preserve"> and the jurisprudential gap it fills.</w:t>
      </w:r>
    </w:p>
    <w:p w:rsidR="00E84839" w:rsidRPr="00E84839" w:rsidRDefault="00E84839" w:rsidP="00E84839">
      <w:pPr>
        <w:pStyle w:val="SCCNormalDoubleSpacing"/>
        <w:spacing w:line="240" w:lineRule="auto"/>
        <w:rPr>
          <w:sz w:val="20"/>
        </w:rPr>
      </w:pPr>
    </w:p>
    <w:p w:rsidR="00E84839" w:rsidRPr="00E84839" w:rsidRDefault="00E84839" w:rsidP="00E84839">
      <w:pPr>
        <w:pStyle w:val="SCCNormalDoubleSpacing"/>
        <w:spacing w:line="240" w:lineRule="auto"/>
        <w:rPr>
          <w:sz w:val="20"/>
        </w:rPr>
      </w:pPr>
      <w:r w:rsidRPr="00E84839">
        <w:rPr>
          <w:sz w:val="20"/>
        </w:rPr>
        <w:tab/>
        <w:t xml:space="preserve">A verdict reached illogically or irrationally is “unreasonable” because it is not reached judicially, or in accordance with the rule of law.  Further, as stated in </w:t>
      </w:r>
      <w:r w:rsidRPr="00E84839">
        <w:rPr>
          <w:i/>
          <w:sz w:val="20"/>
        </w:rPr>
        <w:t>Beaudry</w:t>
      </w:r>
      <w:r w:rsidRPr="00E84839">
        <w:rPr>
          <w:sz w:val="20"/>
        </w:rPr>
        <w:t xml:space="preserve">, a verdict that was reached illogically or irrationally is hardly made reasonable by the fact that another judge (who never did and never will try the case) could reasonably have convicted or acquitted the accused.  A court of appeal may intervene pursuant to </w:t>
      </w:r>
      <w:r w:rsidRPr="00E84839">
        <w:rPr>
          <w:i/>
          <w:sz w:val="20"/>
        </w:rPr>
        <w:t>Beaudry</w:t>
      </w:r>
      <w:r w:rsidRPr="00E84839">
        <w:rPr>
          <w:sz w:val="20"/>
        </w:rPr>
        <w:t xml:space="preserve"> where a trial judge draws an inference or makes a finding of fact that is plainly contradicted by the evidence relied on for that purpose by the judge or that is demonstrably incompatible with evidence that is not otherwise contradicted or rejected by the trial judge.  Unreasonable verdicts of this sort are rare.  But when they do occur, appellate courts are authorized —</w:t>
      </w:r>
      <w:r w:rsidRPr="00E84839">
        <w:rPr>
          <w:i/>
          <w:sz w:val="20"/>
        </w:rPr>
        <w:t xml:space="preserve"> </w:t>
      </w:r>
      <w:r w:rsidRPr="00E84839">
        <w:rPr>
          <w:sz w:val="20"/>
        </w:rPr>
        <w:t>indeed bound — to intervene.</w:t>
      </w:r>
    </w:p>
    <w:p w:rsidR="00E84839" w:rsidRPr="00E84839" w:rsidRDefault="00E84839" w:rsidP="00E84839">
      <w:pPr>
        <w:pStyle w:val="SCCNormalDoubleSpacing"/>
        <w:spacing w:line="240" w:lineRule="auto"/>
        <w:rPr>
          <w:sz w:val="20"/>
        </w:rPr>
      </w:pPr>
    </w:p>
    <w:p w:rsidR="00E84839" w:rsidRPr="00E84839" w:rsidRDefault="00E84839" w:rsidP="00E84839">
      <w:pPr>
        <w:pStyle w:val="SCCNormalDoubleSpacing"/>
        <w:spacing w:line="240" w:lineRule="auto"/>
        <w:rPr>
          <w:sz w:val="20"/>
        </w:rPr>
      </w:pPr>
      <w:r w:rsidRPr="00E84839">
        <w:rPr>
          <w:sz w:val="20"/>
        </w:rPr>
        <w:tab/>
      </w:r>
      <w:r w:rsidRPr="00E84839">
        <w:rPr>
          <w:i/>
          <w:sz w:val="20"/>
        </w:rPr>
        <w:t>Per</w:t>
      </w:r>
      <w:r w:rsidRPr="00E84839">
        <w:rPr>
          <w:sz w:val="20"/>
        </w:rPr>
        <w:t xml:space="preserve"> </w:t>
      </w:r>
      <w:r w:rsidRPr="00E84839">
        <w:rPr>
          <w:b/>
          <w:sz w:val="20"/>
        </w:rPr>
        <w:t>LeBel</w:t>
      </w:r>
      <w:r w:rsidRPr="00E84839">
        <w:rPr>
          <w:sz w:val="20"/>
        </w:rPr>
        <w:t xml:space="preserve">, Deschamps and Rothstein JJ.:  The Court of Appeal erred in law to the extent that it based its judgment on </w:t>
      </w:r>
      <w:r w:rsidRPr="00E84839">
        <w:rPr>
          <w:i/>
          <w:sz w:val="20"/>
        </w:rPr>
        <w:t>R. v. Beaudry</w:t>
      </w:r>
      <w:r w:rsidRPr="00E84839">
        <w:rPr>
          <w:sz w:val="20"/>
        </w:rPr>
        <w:t xml:space="preserve">.  </w:t>
      </w:r>
      <w:r w:rsidRPr="00E84839">
        <w:rPr>
          <w:i/>
          <w:sz w:val="20"/>
        </w:rPr>
        <w:t>Beaudry</w:t>
      </w:r>
      <w:r w:rsidRPr="00E84839">
        <w:rPr>
          <w:sz w:val="20"/>
        </w:rPr>
        <w:t xml:space="preserve"> has no application to a mistake as to the substance of the evidence.  Rather, errors of this sort are governed by the standard set out in </w:t>
      </w:r>
      <w:r w:rsidRPr="00E84839">
        <w:rPr>
          <w:i/>
          <w:sz w:val="20"/>
        </w:rPr>
        <w:t>R. v. Lohrer</w:t>
      </w:r>
      <w:r w:rsidRPr="00E84839">
        <w:rPr>
          <w:sz w:val="20"/>
        </w:rPr>
        <w:t xml:space="preserve">, 2004 SCC 80, [2004] 3 S.C.R. 732.  </w:t>
      </w:r>
      <w:r w:rsidRPr="00E84839">
        <w:rPr>
          <w:i/>
          <w:sz w:val="20"/>
        </w:rPr>
        <w:t>Beaudry</w:t>
      </w:r>
      <w:r w:rsidRPr="00E84839">
        <w:rPr>
          <w:sz w:val="20"/>
        </w:rPr>
        <w:t xml:space="preserve"> expanded the traditional scope of s. 686(1)(</w:t>
      </w:r>
      <w:r w:rsidRPr="00E84839">
        <w:rPr>
          <w:i/>
          <w:sz w:val="20"/>
        </w:rPr>
        <w:t>a</w:t>
      </w:r>
      <w:r w:rsidRPr="00E84839">
        <w:rPr>
          <w:sz w:val="20"/>
        </w:rPr>
        <w:t xml:space="preserve">)(i) of the </w:t>
      </w:r>
      <w:r w:rsidRPr="00E84839">
        <w:rPr>
          <w:i/>
          <w:sz w:val="20"/>
        </w:rPr>
        <w:t>Criminal Code</w:t>
      </w:r>
      <w:r w:rsidRPr="00E84839">
        <w:rPr>
          <w:sz w:val="20"/>
        </w:rPr>
        <w:t xml:space="preserve">.  Fish J. carried a majority in </w:t>
      </w:r>
      <w:r w:rsidRPr="00E84839">
        <w:rPr>
          <w:i/>
          <w:sz w:val="20"/>
        </w:rPr>
        <w:t>Beaudry</w:t>
      </w:r>
      <w:r w:rsidRPr="00E84839">
        <w:rPr>
          <w:sz w:val="20"/>
        </w:rPr>
        <w:t xml:space="preserve"> on the question whether a verdict reached “illogically or irrationally” was “unreasonable” within the meaning of s. 686(1)(</w:t>
      </w:r>
      <w:r w:rsidRPr="00E84839">
        <w:rPr>
          <w:i/>
          <w:sz w:val="20"/>
        </w:rPr>
        <w:t>a</w:t>
      </w:r>
      <w:r w:rsidRPr="00E84839">
        <w:rPr>
          <w:sz w:val="20"/>
        </w:rPr>
        <w:t xml:space="preserve">)(i) of the </w:t>
      </w:r>
      <w:r w:rsidRPr="00E84839">
        <w:rPr>
          <w:i/>
          <w:sz w:val="20"/>
        </w:rPr>
        <w:lastRenderedPageBreak/>
        <w:t xml:space="preserve">Criminal Code </w:t>
      </w:r>
      <w:r w:rsidRPr="00E84839">
        <w:rPr>
          <w:sz w:val="20"/>
        </w:rPr>
        <w:t xml:space="preserve">and his reasons in </w:t>
      </w:r>
      <w:r w:rsidRPr="00E84839">
        <w:rPr>
          <w:i/>
          <w:sz w:val="20"/>
        </w:rPr>
        <w:t>Beaudry</w:t>
      </w:r>
      <w:r w:rsidRPr="00E84839">
        <w:rPr>
          <w:sz w:val="20"/>
        </w:rPr>
        <w:t xml:space="preserve"> represent the state of the law on this point.   Furthermore, the reasons of Fish J. in this case correctly reflect the position that was taken by the majority in </w:t>
      </w:r>
      <w:r w:rsidRPr="00E84839">
        <w:rPr>
          <w:i/>
          <w:sz w:val="20"/>
        </w:rPr>
        <w:t>Beaudry</w:t>
      </w:r>
      <w:r w:rsidRPr="00E84839">
        <w:rPr>
          <w:sz w:val="20"/>
        </w:rPr>
        <w:t>, and there is concurrence with his reasons to that extent.</w:t>
      </w:r>
    </w:p>
    <w:p w:rsidR="00E84839" w:rsidRPr="00E84839" w:rsidRDefault="00E84839" w:rsidP="00E84839">
      <w:pPr>
        <w:pStyle w:val="SCCNormalDoubleSpacing"/>
        <w:spacing w:line="240" w:lineRule="auto"/>
        <w:rPr>
          <w:sz w:val="20"/>
        </w:rPr>
      </w:pPr>
    </w:p>
    <w:p w:rsidR="00E84839" w:rsidRPr="00E84839" w:rsidRDefault="00E84839" w:rsidP="00E84839">
      <w:pPr>
        <w:pStyle w:val="SCCNormalDoubleSpacing"/>
        <w:spacing w:line="240" w:lineRule="auto"/>
        <w:rPr>
          <w:sz w:val="20"/>
        </w:rPr>
      </w:pPr>
      <w:r w:rsidRPr="00E84839">
        <w:rPr>
          <w:i/>
          <w:sz w:val="20"/>
        </w:rPr>
        <w:tab/>
        <w:t>Per</w:t>
      </w:r>
      <w:r w:rsidRPr="00E84839">
        <w:rPr>
          <w:sz w:val="20"/>
        </w:rPr>
        <w:t xml:space="preserve"> Abella and </w:t>
      </w:r>
      <w:r w:rsidRPr="00E84839">
        <w:rPr>
          <w:b/>
          <w:sz w:val="20"/>
        </w:rPr>
        <w:t>Charron </w:t>
      </w:r>
      <w:r w:rsidRPr="00E84839">
        <w:rPr>
          <w:sz w:val="20"/>
        </w:rPr>
        <w:t xml:space="preserve">JJ.:  The Court of Appeal should not have rested its judgment on </w:t>
      </w:r>
      <w:r w:rsidRPr="00E84839">
        <w:rPr>
          <w:i/>
          <w:sz w:val="20"/>
        </w:rPr>
        <w:t>R. v. Beaudry</w:t>
      </w:r>
      <w:r w:rsidRPr="00E84839">
        <w:rPr>
          <w:sz w:val="20"/>
        </w:rPr>
        <w:t xml:space="preserve">. </w:t>
      </w:r>
      <w:r w:rsidRPr="00E84839">
        <w:rPr>
          <w:i/>
          <w:sz w:val="20"/>
        </w:rPr>
        <w:t>Beaudry</w:t>
      </w:r>
      <w:r w:rsidRPr="00E84839">
        <w:rPr>
          <w:sz w:val="20"/>
        </w:rPr>
        <w:t xml:space="preserve"> did not change any of the existing tests for appellate review under s. 686(1)(</w:t>
      </w:r>
      <w:r w:rsidRPr="00E84839">
        <w:rPr>
          <w:i/>
          <w:sz w:val="20"/>
        </w:rPr>
        <w:t>a</w:t>
      </w:r>
      <w:r w:rsidRPr="00E84839">
        <w:rPr>
          <w:sz w:val="20"/>
        </w:rPr>
        <w:t xml:space="preserve">).  </w:t>
      </w:r>
      <w:r w:rsidRPr="00E84839">
        <w:rPr>
          <w:i/>
          <w:sz w:val="20"/>
        </w:rPr>
        <w:t>Beaudry</w:t>
      </w:r>
      <w:r w:rsidRPr="00E84839">
        <w:rPr>
          <w:sz w:val="20"/>
        </w:rPr>
        <w:t xml:space="preserve"> did, however, effect an expansion of the test for unreasonableness under s. 686(1)(</w:t>
      </w:r>
      <w:r w:rsidRPr="00E84839">
        <w:rPr>
          <w:i/>
          <w:sz w:val="20"/>
        </w:rPr>
        <w:t>a</w:t>
      </w:r>
      <w:r w:rsidRPr="00E84839">
        <w:rPr>
          <w:sz w:val="20"/>
        </w:rPr>
        <w:t>)(i).  The expanded test for unreasonableness is better understood if the focus remains on the verdict reached at trial, rather than on the kind of errors that may have occurred in the appreciation of the evidence or in the fact</w:t>
      </w:r>
      <w:r w:rsidRPr="00E84839">
        <w:rPr>
          <w:sz w:val="20"/>
        </w:rPr>
        <w:noBreakHyphen/>
        <w:t>finding process.  While the reviewing court may now consider flaws in the reasoning process in the assessment for reasonableness, the focus must remain on the conclusion reached at trial.  A verdict</w:t>
      </w:r>
      <w:r w:rsidRPr="00E84839">
        <w:rPr>
          <w:sz w:val="20"/>
        </w:rPr>
        <w:noBreakHyphen/>
        <w:t>focussed approach avoids reviewing courts having to make rather fine distinctions between different types of mistakes in order to identify the applicable test.  It is also more consistent with the wording, legislative context and history of s. 686(1)(</w:t>
      </w:r>
      <w:r w:rsidRPr="00E84839">
        <w:rPr>
          <w:i/>
          <w:sz w:val="20"/>
        </w:rPr>
        <w:t>a</w:t>
      </w:r>
      <w:r w:rsidRPr="00E84839">
        <w:rPr>
          <w:sz w:val="20"/>
        </w:rPr>
        <w:t xml:space="preserve">)(i) of the </w:t>
      </w:r>
      <w:r w:rsidRPr="00E84839">
        <w:rPr>
          <w:i/>
          <w:sz w:val="20"/>
        </w:rPr>
        <w:t>Criminal Code</w:t>
      </w:r>
      <w:r w:rsidRPr="00E84839">
        <w:rPr>
          <w:sz w:val="20"/>
        </w:rPr>
        <w:t xml:space="preserve">.  Any error in reasoning identified under the </w:t>
      </w:r>
      <w:r w:rsidRPr="00E84839">
        <w:rPr>
          <w:i/>
          <w:sz w:val="20"/>
        </w:rPr>
        <w:t xml:space="preserve">Beaudry </w:t>
      </w:r>
      <w:r w:rsidRPr="00E84839">
        <w:rPr>
          <w:sz w:val="20"/>
        </w:rPr>
        <w:t>test must be carefully assessed in context to determine whether it vitiates the verdict.  It would be wrong to conclude that whenever there is an error in reasoning, even if of the kind “demonstrably incompatible” with the uncontradicted evidence at trial, the verdict is unreasonable.</w:t>
      </w:r>
    </w:p>
    <w:p w:rsidR="00E84839" w:rsidRPr="00E84839" w:rsidRDefault="00E84839" w:rsidP="00E84839">
      <w:pPr>
        <w:pStyle w:val="SCCNormalDoubleSpacing"/>
        <w:spacing w:line="240" w:lineRule="auto"/>
        <w:rPr>
          <w:sz w:val="20"/>
        </w:rPr>
      </w:pPr>
    </w:p>
    <w:p w:rsidR="00E84839" w:rsidRPr="00E84839" w:rsidRDefault="00E84839" w:rsidP="00E84839">
      <w:pPr>
        <w:pStyle w:val="SCCNormalDoubleSpacing"/>
        <w:spacing w:line="240" w:lineRule="auto"/>
        <w:rPr>
          <w:sz w:val="20"/>
        </w:rPr>
      </w:pPr>
      <w:r w:rsidRPr="00E84839">
        <w:rPr>
          <w:sz w:val="20"/>
        </w:rPr>
        <w:tab/>
        <w:t>Under a s. 686(1)(</w:t>
      </w:r>
      <w:r w:rsidRPr="00E84839">
        <w:rPr>
          <w:i/>
          <w:sz w:val="20"/>
        </w:rPr>
        <w:t>a</w:t>
      </w:r>
      <w:r w:rsidRPr="00E84839">
        <w:rPr>
          <w:sz w:val="20"/>
        </w:rPr>
        <w:t>)(i) inquiry in judge</w:t>
      </w:r>
      <w:r w:rsidRPr="00E84839">
        <w:rPr>
          <w:sz w:val="20"/>
        </w:rPr>
        <w:noBreakHyphen/>
        <w:t xml:space="preserve">alone trials, the reviewing court should first apply the </w:t>
      </w:r>
      <w:r w:rsidRPr="00E84839">
        <w:rPr>
          <w:i/>
          <w:sz w:val="20"/>
        </w:rPr>
        <w:t>Yebes/Biniaris</w:t>
      </w:r>
      <w:r w:rsidRPr="00E84839">
        <w:rPr>
          <w:sz w:val="20"/>
        </w:rPr>
        <w:t xml:space="preserve"> test.  If the verdict is not one that a properly instructed jury, acting judicially, could reasonably have rendered on the evidence as a whole, the inquiry is over, and an acquittal is entered.  If the verdict is available on the evidence, the reviewing court may go on to assess the reasonableness of the verdict under the </w:t>
      </w:r>
      <w:r w:rsidRPr="00E84839">
        <w:rPr>
          <w:i/>
          <w:sz w:val="20"/>
        </w:rPr>
        <w:t>Beaudry</w:t>
      </w:r>
      <w:r w:rsidRPr="00E84839">
        <w:rPr>
          <w:sz w:val="20"/>
        </w:rPr>
        <w:t xml:space="preserve"> test by scrutinizing the actual findings of fact and inferences made by the trial judge. It is not necessary to conduct this assessment in every case.  The </w:t>
      </w:r>
      <w:r w:rsidRPr="00E84839">
        <w:rPr>
          <w:i/>
          <w:iCs/>
          <w:sz w:val="20"/>
        </w:rPr>
        <w:t xml:space="preserve">Beaudry </w:t>
      </w:r>
      <w:r w:rsidRPr="00E84839">
        <w:rPr>
          <w:sz w:val="20"/>
        </w:rPr>
        <w:t xml:space="preserve">test may apply in exceptional cases where the reasoning process is so irrational, or so at odds with the evidence, that it vitiates the verdict — even though that verdict is available on the evidence as a whole.  In these rare cases where </w:t>
      </w:r>
      <w:r w:rsidRPr="00E84839">
        <w:rPr>
          <w:i/>
          <w:sz w:val="20"/>
        </w:rPr>
        <w:t xml:space="preserve">Beaudry </w:t>
      </w:r>
      <w:r w:rsidRPr="00E84839">
        <w:rPr>
          <w:sz w:val="20"/>
        </w:rPr>
        <w:t>applies, a new trial is ordered, as the court will already have determined that the verdict is otherwise available on the evidence.</w:t>
      </w:r>
    </w:p>
    <w:p w:rsidR="00E84839" w:rsidRPr="00E84839" w:rsidRDefault="00E84839" w:rsidP="00E84839">
      <w:pPr>
        <w:pStyle w:val="SCCNormalDoubleSpacing"/>
        <w:spacing w:line="240" w:lineRule="auto"/>
        <w:rPr>
          <w:sz w:val="20"/>
        </w:rPr>
      </w:pPr>
    </w:p>
    <w:p w:rsidR="00E84839" w:rsidRPr="00E84839" w:rsidRDefault="00E84839" w:rsidP="00E84839">
      <w:pPr>
        <w:pStyle w:val="SCCNormalDoubleSpacing"/>
        <w:keepNext/>
        <w:tabs>
          <w:tab w:val="left" w:pos="450"/>
        </w:tabs>
        <w:spacing w:line="240" w:lineRule="auto"/>
        <w:rPr>
          <w:i/>
          <w:sz w:val="20"/>
          <w:u w:val="single"/>
        </w:rPr>
      </w:pPr>
      <w:r w:rsidRPr="00E84839">
        <w:rPr>
          <w:iCs/>
          <w:sz w:val="20"/>
        </w:rPr>
        <w:t>II.</w:t>
      </w:r>
      <w:r w:rsidRPr="00E84839">
        <w:rPr>
          <w:iCs/>
          <w:sz w:val="20"/>
        </w:rPr>
        <w:tab/>
      </w:r>
      <w:r w:rsidRPr="00E84839">
        <w:rPr>
          <w:i/>
          <w:iCs/>
          <w:sz w:val="20"/>
          <w:u w:val="single"/>
        </w:rPr>
        <w:t xml:space="preserve">The </w:t>
      </w:r>
      <w:r w:rsidRPr="00E84839">
        <w:rPr>
          <w:i/>
          <w:sz w:val="20"/>
          <w:u w:val="single"/>
        </w:rPr>
        <w:t>application</w:t>
      </w:r>
      <w:r w:rsidRPr="00E84839">
        <w:rPr>
          <w:i/>
          <w:iCs/>
          <w:sz w:val="20"/>
          <w:u w:val="single"/>
        </w:rPr>
        <w:t xml:space="preserve"> of R. v. Lohrer,</w:t>
      </w:r>
      <w:r w:rsidRPr="00E84839">
        <w:rPr>
          <w:sz w:val="20"/>
          <w:u w:val="single"/>
        </w:rPr>
        <w:t xml:space="preserve"> </w:t>
      </w:r>
      <w:r w:rsidRPr="00E84839">
        <w:rPr>
          <w:i/>
          <w:sz w:val="20"/>
          <w:u w:val="single"/>
        </w:rPr>
        <w:t>2004 SCC 80, [2004] 3 S.C.R. 732</w:t>
      </w:r>
    </w:p>
    <w:p w:rsidR="00E84839" w:rsidRPr="00E84839" w:rsidRDefault="00E84839" w:rsidP="00E84839">
      <w:pPr>
        <w:pStyle w:val="SCCNormalDoubleSpacing"/>
        <w:keepNext/>
        <w:tabs>
          <w:tab w:val="left" w:pos="450"/>
        </w:tabs>
        <w:spacing w:line="240" w:lineRule="auto"/>
        <w:rPr>
          <w:i/>
          <w:iCs/>
          <w:sz w:val="20"/>
        </w:rPr>
      </w:pPr>
    </w:p>
    <w:p w:rsidR="00E84839" w:rsidRPr="00E84839" w:rsidRDefault="00E84839" w:rsidP="00E84839">
      <w:pPr>
        <w:pStyle w:val="SCCNormalDoubleSpacing"/>
        <w:spacing w:line="240" w:lineRule="auto"/>
        <w:rPr>
          <w:sz w:val="20"/>
        </w:rPr>
      </w:pPr>
      <w:r w:rsidRPr="00E84839">
        <w:rPr>
          <w:i/>
          <w:sz w:val="20"/>
        </w:rPr>
        <w:tab/>
        <w:t>Per</w:t>
      </w:r>
      <w:r w:rsidRPr="00E84839">
        <w:rPr>
          <w:sz w:val="20"/>
        </w:rPr>
        <w:t xml:space="preserve"> </w:t>
      </w:r>
      <w:r w:rsidRPr="00E84839">
        <w:rPr>
          <w:b/>
          <w:sz w:val="20"/>
        </w:rPr>
        <w:t>LeBel</w:t>
      </w:r>
      <w:r w:rsidRPr="00E84839">
        <w:rPr>
          <w:sz w:val="20"/>
        </w:rPr>
        <w:t xml:space="preserve">, Deschamps, Abella and Rothstein JJ.: </w:t>
      </w:r>
      <w:r w:rsidRPr="00E84839">
        <w:rPr>
          <w:i/>
          <w:sz w:val="20"/>
        </w:rPr>
        <w:t xml:space="preserve"> </w:t>
      </w:r>
      <w:r w:rsidRPr="00E84839">
        <w:rPr>
          <w:sz w:val="20"/>
        </w:rPr>
        <w:t xml:space="preserve">The Court of Appeal erred in its application of </w:t>
      </w:r>
      <w:r w:rsidRPr="00E84839">
        <w:rPr>
          <w:i/>
          <w:sz w:val="20"/>
        </w:rPr>
        <w:t>Lohrer</w:t>
      </w:r>
      <w:r w:rsidRPr="00E84839">
        <w:rPr>
          <w:sz w:val="20"/>
        </w:rPr>
        <w:t>.  It failed to identify any error that justified appellate intervention.  The trial judge did not find that the accused was involved in a plan to commit a robbery and she did not rely on such evidence to infer that the accused was with his co</w:t>
      </w:r>
      <w:r w:rsidRPr="00E84839">
        <w:rPr>
          <w:sz w:val="20"/>
        </w:rPr>
        <w:noBreakHyphen/>
        <w:t>accused throughout the night and therefore one of the assailants.  The trial judge based her finding that the accused was present at the crime scene on other evidence:  he was out of the residence at the same time as his co</w:t>
      </w:r>
      <w:r w:rsidRPr="00E84839">
        <w:rPr>
          <w:sz w:val="20"/>
        </w:rPr>
        <w:noBreakHyphen/>
        <w:t>accused at time of the assault; he knew that his co</w:t>
      </w:r>
      <w:r w:rsidRPr="00E84839">
        <w:rPr>
          <w:sz w:val="20"/>
        </w:rPr>
        <w:noBreakHyphen/>
        <w:t>accused had been stabbed and stormed into the house minutes after the incident; he led efforts to locate his co</w:t>
      </w:r>
      <w:r w:rsidRPr="00E84839">
        <w:rPr>
          <w:sz w:val="20"/>
        </w:rPr>
        <w:noBreakHyphen/>
        <w:t>accused; DNA linked the co</w:t>
      </w:r>
      <w:r w:rsidRPr="00E84839">
        <w:rPr>
          <w:sz w:val="20"/>
        </w:rPr>
        <w:noBreakHyphen/>
        <w:t>accused to the crime; and, the co</w:t>
      </w:r>
      <w:r w:rsidRPr="00E84839">
        <w:rPr>
          <w:sz w:val="20"/>
        </w:rPr>
        <w:noBreakHyphen/>
        <w:t>accused’s blood was found on the accused’s jeans and hoodie.  Nothing supports a finding that she accepted the Crown’s theory of a planned robbery, and her reasoning discloses no mischaracterization of the evidence.  Furthermore, the Court of Appeal referred to the trial judge’s “apparent acceptance” of evidence that the accused had planned to commit robbery with his co</w:t>
      </w:r>
      <w:r w:rsidRPr="00E84839">
        <w:rPr>
          <w:sz w:val="20"/>
        </w:rPr>
        <w:noBreakHyphen/>
        <w:t xml:space="preserve">accused. Ordering a new trial based on a misapprehension of evidence requires more than an apparent mistake.  The reasons must disclose an actual mistake.  </w:t>
      </w:r>
    </w:p>
    <w:p w:rsidR="00E84839" w:rsidRPr="00E84839" w:rsidRDefault="00E84839" w:rsidP="00E84839">
      <w:pPr>
        <w:pStyle w:val="SCCNormalDoubleSpacing"/>
        <w:spacing w:line="240" w:lineRule="auto"/>
        <w:rPr>
          <w:sz w:val="20"/>
        </w:rPr>
      </w:pPr>
    </w:p>
    <w:p w:rsidR="00E84839" w:rsidRPr="00E84839" w:rsidRDefault="00E84839" w:rsidP="00E84839">
      <w:pPr>
        <w:pStyle w:val="SCCNormalDoubleSpacing"/>
        <w:spacing w:line="240" w:lineRule="auto"/>
        <w:rPr>
          <w:sz w:val="20"/>
        </w:rPr>
      </w:pPr>
      <w:r w:rsidRPr="00E84839">
        <w:rPr>
          <w:sz w:val="20"/>
        </w:rPr>
        <w:tab/>
        <w:t>Even if the trial judge did err, the misapprehension was not materially linked to her verdict.  The accused was charged with manslaughter, not conspiracy to commit robbery.  In light of the circumstantial evidence the trial judge accepted, it cannot seriously be doubted that she would nonetheless have found the accused was at the crime scene at the time of the assault.</w:t>
      </w:r>
    </w:p>
    <w:p w:rsidR="00E84839" w:rsidRPr="00E84839" w:rsidRDefault="00E84839" w:rsidP="00E84839">
      <w:pPr>
        <w:pStyle w:val="SCCNormalDoubleSpacing"/>
        <w:spacing w:line="240" w:lineRule="auto"/>
        <w:rPr>
          <w:sz w:val="20"/>
        </w:rPr>
      </w:pPr>
    </w:p>
    <w:p w:rsidR="00E84839" w:rsidRPr="00E84839" w:rsidRDefault="00E84839" w:rsidP="00E84839">
      <w:pPr>
        <w:pStyle w:val="SCCNormalDoubleSpacing"/>
        <w:spacing w:line="240" w:lineRule="auto"/>
        <w:rPr>
          <w:i/>
          <w:sz w:val="20"/>
        </w:rPr>
      </w:pPr>
      <w:r w:rsidRPr="00E84839">
        <w:rPr>
          <w:i/>
          <w:sz w:val="20"/>
        </w:rPr>
        <w:tab/>
        <w:t>Per</w:t>
      </w:r>
      <w:r w:rsidRPr="00E84839">
        <w:rPr>
          <w:sz w:val="20"/>
        </w:rPr>
        <w:t xml:space="preserve"> </w:t>
      </w:r>
      <w:r w:rsidRPr="00E84839">
        <w:rPr>
          <w:b/>
          <w:sz w:val="20"/>
        </w:rPr>
        <w:t>Charron </w:t>
      </w:r>
      <w:r w:rsidRPr="00E84839">
        <w:rPr>
          <w:sz w:val="20"/>
        </w:rPr>
        <w:t xml:space="preserve">J.:  The trial judge did not misapprehend the evidence.  For the reasons set out by LeBel J., the Court of Appeal erred in finding that the trial judge made an error that met the standard set out in </w:t>
      </w:r>
      <w:r w:rsidRPr="00E84839">
        <w:rPr>
          <w:i/>
          <w:sz w:val="20"/>
        </w:rPr>
        <w:t>R v. Lohrer.</w:t>
      </w:r>
    </w:p>
    <w:p w:rsidR="00E84839" w:rsidRPr="00E84839" w:rsidRDefault="00E84839" w:rsidP="00E84839">
      <w:pPr>
        <w:pStyle w:val="SCCNormalDoubleSpacing"/>
        <w:spacing w:line="240" w:lineRule="auto"/>
        <w:rPr>
          <w:sz w:val="20"/>
        </w:rPr>
      </w:pPr>
    </w:p>
    <w:p w:rsidR="00E84839" w:rsidRPr="00E84839" w:rsidRDefault="00E84839" w:rsidP="00E84839">
      <w:pPr>
        <w:pStyle w:val="SCCNormalDoubleSpacing"/>
        <w:spacing w:line="240" w:lineRule="auto"/>
        <w:rPr>
          <w:sz w:val="20"/>
        </w:rPr>
      </w:pPr>
      <w:r w:rsidRPr="00E84839">
        <w:rPr>
          <w:i/>
          <w:sz w:val="20"/>
        </w:rPr>
        <w:tab/>
        <w:t>Per</w:t>
      </w:r>
      <w:r w:rsidRPr="00E84839">
        <w:rPr>
          <w:sz w:val="20"/>
        </w:rPr>
        <w:t xml:space="preserve"> McLachlin C.J. and Binnie, </w:t>
      </w:r>
      <w:r w:rsidRPr="00E84839">
        <w:rPr>
          <w:b/>
          <w:sz w:val="20"/>
        </w:rPr>
        <w:t>Fish</w:t>
      </w:r>
      <w:r w:rsidRPr="00E84839">
        <w:rPr>
          <w:b/>
          <w:i/>
          <w:sz w:val="20"/>
        </w:rPr>
        <w:t xml:space="preserve"> </w:t>
      </w:r>
      <w:r w:rsidRPr="00E84839">
        <w:rPr>
          <w:sz w:val="20"/>
        </w:rPr>
        <w:t xml:space="preserve">and Cromwell JJ. (dissenting):  The trial judge misapprehended the substance of the evidence on a material matter,  and the Court of Appeal explicitly and correctly applied the </w:t>
      </w:r>
      <w:r w:rsidRPr="00E84839">
        <w:rPr>
          <w:i/>
          <w:sz w:val="20"/>
        </w:rPr>
        <w:t xml:space="preserve">Lohrer </w:t>
      </w:r>
      <w:r w:rsidRPr="00E84839">
        <w:rPr>
          <w:sz w:val="20"/>
        </w:rPr>
        <w:t>test.  The Court of Appeal’s reference to the trial judge’s apparent acceptance that there was evidence of the accused and his two co</w:t>
      </w:r>
      <w:r w:rsidRPr="00E84839">
        <w:rPr>
          <w:sz w:val="20"/>
        </w:rPr>
        <w:noBreakHyphen/>
        <w:t xml:space="preserve">accused planning to go and commit another robbery aptly describes an actual mistake.  The trial judge’s mistaken view of the evidence coloured her evaluation of the other circumstantial evidence upon which the Crown </w:t>
      </w:r>
      <w:r w:rsidRPr="00E84839">
        <w:rPr>
          <w:sz w:val="20"/>
        </w:rPr>
        <w:lastRenderedPageBreak/>
        <w:t>relied.  The supposed plan of the accused and his co</w:t>
      </w:r>
      <w:r w:rsidRPr="00E84839">
        <w:rPr>
          <w:sz w:val="20"/>
        </w:rPr>
        <w:noBreakHyphen/>
        <w:t>accused to stay together throughout the night underpinned her inference that the accused was at the scene of the crime.  The evidence does not establish the accused’s participation in the assault or his presence at the assault.  No DNA evidence links him to the scene.  Most importantly, even if his presence at the scene had been established, that would not have proven that he participated in the assault.</w:t>
      </w:r>
    </w:p>
    <w:p w:rsidR="00E84839" w:rsidRPr="00E84839" w:rsidRDefault="00E84839" w:rsidP="00E84839">
      <w:pPr>
        <w:pStyle w:val="SCCNormalDoubleSpacing"/>
        <w:spacing w:line="240" w:lineRule="auto"/>
        <w:rPr>
          <w:sz w:val="20"/>
        </w:rPr>
      </w:pPr>
    </w:p>
    <w:p w:rsidR="00E84839" w:rsidRPr="00E84839" w:rsidRDefault="00E84839" w:rsidP="00E84839">
      <w:pPr>
        <w:pStyle w:val="SCCNormalDoubleSpacing"/>
        <w:spacing w:line="240" w:lineRule="auto"/>
        <w:rPr>
          <w:sz w:val="20"/>
          <w:lang w:val="en-US"/>
        </w:rPr>
      </w:pPr>
      <w:r w:rsidRPr="00E84839">
        <w:rPr>
          <w:sz w:val="20"/>
          <w:lang w:val="en-US"/>
        </w:rPr>
        <w:tab/>
      </w:r>
      <w:r w:rsidRPr="00E84839">
        <w:rPr>
          <w:sz w:val="20"/>
        </w:rPr>
        <w:t>APPEAL from a judgment of the Manitoba Court of Appeal (</w:t>
      </w:r>
      <w:r w:rsidR="004D20D2" w:rsidRPr="00E84839">
        <w:rPr>
          <w:sz w:val="20"/>
        </w:rPr>
        <w:fldChar w:fldCharType="begin"/>
      </w:r>
      <w:r w:rsidRPr="00E84839">
        <w:rPr>
          <w:sz w:val="20"/>
        </w:rPr>
        <w:instrText xml:space="preserve"> SEQ CHAPTER \h \r 1</w:instrText>
      </w:r>
      <w:r w:rsidR="004D20D2" w:rsidRPr="00E84839">
        <w:rPr>
          <w:sz w:val="20"/>
        </w:rPr>
        <w:fldChar w:fldCharType="end"/>
      </w:r>
      <w:r w:rsidRPr="00E84839">
        <w:rPr>
          <w:sz w:val="20"/>
          <w:lang w:val="en-US"/>
        </w:rPr>
        <w:t>Monnin, Hamilton and Freedman JJ.A.</w:t>
      </w:r>
      <w:r w:rsidRPr="00E84839">
        <w:rPr>
          <w:sz w:val="20"/>
        </w:rPr>
        <w:t xml:space="preserve">), </w:t>
      </w:r>
      <w:r w:rsidR="004D20D2" w:rsidRPr="00E84839">
        <w:rPr>
          <w:sz w:val="20"/>
        </w:rPr>
        <w:fldChar w:fldCharType="begin"/>
      </w:r>
      <w:r w:rsidRPr="00E84839">
        <w:rPr>
          <w:sz w:val="20"/>
        </w:rPr>
        <w:instrText xml:space="preserve"> SEQ CHAPTER \h \r 1</w:instrText>
      </w:r>
      <w:r w:rsidR="004D20D2" w:rsidRPr="00E84839">
        <w:rPr>
          <w:sz w:val="20"/>
        </w:rPr>
        <w:fldChar w:fldCharType="end"/>
      </w:r>
      <w:r w:rsidRPr="00E84839">
        <w:rPr>
          <w:sz w:val="20"/>
          <w:lang w:val="en-US"/>
        </w:rPr>
        <w:t xml:space="preserve">2009 MBCA 71, 240 Man. R. (2d) 135, 456 W.A.C. 135, 245 C.C.C. (3d) 331, 69 C.R. (6th) 163, [2009] 8 W.W.R. 581, [2009] M.J. No. 252 (QL), 2009 CarswellMan 342, setting aside the conviction entered by Simonsen J., </w:t>
      </w:r>
      <w:r w:rsidR="004D20D2" w:rsidRPr="00E84839">
        <w:rPr>
          <w:sz w:val="20"/>
        </w:rPr>
        <w:fldChar w:fldCharType="begin"/>
      </w:r>
      <w:r w:rsidRPr="00E84839">
        <w:rPr>
          <w:sz w:val="20"/>
        </w:rPr>
        <w:instrText xml:space="preserve"> SEQ CHAPTER \h \r 1</w:instrText>
      </w:r>
      <w:r w:rsidR="004D20D2" w:rsidRPr="00E84839">
        <w:rPr>
          <w:sz w:val="20"/>
        </w:rPr>
        <w:fldChar w:fldCharType="end"/>
      </w:r>
      <w:r w:rsidRPr="00E84839">
        <w:rPr>
          <w:sz w:val="20"/>
          <w:lang w:val="en-US"/>
        </w:rPr>
        <w:t xml:space="preserve">2007 MBQB 219, 219 Man. R. (2d) 63, [2007] M.J. No. 324 (QL), 2007 CarswellMan 352, and ordering a new trial.  Appeal allowed, </w:t>
      </w:r>
      <w:r w:rsidRPr="00E84839">
        <w:rPr>
          <w:sz w:val="20"/>
        </w:rPr>
        <w:t>McLachlin C</w:t>
      </w:r>
      <w:r w:rsidRPr="00E84839">
        <w:rPr>
          <w:sz w:val="20"/>
          <w:lang w:val="en-US"/>
        </w:rPr>
        <w:t>.J and Binnie, Fish and Cromwell JJ. dissenting.</w:t>
      </w:r>
    </w:p>
    <w:p w:rsidR="00E84839" w:rsidRPr="00E84839" w:rsidRDefault="00E84839" w:rsidP="00E84839">
      <w:pPr>
        <w:pStyle w:val="SCCNormalDoubleSpacing"/>
        <w:spacing w:line="240" w:lineRule="auto"/>
        <w:rPr>
          <w:sz w:val="20"/>
          <w:lang w:val="en-US"/>
        </w:rPr>
      </w:pPr>
    </w:p>
    <w:p w:rsidR="00E84839" w:rsidRPr="00E84839" w:rsidRDefault="00E84839" w:rsidP="00E84839">
      <w:pPr>
        <w:pStyle w:val="SCCNormalDoubleSpacing"/>
        <w:spacing w:line="240" w:lineRule="auto"/>
        <w:rPr>
          <w:rStyle w:val="SCCCounselPartyRoleChar"/>
          <w:sz w:val="20"/>
        </w:rPr>
      </w:pPr>
      <w:r w:rsidRPr="00E84839">
        <w:rPr>
          <w:rStyle w:val="SCCCounselNameChar"/>
          <w:sz w:val="20"/>
        </w:rPr>
        <w:tab/>
        <w:t>Elizabeth A. Thomson</w:t>
      </w:r>
      <w:r w:rsidRPr="00E84839">
        <w:rPr>
          <w:rStyle w:val="SCCCounselSeparatorChar"/>
          <w:sz w:val="20"/>
          <w:lang w:val="en-CA"/>
        </w:rPr>
        <w:t xml:space="preserve"> and </w:t>
      </w:r>
      <w:r w:rsidRPr="00E84839">
        <w:rPr>
          <w:rStyle w:val="SCCCounselNameChar"/>
          <w:sz w:val="20"/>
        </w:rPr>
        <w:t>Ami Kotler</w:t>
      </w:r>
      <w:r w:rsidRPr="00E84839">
        <w:rPr>
          <w:rStyle w:val="SCCCounselPartyRoleChar"/>
          <w:sz w:val="20"/>
        </w:rPr>
        <w:t>, for the appellant.</w:t>
      </w:r>
    </w:p>
    <w:p w:rsidR="00E84839" w:rsidRPr="00E84839" w:rsidRDefault="00E84839" w:rsidP="00E84839">
      <w:pPr>
        <w:pStyle w:val="SCCNormalDoubleSpacing"/>
        <w:spacing w:line="240" w:lineRule="auto"/>
        <w:rPr>
          <w:sz w:val="20"/>
        </w:rPr>
      </w:pPr>
    </w:p>
    <w:p w:rsidR="00E84839" w:rsidRPr="00E84839" w:rsidRDefault="00E84839" w:rsidP="00E84839">
      <w:pPr>
        <w:pStyle w:val="SCCNormalDoubleSpacing"/>
        <w:spacing w:line="240" w:lineRule="auto"/>
        <w:rPr>
          <w:rStyle w:val="SCCCounselPartyRoleChar"/>
          <w:sz w:val="20"/>
        </w:rPr>
      </w:pPr>
      <w:r w:rsidRPr="00E84839">
        <w:rPr>
          <w:rStyle w:val="SCCCounselNameChar"/>
          <w:sz w:val="20"/>
        </w:rPr>
        <w:tab/>
        <w:t>Richard J. Wolson</w:t>
      </w:r>
      <w:r w:rsidRPr="00E84839">
        <w:rPr>
          <w:rStyle w:val="SCCCounselNameChar"/>
          <w:i w:val="0"/>
          <w:sz w:val="20"/>
        </w:rPr>
        <w:t xml:space="preserve">, </w:t>
      </w:r>
      <w:r w:rsidRPr="00E84839">
        <w:rPr>
          <w:rStyle w:val="SCCCounselNameChar"/>
          <w:sz w:val="20"/>
        </w:rPr>
        <w:t>Q.C.</w:t>
      </w:r>
      <w:r w:rsidRPr="00E84839">
        <w:rPr>
          <w:rStyle w:val="SCCCounselNameChar"/>
          <w:i w:val="0"/>
          <w:sz w:val="20"/>
        </w:rPr>
        <w:t>,</w:t>
      </w:r>
      <w:r w:rsidRPr="00E84839">
        <w:rPr>
          <w:rStyle w:val="SCCCounselSeparatorChar"/>
          <w:sz w:val="20"/>
          <w:lang w:val="en-CA"/>
        </w:rPr>
        <w:t xml:space="preserve"> and </w:t>
      </w:r>
      <w:r w:rsidRPr="00E84839">
        <w:rPr>
          <w:rStyle w:val="SCCCounselNameChar"/>
          <w:sz w:val="20"/>
        </w:rPr>
        <w:t>Evan Roitenberg</w:t>
      </w:r>
      <w:r w:rsidRPr="00E84839">
        <w:rPr>
          <w:rStyle w:val="SCCCounselPartyRoleChar"/>
          <w:sz w:val="20"/>
        </w:rPr>
        <w:t>, for the respondent.</w:t>
      </w:r>
    </w:p>
    <w:p w:rsidR="00E84839" w:rsidRPr="00E84839" w:rsidRDefault="00E84839" w:rsidP="00E84839">
      <w:pPr>
        <w:pStyle w:val="SCCNormalDoubleSpacing"/>
        <w:spacing w:line="240" w:lineRule="auto"/>
        <w:rPr>
          <w:sz w:val="20"/>
        </w:rPr>
      </w:pPr>
    </w:p>
    <w:p w:rsidR="00E84839" w:rsidRPr="00E84839" w:rsidRDefault="00E84839" w:rsidP="00E84839">
      <w:pPr>
        <w:pStyle w:val="SCCNormalDoubleSpacing"/>
        <w:spacing w:line="240" w:lineRule="auto"/>
        <w:rPr>
          <w:rStyle w:val="SCCCounselPartyRoleChar"/>
          <w:sz w:val="20"/>
        </w:rPr>
      </w:pPr>
      <w:r w:rsidRPr="00E84839">
        <w:rPr>
          <w:rStyle w:val="SCCCounselNameChar"/>
          <w:sz w:val="20"/>
        </w:rPr>
        <w:tab/>
        <w:t>James D. Sutton</w:t>
      </w:r>
      <w:r w:rsidRPr="00E84839">
        <w:rPr>
          <w:rStyle w:val="SCCCounselSeparatorChar"/>
          <w:sz w:val="20"/>
          <w:lang w:val="en-CA"/>
        </w:rPr>
        <w:t xml:space="preserve"> and </w:t>
      </w:r>
      <w:r w:rsidRPr="00E84839">
        <w:rPr>
          <w:rStyle w:val="SCCCounselNameChar"/>
          <w:sz w:val="20"/>
        </w:rPr>
        <w:t>Carole Sheppard</w:t>
      </w:r>
      <w:r w:rsidRPr="00E84839">
        <w:rPr>
          <w:rStyle w:val="SCCCounselPartyRoleChar"/>
          <w:sz w:val="20"/>
        </w:rPr>
        <w:t>, for the intervener the Director of Public Prosecutions of Canada.</w:t>
      </w:r>
    </w:p>
    <w:p w:rsidR="00E84839" w:rsidRPr="00E84839" w:rsidRDefault="00E84839" w:rsidP="00E84839">
      <w:pPr>
        <w:pStyle w:val="SCCNormalDoubleSpacing"/>
        <w:spacing w:line="240" w:lineRule="auto"/>
        <w:rPr>
          <w:sz w:val="20"/>
        </w:rPr>
      </w:pPr>
    </w:p>
    <w:p w:rsidR="00E84839" w:rsidRPr="00E84839" w:rsidRDefault="00E84839" w:rsidP="00E84839">
      <w:pPr>
        <w:pStyle w:val="SCCNormalDoubleSpacing"/>
        <w:spacing w:line="240" w:lineRule="auto"/>
        <w:rPr>
          <w:rStyle w:val="SCCCounselPartyRoleChar"/>
          <w:sz w:val="20"/>
        </w:rPr>
      </w:pPr>
      <w:r w:rsidRPr="00E84839">
        <w:rPr>
          <w:rStyle w:val="SCCCounselNameChar"/>
          <w:sz w:val="20"/>
        </w:rPr>
        <w:tab/>
        <w:t>Joan Barrett</w:t>
      </w:r>
      <w:r w:rsidRPr="00E84839">
        <w:rPr>
          <w:rStyle w:val="SCCCounselPartyRoleChar"/>
          <w:sz w:val="20"/>
        </w:rPr>
        <w:t>, for the intervener the Attorney General of Ontario.</w:t>
      </w:r>
    </w:p>
    <w:p w:rsidR="00E84839" w:rsidRPr="00E84839" w:rsidRDefault="00E84839" w:rsidP="00E84839">
      <w:pPr>
        <w:pStyle w:val="SCCNormalDoubleSpacing"/>
        <w:spacing w:line="240" w:lineRule="auto"/>
        <w:rPr>
          <w:sz w:val="20"/>
        </w:rPr>
      </w:pPr>
    </w:p>
    <w:p w:rsidR="00E84839" w:rsidRPr="00E84839" w:rsidRDefault="00E84839" w:rsidP="00E84839">
      <w:pPr>
        <w:pStyle w:val="SCCLawFirm"/>
        <w:spacing w:line="240" w:lineRule="auto"/>
        <w:rPr>
          <w:sz w:val="20"/>
        </w:rPr>
      </w:pPr>
      <w:r w:rsidRPr="00E84839">
        <w:rPr>
          <w:sz w:val="20"/>
        </w:rPr>
        <w:tab/>
        <w:t>Solicitor for the appellant:  Manitoba Prosecution Service, Winnipeg.</w:t>
      </w:r>
    </w:p>
    <w:p w:rsidR="00E84839" w:rsidRPr="00E84839" w:rsidRDefault="00E84839" w:rsidP="00E84839">
      <w:pPr>
        <w:pStyle w:val="SCCNormalDoubleSpacing"/>
        <w:spacing w:line="240" w:lineRule="auto"/>
        <w:rPr>
          <w:sz w:val="20"/>
        </w:rPr>
      </w:pPr>
    </w:p>
    <w:p w:rsidR="00E84839" w:rsidRPr="00E84839" w:rsidRDefault="00E84839" w:rsidP="00E84839">
      <w:pPr>
        <w:pStyle w:val="SCCLawFirm"/>
        <w:spacing w:line="240" w:lineRule="auto"/>
        <w:rPr>
          <w:sz w:val="20"/>
        </w:rPr>
      </w:pPr>
      <w:r w:rsidRPr="00E84839">
        <w:rPr>
          <w:sz w:val="20"/>
        </w:rPr>
        <w:tab/>
        <w:t>Solicitors for the respondent:  Gindin, Wolson, Simmonds, Winnipeg.</w:t>
      </w:r>
    </w:p>
    <w:p w:rsidR="00E84839" w:rsidRPr="00E84839" w:rsidRDefault="00E84839" w:rsidP="00E84839">
      <w:pPr>
        <w:pStyle w:val="SCCNormalDoubleSpacing"/>
        <w:spacing w:line="240" w:lineRule="auto"/>
        <w:rPr>
          <w:sz w:val="20"/>
        </w:rPr>
      </w:pPr>
    </w:p>
    <w:p w:rsidR="00E84839" w:rsidRPr="00E84839" w:rsidRDefault="00E84839" w:rsidP="00E84839">
      <w:pPr>
        <w:pStyle w:val="SCCLawFirm"/>
        <w:spacing w:line="240" w:lineRule="auto"/>
        <w:rPr>
          <w:sz w:val="20"/>
        </w:rPr>
      </w:pPr>
      <w:r w:rsidRPr="00E84839">
        <w:rPr>
          <w:sz w:val="20"/>
        </w:rPr>
        <w:tab/>
        <w:t>Solicitor for the intervener the Director of Public Prosecutions of Canada:  Public Prosecution Service of Canada, Gatineau.</w:t>
      </w:r>
    </w:p>
    <w:p w:rsidR="00E84839" w:rsidRPr="00E84839" w:rsidRDefault="00E84839" w:rsidP="00E84839">
      <w:pPr>
        <w:pStyle w:val="SCCNormalDoubleSpacing"/>
        <w:spacing w:line="240" w:lineRule="auto"/>
        <w:rPr>
          <w:sz w:val="20"/>
        </w:rPr>
      </w:pPr>
    </w:p>
    <w:p w:rsidR="00E84839" w:rsidRPr="00E84839" w:rsidRDefault="00E84839" w:rsidP="00E84839">
      <w:pPr>
        <w:pStyle w:val="SCCLawFirm"/>
        <w:spacing w:line="240" w:lineRule="auto"/>
        <w:rPr>
          <w:sz w:val="20"/>
        </w:rPr>
      </w:pPr>
      <w:r w:rsidRPr="00E84839">
        <w:rPr>
          <w:sz w:val="20"/>
        </w:rPr>
        <w:tab/>
        <w:t>Solicitor for the intervener the Attorney General of Ontario:  Attorney General of Ontario, Toronto.</w:t>
      </w:r>
    </w:p>
    <w:p w:rsidR="00DD0B49" w:rsidRPr="00E84839" w:rsidRDefault="00DD0B49" w:rsidP="00DD0B49">
      <w:pPr>
        <w:rPr>
          <w:rFonts w:cs="Times New Roman"/>
          <w:sz w:val="20"/>
          <w:szCs w:val="20"/>
          <w:lang w:val="fr-CA"/>
        </w:rPr>
      </w:pPr>
      <w:r w:rsidRPr="00E84839">
        <w:rPr>
          <w:rFonts w:cs="Times New Roman"/>
          <w:sz w:val="20"/>
          <w:szCs w:val="20"/>
          <w:lang w:val="fr-CA"/>
        </w:rPr>
        <w:t>________________________</w:t>
      </w:r>
    </w:p>
    <w:p w:rsidR="00DD0B49" w:rsidRPr="00E84839" w:rsidRDefault="00DD0B49" w:rsidP="00DD0B49">
      <w:pPr>
        <w:rPr>
          <w:rFonts w:cs="Times New Roman"/>
          <w:sz w:val="20"/>
          <w:szCs w:val="20"/>
          <w:lang w:val="fr-CA"/>
        </w:rPr>
      </w:pPr>
    </w:p>
    <w:p w:rsidR="00E84839" w:rsidRPr="00E84839" w:rsidRDefault="00E84839" w:rsidP="00E84839">
      <w:pPr>
        <w:jc w:val="both"/>
        <w:rPr>
          <w:sz w:val="20"/>
          <w:lang w:val="fr-CA"/>
        </w:rPr>
      </w:pPr>
      <w:r w:rsidRPr="00E84839">
        <w:rPr>
          <w:sz w:val="20"/>
          <w:lang w:val="fr-CA"/>
        </w:rPr>
        <w:t>Présents : La juge en chef McLachlin et les juges Binnie, LeBel, Deschamps, Fish, Abella, Charron, Rothstein et Cromwell.</w:t>
      </w:r>
    </w:p>
    <w:p w:rsidR="00E84839" w:rsidRPr="00E84839" w:rsidRDefault="00E84839" w:rsidP="00E84839">
      <w:pPr>
        <w:pStyle w:val="SCCLowerCourtNameLowercase"/>
        <w:spacing w:line="240" w:lineRule="auto"/>
        <w:rPr>
          <w:sz w:val="20"/>
          <w:lang w:val="fr-CA"/>
        </w:rPr>
      </w:pPr>
    </w:p>
    <w:p w:rsidR="00E84839" w:rsidRPr="00E84839" w:rsidRDefault="00E84839" w:rsidP="00E84839">
      <w:pPr>
        <w:pStyle w:val="SCCNormalDoubleSpacing"/>
        <w:spacing w:line="240" w:lineRule="auto"/>
        <w:rPr>
          <w:i/>
          <w:sz w:val="20"/>
          <w:lang w:val="fr-FR"/>
        </w:rPr>
      </w:pPr>
      <w:r w:rsidRPr="00E84839">
        <w:rPr>
          <w:i/>
          <w:sz w:val="20"/>
          <w:lang w:val="fr-FR"/>
        </w:rPr>
        <w:tab/>
        <w:t xml:space="preserve">Droit </w:t>
      </w:r>
      <w:r w:rsidRPr="00E84839">
        <w:rPr>
          <w:i/>
          <w:sz w:val="20"/>
          <w:lang w:val="fr-CA"/>
        </w:rPr>
        <w:t>criminel</w:t>
      </w:r>
      <w:r w:rsidRPr="00E84839">
        <w:rPr>
          <w:i/>
          <w:sz w:val="20"/>
          <w:lang w:val="fr-FR"/>
        </w:rPr>
        <w:t xml:space="preserve"> — Appels — Pouvoirs de la cour d’appel — Verdict déraisonnable — Interprétation erronée de la preuve — Accusé déclaré coupable d’homicide involontaire coupable — Cour d’appel ayant annulé la déclaration de culpabilité au motif que la juge du procès a mal interprété la preuve — A</w:t>
      </w:r>
      <w:r w:rsidRPr="00E84839">
        <w:rPr>
          <w:i/>
          <w:sz w:val="20"/>
          <w:lang w:val="fr-FR"/>
        </w:rPr>
        <w:noBreakHyphen/>
        <w:t>t</w:t>
      </w:r>
      <w:r w:rsidRPr="00E84839">
        <w:rPr>
          <w:i/>
          <w:sz w:val="20"/>
          <w:lang w:val="fr-FR"/>
        </w:rPr>
        <w:noBreakHyphen/>
        <w:t>elle appliqué le bon critère pour le faire? — La juge du procès a</w:t>
      </w:r>
      <w:r w:rsidRPr="00E84839">
        <w:rPr>
          <w:i/>
          <w:sz w:val="20"/>
          <w:lang w:val="fr-FR"/>
        </w:rPr>
        <w:noBreakHyphen/>
        <w:t>t</w:t>
      </w:r>
      <w:r w:rsidRPr="00E84839">
        <w:rPr>
          <w:i/>
          <w:sz w:val="20"/>
          <w:lang w:val="fr-FR"/>
        </w:rPr>
        <w:noBreakHyphen/>
        <w:t>elle mal interprété la preuve? — Code criminel, L.R.C. 1985, ch. C</w:t>
      </w:r>
      <w:r w:rsidRPr="00E84839">
        <w:rPr>
          <w:i/>
          <w:sz w:val="20"/>
          <w:lang w:val="fr-FR"/>
        </w:rPr>
        <w:noBreakHyphen/>
        <w:t>46, art. 686(1)a)i).</w:t>
      </w:r>
    </w:p>
    <w:p w:rsidR="00E84839" w:rsidRPr="00E84839" w:rsidRDefault="00E84839" w:rsidP="00E84839">
      <w:pPr>
        <w:pStyle w:val="SCCNormalDoubleSpacing"/>
        <w:spacing w:line="240" w:lineRule="auto"/>
        <w:rPr>
          <w:sz w:val="20"/>
          <w:lang w:val="fr-FR"/>
        </w:rPr>
      </w:pPr>
    </w:p>
    <w:p w:rsidR="00E84839" w:rsidRPr="00E84839" w:rsidRDefault="00E84839" w:rsidP="00E84839">
      <w:pPr>
        <w:pStyle w:val="SCCNormalDoubleSpacing"/>
        <w:spacing w:line="240" w:lineRule="auto"/>
        <w:rPr>
          <w:sz w:val="20"/>
          <w:lang w:val="fr-FR"/>
        </w:rPr>
      </w:pPr>
      <w:r w:rsidRPr="00E84839">
        <w:rPr>
          <w:sz w:val="20"/>
          <w:lang w:val="fr-FR"/>
        </w:rPr>
        <w:tab/>
        <w:t xml:space="preserve">Une conductrice a vu trois jeunes hommes battre à coups de pied et piétiner Adam Lecours, puis l’abandonner ensanglanté dans la rue.  Un autre conducteur n’a pas aperçu M. Lecours à temps et n’a pu l’éviter.  M. Lecours est mort des suites de ses blessures.  La juge du procès a déclaré l’accusé et son coaccusé coupables d’homicide involontaire coupable.  La Cour d’appel a annulé la déclaration de culpabilité au motif que la juge du procès avait mal interprété la preuve en reconnaissant que des éléments de preuve établissaient que l’accusé avait projeté, de concert avec son coaccusé et un adolescent, de sortir commettre un vol qualifié, et en inférant de ces éléments que l’accusé s’était trouvé avec le coaccusé sur le lieu du crime.  Pour écarter la déclaration de culpabilité, la Cour d’appel a en partie fondé sa décision sur l’arrêt </w:t>
      </w:r>
      <w:r w:rsidRPr="00E84839">
        <w:rPr>
          <w:i/>
          <w:sz w:val="20"/>
          <w:lang w:val="fr-FR"/>
        </w:rPr>
        <w:t>R. c. Beaudry</w:t>
      </w:r>
      <w:r w:rsidRPr="00E84839">
        <w:rPr>
          <w:sz w:val="20"/>
          <w:lang w:val="fr-FR"/>
        </w:rPr>
        <w:t>, 2007 CSC 5, [2007] 1. R.C.S. 190.</w:t>
      </w:r>
    </w:p>
    <w:p w:rsidR="00E84839" w:rsidRPr="00E84839" w:rsidRDefault="00E84839" w:rsidP="00E84839">
      <w:pPr>
        <w:pStyle w:val="SCCNormalDoubleSpacing"/>
        <w:spacing w:line="240" w:lineRule="auto"/>
        <w:rPr>
          <w:sz w:val="20"/>
          <w:lang w:val="fr-FR"/>
        </w:rPr>
      </w:pPr>
    </w:p>
    <w:p w:rsidR="00E84839" w:rsidRPr="00E84839" w:rsidRDefault="00E84839" w:rsidP="00E84839">
      <w:pPr>
        <w:pStyle w:val="SCCNormalDoubleSpacing"/>
        <w:spacing w:line="240" w:lineRule="auto"/>
        <w:rPr>
          <w:sz w:val="20"/>
          <w:lang w:val="fr-FR"/>
        </w:rPr>
      </w:pPr>
      <w:r w:rsidRPr="00E84839">
        <w:rPr>
          <w:rStyle w:val="QuoteChar"/>
          <w:color w:val="auto"/>
          <w:sz w:val="20"/>
          <w:lang w:val="fr-FR"/>
        </w:rPr>
        <w:tab/>
        <w:t>Arrêt</w:t>
      </w:r>
      <w:r w:rsidRPr="00E84839">
        <w:rPr>
          <w:rStyle w:val="QuoteChar"/>
          <w:i w:val="0"/>
          <w:color w:val="auto"/>
          <w:sz w:val="20"/>
          <w:lang w:val="fr-FR"/>
        </w:rPr>
        <w:t xml:space="preserve"> (la juge en chef McLachlin et les juges </w:t>
      </w:r>
      <w:r w:rsidRPr="00E84839">
        <w:rPr>
          <w:sz w:val="20"/>
          <w:lang w:val="fr-FR"/>
        </w:rPr>
        <w:t>Binnie, Fish</w:t>
      </w:r>
      <w:r w:rsidRPr="00E84839">
        <w:rPr>
          <w:b/>
          <w:i/>
          <w:sz w:val="20"/>
          <w:lang w:val="fr-FR"/>
        </w:rPr>
        <w:t xml:space="preserve"> </w:t>
      </w:r>
      <w:r w:rsidRPr="00E84839">
        <w:rPr>
          <w:sz w:val="20"/>
          <w:lang w:val="fr-FR"/>
        </w:rPr>
        <w:t xml:space="preserve">et Cromwell sont dissidents) : Le pourvoi est accueilli.  L’ordonnance relative à la tenue d’un nouveau procès est annulée, et la déclaration de culpabilité est rétablie. </w:t>
      </w:r>
    </w:p>
    <w:p w:rsidR="00E84839" w:rsidRPr="00E84839" w:rsidRDefault="00E84839" w:rsidP="00E84839">
      <w:pPr>
        <w:pStyle w:val="SCCNormalDoubleSpacing"/>
        <w:spacing w:line="240" w:lineRule="auto"/>
        <w:rPr>
          <w:sz w:val="20"/>
          <w:lang w:val="fr-FR"/>
        </w:rPr>
      </w:pPr>
    </w:p>
    <w:p w:rsidR="00E84839" w:rsidRPr="00E84839" w:rsidRDefault="00E84839" w:rsidP="00E84839">
      <w:pPr>
        <w:pStyle w:val="SCCNormalDoubleSpacing"/>
        <w:keepNext/>
        <w:tabs>
          <w:tab w:val="left" w:pos="450"/>
        </w:tabs>
        <w:spacing w:line="240" w:lineRule="auto"/>
        <w:rPr>
          <w:i/>
          <w:sz w:val="20"/>
          <w:u w:val="single"/>
          <w:lang w:val="fr-FR"/>
        </w:rPr>
      </w:pPr>
      <w:r w:rsidRPr="00E84839">
        <w:rPr>
          <w:sz w:val="20"/>
          <w:lang w:val="fr-FR"/>
        </w:rPr>
        <w:t>I</w:t>
      </w:r>
      <w:r w:rsidRPr="00E84839">
        <w:rPr>
          <w:sz w:val="20"/>
          <w:lang w:val="fr-FR"/>
        </w:rPr>
        <w:tab/>
      </w:r>
      <w:r w:rsidRPr="00E84839">
        <w:rPr>
          <w:i/>
          <w:sz w:val="20"/>
          <w:u w:val="single"/>
          <w:lang w:val="fr-FR"/>
        </w:rPr>
        <w:t>L’application de l’arrêt Beaudry</w:t>
      </w:r>
    </w:p>
    <w:p w:rsidR="00E84839" w:rsidRPr="00E84839" w:rsidRDefault="00E84839" w:rsidP="00E84839">
      <w:pPr>
        <w:pStyle w:val="SCCNormalDoubleSpacing"/>
        <w:keepNext/>
        <w:tabs>
          <w:tab w:val="left" w:pos="450"/>
        </w:tabs>
        <w:spacing w:line="240" w:lineRule="auto"/>
        <w:rPr>
          <w:sz w:val="20"/>
          <w:lang w:val="fr-FR"/>
        </w:rPr>
      </w:pPr>
    </w:p>
    <w:p w:rsidR="00E84839" w:rsidRPr="00E84839" w:rsidRDefault="00E84839" w:rsidP="00E84839">
      <w:pPr>
        <w:pStyle w:val="SCCNormalDoubleSpacing"/>
        <w:spacing w:line="240" w:lineRule="auto"/>
        <w:rPr>
          <w:sz w:val="20"/>
          <w:lang w:val="fr-FR"/>
        </w:rPr>
      </w:pPr>
      <w:r w:rsidRPr="00E84839">
        <w:rPr>
          <w:i/>
          <w:sz w:val="20"/>
          <w:lang w:val="fr-FR"/>
        </w:rPr>
        <w:tab/>
        <w:t>La</w:t>
      </w:r>
      <w:r w:rsidRPr="00E84839">
        <w:rPr>
          <w:sz w:val="20"/>
          <w:lang w:val="fr-FR"/>
        </w:rPr>
        <w:t xml:space="preserve"> juge en chef McLachlin et les juges Binnie, </w:t>
      </w:r>
      <w:r w:rsidRPr="00E84839">
        <w:rPr>
          <w:b/>
          <w:sz w:val="20"/>
          <w:lang w:val="fr-FR"/>
        </w:rPr>
        <w:t>Fish</w:t>
      </w:r>
      <w:r w:rsidRPr="00E84839">
        <w:rPr>
          <w:sz w:val="20"/>
          <w:lang w:val="fr-FR"/>
        </w:rPr>
        <w:t xml:space="preserve"> et Cromwell : L</w:t>
      </w:r>
      <w:r w:rsidRPr="00E84839">
        <w:rPr>
          <w:sz w:val="20"/>
          <w:lang w:val="fr-CA"/>
        </w:rPr>
        <w:t xml:space="preserve">’arrêt </w:t>
      </w:r>
      <w:r w:rsidRPr="00E84839">
        <w:rPr>
          <w:i/>
          <w:sz w:val="20"/>
          <w:lang w:val="fr-CA"/>
        </w:rPr>
        <w:t>R. c. Beaudry</w:t>
      </w:r>
      <w:r w:rsidRPr="00E84839">
        <w:rPr>
          <w:sz w:val="20"/>
          <w:lang w:val="fr-CA"/>
        </w:rPr>
        <w:t xml:space="preserve"> ne s’applique pas à l’erreur commise par la juge du procès en l’espèce. L’erreur est nettement du ressort de l’arrêt </w:t>
      </w:r>
      <w:r w:rsidRPr="00E84839">
        <w:rPr>
          <w:i/>
          <w:sz w:val="20"/>
          <w:lang w:val="fr-CA"/>
        </w:rPr>
        <w:t>R. c. Lohrer</w:t>
      </w:r>
      <w:r w:rsidRPr="00E84839">
        <w:rPr>
          <w:sz w:val="20"/>
          <w:lang w:val="fr-CA"/>
        </w:rPr>
        <w:t xml:space="preserve">.  </w:t>
      </w:r>
      <w:r w:rsidRPr="00E84839">
        <w:rPr>
          <w:i/>
          <w:sz w:val="20"/>
          <w:lang w:val="fr-CA"/>
        </w:rPr>
        <w:t>Beaudry</w:t>
      </w:r>
      <w:r w:rsidRPr="00E84839">
        <w:rPr>
          <w:sz w:val="20"/>
          <w:lang w:val="fr-CA"/>
        </w:rPr>
        <w:t xml:space="preserve"> ne modifie en rien les principes établis précédemment dans </w:t>
      </w:r>
      <w:r w:rsidRPr="00E84839">
        <w:rPr>
          <w:i/>
          <w:sz w:val="20"/>
          <w:lang w:val="fr-CA"/>
        </w:rPr>
        <w:t>R. c. Yebes</w:t>
      </w:r>
      <w:r w:rsidRPr="00E84839">
        <w:rPr>
          <w:sz w:val="20"/>
          <w:lang w:val="fr-CA"/>
        </w:rPr>
        <w:t xml:space="preserve">, [1987] 2 R.C.S. 168, et </w:t>
      </w:r>
      <w:r w:rsidRPr="00E84839">
        <w:rPr>
          <w:i/>
          <w:sz w:val="20"/>
          <w:lang w:val="fr-CA"/>
        </w:rPr>
        <w:t>R. c. Biniaris</w:t>
      </w:r>
      <w:r w:rsidRPr="00E84839">
        <w:rPr>
          <w:sz w:val="20"/>
          <w:lang w:val="fr-CA"/>
        </w:rPr>
        <w:t xml:space="preserve">, 2000 CSC 15, [2000] 1 R.C.S. 381. Ces deux arrêts demeurent applicables lorsqu’il s’agit de déterminer si un juge siégeant seul </w:t>
      </w:r>
      <w:r w:rsidRPr="00E84839">
        <w:rPr>
          <w:sz w:val="20"/>
          <w:lang w:val="fr-CA"/>
        </w:rPr>
        <w:lastRenderedPageBreak/>
        <w:t xml:space="preserve">ou un jury ayant reçu des directives adéquates aurait pu raisonnablement rendre le verdict en cause. L’arrêt </w:t>
      </w:r>
      <w:r w:rsidRPr="00E84839">
        <w:rPr>
          <w:i/>
          <w:sz w:val="20"/>
          <w:lang w:val="fr-CA"/>
        </w:rPr>
        <w:t>Beaudry</w:t>
      </w:r>
      <w:r w:rsidRPr="00E84839">
        <w:rPr>
          <w:sz w:val="20"/>
          <w:lang w:val="fr-CA"/>
        </w:rPr>
        <w:t xml:space="preserve"> joue un rôle important mais limité lors du contrôle en appel du caractère déraisonnable d’une décision pour les besoins du sous</w:t>
      </w:r>
      <w:r w:rsidRPr="00E84839">
        <w:rPr>
          <w:sz w:val="20"/>
          <w:lang w:val="fr-CA"/>
        </w:rPr>
        <w:noBreakHyphen/>
        <w:t>al. 686(1)</w:t>
      </w:r>
      <w:r w:rsidRPr="00E84839">
        <w:rPr>
          <w:i/>
          <w:sz w:val="20"/>
          <w:lang w:val="fr-CA"/>
        </w:rPr>
        <w:t>a</w:t>
      </w:r>
      <w:r w:rsidRPr="00E84839">
        <w:rPr>
          <w:sz w:val="20"/>
          <w:lang w:val="fr-CA"/>
        </w:rPr>
        <w:t xml:space="preserve">)(i) du </w:t>
      </w:r>
      <w:r w:rsidRPr="00E84839">
        <w:rPr>
          <w:i/>
          <w:sz w:val="20"/>
          <w:lang w:val="fr-CA"/>
        </w:rPr>
        <w:t>Code criminel</w:t>
      </w:r>
      <w:r w:rsidRPr="00E84839">
        <w:rPr>
          <w:sz w:val="20"/>
          <w:lang w:val="fr-CA"/>
        </w:rPr>
        <w:t>.  L</w:t>
      </w:r>
      <w:r w:rsidRPr="00E84839">
        <w:rPr>
          <w:sz w:val="20"/>
          <w:lang w:val="fr-FR"/>
        </w:rPr>
        <w:t xml:space="preserve">e </w:t>
      </w:r>
      <w:r w:rsidRPr="00E84839">
        <w:rPr>
          <w:sz w:val="20"/>
          <w:lang w:val="fr-CA"/>
        </w:rPr>
        <w:t>critère</w:t>
      </w:r>
      <w:r w:rsidRPr="00E84839">
        <w:rPr>
          <w:sz w:val="20"/>
          <w:lang w:val="fr-FR"/>
        </w:rPr>
        <w:t xml:space="preserve"> qu’il établit permet de déterminer si le verdict du juge est raisonnable, notamment en s’attachant à la logique des conclusions de fait ou des inférences tirées de la preuve admise au procès.  Le juge du procès qui ne se méprend pas sur la preuve, mais qui arrive à un verdict à l’issue d’un raisonnement illogique ou irrationnel, commet une erreur visée par </w:t>
      </w:r>
      <w:r w:rsidRPr="00E84839">
        <w:rPr>
          <w:i/>
          <w:sz w:val="20"/>
          <w:lang w:val="fr-FR"/>
        </w:rPr>
        <w:t>Beaudry</w:t>
      </w:r>
      <w:r w:rsidRPr="00E84839">
        <w:rPr>
          <w:sz w:val="20"/>
          <w:lang w:val="fr-FR"/>
        </w:rPr>
        <w:t xml:space="preserve">.  La méprise sur la preuve commande un contrôle en appel au regard de l’arrêt </w:t>
      </w:r>
      <w:r w:rsidRPr="00E84839">
        <w:rPr>
          <w:i/>
          <w:sz w:val="20"/>
          <w:lang w:val="fr-FR"/>
        </w:rPr>
        <w:t>Lohrer</w:t>
      </w:r>
      <w:r w:rsidRPr="00E84839">
        <w:rPr>
          <w:sz w:val="20"/>
          <w:lang w:val="fr-FR"/>
        </w:rPr>
        <w:t xml:space="preserve">. Confondre ces deux erreurs distinctes sur le plan conceptuel revient à faire abstraction de la raison d’être de l’arrêt </w:t>
      </w:r>
      <w:r w:rsidRPr="00E84839">
        <w:rPr>
          <w:i/>
          <w:sz w:val="20"/>
          <w:lang w:val="fr-FR"/>
        </w:rPr>
        <w:t>Beaudry</w:t>
      </w:r>
      <w:r w:rsidRPr="00E84839">
        <w:rPr>
          <w:sz w:val="20"/>
          <w:lang w:val="fr-FR"/>
        </w:rPr>
        <w:t xml:space="preserve"> et du vide qu’il a comblé dans la jurisprudence.</w:t>
      </w:r>
    </w:p>
    <w:p w:rsidR="00E84839" w:rsidRPr="00E84839" w:rsidRDefault="00E84839" w:rsidP="00E84839">
      <w:pPr>
        <w:pStyle w:val="SCCNormalDoubleSpacing"/>
        <w:spacing w:line="240" w:lineRule="auto"/>
        <w:rPr>
          <w:sz w:val="20"/>
          <w:lang w:val="fr-FR"/>
        </w:rPr>
      </w:pPr>
    </w:p>
    <w:p w:rsidR="00E84839" w:rsidRPr="00E84839" w:rsidRDefault="00E84839" w:rsidP="00E84839">
      <w:pPr>
        <w:pStyle w:val="SCCNormalDoubleSpacing"/>
        <w:spacing w:line="240" w:lineRule="auto"/>
        <w:rPr>
          <w:sz w:val="20"/>
          <w:lang w:val="fr-FR"/>
        </w:rPr>
      </w:pPr>
      <w:r w:rsidRPr="00E84839">
        <w:rPr>
          <w:sz w:val="20"/>
          <w:lang w:val="fr-FR"/>
        </w:rPr>
        <w:tab/>
        <w:t xml:space="preserve">Le verdict auquel on arrive de façon illogique ou irrationnelle est « déraisonnable » parce qu’il n’est pas rendu de manière judiciaire ou conformément au principe de légalité.  Aussi, comme le dit la Cour dans </w:t>
      </w:r>
      <w:r w:rsidRPr="00E84839">
        <w:rPr>
          <w:i/>
          <w:sz w:val="20"/>
          <w:lang w:val="fr-FR"/>
        </w:rPr>
        <w:t>Beaudry</w:t>
      </w:r>
      <w:r w:rsidRPr="00E84839">
        <w:rPr>
          <w:sz w:val="20"/>
          <w:lang w:val="fr-FR"/>
        </w:rPr>
        <w:t xml:space="preserve">, ce verdict peut difficilement devenir raisonnable du fait qu’un autre juge (qui n’a jamais entendu l’affaire et qui ne l’entendra jamais) aurait pu raisonnablement déclarer l’accusé coupable ou l’acquitter.  Une cour d’appel peut intervenir sur le fondement de l’arrêt </w:t>
      </w:r>
      <w:r w:rsidRPr="00E84839">
        <w:rPr>
          <w:i/>
          <w:sz w:val="20"/>
          <w:lang w:val="fr-FR"/>
        </w:rPr>
        <w:t>Beaudry</w:t>
      </w:r>
      <w:r w:rsidRPr="00E84839">
        <w:rPr>
          <w:sz w:val="20"/>
          <w:lang w:val="fr-FR"/>
        </w:rPr>
        <w:t xml:space="preserve"> lorsque le juge du procès tire une inférence ou une conclusion de fait qui est clairement contredite par la preuve qu’il invoque à l’appui ou dont on peut démontrer qu’elle est incompatible avec une preuve qui n’est ni contredite par d’autres éléments de preuve ni rejetée par le juge du procès.  Les verdicts déraisonnables de ce type sont rares, mais lorsqu’ils se présentent, une cour d’appel a non seulement la faculté, mais aussi l’obligation, d’intervenir.</w:t>
      </w:r>
    </w:p>
    <w:p w:rsidR="00E84839" w:rsidRPr="00E84839" w:rsidRDefault="00E84839" w:rsidP="00E84839">
      <w:pPr>
        <w:pStyle w:val="SCCNormalDoubleSpacing"/>
        <w:spacing w:line="240" w:lineRule="auto"/>
        <w:rPr>
          <w:sz w:val="20"/>
          <w:lang w:val="fr-CA"/>
        </w:rPr>
      </w:pPr>
    </w:p>
    <w:p w:rsidR="00E84839" w:rsidRPr="00E84839" w:rsidRDefault="00E84839" w:rsidP="00E84839">
      <w:pPr>
        <w:pStyle w:val="SCCNormalDoubleSpacing"/>
        <w:spacing w:line="240" w:lineRule="auto"/>
        <w:rPr>
          <w:sz w:val="20"/>
          <w:lang w:val="fr-FR"/>
        </w:rPr>
      </w:pPr>
      <w:r w:rsidRPr="00E84839">
        <w:rPr>
          <w:i/>
          <w:sz w:val="20"/>
          <w:lang w:val="fr-FR"/>
        </w:rPr>
        <w:tab/>
        <w:t xml:space="preserve">Les </w:t>
      </w:r>
      <w:r w:rsidRPr="00E84839">
        <w:rPr>
          <w:sz w:val="20"/>
          <w:lang w:val="fr-FR"/>
        </w:rPr>
        <w:t xml:space="preserve">juges </w:t>
      </w:r>
      <w:r w:rsidRPr="00E84839">
        <w:rPr>
          <w:b/>
          <w:sz w:val="20"/>
          <w:lang w:val="fr-FR"/>
        </w:rPr>
        <w:t>LeBel</w:t>
      </w:r>
      <w:r w:rsidRPr="00E84839">
        <w:rPr>
          <w:sz w:val="20"/>
          <w:lang w:val="fr-FR"/>
        </w:rPr>
        <w:t xml:space="preserve">, Deschamps et Rothstein : La Cour d’appel a commis une erreur de droit dans la mesure où elle a fondé son jugement sur l’arrêt </w:t>
      </w:r>
      <w:r w:rsidRPr="00E84839">
        <w:rPr>
          <w:i/>
          <w:sz w:val="20"/>
          <w:lang w:val="fr-FR"/>
        </w:rPr>
        <w:t>R. c. Beaudry</w:t>
      </w:r>
      <w:r w:rsidRPr="00E84839">
        <w:rPr>
          <w:sz w:val="20"/>
          <w:lang w:val="fr-FR"/>
        </w:rPr>
        <w:t xml:space="preserve">, lequel ne s’applique pas à l’erreur commise quant à l’essence de la preuve, ce type d’erreur devant plutôt satisfaire à la norme établie dans </w:t>
      </w:r>
      <w:r w:rsidRPr="00E84839">
        <w:rPr>
          <w:i/>
          <w:sz w:val="20"/>
          <w:lang w:val="fr-CA"/>
        </w:rPr>
        <w:t>R. c. Lohrer</w:t>
      </w:r>
      <w:r w:rsidRPr="00E84839">
        <w:rPr>
          <w:sz w:val="20"/>
          <w:lang w:val="fr-CA"/>
        </w:rPr>
        <w:t>, 2004 CSC 80, [2004] 3 R.C.S. 732</w:t>
      </w:r>
      <w:r w:rsidRPr="00E84839">
        <w:rPr>
          <w:sz w:val="20"/>
          <w:lang w:val="fr-FR"/>
        </w:rPr>
        <w:t xml:space="preserve">. L’arrêt </w:t>
      </w:r>
      <w:r w:rsidRPr="00E84839">
        <w:rPr>
          <w:i/>
          <w:sz w:val="20"/>
          <w:lang w:val="fr-FR"/>
        </w:rPr>
        <w:t>Beaudry</w:t>
      </w:r>
      <w:r w:rsidRPr="00E84839">
        <w:rPr>
          <w:sz w:val="20"/>
          <w:lang w:val="fr-FR"/>
        </w:rPr>
        <w:t xml:space="preserve"> a accru la portée traditionnelle du sous</w:t>
      </w:r>
      <w:r w:rsidRPr="00E84839">
        <w:rPr>
          <w:sz w:val="20"/>
          <w:lang w:val="fr-FR"/>
        </w:rPr>
        <w:noBreakHyphen/>
        <w:t>al. </w:t>
      </w:r>
      <w:r w:rsidRPr="00E84839">
        <w:rPr>
          <w:sz w:val="20"/>
          <w:lang w:val="fr-CA"/>
        </w:rPr>
        <w:t>686(1)</w:t>
      </w:r>
      <w:r w:rsidRPr="00E84839">
        <w:rPr>
          <w:i/>
          <w:sz w:val="20"/>
          <w:lang w:val="fr-CA"/>
        </w:rPr>
        <w:t>a</w:t>
      </w:r>
      <w:r w:rsidRPr="00E84839">
        <w:rPr>
          <w:sz w:val="20"/>
          <w:lang w:val="fr-CA"/>
        </w:rPr>
        <w:t xml:space="preserve">)(i) du </w:t>
      </w:r>
      <w:r w:rsidRPr="00E84839">
        <w:rPr>
          <w:i/>
          <w:sz w:val="20"/>
          <w:lang w:val="fr-CA"/>
        </w:rPr>
        <w:t>Code criminel</w:t>
      </w:r>
      <w:r w:rsidRPr="00E84839">
        <w:rPr>
          <w:sz w:val="20"/>
          <w:lang w:val="fr-CA"/>
        </w:rPr>
        <w:t xml:space="preserve">. </w:t>
      </w:r>
      <w:r w:rsidRPr="00E84839">
        <w:rPr>
          <w:sz w:val="20"/>
          <w:lang w:val="fr-FR"/>
        </w:rPr>
        <w:t>Le juge Fish y emporte la majorité en ce qui concerne la question de savoir si un verdict auquel on est arrivé d’une façon « illogique ou irrationnelle » est « déraisonnable » au sens du sous</w:t>
      </w:r>
      <w:r w:rsidRPr="00E84839">
        <w:rPr>
          <w:sz w:val="20"/>
          <w:lang w:val="fr-FR"/>
        </w:rPr>
        <w:noBreakHyphen/>
        <w:t>al. 686(1)</w:t>
      </w:r>
      <w:r w:rsidRPr="00E84839">
        <w:rPr>
          <w:i/>
          <w:sz w:val="20"/>
          <w:lang w:val="fr-FR"/>
        </w:rPr>
        <w:t>a</w:t>
      </w:r>
      <w:r w:rsidRPr="00E84839">
        <w:rPr>
          <w:sz w:val="20"/>
          <w:lang w:val="fr-FR"/>
        </w:rPr>
        <w:t xml:space="preserve">)(i), et ses motifs représentent l’état du droit sur ce point.  Par ailleurs, le juge Fish exprime bien en l’espèce la position des juges majoritaires dans </w:t>
      </w:r>
      <w:r w:rsidRPr="00E84839">
        <w:rPr>
          <w:i/>
          <w:sz w:val="20"/>
          <w:lang w:val="fr-FR"/>
        </w:rPr>
        <w:t>Beaudry</w:t>
      </w:r>
      <w:r w:rsidRPr="00E84839">
        <w:rPr>
          <w:sz w:val="20"/>
          <w:lang w:val="fr-FR"/>
        </w:rPr>
        <w:t xml:space="preserve">, et il y a accord avec ses motifs dans cette mesure. </w:t>
      </w:r>
    </w:p>
    <w:p w:rsidR="00E84839" w:rsidRPr="00E84839" w:rsidRDefault="00E84839" w:rsidP="00E84839">
      <w:pPr>
        <w:pStyle w:val="SCCNormalDoubleSpacing"/>
        <w:spacing w:line="240" w:lineRule="auto"/>
        <w:rPr>
          <w:sz w:val="20"/>
          <w:lang w:val="fr-FR"/>
        </w:rPr>
      </w:pPr>
    </w:p>
    <w:p w:rsidR="00E84839" w:rsidRPr="00E84839" w:rsidRDefault="00E84839" w:rsidP="00E84839">
      <w:pPr>
        <w:pStyle w:val="SCCNormalDoubleSpacing"/>
        <w:spacing w:line="240" w:lineRule="auto"/>
        <w:rPr>
          <w:sz w:val="20"/>
          <w:lang w:val="fr-FR"/>
        </w:rPr>
      </w:pPr>
      <w:r w:rsidRPr="00E84839">
        <w:rPr>
          <w:i/>
          <w:sz w:val="20"/>
          <w:lang w:val="fr-FR"/>
        </w:rPr>
        <w:tab/>
        <w:t xml:space="preserve">Les </w:t>
      </w:r>
      <w:r w:rsidRPr="00E84839">
        <w:rPr>
          <w:sz w:val="20"/>
          <w:lang w:val="fr-FR"/>
        </w:rPr>
        <w:t xml:space="preserve">juges Abella et </w:t>
      </w:r>
      <w:r w:rsidRPr="00E84839">
        <w:rPr>
          <w:b/>
          <w:sz w:val="20"/>
          <w:lang w:val="fr-FR"/>
        </w:rPr>
        <w:t>Charron </w:t>
      </w:r>
      <w:r w:rsidRPr="00E84839">
        <w:rPr>
          <w:sz w:val="20"/>
          <w:lang w:val="fr-FR"/>
        </w:rPr>
        <w:t xml:space="preserve">: La Cour d’appel n’aurait pas dû  fonder son jugement sur l’arrêt </w:t>
      </w:r>
      <w:r w:rsidRPr="00E84839">
        <w:rPr>
          <w:i/>
          <w:sz w:val="20"/>
          <w:lang w:val="fr-FR"/>
        </w:rPr>
        <w:t>R. c.</w:t>
      </w:r>
      <w:r w:rsidRPr="00E84839">
        <w:rPr>
          <w:sz w:val="20"/>
          <w:lang w:val="fr-FR"/>
        </w:rPr>
        <w:t xml:space="preserve"> </w:t>
      </w:r>
      <w:r w:rsidRPr="00E84839">
        <w:rPr>
          <w:i/>
          <w:sz w:val="20"/>
          <w:lang w:val="fr-FR"/>
        </w:rPr>
        <w:t>Beaudry</w:t>
      </w:r>
      <w:r w:rsidRPr="00E84839">
        <w:rPr>
          <w:sz w:val="20"/>
          <w:lang w:val="fr-FR"/>
        </w:rPr>
        <w:t>, qui n’a modifié aucun des critères applicables au contrôle en appel fondé sur le sous</w:t>
      </w:r>
      <w:r w:rsidRPr="00E84839">
        <w:rPr>
          <w:sz w:val="20"/>
          <w:lang w:val="fr-FR"/>
        </w:rPr>
        <w:noBreakHyphen/>
        <w:t>al. 686(1)</w:t>
      </w:r>
      <w:r w:rsidRPr="00E84839">
        <w:rPr>
          <w:i/>
          <w:sz w:val="20"/>
          <w:lang w:val="fr-FR"/>
        </w:rPr>
        <w:t>a</w:t>
      </w:r>
      <w:r w:rsidRPr="00E84839">
        <w:rPr>
          <w:sz w:val="20"/>
          <w:lang w:val="fr-FR"/>
        </w:rPr>
        <w:t>)(i).  Cependant, cet arrêt a eu pour effet d’élargir le critère permettant de conclure au caractère déraisonnable du verdict au sens du sous</w:t>
      </w:r>
      <w:r w:rsidRPr="00E84839">
        <w:rPr>
          <w:sz w:val="20"/>
          <w:lang w:val="fr-FR"/>
        </w:rPr>
        <w:noBreakHyphen/>
        <w:t>al. 686(1)</w:t>
      </w:r>
      <w:r w:rsidRPr="00E84839">
        <w:rPr>
          <w:i/>
          <w:sz w:val="20"/>
          <w:lang w:val="fr-FR"/>
        </w:rPr>
        <w:t>a</w:t>
      </w:r>
      <w:r w:rsidRPr="00E84839">
        <w:rPr>
          <w:sz w:val="20"/>
          <w:lang w:val="fr-FR"/>
        </w:rPr>
        <w:t>)(i).  On saisit mieux la portée du critère élargi lorsque l’examen porte sur le verdict rendu à l’issue du procès plutôt que sur le type d’erreur qui entacherait l’appréciation de la preuve ou la constatation des faits.  S’il peut désormais tenir compte des vices du raisonnement pour déterminer si le verdict est raisonnable ou non, le tribunal d’appel doit toujours faire porter son examen sur la conclusion</w:t>
      </w:r>
      <w:r w:rsidRPr="00E84839">
        <w:rPr>
          <w:i/>
          <w:sz w:val="20"/>
          <w:lang w:val="fr-FR"/>
        </w:rPr>
        <w:t xml:space="preserve"> </w:t>
      </w:r>
      <w:r w:rsidRPr="00E84839">
        <w:rPr>
          <w:sz w:val="20"/>
          <w:lang w:val="fr-FR"/>
        </w:rPr>
        <w:t>tirée au procès.  La démarche qui consiste à s’attacher au verdict évite au tribunal d’appel d’avoir à faire des distinctions plutôt subtiles entre différents types d’erreur afin de cerner le critère à appliquer.  Elle accroît aussi la compatibilité avec le texte du sous</w:t>
      </w:r>
      <w:r w:rsidRPr="00E84839">
        <w:rPr>
          <w:sz w:val="20"/>
          <w:lang w:val="fr-FR"/>
        </w:rPr>
        <w:noBreakHyphen/>
        <w:t>al. 686(1)</w:t>
      </w:r>
      <w:r w:rsidRPr="00E84839">
        <w:rPr>
          <w:i/>
          <w:sz w:val="20"/>
          <w:lang w:val="fr-FR"/>
        </w:rPr>
        <w:t>a</w:t>
      </w:r>
      <w:r w:rsidRPr="00E84839">
        <w:rPr>
          <w:sz w:val="20"/>
          <w:lang w:val="fr-FR"/>
        </w:rPr>
        <w:t xml:space="preserve">)(i) </w:t>
      </w:r>
      <w:r w:rsidRPr="00E84839">
        <w:rPr>
          <w:sz w:val="20"/>
          <w:lang w:val="fr-CA"/>
        </w:rPr>
        <w:t xml:space="preserve">du </w:t>
      </w:r>
      <w:r w:rsidRPr="00E84839">
        <w:rPr>
          <w:i/>
          <w:sz w:val="20"/>
          <w:lang w:val="fr-CA"/>
        </w:rPr>
        <w:t>Code criminel</w:t>
      </w:r>
      <w:r w:rsidRPr="00E84839">
        <w:rPr>
          <w:sz w:val="20"/>
          <w:lang w:val="fr-FR"/>
        </w:rPr>
        <w:t xml:space="preserve">, son contexte et son historique.  Il convient d’examiner attentivement toute erreur relevée dans le raisonnement suivant le critère de l’arrêt </w:t>
      </w:r>
      <w:r w:rsidRPr="00E84839">
        <w:rPr>
          <w:i/>
          <w:sz w:val="20"/>
          <w:lang w:val="fr-FR"/>
        </w:rPr>
        <w:t>Beaudry</w:t>
      </w:r>
      <w:r w:rsidRPr="00E84839">
        <w:rPr>
          <w:sz w:val="20"/>
          <w:lang w:val="fr-FR"/>
        </w:rPr>
        <w:t xml:space="preserve"> pour déterminer si elle vicie le verdict.  On ne saurait conclure que le verdict est déraisonnable chaque fois que le raisonnement est entaché d’une erreur, y compris une erreur « dont on peut démontrer qu’elle est incompatible » avec la preuve non contredite offerte au procès. </w:t>
      </w:r>
    </w:p>
    <w:p w:rsidR="00E84839" w:rsidRPr="00E84839" w:rsidRDefault="00E84839" w:rsidP="00E84839">
      <w:pPr>
        <w:pStyle w:val="SCCNormalDoubleSpacing"/>
        <w:spacing w:line="240" w:lineRule="auto"/>
        <w:rPr>
          <w:sz w:val="20"/>
          <w:lang w:val="fr-FR"/>
        </w:rPr>
      </w:pPr>
    </w:p>
    <w:p w:rsidR="00E84839" w:rsidRPr="00E84839" w:rsidRDefault="00E84839" w:rsidP="00E84839">
      <w:pPr>
        <w:pStyle w:val="SCCNormalDoubleSpacing"/>
        <w:spacing w:line="240" w:lineRule="auto"/>
        <w:rPr>
          <w:sz w:val="20"/>
          <w:lang w:val="fr-FR"/>
        </w:rPr>
      </w:pPr>
      <w:r w:rsidRPr="00E84839">
        <w:rPr>
          <w:sz w:val="20"/>
          <w:lang w:val="fr-FR"/>
        </w:rPr>
        <w:tab/>
        <w:t>Lors de l’examen que requiert le sous</w:t>
      </w:r>
      <w:r w:rsidRPr="00E84839">
        <w:rPr>
          <w:sz w:val="20"/>
          <w:lang w:val="fr-FR"/>
        </w:rPr>
        <w:noBreakHyphen/>
        <w:t>al. 686(1)</w:t>
      </w:r>
      <w:r w:rsidRPr="00E84839">
        <w:rPr>
          <w:i/>
          <w:sz w:val="20"/>
          <w:lang w:val="fr-FR"/>
        </w:rPr>
        <w:t>a</w:t>
      </w:r>
      <w:r w:rsidRPr="00E84839">
        <w:rPr>
          <w:sz w:val="20"/>
          <w:lang w:val="fr-FR"/>
        </w:rPr>
        <w:t xml:space="preserve">)(i) dans le cas d’un procès devant juge seul, le tribunal d’appel doit d’abord appliquer le critère des arrêts </w:t>
      </w:r>
      <w:r w:rsidRPr="00E84839">
        <w:rPr>
          <w:i/>
          <w:sz w:val="20"/>
          <w:lang w:val="fr-FR"/>
        </w:rPr>
        <w:t xml:space="preserve">Yebes </w:t>
      </w:r>
      <w:r w:rsidRPr="00E84839">
        <w:rPr>
          <w:sz w:val="20"/>
          <w:lang w:val="fr-FR"/>
        </w:rPr>
        <w:t xml:space="preserve">et </w:t>
      </w:r>
      <w:r w:rsidRPr="00E84839">
        <w:rPr>
          <w:i/>
          <w:sz w:val="20"/>
          <w:lang w:val="fr-FR"/>
        </w:rPr>
        <w:t>Biniaris</w:t>
      </w:r>
      <w:r w:rsidRPr="00E84839">
        <w:rPr>
          <w:sz w:val="20"/>
          <w:lang w:val="fr-FR"/>
        </w:rPr>
        <w:t xml:space="preserve">.  Si le verdict est l’un de ceux qu’un jury ayant reçu des directives appropriées et agissant d’une manière judiciaire aurait pu raisonnablement rendre au vu de l’ensemble de la preuve, l’examen prend fin et un verdict d’acquittement est inscrit.  Lorsque le prononcé du verdict est possible eu égard à la preuve, le tribunal d’appel peut en évaluer le caractère raisonnable suivant le critère de l’arrêt </w:t>
      </w:r>
      <w:r w:rsidRPr="00E84839">
        <w:rPr>
          <w:i/>
          <w:sz w:val="20"/>
          <w:lang w:val="fr-FR"/>
        </w:rPr>
        <w:t xml:space="preserve">Beaudry </w:t>
      </w:r>
      <w:r w:rsidRPr="00E84839">
        <w:rPr>
          <w:sz w:val="20"/>
          <w:lang w:val="fr-FR"/>
        </w:rPr>
        <w:t xml:space="preserve">en s’attachant aux conclusions de fait et aux inférences tirées par le juge du procès.  Cet examen ne s’impose pas dans tous les cas.  Le critère de l’arrêt </w:t>
      </w:r>
      <w:r w:rsidRPr="00E84839">
        <w:rPr>
          <w:i/>
          <w:sz w:val="20"/>
          <w:lang w:val="fr-FR"/>
        </w:rPr>
        <w:t xml:space="preserve">Beaudry </w:t>
      </w:r>
      <w:r w:rsidRPr="00E84839">
        <w:rPr>
          <w:sz w:val="20"/>
          <w:lang w:val="fr-FR"/>
        </w:rPr>
        <w:t>peut s’appliquer dans le cas exceptionnel où le raisonnement est à ce point irrationnel ou incompatible avec la preuve qu’il a pour effet de vicier le verdict, et ce, même s’il était possible de le rendre eu égard à l’ensemble de la preuve.  Dans ce rare cas, la cour d’appel est justifiée d’ordonner un nouveau procès puisqu’elle a déjà décidé que le verdict peut par ailleurs être rendu eu égard à la preuve.</w:t>
      </w:r>
    </w:p>
    <w:p w:rsidR="00E84839" w:rsidRPr="00E84839" w:rsidRDefault="00E84839" w:rsidP="00E84839">
      <w:pPr>
        <w:pStyle w:val="SCCNormalDoubleSpacing"/>
        <w:spacing w:line="240" w:lineRule="auto"/>
        <w:rPr>
          <w:sz w:val="20"/>
          <w:lang w:val="fr-FR"/>
        </w:rPr>
      </w:pPr>
    </w:p>
    <w:p w:rsidR="00E84839" w:rsidRPr="00E84839" w:rsidRDefault="00E84839" w:rsidP="00A957AC">
      <w:pPr>
        <w:pStyle w:val="SCCNormalDoubleSpacing"/>
        <w:tabs>
          <w:tab w:val="left" w:pos="450"/>
        </w:tabs>
        <w:spacing w:line="240" w:lineRule="auto"/>
        <w:rPr>
          <w:i/>
          <w:sz w:val="20"/>
          <w:u w:val="single"/>
          <w:lang w:val="fr-FR"/>
        </w:rPr>
      </w:pPr>
      <w:r w:rsidRPr="00E84839">
        <w:rPr>
          <w:sz w:val="20"/>
          <w:lang w:val="fr-FR"/>
        </w:rPr>
        <w:t>II.</w:t>
      </w:r>
      <w:r w:rsidRPr="00E84839">
        <w:rPr>
          <w:i/>
          <w:sz w:val="20"/>
          <w:lang w:val="fr-FR"/>
        </w:rPr>
        <w:tab/>
      </w:r>
      <w:r w:rsidRPr="00E84839">
        <w:rPr>
          <w:i/>
          <w:sz w:val="20"/>
          <w:u w:val="single"/>
          <w:lang w:val="fr-FR"/>
        </w:rPr>
        <w:t>L’application de l’arrêt Lohrer, 2004 CSC 80, [2004] 3 R.C.S. 732</w:t>
      </w:r>
    </w:p>
    <w:p w:rsidR="00E84839" w:rsidRPr="00E84839" w:rsidRDefault="00E84839" w:rsidP="00A957AC">
      <w:pPr>
        <w:pStyle w:val="SCCNormalDoubleSpacing"/>
        <w:tabs>
          <w:tab w:val="left" w:pos="450"/>
        </w:tabs>
        <w:spacing w:line="240" w:lineRule="auto"/>
        <w:rPr>
          <w:i/>
          <w:sz w:val="20"/>
          <w:lang w:val="fr-FR"/>
        </w:rPr>
      </w:pPr>
    </w:p>
    <w:p w:rsidR="00E84839" w:rsidRPr="00E84839" w:rsidRDefault="00E84839" w:rsidP="00E84839">
      <w:pPr>
        <w:pStyle w:val="SCCNormalDoubleSpacing"/>
        <w:spacing w:line="240" w:lineRule="auto"/>
        <w:rPr>
          <w:sz w:val="20"/>
          <w:lang w:val="fr-FR"/>
        </w:rPr>
      </w:pPr>
      <w:r w:rsidRPr="00E84839">
        <w:rPr>
          <w:i/>
          <w:sz w:val="20"/>
          <w:lang w:val="fr-FR"/>
        </w:rPr>
        <w:lastRenderedPageBreak/>
        <w:tab/>
        <w:t>Les</w:t>
      </w:r>
      <w:r w:rsidRPr="00E84839">
        <w:rPr>
          <w:sz w:val="20"/>
          <w:lang w:val="fr-FR"/>
        </w:rPr>
        <w:t xml:space="preserve"> juges </w:t>
      </w:r>
      <w:r w:rsidRPr="00E84839">
        <w:rPr>
          <w:b/>
          <w:sz w:val="20"/>
          <w:lang w:val="fr-FR"/>
        </w:rPr>
        <w:t>LeBel</w:t>
      </w:r>
      <w:r w:rsidRPr="00E84839">
        <w:rPr>
          <w:sz w:val="20"/>
          <w:lang w:val="fr-FR"/>
        </w:rPr>
        <w:t xml:space="preserve">, Deschamps, Abella et Rothstein : La Cour d’appel a appliqué erronément l’arrêt </w:t>
      </w:r>
      <w:r w:rsidRPr="00E84839">
        <w:rPr>
          <w:i/>
          <w:sz w:val="20"/>
          <w:lang w:val="fr-FR"/>
        </w:rPr>
        <w:t>Lohrer</w:t>
      </w:r>
      <w:r w:rsidRPr="00E84839">
        <w:rPr>
          <w:sz w:val="20"/>
          <w:lang w:val="fr-FR"/>
        </w:rPr>
        <w:t xml:space="preserve">.  Elle n’a pas relevé d’erreur justifiant son intervention.  La juge du procès n’a pas conclu que l’accusé avait été partie à un projet de vol qualifié et elle ne s’est pas appuyée sur la preuve d’un tel projet pour inférer que l’accusé était demeuré avec le coaccusé tout au long de la nuit et avait donc pris part à l’agression.  D’autres éléments l’ont amenée à conclure à la présence de l’accusé sur le lieu du crime : lors de l’agression, le coaccusé et lui étaient absents de la résidence, il savait que le coaccusé avait été poignardé et il était rentré en coup de vent quelques minutes après l’incident, </w:t>
      </w:r>
      <w:r w:rsidRPr="00E84839">
        <w:rPr>
          <w:sz w:val="20"/>
          <w:lang w:val="fr-CA"/>
        </w:rPr>
        <w:t>il avait mené les recherches pour retrouver le coaccusé, un élément de preuve génétique reliait le coaccusé au crime et le sang de ce dernier avait été prélevé sur le jeans et le blouson à capuchon de l’accusé.  L</w:t>
      </w:r>
      <w:r w:rsidRPr="00E84839">
        <w:rPr>
          <w:sz w:val="20"/>
          <w:lang w:val="fr-FR"/>
        </w:rPr>
        <w:t xml:space="preserve">es motifs de la juge ne permettent pas de conclure qu’elle a retenu la thèse du ministère public d’un projet de vol qualifié, et son raisonnement ne révèle pas de qualification erronée de la preuve.  De plus, la Cour d’appel renvoie à l’« apparente reconnaissance » par la juge du procès d’une preuve selon laquelle l’accusé avait planifié de commettre un vol qualifié avec le coaccusé.  Une erreur apparente ne suffit </w:t>
      </w:r>
      <w:r w:rsidRPr="00E84839">
        <w:rPr>
          <w:sz w:val="20"/>
          <w:lang w:val="fr-CA"/>
        </w:rPr>
        <w:t>pas pour</w:t>
      </w:r>
      <w:r w:rsidRPr="00E84839">
        <w:rPr>
          <w:sz w:val="20"/>
          <w:lang w:val="fr-FR"/>
        </w:rPr>
        <w:t xml:space="preserve"> ordonner un nouveau procès pour cause d’interprétation erronée de la preuve. Les motifs doivent révéler l’existence d’une erreur réelle.</w:t>
      </w:r>
    </w:p>
    <w:p w:rsidR="00E84839" w:rsidRPr="00E84839" w:rsidRDefault="00E84839" w:rsidP="00E84839">
      <w:pPr>
        <w:pStyle w:val="SCCNormalDoubleSpacing"/>
        <w:spacing w:line="240" w:lineRule="auto"/>
        <w:rPr>
          <w:sz w:val="20"/>
          <w:lang w:val="fr-FR"/>
        </w:rPr>
      </w:pPr>
    </w:p>
    <w:p w:rsidR="00E84839" w:rsidRPr="00E84839" w:rsidRDefault="00E84839" w:rsidP="00E84839">
      <w:pPr>
        <w:pStyle w:val="SCCNormalDoubleSpacing"/>
        <w:spacing w:line="240" w:lineRule="auto"/>
        <w:rPr>
          <w:sz w:val="20"/>
          <w:lang w:val="fr-FR"/>
        </w:rPr>
      </w:pPr>
      <w:r w:rsidRPr="00E84839">
        <w:rPr>
          <w:sz w:val="20"/>
          <w:lang w:val="fr-FR"/>
        </w:rPr>
        <w:tab/>
        <w:t>Même si la juge du procès avait commis l’erreur en question, sa méprise n’aurait pas eu de lien important avec son verdict.  L’accusé était inculpé d’homicide involontaire coupable, et non de complot en vue de commettre un vol qualifié.  La preuve circonstancielle admise au procès ne permet pas de douter sérieusement que la juge aurait néanmoins conclu que l’accusé se trouvait sur le lieu du crime lors de l’agression.</w:t>
      </w:r>
    </w:p>
    <w:p w:rsidR="00E84839" w:rsidRPr="00E84839" w:rsidRDefault="00E84839" w:rsidP="00E84839">
      <w:pPr>
        <w:pStyle w:val="SCCNormalDoubleSpacing"/>
        <w:spacing w:line="240" w:lineRule="auto"/>
        <w:rPr>
          <w:sz w:val="20"/>
          <w:lang w:val="fr-FR"/>
        </w:rPr>
      </w:pPr>
    </w:p>
    <w:p w:rsidR="00E84839" w:rsidRPr="00E84839" w:rsidRDefault="00E84839" w:rsidP="00E84839">
      <w:pPr>
        <w:pStyle w:val="SCCNormalDoubleSpacing"/>
        <w:spacing w:line="240" w:lineRule="auto"/>
        <w:rPr>
          <w:sz w:val="20"/>
          <w:lang w:val="fr-FR"/>
        </w:rPr>
      </w:pPr>
      <w:r w:rsidRPr="00E84839">
        <w:rPr>
          <w:i/>
          <w:sz w:val="20"/>
          <w:lang w:val="fr-FR"/>
        </w:rPr>
        <w:tab/>
        <w:t>La</w:t>
      </w:r>
      <w:r w:rsidRPr="00E84839">
        <w:rPr>
          <w:sz w:val="20"/>
          <w:lang w:val="fr-FR"/>
        </w:rPr>
        <w:t xml:space="preserve"> juge </w:t>
      </w:r>
      <w:r w:rsidRPr="00E84839">
        <w:rPr>
          <w:b/>
          <w:sz w:val="20"/>
          <w:lang w:val="fr-FR"/>
        </w:rPr>
        <w:t>Charron :</w:t>
      </w:r>
      <w:r w:rsidRPr="00E84839">
        <w:rPr>
          <w:sz w:val="20"/>
          <w:lang w:val="fr-FR"/>
        </w:rPr>
        <w:t xml:space="preserve"> La juge du procès n’a pas mal interprété la preuve. Pour les motifs exposés par le juge LeBel, la Cour d’appel a conclu à tort que la juge du procès avait commis une erreur qui satisfaisait à la norme de l’arrêt </w:t>
      </w:r>
      <w:r w:rsidRPr="00E84839">
        <w:rPr>
          <w:i/>
          <w:sz w:val="20"/>
          <w:lang w:val="fr-FR"/>
        </w:rPr>
        <w:t>Lohrer</w:t>
      </w:r>
      <w:r w:rsidRPr="00E84839">
        <w:rPr>
          <w:sz w:val="20"/>
          <w:lang w:val="fr-FR"/>
        </w:rPr>
        <w:t>.</w:t>
      </w:r>
    </w:p>
    <w:p w:rsidR="00E84839" w:rsidRPr="00E84839" w:rsidRDefault="00E84839" w:rsidP="00E84839">
      <w:pPr>
        <w:pStyle w:val="SCCNormalDoubleSpacing"/>
        <w:spacing w:line="240" w:lineRule="auto"/>
        <w:rPr>
          <w:sz w:val="20"/>
          <w:lang w:val="fr-FR"/>
        </w:rPr>
      </w:pPr>
    </w:p>
    <w:p w:rsidR="00E84839" w:rsidRPr="00E84839" w:rsidRDefault="00E84839" w:rsidP="00E84839">
      <w:pPr>
        <w:pStyle w:val="SCCNormalDoubleSpacing"/>
        <w:spacing w:line="240" w:lineRule="auto"/>
        <w:rPr>
          <w:sz w:val="20"/>
          <w:lang w:val="fr-FR"/>
        </w:rPr>
      </w:pPr>
      <w:r w:rsidRPr="00E84839">
        <w:rPr>
          <w:i/>
          <w:sz w:val="20"/>
          <w:lang w:val="fr-FR"/>
        </w:rPr>
        <w:tab/>
        <w:t>La</w:t>
      </w:r>
      <w:r w:rsidRPr="00E84839">
        <w:rPr>
          <w:sz w:val="20"/>
          <w:lang w:val="fr-FR"/>
        </w:rPr>
        <w:t xml:space="preserve"> juge en chef McLachlin et les juges Binnie, </w:t>
      </w:r>
      <w:r w:rsidRPr="00E84839">
        <w:rPr>
          <w:b/>
          <w:sz w:val="20"/>
          <w:lang w:val="fr-FR"/>
        </w:rPr>
        <w:t>Fish</w:t>
      </w:r>
      <w:r w:rsidRPr="00E84839">
        <w:rPr>
          <w:sz w:val="20"/>
          <w:lang w:val="fr-FR"/>
        </w:rPr>
        <w:t xml:space="preserve"> et Cromwell (dissidents) : L</w:t>
      </w:r>
      <w:r w:rsidRPr="00E84839">
        <w:rPr>
          <w:sz w:val="20"/>
          <w:lang w:val="fr-CA"/>
        </w:rPr>
        <w:t>a juge du procès a mal interprété l’essence de la preuve sur un point important, et</w:t>
      </w:r>
      <w:r w:rsidRPr="00E84839">
        <w:rPr>
          <w:sz w:val="20"/>
          <w:lang w:val="fr-FR"/>
        </w:rPr>
        <w:t xml:space="preserve"> la Cour d’appel a appliqué explicitement et adéquatement le critère énoncé dans l’arrêt </w:t>
      </w:r>
      <w:r w:rsidRPr="00E84839">
        <w:rPr>
          <w:i/>
          <w:sz w:val="20"/>
          <w:lang w:val="fr-FR"/>
        </w:rPr>
        <w:t>Lohrer</w:t>
      </w:r>
      <w:r w:rsidRPr="00E84839">
        <w:rPr>
          <w:sz w:val="20"/>
          <w:lang w:val="fr-FR"/>
        </w:rPr>
        <w:t>.  Le renvoi par la Cour d’appel à l’apparente reconnaissance par la juge du procès d’une preuve selon laquelle l’accusé et les deux coaccusés avaient projeté de sortir ensemble commettre un autre vol qualifié décrit bien une erreur véritable.  L’interprétation erronée de la preuve par la juge du procès a influé sur son évaluation des autres éléments de preuve circonstancielle invoqués par le ministère public.  La prétendue intention de l’accusé et de ses coaccusés de rester ensemble toute la nuit a sous</w:t>
      </w:r>
      <w:r w:rsidRPr="00E84839">
        <w:rPr>
          <w:sz w:val="20"/>
          <w:lang w:val="fr-FR"/>
        </w:rPr>
        <w:noBreakHyphen/>
        <w:t>tendu l’inférence de la juge voulant que l’accusé se soit trouvé sur le lieu du crime.  La preuve n’établissait ni la participation de l’accusé à l’agression ni sa présence lors de la perpétration du crime.  Nulle preuve génétique ne relie l’accusé au lieu du crime.  Mais surtout, même s’il était établi qu’il s’y trouvait, sa participation à l’agression ne serait pas démontrée pour autant.</w:t>
      </w:r>
    </w:p>
    <w:p w:rsidR="00E84839" w:rsidRPr="00E84839" w:rsidRDefault="00E84839" w:rsidP="00E84839">
      <w:pPr>
        <w:pStyle w:val="SCCNormalDoubleSpacing"/>
        <w:spacing w:line="240" w:lineRule="auto"/>
        <w:rPr>
          <w:sz w:val="20"/>
          <w:lang w:val="fr-CA"/>
        </w:rPr>
      </w:pPr>
    </w:p>
    <w:p w:rsidR="00E84839" w:rsidRPr="00E84839" w:rsidRDefault="00E84839" w:rsidP="00E84839">
      <w:pPr>
        <w:pStyle w:val="SCCNormalDoubleSpacing"/>
        <w:spacing w:line="240" w:lineRule="auto"/>
        <w:rPr>
          <w:sz w:val="20"/>
          <w:lang w:val="fr-CA"/>
        </w:rPr>
      </w:pPr>
      <w:r w:rsidRPr="00E84839">
        <w:rPr>
          <w:sz w:val="20"/>
          <w:lang w:val="fr-CA"/>
        </w:rPr>
        <w:tab/>
        <w:t xml:space="preserve">POURVOI contre un arrêt de la Cour d’appel du Manitoba (les juges </w:t>
      </w:r>
      <w:r w:rsidR="004D20D2" w:rsidRPr="00E84839">
        <w:rPr>
          <w:sz w:val="20"/>
        </w:rPr>
        <w:fldChar w:fldCharType="begin"/>
      </w:r>
      <w:r w:rsidRPr="00E84839">
        <w:rPr>
          <w:sz w:val="20"/>
          <w:lang w:val="fr-CA"/>
        </w:rPr>
        <w:instrText xml:space="preserve"> SEQ CHAPTER \h \r 1</w:instrText>
      </w:r>
      <w:r w:rsidR="004D20D2" w:rsidRPr="00E84839">
        <w:rPr>
          <w:sz w:val="20"/>
        </w:rPr>
        <w:fldChar w:fldCharType="end"/>
      </w:r>
      <w:r w:rsidRPr="00E84839">
        <w:rPr>
          <w:sz w:val="20"/>
          <w:lang w:val="fr-CA"/>
        </w:rPr>
        <w:t xml:space="preserve">Monnin, Hamilton et Freedman), </w:t>
      </w:r>
      <w:r w:rsidR="004D20D2" w:rsidRPr="00E84839">
        <w:rPr>
          <w:sz w:val="20"/>
        </w:rPr>
        <w:fldChar w:fldCharType="begin"/>
      </w:r>
      <w:r w:rsidRPr="00E84839">
        <w:rPr>
          <w:sz w:val="20"/>
          <w:lang w:val="fr-CA"/>
        </w:rPr>
        <w:instrText xml:space="preserve"> SEQ CHAPTER \h \r 1</w:instrText>
      </w:r>
      <w:r w:rsidR="004D20D2" w:rsidRPr="00E84839">
        <w:rPr>
          <w:sz w:val="20"/>
        </w:rPr>
        <w:fldChar w:fldCharType="end"/>
      </w:r>
      <w:r w:rsidRPr="00E84839">
        <w:rPr>
          <w:sz w:val="20"/>
          <w:lang w:val="fr-CA"/>
        </w:rPr>
        <w:t xml:space="preserve">2009 MBCA 71, 240 Man. R. (2d) 135, 456 W.A.C. 135, 245 C.C.C. (3d) 331, 69 C.R. (6th) 163, [2009] 8 W.W.R. 581, [2009] M.J. No. 252 (QL), 2009 CarswellMan 342, qui a annulé la déclaration de culpabilité inscrite par la juge Simonsen, </w:t>
      </w:r>
      <w:r w:rsidR="004D20D2" w:rsidRPr="00E84839">
        <w:rPr>
          <w:sz w:val="20"/>
        </w:rPr>
        <w:fldChar w:fldCharType="begin"/>
      </w:r>
      <w:r w:rsidRPr="00E84839">
        <w:rPr>
          <w:sz w:val="20"/>
          <w:lang w:val="fr-CA"/>
        </w:rPr>
        <w:instrText xml:space="preserve"> SEQ CHAPTER \h \r 1</w:instrText>
      </w:r>
      <w:r w:rsidR="004D20D2" w:rsidRPr="00E84839">
        <w:rPr>
          <w:sz w:val="20"/>
        </w:rPr>
        <w:fldChar w:fldCharType="end"/>
      </w:r>
      <w:r w:rsidRPr="00E84839">
        <w:rPr>
          <w:sz w:val="20"/>
          <w:lang w:val="fr-CA"/>
        </w:rPr>
        <w:t>2007 MBQB 219, 219 Man. R. (2d) 63, [2007] M.J. No. 324 (QL), 2007 CarswellMan 352, et ordonné la tenue d’un nouveau procès.  Pourvoi accueilli, la juge en chef McLachlin et les juges Binnie, Fish et Cromwell sont dissidents.</w:t>
      </w:r>
    </w:p>
    <w:p w:rsidR="00E84839" w:rsidRPr="00E84839" w:rsidRDefault="00E84839" w:rsidP="00E84839">
      <w:pPr>
        <w:pStyle w:val="SCCNormalDoubleSpacing"/>
        <w:spacing w:line="240" w:lineRule="auto"/>
        <w:rPr>
          <w:sz w:val="20"/>
          <w:lang w:val="fr-CA"/>
        </w:rPr>
      </w:pPr>
    </w:p>
    <w:p w:rsidR="00E84839" w:rsidRPr="00E84839" w:rsidRDefault="00E84839" w:rsidP="00E84839">
      <w:pPr>
        <w:pStyle w:val="SCCNormalDoubleSpacing"/>
        <w:spacing w:line="240" w:lineRule="auto"/>
        <w:rPr>
          <w:rStyle w:val="SCCCounselPartyRoleChar"/>
          <w:sz w:val="20"/>
          <w:lang w:val="fr-CA"/>
        </w:rPr>
      </w:pPr>
      <w:r w:rsidRPr="00E84839">
        <w:rPr>
          <w:rStyle w:val="SCCCounselNameChar"/>
          <w:sz w:val="20"/>
          <w:lang w:val="fr-CA"/>
        </w:rPr>
        <w:tab/>
        <w:t>Elizabeth A. Thomson</w:t>
      </w:r>
      <w:r w:rsidRPr="00E84839">
        <w:rPr>
          <w:rStyle w:val="SCCCounselSeparatorChar"/>
          <w:sz w:val="20"/>
        </w:rPr>
        <w:t xml:space="preserve"> et </w:t>
      </w:r>
      <w:r w:rsidRPr="00E84839">
        <w:rPr>
          <w:rStyle w:val="SCCCounselNameChar"/>
          <w:sz w:val="20"/>
          <w:lang w:val="fr-CA"/>
        </w:rPr>
        <w:t>Ami Kotler</w:t>
      </w:r>
      <w:r w:rsidRPr="00E84839">
        <w:rPr>
          <w:rStyle w:val="SCCCounselPartyRoleChar"/>
          <w:sz w:val="20"/>
          <w:lang w:val="fr-CA"/>
        </w:rPr>
        <w:t>, pour l’appelante.</w:t>
      </w:r>
    </w:p>
    <w:p w:rsidR="00E84839" w:rsidRPr="00E84839" w:rsidRDefault="00E84839" w:rsidP="00E84839">
      <w:pPr>
        <w:pStyle w:val="SCCNormalDoubleSpacing"/>
        <w:spacing w:line="240" w:lineRule="auto"/>
        <w:rPr>
          <w:sz w:val="20"/>
          <w:lang w:val="fr-CA"/>
        </w:rPr>
      </w:pPr>
    </w:p>
    <w:p w:rsidR="00E84839" w:rsidRPr="00E84839" w:rsidRDefault="00E84839" w:rsidP="00E84839">
      <w:pPr>
        <w:pStyle w:val="SCCNormalDoubleSpacing"/>
        <w:spacing w:line="240" w:lineRule="auto"/>
        <w:rPr>
          <w:rStyle w:val="SCCCounselPartyRoleChar"/>
          <w:sz w:val="20"/>
          <w:lang w:val="fr-CA"/>
        </w:rPr>
      </w:pPr>
      <w:r w:rsidRPr="00E84839">
        <w:rPr>
          <w:rStyle w:val="SCCCounselNameChar"/>
          <w:sz w:val="20"/>
          <w:lang w:val="fr-CA"/>
        </w:rPr>
        <w:tab/>
        <w:t>Richard J. Wolson</w:t>
      </w:r>
      <w:r w:rsidRPr="00E84839">
        <w:rPr>
          <w:rStyle w:val="SCCCounselNameChar"/>
          <w:i w:val="0"/>
          <w:sz w:val="20"/>
          <w:lang w:val="fr-CA"/>
        </w:rPr>
        <w:t xml:space="preserve">, </w:t>
      </w:r>
      <w:r w:rsidRPr="00E84839">
        <w:rPr>
          <w:rStyle w:val="SCCCounselNameChar"/>
          <w:sz w:val="20"/>
          <w:lang w:val="fr-CA"/>
        </w:rPr>
        <w:t>c.r.</w:t>
      </w:r>
      <w:r w:rsidRPr="00E84839">
        <w:rPr>
          <w:rStyle w:val="SCCCounselNameChar"/>
          <w:i w:val="0"/>
          <w:sz w:val="20"/>
          <w:lang w:val="fr-CA"/>
        </w:rPr>
        <w:t>,</w:t>
      </w:r>
      <w:r w:rsidRPr="00E84839">
        <w:rPr>
          <w:rStyle w:val="SCCCounselSeparatorChar"/>
          <w:sz w:val="20"/>
        </w:rPr>
        <w:t xml:space="preserve"> et </w:t>
      </w:r>
      <w:r w:rsidRPr="00E84839">
        <w:rPr>
          <w:rStyle w:val="SCCCounselNameChar"/>
          <w:sz w:val="20"/>
          <w:lang w:val="fr-CA"/>
        </w:rPr>
        <w:t>Evan Roitenberg</w:t>
      </w:r>
      <w:r w:rsidRPr="00E84839">
        <w:rPr>
          <w:rStyle w:val="SCCCounselPartyRoleChar"/>
          <w:sz w:val="20"/>
          <w:lang w:val="fr-CA"/>
        </w:rPr>
        <w:t>, pour l’intimé.</w:t>
      </w:r>
    </w:p>
    <w:p w:rsidR="00E84839" w:rsidRPr="00E84839" w:rsidRDefault="00E84839" w:rsidP="00E84839">
      <w:pPr>
        <w:pStyle w:val="SCCNormalDoubleSpacing"/>
        <w:spacing w:line="240" w:lineRule="auto"/>
        <w:rPr>
          <w:sz w:val="20"/>
          <w:lang w:val="fr-CA"/>
        </w:rPr>
      </w:pPr>
    </w:p>
    <w:p w:rsidR="00E84839" w:rsidRPr="00E84839" w:rsidRDefault="00E84839" w:rsidP="00E84839">
      <w:pPr>
        <w:pStyle w:val="SCCNormalDoubleSpacing"/>
        <w:spacing w:line="240" w:lineRule="auto"/>
        <w:rPr>
          <w:rStyle w:val="SCCCounselPartyRoleChar"/>
          <w:sz w:val="20"/>
          <w:lang w:val="fr-CA"/>
        </w:rPr>
      </w:pPr>
      <w:r w:rsidRPr="00E84839">
        <w:rPr>
          <w:rStyle w:val="SCCCounselNameChar"/>
          <w:sz w:val="20"/>
          <w:lang w:val="fr-CA"/>
        </w:rPr>
        <w:tab/>
        <w:t>James D. Sutton</w:t>
      </w:r>
      <w:r w:rsidRPr="00E84839">
        <w:rPr>
          <w:rStyle w:val="SCCCounselSeparatorChar"/>
          <w:sz w:val="20"/>
        </w:rPr>
        <w:t xml:space="preserve"> et </w:t>
      </w:r>
      <w:r w:rsidRPr="00E84839">
        <w:rPr>
          <w:rStyle w:val="SCCCounselNameChar"/>
          <w:sz w:val="20"/>
          <w:lang w:val="fr-CA"/>
        </w:rPr>
        <w:t>Carole Sheppard</w:t>
      </w:r>
      <w:r w:rsidRPr="00E84839">
        <w:rPr>
          <w:rStyle w:val="SCCCounselPartyRoleChar"/>
          <w:sz w:val="20"/>
          <w:lang w:val="fr-CA"/>
        </w:rPr>
        <w:t>, pour l’intervenant le directeur des poursuites pénales du Canada.</w:t>
      </w:r>
    </w:p>
    <w:p w:rsidR="00E84839" w:rsidRPr="00E84839" w:rsidRDefault="00E84839" w:rsidP="00E84839">
      <w:pPr>
        <w:pStyle w:val="SCCNormalDoubleSpacing"/>
        <w:spacing w:line="240" w:lineRule="auto"/>
        <w:rPr>
          <w:rStyle w:val="SCCCounselPartyRoleChar"/>
          <w:sz w:val="20"/>
          <w:lang w:val="fr-CA"/>
        </w:rPr>
      </w:pPr>
    </w:p>
    <w:p w:rsidR="00E84839" w:rsidRPr="00E84839" w:rsidRDefault="00E84839" w:rsidP="00E84839">
      <w:pPr>
        <w:pStyle w:val="SCCNormalDoubleSpacing"/>
        <w:spacing w:line="240" w:lineRule="auto"/>
        <w:rPr>
          <w:rStyle w:val="SCCCounselPartyRoleChar"/>
          <w:sz w:val="20"/>
          <w:lang w:val="fr-CA"/>
        </w:rPr>
      </w:pPr>
      <w:r w:rsidRPr="00E84839">
        <w:rPr>
          <w:rStyle w:val="SCCCounselNameChar"/>
          <w:sz w:val="20"/>
          <w:lang w:val="fr-CA"/>
        </w:rPr>
        <w:tab/>
        <w:t>Joan Barrett</w:t>
      </w:r>
      <w:r w:rsidRPr="00E84839">
        <w:rPr>
          <w:rStyle w:val="SCCCounselPartyRoleChar"/>
          <w:sz w:val="20"/>
          <w:lang w:val="fr-CA"/>
        </w:rPr>
        <w:t>, pour l’intervenant le procureur général de l’Ontario.</w:t>
      </w:r>
    </w:p>
    <w:p w:rsidR="00E84839" w:rsidRPr="00E84839" w:rsidRDefault="00E84839" w:rsidP="00E84839">
      <w:pPr>
        <w:pStyle w:val="SCCNormalDoubleSpacing"/>
        <w:spacing w:line="240" w:lineRule="auto"/>
        <w:rPr>
          <w:sz w:val="20"/>
          <w:lang w:val="fr-CA"/>
        </w:rPr>
      </w:pPr>
    </w:p>
    <w:p w:rsidR="00E84839" w:rsidRPr="00E84839" w:rsidRDefault="00E84839" w:rsidP="00E84839">
      <w:pPr>
        <w:pStyle w:val="SCCNormalDoubleSpacing"/>
        <w:spacing w:line="240" w:lineRule="auto"/>
        <w:rPr>
          <w:i/>
          <w:sz w:val="20"/>
          <w:lang w:val="fr-CA"/>
        </w:rPr>
      </w:pPr>
      <w:r w:rsidRPr="00E84839">
        <w:rPr>
          <w:sz w:val="20"/>
          <w:lang w:val="fr-CA"/>
        </w:rPr>
        <w:tab/>
      </w:r>
      <w:r w:rsidRPr="00E84839">
        <w:rPr>
          <w:i/>
          <w:sz w:val="20"/>
          <w:lang w:val="fr-CA"/>
        </w:rPr>
        <w:t>Procureur de l’appelante : Service des poursuites, Winnipeg.</w:t>
      </w:r>
    </w:p>
    <w:p w:rsidR="00E84839" w:rsidRPr="00E84839" w:rsidRDefault="00E84839" w:rsidP="00E84839">
      <w:pPr>
        <w:pStyle w:val="SCCNormalDoubleSpacing"/>
        <w:spacing w:line="240" w:lineRule="auto"/>
        <w:rPr>
          <w:i/>
          <w:sz w:val="20"/>
          <w:lang w:val="fr-CA"/>
        </w:rPr>
      </w:pPr>
    </w:p>
    <w:p w:rsidR="00E84839" w:rsidRDefault="00E84839" w:rsidP="00E84839">
      <w:pPr>
        <w:pStyle w:val="SCCNormalDoubleSpacing"/>
        <w:spacing w:line="240" w:lineRule="auto"/>
        <w:rPr>
          <w:i/>
          <w:sz w:val="20"/>
          <w:lang w:val="fr-CA"/>
        </w:rPr>
      </w:pPr>
      <w:r w:rsidRPr="00E84839">
        <w:rPr>
          <w:i/>
          <w:sz w:val="20"/>
          <w:lang w:val="fr-CA"/>
        </w:rPr>
        <w:tab/>
        <w:t>Procureurs de l’intimé : Gindin, Wolson, Simmonds, Winnipeg.</w:t>
      </w:r>
    </w:p>
    <w:p w:rsidR="00A957AC" w:rsidRPr="00E84839" w:rsidRDefault="00A957AC" w:rsidP="00E84839">
      <w:pPr>
        <w:pStyle w:val="SCCNormalDoubleSpacing"/>
        <w:spacing w:line="240" w:lineRule="auto"/>
        <w:rPr>
          <w:i/>
          <w:sz w:val="20"/>
          <w:lang w:val="fr-CA"/>
        </w:rPr>
      </w:pPr>
    </w:p>
    <w:p w:rsidR="00A957AC" w:rsidRDefault="00A957AC">
      <w:pPr>
        <w:rPr>
          <w:rFonts w:eastAsia="Times New Roman" w:cs="Times New Roman"/>
          <w:i/>
          <w:sz w:val="20"/>
          <w:szCs w:val="20"/>
          <w:lang w:val="fr-CA" w:eastAsia="en-CA"/>
        </w:rPr>
      </w:pPr>
      <w:r>
        <w:rPr>
          <w:i/>
          <w:sz w:val="20"/>
          <w:lang w:val="fr-CA"/>
        </w:rPr>
        <w:br w:type="page"/>
      </w:r>
    </w:p>
    <w:p w:rsidR="00E84839" w:rsidRPr="00E84839" w:rsidRDefault="00E84839" w:rsidP="00E84839">
      <w:pPr>
        <w:pStyle w:val="SCCNormalDoubleSpacing"/>
        <w:spacing w:line="240" w:lineRule="auto"/>
        <w:rPr>
          <w:i/>
          <w:sz w:val="20"/>
          <w:lang w:val="fr-CA"/>
        </w:rPr>
      </w:pPr>
      <w:r w:rsidRPr="00E84839">
        <w:rPr>
          <w:i/>
          <w:sz w:val="20"/>
          <w:lang w:val="fr-CA"/>
        </w:rPr>
        <w:lastRenderedPageBreak/>
        <w:tab/>
        <w:t>Procureur de l’intervenant le directeur des poursuites pénales du Canada : Service des poursuites pénales du Canada, Gatineau.</w:t>
      </w:r>
    </w:p>
    <w:p w:rsidR="00E84839" w:rsidRPr="00E84839" w:rsidRDefault="00E84839" w:rsidP="00E84839">
      <w:pPr>
        <w:pStyle w:val="SCCNormalDoubleSpacing"/>
        <w:spacing w:line="240" w:lineRule="auto"/>
        <w:rPr>
          <w:i/>
          <w:sz w:val="20"/>
          <w:lang w:val="fr-CA"/>
        </w:rPr>
      </w:pPr>
    </w:p>
    <w:p w:rsidR="00E84839" w:rsidRPr="00E84839" w:rsidRDefault="00E84839" w:rsidP="00E84839">
      <w:pPr>
        <w:pStyle w:val="SCCNormalDoubleSpacing"/>
        <w:spacing w:line="240" w:lineRule="auto"/>
        <w:rPr>
          <w:i/>
          <w:sz w:val="20"/>
          <w:lang w:val="fr-CA"/>
        </w:rPr>
      </w:pPr>
      <w:r w:rsidRPr="00E84839">
        <w:rPr>
          <w:i/>
          <w:sz w:val="20"/>
          <w:lang w:val="fr-CA"/>
        </w:rPr>
        <w:tab/>
        <w:t>Procureur de l’intervenant le procureur général de l’Ontario : Procureur général de l’Ontario, Toronto.</w:t>
      </w:r>
    </w:p>
    <w:p w:rsidR="003B3977" w:rsidRPr="00E84839" w:rsidRDefault="003B3977" w:rsidP="005C6840">
      <w:pPr>
        <w:rPr>
          <w:rFonts w:cs="Times New Roman"/>
          <w:sz w:val="20"/>
          <w:szCs w:val="20"/>
          <w:lang w:val="fr-CA"/>
        </w:rPr>
      </w:pPr>
    </w:p>
    <w:p w:rsidR="005C6840" w:rsidRDefault="004D20D2" w:rsidP="005C6840">
      <w:pPr>
        <w:rPr>
          <w:lang w:val="fr-CA"/>
        </w:rPr>
      </w:pPr>
      <w:r w:rsidRPr="004D20D2">
        <w:rPr>
          <w:rFonts w:cs="Times New Roman"/>
          <w:sz w:val="20"/>
          <w:szCs w:val="20"/>
          <w:lang w:val="fr-CA"/>
        </w:rPr>
        <w:pict>
          <v:rect id="_x0000_i1069" style="width:144.3pt;height:1pt" o:hrpct="300" o:hralign="center" o:hrstd="t" o:hrnoshade="t" o:hr="t" fillcolor="black [3213]" stroked="f"/>
        </w:pict>
      </w:r>
      <w:r w:rsidR="005C6840">
        <w:rPr>
          <w:lang w:val="fr-CA"/>
        </w:rPr>
        <w:br w:type="page"/>
      </w:r>
    </w:p>
    <w:p w:rsidR="00322868" w:rsidRDefault="00322868" w:rsidP="005C6840">
      <w:pPr>
        <w:tabs>
          <w:tab w:val="left" w:pos="-1440"/>
        </w:tabs>
        <w:ind w:left="720" w:hanging="720"/>
        <w:jc w:val="both"/>
        <w:rPr>
          <w:sz w:val="20"/>
          <w:szCs w:val="20"/>
        </w:rPr>
      </w:pPr>
      <w:r w:rsidRPr="00F5328F">
        <w:rPr>
          <w:i/>
          <w:sz w:val="20"/>
          <w:szCs w:val="20"/>
        </w:rPr>
        <w:lastRenderedPageBreak/>
        <w:t>Her Majesty the Queen in Right of Canada v. Imperial Tobacco Canada Limited</w:t>
      </w:r>
      <w:r w:rsidRPr="00F5328F">
        <w:rPr>
          <w:sz w:val="20"/>
          <w:szCs w:val="20"/>
        </w:rPr>
        <w:t xml:space="preserve"> (B.C.) (33559)</w:t>
      </w:r>
    </w:p>
    <w:p w:rsidR="00322868" w:rsidRDefault="00E9525C" w:rsidP="005C6840">
      <w:pPr>
        <w:tabs>
          <w:tab w:val="left" w:pos="-1440"/>
        </w:tabs>
        <w:ind w:left="720" w:hanging="720"/>
        <w:jc w:val="both"/>
        <w:rPr>
          <w:sz w:val="20"/>
          <w:szCs w:val="20"/>
        </w:rPr>
      </w:pPr>
      <w:r w:rsidRPr="00F5328F">
        <w:rPr>
          <w:i/>
          <w:sz w:val="20"/>
          <w:szCs w:val="20"/>
        </w:rPr>
        <w:t>Attorney General of Canada v. Her Majesty the Queen in Right of British Columbia et al.</w:t>
      </w:r>
      <w:r w:rsidRPr="00F5328F">
        <w:rPr>
          <w:sz w:val="20"/>
          <w:szCs w:val="20"/>
        </w:rPr>
        <w:t xml:space="preserve"> (B.C.) (33563)</w:t>
      </w:r>
    </w:p>
    <w:p w:rsidR="00F87A56" w:rsidRPr="00593981" w:rsidRDefault="00F87A56" w:rsidP="00F87A56">
      <w:pPr>
        <w:jc w:val="both"/>
        <w:rPr>
          <w:rFonts w:cs="Times New Roman"/>
          <w:b/>
          <w:sz w:val="20"/>
          <w:szCs w:val="20"/>
        </w:rPr>
      </w:pPr>
      <w:r w:rsidRPr="00F80B88">
        <w:rPr>
          <w:b/>
          <w:sz w:val="20"/>
        </w:rPr>
        <w:t xml:space="preserve">Indexed as:  </w:t>
      </w:r>
      <w:r w:rsidRPr="00F87A56">
        <w:rPr>
          <w:rStyle w:val="SCCAppellantForIndexChar"/>
          <w:rFonts w:eastAsia="Calibri"/>
          <w:sz w:val="20"/>
          <w:lang w:val="en-CA"/>
        </w:rPr>
        <w:t>R.</w:t>
      </w:r>
      <w:r w:rsidRPr="00F80B88">
        <w:rPr>
          <w:b/>
          <w:sz w:val="20"/>
        </w:rPr>
        <w:t xml:space="preserve"> </w:t>
      </w:r>
      <w:r w:rsidRPr="00F80B88">
        <w:rPr>
          <w:b/>
          <w:i/>
          <w:sz w:val="20"/>
        </w:rPr>
        <w:t>v.</w:t>
      </w:r>
      <w:r w:rsidRPr="00F80B88">
        <w:rPr>
          <w:b/>
          <w:sz w:val="20"/>
        </w:rPr>
        <w:t xml:space="preserve"> </w:t>
      </w:r>
      <w:r w:rsidRPr="00F80B88">
        <w:rPr>
          <w:rStyle w:val="SCCRespondentForIndexChar"/>
          <w:rFonts w:eastAsia="Calibri"/>
          <w:sz w:val="20"/>
        </w:rPr>
        <w:t>Imperial Tobacco Canada Ltd.</w:t>
      </w:r>
      <w:r>
        <w:rPr>
          <w:rStyle w:val="SCCRespondentForIndexChar"/>
          <w:rFonts w:eastAsia="Calibri"/>
          <w:sz w:val="20"/>
        </w:rPr>
        <w:t xml:space="preserve"> / </w:t>
      </w:r>
      <w:r w:rsidRPr="00593981">
        <w:rPr>
          <w:rFonts w:cs="Times New Roman"/>
          <w:b/>
          <w:sz w:val="20"/>
          <w:szCs w:val="20"/>
        </w:rPr>
        <w:t>Répertorié : </w:t>
      </w:r>
      <w:r w:rsidRPr="00F87A56">
        <w:rPr>
          <w:rStyle w:val="SCCAppellantForIndexChar"/>
          <w:rFonts w:eastAsia="Calibri"/>
          <w:sz w:val="20"/>
          <w:lang w:val="en-CA"/>
        </w:rPr>
        <w:t>R.</w:t>
      </w:r>
      <w:r w:rsidRPr="00593981">
        <w:rPr>
          <w:rFonts w:cs="Times New Roman"/>
          <w:b/>
          <w:sz w:val="20"/>
          <w:szCs w:val="20"/>
        </w:rPr>
        <w:t xml:space="preserve"> </w:t>
      </w:r>
      <w:r w:rsidRPr="00593981">
        <w:rPr>
          <w:rFonts w:cs="Times New Roman"/>
          <w:b/>
          <w:i/>
          <w:sz w:val="20"/>
          <w:szCs w:val="20"/>
        </w:rPr>
        <w:t>c.</w:t>
      </w:r>
      <w:r w:rsidRPr="00593981">
        <w:rPr>
          <w:rFonts w:cs="Times New Roman"/>
          <w:b/>
          <w:sz w:val="20"/>
          <w:szCs w:val="20"/>
        </w:rPr>
        <w:t xml:space="preserve"> </w:t>
      </w:r>
      <w:r w:rsidRPr="00593981">
        <w:rPr>
          <w:rStyle w:val="SCCRespondentForIndexChar"/>
          <w:rFonts w:eastAsia="Calibri"/>
          <w:sz w:val="20"/>
        </w:rPr>
        <w:t>Imperial Tobacco Canada Ltée</w:t>
      </w:r>
    </w:p>
    <w:p w:rsidR="005C6840" w:rsidRPr="00322868" w:rsidRDefault="005C6840" w:rsidP="005C6840">
      <w:pPr>
        <w:pStyle w:val="SCCSystemYear"/>
        <w:jc w:val="both"/>
        <w:rPr>
          <w:sz w:val="20"/>
        </w:rPr>
      </w:pPr>
      <w:r w:rsidRPr="00322868">
        <w:rPr>
          <w:sz w:val="20"/>
        </w:rPr>
        <w:t>Neutral citation:  201</w:t>
      </w:r>
      <w:r w:rsidR="007F387B" w:rsidRPr="00322868">
        <w:rPr>
          <w:sz w:val="20"/>
        </w:rPr>
        <w:t>1</w:t>
      </w:r>
      <w:r w:rsidRPr="00322868">
        <w:rPr>
          <w:sz w:val="20"/>
        </w:rPr>
        <w:t xml:space="preserve"> SCC </w:t>
      </w:r>
      <w:r w:rsidR="00322868" w:rsidRPr="00322868">
        <w:rPr>
          <w:sz w:val="20"/>
        </w:rPr>
        <w:t>4</w:t>
      </w:r>
      <w:r w:rsidR="007F387B" w:rsidRPr="00322868">
        <w:rPr>
          <w:sz w:val="20"/>
        </w:rPr>
        <w:t>2</w:t>
      </w:r>
      <w:r w:rsidRPr="00322868">
        <w:rPr>
          <w:sz w:val="20"/>
        </w:rPr>
        <w:t xml:space="preserve"> / Référence neutre : 201</w:t>
      </w:r>
      <w:r w:rsidR="007F387B" w:rsidRPr="00322868">
        <w:rPr>
          <w:sz w:val="20"/>
        </w:rPr>
        <w:t>1</w:t>
      </w:r>
      <w:r w:rsidRPr="00322868">
        <w:rPr>
          <w:sz w:val="20"/>
        </w:rPr>
        <w:t xml:space="preserve"> CSC </w:t>
      </w:r>
      <w:r w:rsidR="00322868" w:rsidRPr="00322868">
        <w:rPr>
          <w:sz w:val="20"/>
        </w:rPr>
        <w:t>4</w:t>
      </w:r>
      <w:r w:rsidR="007F387B" w:rsidRPr="00322868">
        <w:rPr>
          <w:sz w:val="20"/>
        </w:rPr>
        <w:t>2</w:t>
      </w:r>
    </w:p>
    <w:p w:rsidR="005C6840" w:rsidRPr="003359D3" w:rsidRDefault="005C6840" w:rsidP="005C6840">
      <w:pPr>
        <w:rPr>
          <w:sz w:val="20"/>
          <w:szCs w:val="20"/>
        </w:rPr>
      </w:pPr>
      <w:r w:rsidRPr="003359D3">
        <w:rPr>
          <w:sz w:val="20"/>
          <w:szCs w:val="20"/>
        </w:rPr>
        <w:t xml:space="preserve">Hearing:  </w:t>
      </w:r>
      <w:r w:rsidR="008F24E5">
        <w:rPr>
          <w:sz w:val="20"/>
          <w:szCs w:val="20"/>
        </w:rPr>
        <w:t>February 24</w:t>
      </w:r>
      <w:r w:rsidRPr="003359D3">
        <w:rPr>
          <w:sz w:val="20"/>
          <w:szCs w:val="20"/>
        </w:rPr>
        <w:t>, 201</w:t>
      </w:r>
      <w:r w:rsidR="008F24E5">
        <w:rPr>
          <w:sz w:val="20"/>
          <w:szCs w:val="20"/>
        </w:rPr>
        <w:t>1</w:t>
      </w:r>
      <w:r w:rsidRPr="003359D3">
        <w:rPr>
          <w:sz w:val="20"/>
          <w:szCs w:val="20"/>
        </w:rPr>
        <w:t xml:space="preserve"> / Judgment:  </w:t>
      </w:r>
      <w:r w:rsidR="00322868">
        <w:rPr>
          <w:sz w:val="20"/>
          <w:szCs w:val="20"/>
        </w:rPr>
        <w:t>July</w:t>
      </w:r>
      <w:r w:rsidRPr="003359D3">
        <w:rPr>
          <w:sz w:val="20"/>
          <w:szCs w:val="20"/>
        </w:rPr>
        <w:t xml:space="preserve"> 2</w:t>
      </w:r>
      <w:r w:rsidR="00322868">
        <w:rPr>
          <w:sz w:val="20"/>
          <w:szCs w:val="20"/>
        </w:rPr>
        <w:t>9</w:t>
      </w:r>
      <w:r w:rsidRPr="003359D3">
        <w:rPr>
          <w:sz w:val="20"/>
          <w:szCs w:val="20"/>
        </w:rPr>
        <w:t>, 201</w:t>
      </w:r>
      <w:r w:rsidR="00322868">
        <w:rPr>
          <w:sz w:val="20"/>
          <w:szCs w:val="20"/>
        </w:rPr>
        <w:t>1</w:t>
      </w:r>
    </w:p>
    <w:p w:rsidR="005C6840" w:rsidRPr="003B3977" w:rsidRDefault="005C6840" w:rsidP="005C6840">
      <w:pPr>
        <w:rPr>
          <w:sz w:val="20"/>
          <w:szCs w:val="20"/>
          <w:lang w:val="fr-CA"/>
        </w:rPr>
      </w:pPr>
      <w:r w:rsidRPr="003B3977">
        <w:rPr>
          <w:sz w:val="20"/>
          <w:szCs w:val="20"/>
          <w:lang w:val="fr-CA"/>
        </w:rPr>
        <w:t>Audition : Le 2</w:t>
      </w:r>
      <w:r w:rsidR="008F24E5">
        <w:rPr>
          <w:sz w:val="20"/>
          <w:szCs w:val="20"/>
          <w:lang w:val="fr-CA"/>
        </w:rPr>
        <w:t>4 févr</w:t>
      </w:r>
      <w:r w:rsidRPr="003B3977">
        <w:rPr>
          <w:sz w:val="20"/>
          <w:szCs w:val="20"/>
          <w:lang w:val="fr-CA"/>
        </w:rPr>
        <w:t>i</w:t>
      </w:r>
      <w:r w:rsidR="008F24E5">
        <w:rPr>
          <w:sz w:val="20"/>
          <w:szCs w:val="20"/>
          <w:lang w:val="fr-CA"/>
        </w:rPr>
        <w:t>er</w:t>
      </w:r>
      <w:r w:rsidRPr="003B3977">
        <w:rPr>
          <w:sz w:val="20"/>
          <w:szCs w:val="20"/>
          <w:lang w:val="fr-CA"/>
        </w:rPr>
        <w:t xml:space="preserve"> 201</w:t>
      </w:r>
      <w:r w:rsidR="008F24E5">
        <w:rPr>
          <w:sz w:val="20"/>
          <w:szCs w:val="20"/>
          <w:lang w:val="fr-CA"/>
        </w:rPr>
        <w:t>1</w:t>
      </w:r>
      <w:r w:rsidRPr="003B3977">
        <w:rPr>
          <w:sz w:val="20"/>
          <w:szCs w:val="20"/>
          <w:lang w:val="fr-CA"/>
        </w:rPr>
        <w:t xml:space="preserve"> / Jugement : Le 2</w:t>
      </w:r>
      <w:r w:rsidR="00322868">
        <w:rPr>
          <w:sz w:val="20"/>
          <w:szCs w:val="20"/>
          <w:lang w:val="fr-CA"/>
        </w:rPr>
        <w:t>9 juillet</w:t>
      </w:r>
      <w:r w:rsidRPr="003B3977">
        <w:rPr>
          <w:sz w:val="20"/>
          <w:szCs w:val="20"/>
          <w:lang w:val="fr-CA"/>
        </w:rPr>
        <w:t xml:space="preserve"> 201</w:t>
      </w:r>
      <w:r w:rsidR="00322868">
        <w:rPr>
          <w:sz w:val="20"/>
          <w:szCs w:val="20"/>
          <w:lang w:val="fr-CA"/>
        </w:rPr>
        <w:t>1</w:t>
      </w:r>
    </w:p>
    <w:p w:rsidR="005C6840" w:rsidRPr="003B3977" w:rsidRDefault="004D20D2" w:rsidP="005C6840">
      <w:pPr>
        <w:rPr>
          <w:sz w:val="20"/>
          <w:szCs w:val="20"/>
          <w:lang w:val="fr-CA"/>
        </w:rPr>
      </w:pPr>
      <w:r w:rsidRPr="004D20D2">
        <w:rPr>
          <w:i/>
          <w:sz w:val="20"/>
          <w:szCs w:val="20"/>
        </w:rPr>
        <w:pict>
          <v:rect id="_x0000_i1070" style="width:480.95pt;height:1pt" o:hralign="center" o:hrstd="t" o:hrnoshade="t" o:hr="t" fillcolor="black [3213]" stroked="f"/>
        </w:pict>
      </w:r>
    </w:p>
    <w:p w:rsidR="005C6840" w:rsidRDefault="005C6840" w:rsidP="005C6840">
      <w:pPr>
        <w:spacing w:line="0" w:lineRule="atLeast"/>
        <w:rPr>
          <w:sz w:val="20"/>
          <w:szCs w:val="20"/>
          <w:lang w:val="fr-CA"/>
        </w:rPr>
      </w:pPr>
    </w:p>
    <w:p w:rsidR="00697A14" w:rsidRPr="00F80B88" w:rsidRDefault="00697A14" w:rsidP="00697A14">
      <w:pPr>
        <w:jc w:val="both"/>
        <w:rPr>
          <w:sz w:val="20"/>
        </w:rPr>
      </w:pPr>
      <w:r w:rsidRPr="00F80B88">
        <w:rPr>
          <w:sz w:val="20"/>
        </w:rPr>
        <w:t>Present:  McLachlin C.J. and Binnie, LeBel, Deschamps, Fish, Abella, Charron, Rothstein and Cromwell JJ.</w:t>
      </w:r>
    </w:p>
    <w:p w:rsidR="00697A14" w:rsidRDefault="00697A14" w:rsidP="00697A14">
      <w:pPr>
        <w:pStyle w:val="SCCLowerCourtNameLowercase"/>
        <w:spacing w:line="240" w:lineRule="auto"/>
        <w:rPr>
          <w:sz w:val="20"/>
        </w:rPr>
      </w:pPr>
    </w:p>
    <w:p w:rsidR="00697A14" w:rsidRDefault="00697A14" w:rsidP="00697A14">
      <w:pPr>
        <w:pStyle w:val="SCCNormalDoubleSpacing"/>
        <w:spacing w:line="240" w:lineRule="auto"/>
        <w:rPr>
          <w:i/>
          <w:sz w:val="20"/>
        </w:rPr>
      </w:pPr>
      <w:r w:rsidRPr="00F80B88">
        <w:rPr>
          <w:i/>
          <w:sz w:val="20"/>
        </w:rPr>
        <w:tab/>
        <w:t>Civil procedure — Third</w:t>
      </w:r>
      <w:r w:rsidRPr="00F80B88">
        <w:rPr>
          <w:i/>
          <w:sz w:val="20"/>
        </w:rPr>
        <w:noBreakHyphen/>
        <w:t>party claims — Motion to strike — Tobacco manufacturers being sued by provincial government to recover health care costs of tobacco</w:t>
      </w:r>
      <w:r w:rsidRPr="00F80B88">
        <w:rPr>
          <w:i/>
          <w:sz w:val="20"/>
        </w:rPr>
        <w:noBreakHyphen/>
        <w:t>related illnesses, and by consumers of “light” or “mild” cigarettes for damages and punitive damages — Tobacco companies issuing third</w:t>
      </w:r>
      <w:r w:rsidRPr="00F80B88">
        <w:rPr>
          <w:i/>
          <w:sz w:val="20"/>
        </w:rPr>
        <w:noBreakHyphen/>
        <w:t>party notices to federal government claiming contribution and indemnity — Whether plain and obvious that third</w:t>
      </w:r>
      <w:r w:rsidRPr="00F80B88">
        <w:rPr>
          <w:i/>
          <w:sz w:val="20"/>
        </w:rPr>
        <w:noBreakHyphen/>
        <w:t>party claims disclose no reasonable cause of action.</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i/>
          <w:sz w:val="20"/>
        </w:rPr>
      </w:pPr>
      <w:r w:rsidRPr="00F80B88">
        <w:rPr>
          <w:i/>
          <w:sz w:val="20"/>
        </w:rPr>
        <w:tab/>
        <w:t>Torts — Negligent misrepresentation — Failure to warn — Negligent design — Duty of care — Proximity — Tobacco manufacturers being sued by provincial government and consumers and issuing third</w:t>
      </w:r>
      <w:r w:rsidRPr="00F80B88">
        <w:rPr>
          <w:i/>
          <w:sz w:val="20"/>
        </w:rPr>
        <w:noBreakHyphen/>
        <w:t>party notices to federal government claiming contribution and indemnity — Federal government claiming representations constituted government policy immune from judicial review — Whether facts as plead establish prima facie duty of care — If so, whether conflicting policy considerations negate such duty.</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i/>
          <w:sz w:val="20"/>
        </w:rPr>
      </w:pPr>
      <w:r w:rsidRPr="00F80B88">
        <w:rPr>
          <w:i/>
          <w:sz w:val="20"/>
        </w:rPr>
        <w:tab/>
        <w:t>Torts — Provincial statutory scheme establishing rights of action against tobacco manufacturers and suppliers — Whether federal government liable as a “manufacturer” under the Tobacco Damages and Health Care Costs Recovery Act, S.B.C. 2000, c. 30, or a “supplier” under the Business Practices and Consumer Protection Act, S.B.C. 2004, c. 2, and the Trade Practice Act, R.S.B.C. 1996, c. 457.</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tab/>
        <w:t xml:space="preserve">The appeal concerns two cases before the courts in British Columbia.  In the </w:t>
      </w:r>
      <w:r w:rsidRPr="00F80B88">
        <w:rPr>
          <w:i/>
          <w:sz w:val="20"/>
        </w:rPr>
        <w:t>Costs Recovery</w:t>
      </w:r>
      <w:r w:rsidRPr="00F80B88">
        <w:rPr>
          <w:sz w:val="20"/>
        </w:rPr>
        <w:t xml:space="preserve"> case, the Government of British Columbia is seeking to recover, pursuant to the </w:t>
      </w:r>
      <w:r w:rsidRPr="00F80B88">
        <w:rPr>
          <w:i/>
          <w:sz w:val="20"/>
        </w:rPr>
        <w:t>Tobacco Damages and Health Care Costs Recovery Act</w:t>
      </w:r>
      <w:r w:rsidRPr="00F80B88">
        <w:rPr>
          <w:sz w:val="20"/>
        </w:rPr>
        <w:t xml:space="preserve"> (“</w:t>
      </w:r>
      <w:r w:rsidRPr="00F80B88">
        <w:rPr>
          <w:i/>
          <w:sz w:val="20"/>
        </w:rPr>
        <w:t>CRA</w:t>
      </w:r>
      <w:r w:rsidRPr="00F80B88">
        <w:rPr>
          <w:sz w:val="20"/>
        </w:rPr>
        <w:t>”), the cost of paying for the medical treatment of individuals suffering from tobacco</w:t>
      </w:r>
      <w:r w:rsidRPr="00F80B88">
        <w:rPr>
          <w:sz w:val="20"/>
        </w:rPr>
        <w:noBreakHyphen/>
        <w:t xml:space="preserve">related illnesses from a group of tobacco companies, including Imperial.  British Columbia alleges that by 1950, the tobacco companies knew or ought to have known that cigarettes were harmful to one’s health, and that they failed to properly warn the public about the risks associated with smoking their product.  In the </w:t>
      </w:r>
      <w:r w:rsidRPr="00F80B88">
        <w:rPr>
          <w:i/>
          <w:sz w:val="20"/>
        </w:rPr>
        <w:t>Knight</w:t>
      </w:r>
      <w:r w:rsidRPr="00F80B88">
        <w:rPr>
          <w:sz w:val="20"/>
        </w:rPr>
        <w:t xml:space="preserve"> case, a class action was brought against Imperial alone on behalf of class members who purchased “light” or “mild” cigarettes, seeking a refund of the cost of the cigarettes and punitive damages.  The class alleges that the levels of tar and nicotine listed on Imperial’s packages for light and mild cigarettes did not reflect the actual deliveries of toxic emissions to smokers, and alleges that the smoke produced by light cigarettes was just as harmful as that produced by regular cigarettes. </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tab/>
        <w:t>In both cases, the tobacco companies issued third</w:t>
      </w:r>
      <w:r w:rsidRPr="00F80B88">
        <w:rPr>
          <w:sz w:val="20"/>
        </w:rPr>
        <w:noBreakHyphen/>
        <w:t xml:space="preserve">party notices to the Government of Canada, alleging that if the tobacco companies are held liable to the plaintiffs, they are entitled to compensation from Canada for negligent misrepresentation, negligent design and failure to warn, as well as at equity.  They also allege that Canada would itself be liable as a “manufacturer” under the </w:t>
      </w:r>
      <w:r w:rsidRPr="00F80B88">
        <w:rPr>
          <w:i/>
          <w:sz w:val="20"/>
        </w:rPr>
        <w:t>CRA</w:t>
      </w:r>
      <w:r w:rsidRPr="00F80B88">
        <w:rPr>
          <w:sz w:val="20"/>
        </w:rPr>
        <w:t xml:space="preserve"> or a “supplier” under the </w:t>
      </w:r>
      <w:r w:rsidRPr="00F80B88">
        <w:rPr>
          <w:i/>
          <w:sz w:val="20"/>
        </w:rPr>
        <w:t>Business Practices and Consumer Protection Act</w:t>
      </w:r>
      <w:r w:rsidRPr="00F80B88">
        <w:rPr>
          <w:sz w:val="20"/>
        </w:rPr>
        <w:t xml:space="preserve"> and the </w:t>
      </w:r>
      <w:r w:rsidRPr="00F80B88">
        <w:rPr>
          <w:i/>
          <w:sz w:val="20"/>
        </w:rPr>
        <w:t>Trade Practice Act</w:t>
      </w:r>
      <w:r w:rsidRPr="00F80B88">
        <w:rPr>
          <w:sz w:val="20"/>
        </w:rPr>
        <w:t xml:space="preserve">, and that they are entitled to contribution and indemnity from Canada pursuant to the </w:t>
      </w:r>
      <w:r w:rsidRPr="00F80B88">
        <w:rPr>
          <w:i/>
          <w:sz w:val="20"/>
        </w:rPr>
        <w:t>Negligence Act</w:t>
      </w:r>
      <w:r w:rsidRPr="00F80B88">
        <w:rPr>
          <w:sz w:val="20"/>
        </w:rPr>
        <w:t>.  Canada brought motions to strike the third</w:t>
      </w:r>
      <w:r w:rsidRPr="00F80B88">
        <w:rPr>
          <w:sz w:val="20"/>
        </w:rPr>
        <w:noBreakHyphen/>
        <w:t>party notices, arguing that it was plain and obvious that the third</w:t>
      </w:r>
      <w:r w:rsidRPr="00F80B88">
        <w:rPr>
          <w:sz w:val="20"/>
        </w:rPr>
        <w:noBreakHyphen/>
        <w:t>party claims failed to disclose a reasonable cause of action.  In both cases, the chambers judges struck all of the third</w:t>
      </w:r>
      <w:r w:rsidRPr="00F80B88">
        <w:rPr>
          <w:sz w:val="20"/>
        </w:rPr>
        <w:noBreakHyphen/>
        <w:t xml:space="preserve">party notices.  The British Columbia Court of Appeal allowed the tobacco companies’ appeals in part.  A majority held that the negligent misrepresentation claims arising from Canada’s alleged duty of care to the tobacco companies in both the </w:t>
      </w:r>
      <w:r w:rsidRPr="00F80B88">
        <w:rPr>
          <w:i/>
          <w:sz w:val="20"/>
        </w:rPr>
        <w:t xml:space="preserve">Costs Recovery </w:t>
      </w:r>
      <w:r w:rsidRPr="00F80B88">
        <w:rPr>
          <w:sz w:val="20"/>
        </w:rPr>
        <w:t xml:space="preserve">case and the </w:t>
      </w:r>
      <w:r w:rsidRPr="00F80B88">
        <w:rPr>
          <w:i/>
          <w:sz w:val="20"/>
        </w:rPr>
        <w:t xml:space="preserve">Knight </w:t>
      </w:r>
      <w:r w:rsidRPr="00F80B88">
        <w:rPr>
          <w:sz w:val="20"/>
        </w:rPr>
        <w:t xml:space="preserve">case should proceed to trial.  A majority in the </w:t>
      </w:r>
      <w:r w:rsidRPr="00F80B88">
        <w:rPr>
          <w:i/>
          <w:sz w:val="20"/>
        </w:rPr>
        <w:t xml:space="preserve">Knight </w:t>
      </w:r>
      <w:r w:rsidRPr="00F80B88">
        <w:rPr>
          <w:sz w:val="20"/>
        </w:rPr>
        <w:t>case further held that the negligent misrepresentation claim based on Canada’s alleged duty of care to consumers should proceed, as should the negligent design claim.  The court unanimously struck the remainder of the tobacco companies’ claims.</w:t>
      </w:r>
    </w:p>
    <w:p w:rsidR="00697A14" w:rsidRPr="00F80B88" w:rsidRDefault="00697A14" w:rsidP="00697A14">
      <w:pPr>
        <w:pStyle w:val="SCCNormalDoubleSpacing"/>
        <w:spacing w:line="240" w:lineRule="auto"/>
        <w:rPr>
          <w:sz w:val="20"/>
        </w:rPr>
      </w:pPr>
    </w:p>
    <w:p w:rsidR="00697A14" w:rsidRPr="00D03ED3" w:rsidRDefault="00697A14" w:rsidP="00697A14">
      <w:pPr>
        <w:pStyle w:val="SCCNormalDoubleSpacing"/>
        <w:spacing w:line="240" w:lineRule="auto"/>
        <w:rPr>
          <w:sz w:val="20"/>
        </w:rPr>
      </w:pPr>
      <w:r w:rsidRPr="00D03ED3">
        <w:rPr>
          <w:sz w:val="20"/>
        </w:rPr>
        <w:tab/>
      </w:r>
      <w:r w:rsidRPr="00D03ED3">
        <w:rPr>
          <w:i/>
          <w:sz w:val="20"/>
        </w:rPr>
        <w:t>H</w:t>
      </w:r>
      <w:r w:rsidRPr="00D03ED3">
        <w:rPr>
          <w:rStyle w:val="QuoteChar"/>
          <w:sz w:val="20"/>
        </w:rPr>
        <w:t>eld</w:t>
      </w:r>
      <w:r w:rsidRPr="00D03ED3">
        <w:rPr>
          <w:rStyle w:val="QuoteChar"/>
          <w:i w:val="0"/>
          <w:sz w:val="20"/>
        </w:rPr>
        <w:t>:</w:t>
      </w:r>
      <w:r w:rsidRPr="00D03ED3">
        <w:rPr>
          <w:sz w:val="20"/>
        </w:rPr>
        <w:t xml:space="preserve">  The appeals should be allowed and the claims should be struck out. The tobacco companies’ cross</w:t>
      </w:r>
      <w:r w:rsidRPr="00D03ED3">
        <w:rPr>
          <w:sz w:val="20"/>
        </w:rPr>
        <w:noBreakHyphen/>
        <w:t>appeals should be dismissed.</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lastRenderedPageBreak/>
        <w:tab/>
        <w:t>On a motion to strike, a claim will only be struck if it is plain and obvious, assuming the facts pleaded to be true, that the pleading discloses no reasonable cause of action.  The approach must be generous, and err on the side of permitting a novel but arguable claim to proceed to trial.  However, the judge cannot consider what evidence adduced in the future might or might not show.  Here, it is plain and obvious that none of the tobacco companies’ claims against Canada have a reasonable chance of success.</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i/>
          <w:sz w:val="20"/>
        </w:rPr>
      </w:pPr>
      <w:r w:rsidRPr="00F80B88">
        <w:rPr>
          <w:i/>
          <w:sz w:val="20"/>
        </w:rPr>
        <w:t>Canada’s Alleged Duties of Care to Smokers in the Costs Recovery Case</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sz w:val="20"/>
        </w:rPr>
      </w:pPr>
      <w:r w:rsidRPr="00F80B88">
        <w:rPr>
          <w:sz w:val="20"/>
        </w:rPr>
        <w:tab/>
        <w:t xml:space="preserve">In the </w:t>
      </w:r>
      <w:r w:rsidRPr="00F80B88">
        <w:rPr>
          <w:i/>
          <w:sz w:val="20"/>
        </w:rPr>
        <w:t xml:space="preserve">Costs Recovery </w:t>
      </w:r>
      <w:r w:rsidRPr="00F80B88">
        <w:rPr>
          <w:sz w:val="20"/>
        </w:rPr>
        <w:t xml:space="preserve">case, the private law claims against Canada for contribution and indemnity based on alleged breaches of a duty of care to smokers must be struck.  A third party may only be liable for contribution under the </w:t>
      </w:r>
      <w:r w:rsidRPr="00F80B88">
        <w:rPr>
          <w:i/>
          <w:sz w:val="20"/>
        </w:rPr>
        <w:t>Negligence Act</w:t>
      </w:r>
      <w:r w:rsidRPr="00F80B88">
        <w:rPr>
          <w:sz w:val="20"/>
        </w:rPr>
        <w:t xml:space="preserve"> if it is directly liable to the plaintiff, in this case, British Columbia.  Here, even if Canada breached duties to smokers, this would have no effect on whether it was liable to British Columbia. </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i/>
          <w:sz w:val="20"/>
        </w:rPr>
      </w:pPr>
      <w:r w:rsidRPr="00F80B88">
        <w:rPr>
          <w:i/>
          <w:sz w:val="20"/>
        </w:rPr>
        <w:t>The Claims for Negligent Misrepresentation</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sz w:val="20"/>
        </w:rPr>
      </w:pPr>
      <w:r w:rsidRPr="00F80B88">
        <w:rPr>
          <w:sz w:val="20"/>
        </w:rPr>
        <w:tab/>
        <w:t xml:space="preserve">There are two relationships at issue in these claims: one between Canada and consumers and one between Canada and tobacco companies.  In the </w:t>
      </w:r>
      <w:r w:rsidRPr="00F80B88">
        <w:rPr>
          <w:i/>
          <w:sz w:val="20"/>
        </w:rPr>
        <w:t>Knight</w:t>
      </w:r>
      <w:r w:rsidRPr="00F80B88">
        <w:rPr>
          <w:sz w:val="20"/>
        </w:rPr>
        <w:t xml:space="preserve"> case, Imperial alleges that Canada negligently represented the health attributes of low</w:t>
      </w:r>
      <w:r w:rsidRPr="00F80B88">
        <w:rPr>
          <w:sz w:val="20"/>
        </w:rPr>
        <w:noBreakHyphen/>
        <w:t xml:space="preserve">tar cigarettes to consumers.  In both the </w:t>
      </w:r>
      <w:r w:rsidRPr="00F80B88">
        <w:rPr>
          <w:i/>
          <w:sz w:val="20"/>
        </w:rPr>
        <w:t>Knight</w:t>
      </w:r>
      <w:r w:rsidRPr="00F80B88">
        <w:rPr>
          <w:sz w:val="20"/>
        </w:rPr>
        <w:t xml:space="preserve"> case and the </w:t>
      </w:r>
      <w:r w:rsidRPr="00F80B88">
        <w:rPr>
          <w:i/>
          <w:sz w:val="20"/>
        </w:rPr>
        <w:t>Costs Recovery</w:t>
      </w:r>
      <w:r w:rsidRPr="00F80B88">
        <w:rPr>
          <w:sz w:val="20"/>
        </w:rPr>
        <w:t xml:space="preserve"> case, the tobacco companies allege that Canada made negligent misrepresentations to the tobacco companies. </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tab/>
        <w:t xml:space="preserve">The facts as pleaded do not bring Canada’s relationship with consumers and the tobacco companies within a settled category of negligent misrepresentation.  Accordingly, to determine whether the alleged causes of action have a reasonable prospect of success, the general requirements for liability in tort must be met.  At the first stage, the question is whether the facts disclose a relationship of proximity in which failure to take reasonable care might foreseeably cause loss or harm to the plaintiff.  In a claim of negligent misrepresentation, both of these requirements for a </w:t>
      </w:r>
      <w:r w:rsidRPr="00F80B88">
        <w:rPr>
          <w:i/>
          <w:sz w:val="20"/>
        </w:rPr>
        <w:t xml:space="preserve">prima facie </w:t>
      </w:r>
      <w:r w:rsidRPr="00F80B88">
        <w:rPr>
          <w:sz w:val="20"/>
        </w:rPr>
        <w:t xml:space="preserve">duty of care are established if there was a “special relationship” between the parties.  A special relationship will be established where: (1) the defendant ought reasonably to foresee that the plaintiff will rely on his or her representation; and (2) reliance by the plaintiff would be reasonable in the circumstances of the case.  If proximity is established, a </w:t>
      </w:r>
      <w:r w:rsidRPr="00F80B88">
        <w:rPr>
          <w:i/>
          <w:sz w:val="20"/>
        </w:rPr>
        <w:t>prima facie</w:t>
      </w:r>
      <w:r w:rsidRPr="00F80B88">
        <w:rPr>
          <w:sz w:val="20"/>
        </w:rPr>
        <w:t xml:space="preserve"> duty of care arises and the analysis proceeds to the second stage, which asks whether there are policy reasons why this </w:t>
      </w:r>
      <w:r w:rsidRPr="00F80B88">
        <w:rPr>
          <w:i/>
          <w:sz w:val="20"/>
        </w:rPr>
        <w:t xml:space="preserve">prima facie </w:t>
      </w:r>
      <w:r w:rsidRPr="00F80B88">
        <w:rPr>
          <w:sz w:val="20"/>
        </w:rPr>
        <w:t>duty of care should not be recognized.</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tab/>
        <w:t xml:space="preserve">Here, on the facts as pleaded, Canada did not owe a </w:t>
      </w:r>
      <w:r w:rsidRPr="00F80B88">
        <w:rPr>
          <w:i/>
          <w:sz w:val="20"/>
        </w:rPr>
        <w:t xml:space="preserve">prima facie </w:t>
      </w:r>
      <w:r w:rsidRPr="00F80B88">
        <w:rPr>
          <w:sz w:val="20"/>
        </w:rPr>
        <w:t>duty of care to consumers.  The relationship between the two was limited to Canada’s statements to the general public that low</w:t>
      </w:r>
      <w:r w:rsidRPr="00F80B88">
        <w:rPr>
          <w:sz w:val="20"/>
        </w:rPr>
        <w:noBreakHyphen/>
        <w:t xml:space="preserve">tar cigarettes are less hazardous.  There were no specific interactions between Canada and the class members.  Consequently, a finding of proximity in this relationship must arise from the governing statutes.  However, the relevant statutes establish only general duties to the public, and no private law duties to consumers.  In light of the lack of proximity, this claim in the </w:t>
      </w:r>
      <w:r w:rsidRPr="00F80B88">
        <w:rPr>
          <w:i/>
          <w:sz w:val="20"/>
        </w:rPr>
        <w:t>Knight</w:t>
      </w:r>
      <w:r w:rsidRPr="00F80B88">
        <w:rPr>
          <w:sz w:val="20"/>
        </w:rPr>
        <w:t xml:space="preserve"> case should be struck at the first stage of the analysis.</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tab/>
        <w:t xml:space="preserve">As for the tobacco companies, the facts pleaded allege a history of interactions between Canada and the tobacco companies capable of establishing a special relationship of proximity giving rise to a </w:t>
      </w:r>
      <w:r w:rsidRPr="00F80B88">
        <w:rPr>
          <w:i/>
          <w:sz w:val="20"/>
        </w:rPr>
        <w:t>prima facie</w:t>
      </w:r>
      <w:r w:rsidRPr="00F80B88">
        <w:rPr>
          <w:sz w:val="20"/>
        </w:rPr>
        <w:t xml:space="preserve"> duty of care.  The allegations are that Canada assumed the role of adviser to a finite number of manufacturers and that there were commercial relationships entered into between Canada and the companies based in part on the advice given to the companies by government officials, going far beyond the sort of statements made by Canada to the public at large.  Furthermore, Canada’s regulatory powers over the manufacturers coupled with its specific advice and its commercial involvement could be seen as supporting a conclusion that Canada ought reasonably to have foreseen that the tobacco companies would rely on the representations and that such reliance would be reasonable in the pleaded circumstance. </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tab/>
        <w:t>Canada’s alleged negligent misrepresentations do not give rise to tort liability, however, because of conflicting policy considerations.  The alleged representations constitute protected expressions of government policy.  Core government policy decisions protected from suit are decisions as to a course or principle of action that are based on public policy considerations, such as economic, social and political factors, provided they are neither irrational nor taken in bad faith.  The representations in this case were part and parcel of a government policy, adopted at the highest level in the Canadian government and developed out of concern for the health of Canadians and the individual and institutional costs associated with tobacco</w:t>
      </w:r>
      <w:r w:rsidRPr="00F80B88">
        <w:rPr>
          <w:sz w:val="20"/>
        </w:rPr>
        <w:noBreakHyphen/>
        <w:t>related disease, to encourage people who continued to smoke to switch to low</w:t>
      </w:r>
      <w:r w:rsidRPr="00F80B88">
        <w:rPr>
          <w:sz w:val="20"/>
        </w:rPr>
        <w:noBreakHyphen/>
        <w:t xml:space="preserve">tar cigarettes. </w:t>
      </w:r>
    </w:p>
    <w:p w:rsidR="00697A14" w:rsidRPr="00F80B88" w:rsidRDefault="00697A14" w:rsidP="00697A14">
      <w:pPr>
        <w:pStyle w:val="SCCNormalDoubleSpacing"/>
        <w:spacing w:line="240" w:lineRule="auto"/>
        <w:rPr>
          <w:sz w:val="20"/>
        </w:rPr>
      </w:pPr>
      <w:r w:rsidRPr="00F80B88">
        <w:rPr>
          <w:sz w:val="20"/>
        </w:rPr>
        <w:lastRenderedPageBreak/>
        <w:tab/>
        <w:t>The claims for negligent misrepresentation should also fail because they would expose Canada to indeterminate liability.  Recognizing a duty of care for representations to the tobacco companies would effectively amount to a duty to consumers.  While the quantum of damages owed by Canada to the companies in both cases would depend on the number of smokers and the number of cigarettes sold, Canada had no control over the number of people who smoked light cigarettes.</w:t>
      </w:r>
    </w:p>
    <w:p w:rsidR="00697A14" w:rsidRDefault="00697A14" w:rsidP="00697A14">
      <w:pPr>
        <w:pStyle w:val="SCCNormalDoubleSpacing"/>
        <w:spacing w:line="240" w:lineRule="auto"/>
        <w:rPr>
          <w:i/>
          <w:sz w:val="20"/>
        </w:rPr>
      </w:pPr>
      <w:r w:rsidRPr="00F80B88">
        <w:rPr>
          <w:i/>
          <w:sz w:val="20"/>
        </w:rPr>
        <w:t>The Claims for Failure to Warn</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sz w:val="20"/>
        </w:rPr>
      </w:pPr>
      <w:r w:rsidRPr="00F80B88">
        <w:rPr>
          <w:sz w:val="20"/>
        </w:rPr>
        <w:tab/>
        <w:t>The tobacco companies make two allegations for failure to warn:  (1) that Canada directed the tobacco companies not to provide warnings on cigarette packages about the health hazards of cigarettes and (2) that Canada failed to warn the tobacco companies about the dangers posed by the strains of tobacco it designed and licensed.  These two claims should be struck.  The crux of the first claim is essentially the same as the negligent misrepresentation claim, and should be rejected for the same policy reasons.  The Minister of Health’s recommendations on warning labels were integral to the government’s policy of encouraging smokers to switch to low</w:t>
      </w:r>
      <w:r w:rsidRPr="00F80B88">
        <w:rPr>
          <w:sz w:val="20"/>
        </w:rPr>
        <w:noBreakHyphen/>
        <w:t>tar cigarettes.  As such, they cannot ground a claim in failure to warn.  The same is true of the second claim.  While the tort of failure to warn requires evidence of a positive duty towards the plaintiff, nothing in the third</w:t>
      </w:r>
      <w:r w:rsidRPr="00F80B88">
        <w:rPr>
          <w:sz w:val="20"/>
        </w:rPr>
        <w:noBreakHyphen/>
        <w:t xml:space="preserve">party notices suggests that Canada was under such a positive duty here.  A plea of negligence, without more, will not suffice to raise a duty to warn.  In any event, such a claim would fail for the policy reasons applicable to the negligent misrepresentation claim. </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i/>
          <w:sz w:val="20"/>
        </w:rPr>
      </w:pPr>
      <w:r w:rsidRPr="00F80B88">
        <w:rPr>
          <w:i/>
          <w:sz w:val="20"/>
        </w:rPr>
        <w:t>The Claims for Negligent Design</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sz w:val="20"/>
        </w:rPr>
      </w:pPr>
      <w:r w:rsidRPr="00F80B88">
        <w:rPr>
          <w:sz w:val="20"/>
        </w:rPr>
        <w:tab/>
        <w:t>The tobacco companies have brought two types of negligent design claims against Canada.  They submit that Canada breached its duty of care to the tobacco companies when it negligently designed its strains of low</w:t>
      </w:r>
      <w:r w:rsidRPr="00F80B88">
        <w:rPr>
          <w:sz w:val="20"/>
        </w:rPr>
        <w:noBreakHyphen/>
        <w:t xml:space="preserve">tar tobacco.  In the </w:t>
      </w:r>
      <w:r w:rsidRPr="00F80B88">
        <w:rPr>
          <w:i/>
          <w:sz w:val="20"/>
        </w:rPr>
        <w:t>Knight</w:t>
      </w:r>
      <w:r w:rsidRPr="00F80B88">
        <w:rPr>
          <w:sz w:val="20"/>
        </w:rPr>
        <w:t xml:space="preserve"> case, Imperial submits that Canada breached its duty of care to consumers of light and mild cigarettes.  The two negligent design claims establish a </w:t>
      </w:r>
      <w:r w:rsidRPr="00F80B88">
        <w:rPr>
          <w:i/>
          <w:sz w:val="20"/>
        </w:rPr>
        <w:t>prima facie</w:t>
      </w:r>
      <w:r w:rsidRPr="00F80B88">
        <w:rPr>
          <w:sz w:val="20"/>
        </w:rPr>
        <w:t xml:space="preserve"> duty of care.  With respect to Canada’s design of low</w:t>
      </w:r>
      <w:r w:rsidRPr="00F80B88">
        <w:rPr>
          <w:sz w:val="20"/>
        </w:rPr>
        <w:noBreakHyphen/>
        <w:t xml:space="preserve">tar tobacco strains, the proximity alleged with the tobacco companies is not based on a statutory duty, but on commercial interactions between Canada and the tobacco companies.  In the </w:t>
      </w:r>
      <w:r w:rsidRPr="00F80B88">
        <w:rPr>
          <w:i/>
          <w:sz w:val="20"/>
        </w:rPr>
        <w:t>Knight</w:t>
      </w:r>
      <w:r w:rsidRPr="00F80B88">
        <w:rPr>
          <w:sz w:val="20"/>
        </w:rPr>
        <w:t xml:space="preserve"> case also, it is at least arguable that Canada was acting in a commercial capacity towards the consumers of light and mild cigarettes when it designed its strains of tobacco.  However, the decision to develop low</w:t>
      </w:r>
      <w:r w:rsidRPr="00F80B88">
        <w:rPr>
          <w:sz w:val="20"/>
        </w:rPr>
        <w:noBreakHyphen/>
        <w:t>tar strains of tobacco on the belief that the resulting cigarettes would be less harmful to health is a decision that constitutes a course or principle of action based on Canada’s health policy and based on social and economic factors.  As a core government policy decision, it cannot ground a claim for negligent design.  These claims should accordingly be struck.</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i/>
          <w:sz w:val="20"/>
        </w:rPr>
      </w:pPr>
      <w:r w:rsidRPr="00F80B88">
        <w:rPr>
          <w:i/>
          <w:sz w:val="20"/>
        </w:rPr>
        <w:t>Liability as a “Manufacturer” and a “Supplier”</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sz w:val="20"/>
        </w:rPr>
      </w:pPr>
      <w:r w:rsidRPr="00F80B88">
        <w:rPr>
          <w:sz w:val="20"/>
        </w:rPr>
        <w:tab/>
        <w:t xml:space="preserve">The tobacco companies’ contribution claim in the </w:t>
      </w:r>
      <w:r w:rsidRPr="00F80B88">
        <w:rPr>
          <w:i/>
          <w:sz w:val="20"/>
        </w:rPr>
        <w:t>Costs Recovery</w:t>
      </w:r>
      <w:r w:rsidRPr="00F80B88">
        <w:rPr>
          <w:sz w:val="20"/>
        </w:rPr>
        <w:t xml:space="preserve"> case that Canada could qualify as a “manufacturer” under the </w:t>
      </w:r>
      <w:r w:rsidRPr="00F80B88">
        <w:rPr>
          <w:i/>
          <w:sz w:val="20"/>
        </w:rPr>
        <w:t>CRA</w:t>
      </w:r>
      <w:r w:rsidRPr="00F80B88">
        <w:rPr>
          <w:sz w:val="20"/>
        </w:rPr>
        <w:t xml:space="preserve"> should be struck.  It is plain and obvious that the federal government does not qualify as a manufacturer of tobacco under that Act.  When the Act</w:t>
      </w:r>
      <w:r w:rsidRPr="00F80B88">
        <w:rPr>
          <w:i/>
          <w:sz w:val="20"/>
        </w:rPr>
        <w:t xml:space="preserve"> </w:t>
      </w:r>
      <w:r w:rsidRPr="00F80B88">
        <w:rPr>
          <w:sz w:val="20"/>
        </w:rPr>
        <w:t xml:space="preserve">is read in context and all of its provisions are taken into account, it is apparent that the British Columbia legislature did not intend Canada to be liable as a manufacturer.  This is confirmed by the text of the statute, the intent of the legislature in adopting the Act, and the broader context of the relationship between the province and the federal government.  Holding Canada accountable under the </w:t>
      </w:r>
      <w:r w:rsidRPr="00F80B88">
        <w:rPr>
          <w:i/>
          <w:sz w:val="20"/>
        </w:rPr>
        <w:t>CRA</w:t>
      </w:r>
      <w:r w:rsidRPr="00F80B88">
        <w:rPr>
          <w:sz w:val="20"/>
        </w:rPr>
        <w:t xml:space="preserve"> would defeat the legislature’s intention of transferring the health</w:t>
      </w:r>
      <w:r w:rsidRPr="00F80B88">
        <w:rPr>
          <w:sz w:val="20"/>
        </w:rPr>
        <w:noBreakHyphen/>
        <w:t>care costs resulting from tobacco</w:t>
      </w:r>
      <w:r w:rsidRPr="00F80B88">
        <w:rPr>
          <w:sz w:val="20"/>
        </w:rPr>
        <w:noBreakHyphen/>
        <w:t xml:space="preserve">related wrongs from taxpayers to the tobacco industry.  Similarly, the tobacco companies cannot rely on the recently adopted </w:t>
      </w:r>
      <w:r w:rsidRPr="00F80B88">
        <w:rPr>
          <w:i/>
          <w:sz w:val="20"/>
        </w:rPr>
        <w:t>Health Care Costs Recovery Act</w:t>
      </w:r>
      <w:r w:rsidRPr="00F80B88">
        <w:rPr>
          <w:sz w:val="20"/>
        </w:rPr>
        <w:t xml:space="preserve"> in an action for contribution under the </w:t>
      </w:r>
      <w:r w:rsidRPr="00F80B88">
        <w:rPr>
          <w:i/>
          <w:sz w:val="20"/>
        </w:rPr>
        <w:t>CRA</w:t>
      </w:r>
      <w:r w:rsidRPr="00F80B88">
        <w:rPr>
          <w:sz w:val="20"/>
        </w:rPr>
        <w:t xml:space="preserve">.  Finally, Canada could not be liable for contribution under the </w:t>
      </w:r>
      <w:r w:rsidRPr="00F80B88">
        <w:rPr>
          <w:i/>
          <w:sz w:val="20"/>
        </w:rPr>
        <w:t>Negligence Act</w:t>
      </w:r>
      <w:r w:rsidRPr="00F80B88">
        <w:rPr>
          <w:sz w:val="20"/>
        </w:rPr>
        <w:t xml:space="preserve"> or at common law since it is not directly liable to British Columbia. </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tab/>
        <w:t xml:space="preserve">Imperial’s claim in the </w:t>
      </w:r>
      <w:r w:rsidRPr="00F80B88">
        <w:rPr>
          <w:i/>
          <w:sz w:val="20"/>
        </w:rPr>
        <w:t>Knight</w:t>
      </w:r>
      <w:r w:rsidRPr="00F80B88">
        <w:rPr>
          <w:sz w:val="20"/>
        </w:rPr>
        <w:t xml:space="preserve"> case that Canada could qualify as a “supplier” under the </w:t>
      </w:r>
      <w:r w:rsidRPr="00F80B88">
        <w:rPr>
          <w:i/>
          <w:sz w:val="20"/>
        </w:rPr>
        <w:t>Trade Practices Act</w:t>
      </w:r>
      <w:r w:rsidRPr="00F80B88">
        <w:rPr>
          <w:sz w:val="20"/>
        </w:rPr>
        <w:t xml:space="preserve"> and the </w:t>
      </w:r>
      <w:r w:rsidRPr="00F80B88">
        <w:rPr>
          <w:i/>
          <w:sz w:val="20"/>
        </w:rPr>
        <w:t>Business Practices and Consumer Protection Act</w:t>
      </w:r>
      <w:r w:rsidRPr="00F80B88">
        <w:rPr>
          <w:sz w:val="20"/>
        </w:rPr>
        <w:t xml:space="preserve"> which replaced it should also be struck.  Canada’s purpose for developing and promoting tobacco as described in the third</w:t>
      </w:r>
      <w:r w:rsidRPr="00F80B88">
        <w:rPr>
          <w:sz w:val="20"/>
        </w:rPr>
        <w:noBreakHyphen/>
        <w:t>party notice suggests that it was not acting “in the course of business” or “in the course of the person’s business” as those phases are used in those statutes.  Those phrases must be understood as limited to activities undertaken for a commercial purpose.  Here, it is plain and obvious from the facts pleaded that Canada did not promote the use of low</w:t>
      </w:r>
      <w:r w:rsidRPr="00F80B88">
        <w:rPr>
          <w:sz w:val="20"/>
        </w:rPr>
        <w:noBreakHyphen/>
        <w:t xml:space="preserve">tar cigarettes for a commercial purpose, but for a health purpose.  Canada is therefore not a supplier and is not liable under those statutes. </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i/>
          <w:sz w:val="20"/>
        </w:rPr>
      </w:pPr>
      <w:r w:rsidRPr="00F80B88">
        <w:rPr>
          <w:i/>
          <w:sz w:val="20"/>
        </w:rPr>
        <w:t>Claims for Equitable Indemnity and Procedural Considerations</w:t>
      </w:r>
    </w:p>
    <w:p w:rsidR="00697A14" w:rsidRDefault="00697A14" w:rsidP="00697A14">
      <w:pPr>
        <w:pStyle w:val="SCCNormalDoubleSpacing"/>
        <w:spacing w:line="240" w:lineRule="auto"/>
        <w:rPr>
          <w:sz w:val="20"/>
        </w:rPr>
      </w:pPr>
      <w:r w:rsidRPr="00F80B88">
        <w:rPr>
          <w:sz w:val="20"/>
        </w:rPr>
        <w:lastRenderedPageBreak/>
        <w:tab/>
        <w:t xml:space="preserve">The tobacco companies’ claims of equitable indemnity should be struck.  Equitable indemnity is a narrow doctrine, confined to situations of an express or implied understanding that a principal will indemnify its agent for acting on the directions given.  When Canada directed the tobacco industry about how it should conduct itself, it was doing so in its capacity as a government regulator that was concerned about the health of Canadians.  Under such circumstances, it is unreasonable to infer that Canada was implicitly promising to indemnify the industry for acting on its request. </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tab/>
        <w:t>Finally, the claims for declaratory relief should be struck.  The tobacco companies’ ability to mount defences would not be severely prejudiced if Canada was no longer a third party in the litigation.</w:t>
      </w:r>
    </w:p>
    <w:p w:rsidR="00697A14" w:rsidRPr="00F80B88" w:rsidRDefault="00697A14" w:rsidP="00697A14">
      <w:pPr>
        <w:pStyle w:val="SCCNormalDoubleSpacing"/>
        <w:spacing w:line="240" w:lineRule="auto"/>
        <w:rPr>
          <w:sz w:val="20"/>
        </w:rPr>
      </w:pPr>
    </w:p>
    <w:p w:rsidR="00C16377" w:rsidRDefault="00C16377" w:rsidP="00C16377">
      <w:pPr>
        <w:pStyle w:val="SCCNormalDoubleSpacing"/>
        <w:spacing w:line="240" w:lineRule="auto"/>
        <w:rPr>
          <w:sz w:val="20"/>
          <w:lang w:val="en-US"/>
        </w:rPr>
      </w:pPr>
      <w:r w:rsidRPr="007B43A7">
        <w:rPr>
          <w:sz w:val="20"/>
        </w:rPr>
        <w:tab/>
        <w:t>APPEAL and CROSS</w:t>
      </w:r>
      <w:r w:rsidRPr="007B43A7">
        <w:rPr>
          <w:sz w:val="20"/>
        </w:rPr>
        <w:noBreakHyphen/>
        <w:t>APPEAL from a judgment of the British Columbia Court of Appeal (</w:t>
      </w:r>
      <w:r w:rsidRPr="007B43A7">
        <w:rPr>
          <w:sz w:val="20"/>
          <w:lang w:val="en-US"/>
        </w:rPr>
        <w:t xml:space="preserve">Hall, Saunders, Lowry, Tysoe and Smith JJ.A.), 2009 BCCA 541, 99 B.C.L.R. (4th) 93, 313 D.L.R. (4th) 695, [2010] 2 W.W.R. 9, 280 B.C.A.C. 160, 474 W.A.C. 160, </w:t>
      </w:r>
      <w:r w:rsidR="004D20D2" w:rsidRPr="007B43A7">
        <w:rPr>
          <w:sz w:val="20"/>
        </w:rPr>
        <w:fldChar w:fldCharType="begin"/>
      </w:r>
      <w:r w:rsidRPr="007B43A7">
        <w:rPr>
          <w:sz w:val="20"/>
        </w:rPr>
        <w:instrText xml:space="preserve"> SEQ CHAPTER \h \r 1</w:instrText>
      </w:r>
      <w:r w:rsidR="004D20D2" w:rsidRPr="007B43A7">
        <w:rPr>
          <w:sz w:val="20"/>
        </w:rPr>
        <w:fldChar w:fldCharType="end"/>
      </w:r>
      <w:r w:rsidRPr="007B43A7">
        <w:rPr>
          <w:sz w:val="20"/>
          <w:lang w:val="en-US"/>
        </w:rPr>
        <w:t>[2009] B.C.J. No. 2445 (QL), 2009 CarswellBC 3300, reversing in part a decision of Satanove J. striking out third</w:t>
      </w:r>
      <w:r w:rsidRPr="007B43A7">
        <w:rPr>
          <w:sz w:val="20"/>
          <w:lang w:val="en-US"/>
        </w:rPr>
        <w:noBreakHyphen/>
        <w:t xml:space="preserve">party notices, </w:t>
      </w:r>
      <w:r w:rsidR="004D20D2" w:rsidRPr="007B43A7">
        <w:rPr>
          <w:sz w:val="20"/>
        </w:rPr>
        <w:fldChar w:fldCharType="begin"/>
      </w:r>
      <w:r w:rsidRPr="007B43A7">
        <w:rPr>
          <w:sz w:val="20"/>
        </w:rPr>
        <w:instrText xml:space="preserve"> SEQ CHAPTER \h \r 1</w:instrText>
      </w:r>
      <w:r w:rsidR="004D20D2" w:rsidRPr="007B43A7">
        <w:rPr>
          <w:sz w:val="20"/>
        </w:rPr>
        <w:fldChar w:fldCharType="end"/>
      </w:r>
      <w:r w:rsidRPr="007B43A7">
        <w:rPr>
          <w:sz w:val="20"/>
          <w:lang w:val="en-US"/>
        </w:rPr>
        <w:t>2007 BCSC 964, 76 B.C.L.R. (4th) 100, [2008] 4 W.W.R. 156, [2007] B.C.J. No. 1461 (QL), 2007 CarswellBC 1806.  Appeal allowed and cross</w:t>
      </w:r>
      <w:r w:rsidRPr="007B43A7">
        <w:rPr>
          <w:sz w:val="20"/>
          <w:lang w:val="en-US"/>
        </w:rPr>
        <w:noBreakHyphen/>
        <w:t xml:space="preserve">appeal dismissed. </w:t>
      </w:r>
    </w:p>
    <w:p w:rsidR="00C16377" w:rsidRPr="007B43A7" w:rsidRDefault="00C16377" w:rsidP="00C16377">
      <w:pPr>
        <w:pStyle w:val="SCCNormalDoubleSpacing"/>
        <w:spacing w:line="240" w:lineRule="auto"/>
        <w:rPr>
          <w:sz w:val="20"/>
          <w:lang w:val="en-US"/>
        </w:rPr>
      </w:pPr>
    </w:p>
    <w:p w:rsidR="00697A14" w:rsidRDefault="00697A14" w:rsidP="00697A14">
      <w:pPr>
        <w:pStyle w:val="SCCNormalDoubleSpacing"/>
        <w:spacing w:line="240" w:lineRule="auto"/>
        <w:rPr>
          <w:sz w:val="20"/>
          <w:lang w:val="en-US"/>
        </w:rPr>
      </w:pPr>
      <w:r w:rsidRPr="00F80B88">
        <w:rPr>
          <w:sz w:val="20"/>
        </w:rPr>
        <w:tab/>
        <w:t>APPEAL and CROSS</w:t>
      </w:r>
      <w:r w:rsidRPr="00F80B88">
        <w:rPr>
          <w:sz w:val="20"/>
        </w:rPr>
        <w:noBreakHyphen/>
        <w:t>APPEAL from a judgment of the British Columbia Court of Appeal (</w:t>
      </w:r>
      <w:r w:rsidRPr="00F80B88">
        <w:rPr>
          <w:sz w:val="20"/>
          <w:lang w:val="en-US"/>
        </w:rPr>
        <w:t>Hall, Saunders, Lowry, Tysoe and Smith JJ.A.), 2009 BCCA 540, 98 B.C.L.R. (4th) 201, 313 D.L.R. (4th) 651, [2010] 2 W.W.R. 385, 280 B.C.A.C. 100, 474 W.A.C. 100, [2009] B.C.J. No. 2444 (QL), 2009 CarswellBC 3307, reversing in part a decision of Wedge J. striking out third</w:t>
      </w:r>
      <w:r w:rsidRPr="00F80B88">
        <w:rPr>
          <w:sz w:val="20"/>
          <w:lang w:val="en-US"/>
        </w:rPr>
        <w:noBreakHyphen/>
        <w:t xml:space="preserve">party notices, </w:t>
      </w:r>
      <w:r w:rsidR="004D20D2" w:rsidRPr="00F80B88">
        <w:rPr>
          <w:sz w:val="20"/>
        </w:rPr>
        <w:fldChar w:fldCharType="begin"/>
      </w:r>
      <w:r w:rsidRPr="00F80B88">
        <w:rPr>
          <w:sz w:val="20"/>
        </w:rPr>
        <w:instrText xml:space="preserve"> SEQ CHAPTER \h \r 1</w:instrText>
      </w:r>
      <w:r w:rsidR="004D20D2" w:rsidRPr="00F80B88">
        <w:rPr>
          <w:sz w:val="20"/>
        </w:rPr>
        <w:fldChar w:fldCharType="end"/>
      </w:r>
      <w:r w:rsidRPr="00F80B88">
        <w:rPr>
          <w:sz w:val="20"/>
          <w:lang w:val="en-US"/>
        </w:rPr>
        <w:t>2008 BCSC 419, 82 B.C.L.R. (4th) 362, 292 D.L.R. (4th) 353, [2008] 12 W.W.R. 241, [2008] B.C.J. No. 609 (QL), 2008 CarswellBC 687.  Appeal allowed and cross</w:t>
      </w:r>
      <w:r w:rsidRPr="00F80B88">
        <w:rPr>
          <w:sz w:val="20"/>
          <w:lang w:val="en-US"/>
        </w:rPr>
        <w:noBreakHyphen/>
        <w:t xml:space="preserve">appeal dismissed. </w:t>
      </w:r>
    </w:p>
    <w:p w:rsidR="00697A14" w:rsidRPr="00F80B88" w:rsidRDefault="00697A14" w:rsidP="00697A14">
      <w:pPr>
        <w:pStyle w:val="SCCNormalDoubleSpacing"/>
        <w:spacing w:line="240" w:lineRule="auto"/>
        <w:rPr>
          <w:sz w:val="20"/>
          <w:lang w:val="en-US"/>
        </w:rPr>
      </w:pPr>
    </w:p>
    <w:p w:rsidR="00697A14" w:rsidRDefault="00697A14" w:rsidP="00697A14">
      <w:pPr>
        <w:pStyle w:val="SCCNormalDoubleSpacing"/>
        <w:spacing w:line="240" w:lineRule="auto"/>
        <w:rPr>
          <w:sz w:val="20"/>
        </w:rPr>
      </w:pPr>
      <w:r w:rsidRPr="00F80B88">
        <w:rPr>
          <w:i/>
          <w:sz w:val="20"/>
        </w:rPr>
        <w:tab/>
        <w:t>John S. Tyhurst</w:t>
      </w:r>
      <w:r w:rsidRPr="00F80B88">
        <w:rPr>
          <w:sz w:val="20"/>
        </w:rPr>
        <w:t xml:space="preserve">, </w:t>
      </w:r>
      <w:r w:rsidRPr="00F80B88">
        <w:rPr>
          <w:i/>
          <w:sz w:val="20"/>
        </w:rPr>
        <w:t>Paul Vickery</w:t>
      </w:r>
      <w:r w:rsidRPr="00F80B88">
        <w:rPr>
          <w:sz w:val="20"/>
        </w:rPr>
        <w:t xml:space="preserve"> and </w:t>
      </w:r>
      <w:r w:rsidRPr="00F80B88">
        <w:rPr>
          <w:i/>
          <w:sz w:val="20"/>
        </w:rPr>
        <w:t>Travis Henderson</w:t>
      </w:r>
      <w:r w:rsidRPr="00F80B88">
        <w:rPr>
          <w:sz w:val="20"/>
        </w:rPr>
        <w:t>, for the appellant/respondent on cross</w:t>
      </w:r>
      <w:r w:rsidRPr="00F80B88">
        <w:rPr>
          <w:sz w:val="20"/>
        </w:rPr>
        <w:noBreakHyphen/>
      </w:r>
      <w:r w:rsidRPr="00F80B88">
        <w:rPr>
          <w:sz w:val="20"/>
          <w:lang w:val="en-US"/>
        </w:rPr>
        <w:t>appeal</w:t>
      </w:r>
      <w:r w:rsidRPr="00F80B88">
        <w:rPr>
          <w:sz w:val="20"/>
        </w:rPr>
        <w:t xml:space="preserve"> Her Majesty the Queen in Right of Canada (33559).</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i/>
          <w:sz w:val="20"/>
        </w:rPr>
        <w:tab/>
        <w:t>Paul Vickery</w:t>
      </w:r>
      <w:r w:rsidRPr="00F80B88">
        <w:rPr>
          <w:sz w:val="20"/>
        </w:rPr>
        <w:t xml:space="preserve">, </w:t>
      </w:r>
      <w:r w:rsidRPr="00F80B88">
        <w:rPr>
          <w:i/>
          <w:sz w:val="20"/>
        </w:rPr>
        <w:t xml:space="preserve">John S. Tyhurst </w:t>
      </w:r>
      <w:r w:rsidRPr="00F80B88">
        <w:rPr>
          <w:sz w:val="20"/>
        </w:rPr>
        <w:t xml:space="preserve">and </w:t>
      </w:r>
      <w:r w:rsidRPr="00F80B88">
        <w:rPr>
          <w:i/>
          <w:sz w:val="20"/>
        </w:rPr>
        <w:t>Travis Henderson</w:t>
      </w:r>
      <w:r w:rsidRPr="00F80B88">
        <w:rPr>
          <w:sz w:val="20"/>
        </w:rPr>
        <w:t>, for the appellant/</w:t>
      </w:r>
      <w:r w:rsidRPr="00F80B88">
        <w:rPr>
          <w:sz w:val="20"/>
          <w:lang w:val="en-US"/>
        </w:rPr>
        <w:t>respondent</w:t>
      </w:r>
      <w:r w:rsidRPr="00F80B88">
        <w:rPr>
          <w:sz w:val="20"/>
        </w:rPr>
        <w:t xml:space="preserve"> on cross</w:t>
      </w:r>
      <w:r w:rsidRPr="00F80B88">
        <w:rPr>
          <w:sz w:val="20"/>
        </w:rPr>
        <w:noBreakHyphen/>
        <w:t>appeal the Attorney General of Canada (33563).</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i/>
          <w:sz w:val="20"/>
        </w:rPr>
        <w:tab/>
        <w:t>Deborah Glendining</w:t>
      </w:r>
      <w:r w:rsidRPr="00F80B88">
        <w:rPr>
          <w:sz w:val="20"/>
        </w:rPr>
        <w:t xml:space="preserve"> and </w:t>
      </w:r>
      <w:r w:rsidRPr="00F80B88">
        <w:rPr>
          <w:i/>
          <w:sz w:val="20"/>
        </w:rPr>
        <w:t>Nada Khirdaji</w:t>
      </w:r>
      <w:r w:rsidRPr="00F80B88">
        <w:rPr>
          <w:sz w:val="20"/>
        </w:rPr>
        <w:t>, for the respondent/appellant on cross</w:t>
      </w:r>
      <w:r w:rsidRPr="00F80B88">
        <w:rPr>
          <w:sz w:val="20"/>
        </w:rPr>
        <w:noBreakHyphen/>
        <w:t>appeal Imperial Tobacco Canada Limited (33559).</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i/>
          <w:sz w:val="20"/>
        </w:rPr>
        <w:tab/>
        <w:t xml:space="preserve">Ryan D. W. Dalziel </w:t>
      </w:r>
      <w:r w:rsidRPr="00F80B88">
        <w:rPr>
          <w:sz w:val="20"/>
        </w:rPr>
        <w:t xml:space="preserve">and </w:t>
      </w:r>
      <w:r w:rsidRPr="00F80B88">
        <w:rPr>
          <w:i/>
          <w:sz w:val="20"/>
        </w:rPr>
        <w:t>Daniel A. Webster</w:t>
      </w:r>
      <w:r w:rsidRPr="00F80B88">
        <w:rPr>
          <w:sz w:val="20"/>
        </w:rPr>
        <w:t xml:space="preserve">, </w:t>
      </w:r>
      <w:r w:rsidRPr="00F80B88">
        <w:rPr>
          <w:i/>
          <w:sz w:val="20"/>
        </w:rPr>
        <w:t>Q.C.</w:t>
      </w:r>
      <w:r w:rsidRPr="00F80B88">
        <w:rPr>
          <w:sz w:val="20"/>
        </w:rPr>
        <w:t>, for the respondent Her Majesty the Queen in Right of British Columbia (33563).</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i/>
          <w:sz w:val="20"/>
        </w:rPr>
        <w:tab/>
        <w:t>John J. L. Hunter</w:t>
      </w:r>
      <w:r w:rsidRPr="00F80B88">
        <w:rPr>
          <w:sz w:val="20"/>
        </w:rPr>
        <w:t xml:space="preserve">, </w:t>
      </w:r>
      <w:r w:rsidRPr="00F80B88">
        <w:rPr>
          <w:i/>
          <w:sz w:val="20"/>
        </w:rPr>
        <w:t>Q.C.</w:t>
      </w:r>
      <w:r w:rsidRPr="00F80B88">
        <w:rPr>
          <w:sz w:val="20"/>
        </w:rPr>
        <w:t xml:space="preserve">, and </w:t>
      </w:r>
      <w:r w:rsidRPr="00F80B88">
        <w:rPr>
          <w:i/>
          <w:sz w:val="20"/>
          <w:lang w:val="en-US"/>
        </w:rPr>
        <w:t>Brent B. Olthuis</w:t>
      </w:r>
      <w:r w:rsidRPr="00F80B88">
        <w:rPr>
          <w:sz w:val="20"/>
        </w:rPr>
        <w:t>, for the respondent/appellant on cross</w:t>
      </w:r>
      <w:r w:rsidRPr="00F80B88">
        <w:rPr>
          <w:sz w:val="20"/>
        </w:rPr>
        <w:noBreakHyphen/>
        <w:t>appeal Imperial Tobacco Canada Limited (33563).</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tab/>
        <w:t xml:space="preserve">Written submissions only by </w:t>
      </w:r>
      <w:r w:rsidRPr="00F80B88">
        <w:rPr>
          <w:i/>
          <w:sz w:val="20"/>
        </w:rPr>
        <w:t>Kenneth N. Affleck</w:t>
      </w:r>
      <w:r w:rsidRPr="00F80B88">
        <w:rPr>
          <w:sz w:val="20"/>
        </w:rPr>
        <w:t xml:space="preserve">, </w:t>
      </w:r>
      <w:r w:rsidRPr="00F80B88">
        <w:rPr>
          <w:i/>
          <w:sz w:val="20"/>
        </w:rPr>
        <w:t>Q.C.</w:t>
      </w:r>
      <w:r w:rsidRPr="00F80B88">
        <w:rPr>
          <w:sz w:val="20"/>
        </w:rPr>
        <w:t>, for the respondents/appellants on cross</w:t>
      </w:r>
      <w:r w:rsidRPr="00F80B88">
        <w:rPr>
          <w:b/>
          <w:sz w:val="20"/>
        </w:rPr>
        <w:noBreakHyphen/>
      </w:r>
      <w:r w:rsidRPr="00F80B88">
        <w:rPr>
          <w:sz w:val="20"/>
        </w:rPr>
        <w:t>appeal Rothmans, Benson &amp; Hedges Inc. and Rothmans Inc. (33563).</w:t>
      </w:r>
    </w:p>
    <w:p w:rsidR="00697A14" w:rsidRPr="00F80B88" w:rsidRDefault="00697A14" w:rsidP="00697A14">
      <w:pPr>
        <w:pStyle w:val="SCCNormalDoubleSpacing"/>
        <w:spacing w:line="240" w:lineRule="auto"/>
        <w:rPr>
          <w:b/>
          <w:sz w:val="20"/>
        </w:rPr>
      </w:pPr>
    </w:p>
    <w:p w:rsidR="00697A14" w:rsidRDefault="00697A14" w:rsidP="00697A14">
      <w:pPr>
        <w:pStyle w:val="SCCNormalDoubleSpacing"/>
        <w:spacing w:line="240" w:lineRule="auto"/>
        <w:rPr>
          <w:sz w:val="20"/>
        </w:rPr>
      </w:pPr>
      <w:r w:rsidRPr="00F80B88">
        <w:rPr>
          <w:i/>
          <w:sz w:val="20"/>
        </w:rPr>
        <w:tab/>
      </w:r>
      <w:r w:rsidRPr="00F80B88">
        <w:rPr>
          <w:sz w:val="20"/>
        </w:rPr>
        <w:t>Written submissions only by</w:t>
      </w:r>
      <w:r w:rsidRPr="00F80B88">
        <w:rPr>
          <w:b/>
          <w:sz w:val="20"/>
        </w:rPr>
        <w:t xml:space="preserve"> </w:t>
      </w:r>
      <w:r w:rsidRPr="00F80B88">
        <w:rPr>
          <w:i/>
          <w:sz w:val="20"/>
        </w:rPr>
        <w:t>Jeffrey J. Kay</w:t>
      </w:r>
      <w:r w:rsidRPr="00F80B88">
        <w:rPr>
          <w:sz w:val="20"/>
        </w:rPr>
        <w:t xml:space="preserve">, </w:t>
      </w:r>
      <w:r w:rsidRPr="00F80B88">
        <w:rPr>
          <w:i/>
          <w:sz w:val="20"/>
        </w:rPr>
        <w:t>Q.C.</w:t>
      </w:r>
      <w:r w:rsidRPr="00F80B88">
        <w:rPr>
          <w:sz w:val="20"/>
        </w:rPr>
        <w:t>, for the respondents/appellants on cross</w:t>
      </w:r>
      <w:r w:rsidRPr="00F80B88">
        <w:rPr>
          <w:sz w:val="20"/>
        </w:rPr>
        <w:noBreakHyphen/>
        <w:t>appeal JTI</w:t>
      </w:r>
      <w:r w:rsidRPr="00F80B88">
        <w:rPr>
          <w:sz w:val="20"/>
        </w:rPr>
        <w:noBreakHyphen/>
        <w:t>MacDonald Corp., R.J. Reynolds Tobacco Company and R.J. Reynolds Tobacco International Inc. (33563).</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i/>
          <w:sz w:val="20"/>
        </w:rPr>
        <w:tab/>
      </w:r>
      <w:r w:rsidRPr="00F80B88">
        <w:rPr>
          <w:sz w:val="20"/>
        </w:rPr>
        <w:t xml:space="preserve">Written submissions only by </w:t>
      </w:r>
      <w:r w:rsidRPr="00F80B88">
        <w:rPr>
          <w:i/>
          <w:sz w:val="20"/>
        </w:rPr>
        <w:t xml:space="preserve">Craig P. Dennis </w:t>
      </w:r>
      <w:r w:rsidRPr="00F80B88">
        <w:rPr>
          <w:sz w:val="20"/>
        </w:rPr>
        <w:t xml:space="preserve">and </w:t>
      </w:r>
      <w:r w:rsidRPr="00F80B88">
        <w:rPr>
          <w:i/>
          <w:sz w:val="20"/>
        </w:rPr>
        <w:t>Michael D. Shirreff</w:t>
      </w:r>
      <w:r w:rsidRPr="00F80B88">
        <w:rPr>
          <w:sz w:val="20"/>
        </w:rPr>
        <w:t>, for the respondents/appellants on cross</w:t>
      </w:r>
      <w:r w:rsidRPr="00F80B88">
        <w:rPr>
          <w:sz w:val="20"/>
        </w:rPr>
        <w:noBreakHyphen/>
        <w:t xml:space="preserve">appeal </w:t>
      </w:r>
      <w:r w:rsidRPr="00F80B88">
        <w:rPr>
          <w:sz w:val="20"/>
          <w:lang w:val="en-US"/>
        </w:rPr>
        <w:t>B.A.T. Industries p.l.c. a</w:t>
      </w:r>
      <w:r w:rsidRPr="00F80B88">
        <w:rPr>
          <w:sz w:val="20"/>
        </w:rPr>
        <w:t>nd British American Tobacco (Investments) Limited (33563).</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tab/>
        <w:t>Written submissions only by</w:t>
      </w:r>
      <w:r w:rsidRPr="00F80B88">
        <w:rPr>
          <w:b/>
          <w:sz w:val="20"/>
        </w:rPr>
        <w:t xml:space="preserve"> </w:t>
      </w:r>
      <w:r w:rsidRPr="00F80B88">
        <w:rPr>
          <w:i/>
          <w:sz w:val="20"/>
        </w:rPr>
        <w:t>Christopher M. Rusnak</w:t>
      </w:r>
      <w:r w:rsidRPr="00F80B88">
        <w:rPr>
          <w:sz w:val="20"/>
        </w:rPr>
        <w:t>, for the respondent/appellant on cross</w:t>
      </w:r>
      <w:r w:rsidRPr="00F80B88">
        <w:rPr>
          <w:sz w:val="20"/>
        </w:rPr>
        <w:noBreakHyphen/>
        <w:t>appeal Carreras Rothmans Limited (33563).</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tab/>
        <w:t>Written submissions only by</w:t>
      </w:r>
      <w:r w:rsidRPr="00F80B88">
        <w:rPr>
          <w:b/>
          <w:sz w:val="20"/>
        </w:rPr>
        <w:t xml:space="preserve"> </w:t>
      </w:r>
      <w:r w:rsidRPr="00F80B88">
        <w:rPr>
          <w:i/>
          <w:sz w:val="20"/>
        </w:rPr>
        <w:t>D. Ross Clark</w:t>
      </w:r>
      <w:r w:rsidRPr="00F80B88">
        <w:rPr>
          <w:sz w:val="20"/>
        </w:rPr>
        <w:t>, for the respondent/appellant on cross</w:t>
      </w:r>
      <w:r w:rsidRPr="00F80B88">
        <w:rPr>
          <w:sz w:val="20"/>
        </w:rPr>
        <w:noBreakHyphen/>
        <w:t>appeal Philip Morris U.S.A. Inc. (33563).</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tab/>
      </w:r>
      <w:r w:rsidRPr="00F80B88">
        <w:rPr>
          <w:i/>
          <w:sz w:val="20"/>
          <w:lang w:val="en-US"/>
        </w:rPr>
        <w:t>Simon V. Potter</w:t>
      </w:r>
      <w:r w:rsidRPr="00F80B88">
        <w:rPr>
          <w:sz w:val="20"/>
        </w:rPr>
        <w:t xml:space="preserve">, </w:t>
      </w:r>
      <w:r w:rsidRPr="00F80B88">
        <w:rPr>
          <w:i/>
          <w:sz w:val="20"/>
        </w:rPr>
        <w:t xml:space="preserve">Michael A. Feder </w:t>
      </w:r>
      <w:r w:rsidRPr="00F80B88">
        <w:rPr>
          <w:sz w:val="20"/>
        </w:rPr>
        <w:t xml:space="preserve">and </w:t>
      </w:r>
      <w:r w:rsidRPr="00F80B88">
        <w:rPr>
          <w:i/>
          <w:sz w:val="20"/>
        </w:rPr>
        <w:t>Angela M. Juba</w:t>
      </w:r>
      <w:r w:rsidRPr="00F80B88">
        <w:rPr>
          <w:sz w:val="20"/>
        </w:rPr>
        <w:t>, for the respondent/appellant on cross</w:t>
      </w:r>
      <w:r w:rsidRPr="00F80B88">
        <w:rPr>
          <w:sz w:val="20"/>
        </w:rPr>
        <w:noBreakHyphen/>
        <w:t>appeal Philip Morris International Inc. (33563).</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lang w:val="en-US"/>
        </w:rPr>
        <w:lastRenderedPageBreak/>
        <w:tab/>
      </w:r>
      <w:r w:rsidRPr="00F80B88">
        <w:rPr>
          <w:i/>
          <w:sz w:val="20"/>
        </w:rPr>
        <w:t xml:space="preserve">Malliha Wilson </w:t>
      </w:r>
      <w:r w:rsidRPr="00F80B88">
        <w:rPr>
          <w:sz w:val="20"/>
        </w:rPr>
        <w:t xml:space="preserve">and </w:t>
      </w:r>
      <w:r w:rsidRPr="00F80B88">
        <w:rPr>
          <w:i/>
          <w:sz w:val="20"/>
        </w:rPr>
        <w:t>Lynne McArdle</w:t>
      </w:r>
      <w:r w:rsidRPr="00F80B88">
        <w:rPr>
          <w:sz w:val="20"/>
        </w:rPr>
        <w:t>, for the intervener the Attorney General of Ontario (33559</w:t>
      </w:r>
      <w:r w:rsidRPr="00F80B88">
        <w:rPr>
          <w:sz w:val="20"/>
        </w:rPr>
        <w:noBreakHyphen/>
        <w:t>33563).</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tab/>
      </w:r>
      <w:r w:rsidRPr="00F80B88">
        <w:rPr>
          <w:i/>
          <w:sz w:val="20"/>
        </w:rPr>
        <w:t>Jeffrey S. Leon</w:t>
      </w:r>
      <w:r w:rsidRPr="00F80B88">
        <w:rPr>
          <w:sz w:val="20"/>
        </w:rPr>
        <w:t xml:space="preserve">, </w:t>
      </w:r>
      <w:r w:rsidRPr="00F80B88">
        <w:rPr>
          <w:i/>
          <w:sz w:val="20"/>
        </w:rPr>
        <w:t>Robyn M. Ryan Bell</w:t>
      </w:r>
      <w:r w:rsidRPr="00F80B88">
        <w:rPr>
          <w:sz w:val="20"/>
        </w:rPr>
        <w:t xml:space="preserve"> and </w:t>
      </w:r>
      <w:r w:rsidRPr="00F80B88">
        <w:rPr>
          <w:i/>
          <w:sz w:val="20"/>
        </w:rPr>
        <w:t>Michael A. Eizenga</w:t>
      </w:r>
      <w:r w:rsidRPr="00F80B88">
        <w:rPr>
          <w:sz w:val="20"/>
        </w:rPr>
        <w:t>, for the intervener Her Majesty the Queen in Right of New Brunswick (33563).</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sz w:val="20"/>
        </w:rPr>
      </w:pPr>
      <w:r w:rsidRPr="00F80B88">
        <w:rPr>
          <w:sz w:val="20"/>
        </w:rPr>
        <w:tab/>
      </w:r>
      <w:r w:rsidRPr="00F80B88">
        <w:rPr>
          <w:i/>
          <w:sz w:val="20"/>
        </w:rPr>
        <w:t>Nancy Brown</w:t>
      </w:r>
      <w:r w:rsidRPr="00F80B88">
        <w:rPr>
          <w:sz w:val="20"/>
        </w:rPr>
        <w:t>, for the intervener the Attorney General of British Columbia (33559</w:t>
      </w:r>
      <w:r w:rsidRPr="00F80B88">
        <w:rPr>
          <w:sz w:val="20"/>
        </w:rPr>
        <w:noBreakHyphen/>
        <w:t>33563).</w:t>
      </w:r>
    </w:p>
    <w:p w:rsidR="00697A14" w:rsidRPr="00F80B88" w:rsidRDefault="00697A14" w:rsidP="00697A14">
      <w:pPr>
        <w:pStyle w:val="SCCNormalDoubleSpacing"/>
        <w:spacing w:line="240" w:lineRule="auto"/>
        <w:rPr>
          <w:sz w:val="20"/>
        </w:rPr>
      </w:pPr>
    </w:p>
    <w:p w:rsidR="00697A14" w:rsidRDefault="00697A14" w:rsidP="00697A14">
      <w:pPr>
        <w:pStyle w:val="SCCNormalDoubleSpacing"/>
        <w:spacing w:line="240" w:lineRule="auto"/>
        <w:rPr>
          <w:i/>
          <w:sz w:val="20"/>
        </w:rPr>
      </w:pPr>
      <w:r w:rsidRPr="00F80B88">
        <w:rPr>
          <w:i/>
          <w:sz w:val="20"/>
        </w:rPr>
        <w:tab/>
        <w:t>Solicitor for the appellants/respondents on cross</w:t>
      </w:r>
      <w:r w:rsidRPr="00F80B88">
        <w:rPr>
          <w:i/>
          <w:sz w:val="20"/>
        </w:rPr>
        <w:noBreakHyphen/>
        <w:t>appeal (33559</w:t>
      </w:r>
      <w:r w:rsidRPr="00F80B88">
        <w:rPr>
          <w:i/>
          <w:sz w:val="20"/>
        </w:rPr>
        <w:noBreakHyphen/>
        <w:t>33563):  Attorney General of Canada, Ottawa.</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i/>
          <w:sz w:val="20"/>
        </w:rPr>
      </w:pPr>
      <w:r w:rsidRPr="00F80B88">
        <w:rPr>
          <w:i/>
          <w:sz w:val="20"/>
        </w:rPr>
        <w:tab/>
        <w:t>Solicitors for the respondent/appellant on cross</w:t>
      </w:r>
      <w:r w:rsidRPr="00F80B88">
        <w:rPr>
          <w:i/>
          <w:sz w:val="20"/>
        </w:rPr>
        <w:noBreakHyphen/>
        <w:t>appeal Imperial Tobacco Canada Limited (33559):  Hunter Litigation Chambers Law Corporation, Vancouver.</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i/>
          <w:sz w:val="20"/>
        </w:rPr>
      </w:pPr>
      <w:r w:rsidRPr="00F80B88">
        <w:rPr>
          <w:i/>
          <w:sz w:val="20"/>
        </w:rPr>
        <w:tab/>
        <w:t>Solicitors for the respondent Her Majesty the Queen in Right of British Columbia (33563):  Bull, Housser &amp; Tupper, Vancouver.</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i/>
          <w:sz w:val="20"/>
        </w:rPr>
      </w:pPr>
      <w:r w:rsidRPr="00F80B88">
        <w:rPr>
          <w:i/>
          <w:sz w:val="20"/>
        </w:rPr>
        <w:tab/>
        <w:t>Solicitors for the respondent/appellant on cross</w:t>
      </w:r>
      <w:r w:rsidRPr="00F80B88">
        <w:rPr>
          <w:i/>
          <w:sz w:val="20"/>
        </w:rPr>
        <w:noBreakHyphen/>
        <w:t>appeal Imperial Tobacco Canada Limited (33563):  Osler, Hoskin &amp; Harcourt, Toronto.</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i/>
          <w:sz w:val="20"/>
        </w:rPr>
      </w:pPr>
      <w:r w:rsidRPr="00F80B88">
        <w:rPr>
          <w:i/>
          <w:sz w:val="20"/>
        </w:rPr>
        <w:tab/>
        <w:t>Solicitors for the respondents/appellants on cross</w:t>
      </w:r>
      <w:r w:rsidRPr="00F80B88">
        <w:rPr>
          <w:b/>
          <w:i/>
          <w:sz w:val="20"/>
        </w:rPr>
        <w:noBreakHyphen/>
      </w:r>
      <w:r w:rsidRPr="00F80B88">
        <w:rPr>
          <w:i/>
          <w:sz w:val="20"/>
        </w:rPr>
        <w:t>appeal Rothmans, Benson &amp; Hedges Inc. and Rothmans Inc. (33563):  Affleck Hira Burgoyne, Vancouver.</w:t>
      </w:r>
    </w:p>
    <w:p w:rsidR="00697A14" w:rsidRPr="00F80B88" w:rsidRDefault="00697A14" w:rsidP="00697A14">
      <w:pPr>
        <w:pStyle w:val="SCCNormalDoubleSpacing"/>
        <w:spacing w:line="240" w:lineRule="auto"/>
        <w:rPr>
          <w:b/>
          <w:i/>
          <w:sz w:val="20"/>
        </w:rPr>
      </w:pPr>
    </w:p>
    <w:p w:rsidR="00697A14" w:rsidRDefault="00697A14" w:rsidP="00697A14">
      <w:pPr>
        <w:pStyle w:val="SCCNormalDoubleSpacing"/>
        <w:spacing w:line="240" w:lineRule="auto"/>
        <w:rPr>
          <w:i/>
          <w:sz w:val="20"/>
        </w:rPr>
      </w:pPr>
      <w:r w:rsidRPr="00F80B88">
        <w:rPr>
          <w:i/>
          <w:sz w:val="20"/>
        </w:rPr>
        <w:tab/>
        <w:t>Solicitors for the respondents/appellants on cross</w:t>
      </w:r>
      <w:r w:rsidRPr="00F80B88">
        <w:rPr>
          <w:i/>
          <w:sz w:val="20"/>
        </w:rPr>
        <w:noBreakHyphen/>
        <w:t>appeal JTI</w:t>
      </w:r>
      <w:r w:rsidRPr="00F80B88">
        <w:rPr>
          <w:i/>
          <w:sz w:val="20"/>
        </w:rPr>
        <w:noBreakHyphen/>
        <w:t>MacDonald Corp., R.J. Reynolds Tobacco Company and R.J. Reynolds Tobacco International Inc. (33563):  Farris, Vaughan, Willis &amp; Murphy, Vancouver.</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i/>
          <w:sz w:val="20"/>
        </w:rPr>
      </w:pPr>
      <w:r w:rsidRPr="00F80B88">
        <w:rPr>
          <w:i/>
          <w:sz w:val="20"/>
        </w:rPr>
        <w:tab/>
        <w:t>Solicitors for the respondents/appellants on cross</w:t>
      </w:r>
      <w:r w:rsidRPr="00F80B88">
        <w:rPr>
          <w:i/>
          <w:sz w:val="20"/>
        </w:rPr>
        <w:noBreakHyphen/>
        <w:t xml:space="preserve">appeal </w:t>
      </w:r>
      <w:r w:rsidRPr="00F80B88">
        <w:rPr>
          <w:i/>
          <w:sz w:val="20"/>
          <w:lang w:val="en-US"/>
        </w:rPr>
        <w:t>B.A.T. Industries p.l.c. a</w:t>
      </w:r>
      <w:r w:rsidRPr="00F80B88">
        <w:rPr>
          <w:i/>
          <w:sz w:val="20"/>
        </w:rPr>
        <w:t>nd British American Tobacco (Investments) Limited (33563):  Sugden, McFee &amp; Roos, Vancouver.</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i/>
          <w:sz w:val="20"/>
        </w:rPr>
      </w:pPr>
      <w:r w:rsidRPr="00F80B88">
        <w:rPr>
          <w:i/>
          <w:sz w:val="20"/>
        </w:rPr>
        <w:tab/>
        <w:t>Solicitors for the respondent/appellant on cross</w:t>
      </w:r>
      <w:r w:rsidRPr="00F80B88">
        <w:rPr>
          <w:i/>
          <w:sz w:val="20"/>
        </w:rPr>
        <w:noBreakHyphen/>
        <w:t>appeal Carreras Rothmans Limited (33563):  Harper Grey, Vancouver.</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i/>
          <w:sz w:val="20"/>
        </w:rPr>
      </w:pPr>
      <w:r w:rsidRPr="00F80B88">
        <w:rPr>
          <w:i/>
          <w:sz w:val="20"/>
        </w:rPr>
        <w:tab/>
        <w:t>Solicitors for the respondent/appellant on cross</w:t>
      </w:r>
      <w:r w:rsidRPr="00F80B88">
        <w:rPr>
          <w:i/>
          <w:sz w:val="20"/>
        </w:rPr>
        <w:noBreakHyphen/>
        <w:t>appeal Philip Morris U.S.A. Inc. (33563):  Davis &amp; Company, Vancouver.</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i/>
          <w:sz w:val="20"/>
        </w:rPr>
      </w:pPr>
      <w:r w:rsidRPr="00F80B88">
        <w:rPr>
          <w:i/>
          <w:sz w:val="20"/>
        </w:rPr>
        <w:tab/>
        <w:t>Solicitors for the respondent/appellant on cross</w:t>
      </w:r>
      <w:r w:rsidRPr="00F80B88">
        <w:rPr>
          <w:i/>
          <w:sz w:val="20"/>
        </w:rPr>
        <w:noBreakHyphen/>
        <w:t>appeal Philip Morris International Inc. (33563):  McCarthy Tétrault, Montréal.</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i/>
          <w:sz w:val="20"/>
        </w:rPr>
      </w:pPr>
      <w:r w:rsidRPr="00F80B88">
        <w:rPr>
          <w:i/>
          <w:sz w:val="20"/>
          <w:lang w:val="en-US"/>
        </w:rPr>
        <w:tab/>
      </w:r>
      <w:r w:rsidRPr="00F80B88">
        <w:rPr>
          <w:i/>
          <w:sz w:val="20"/>
        </w:rPr>
        <w:t>Solicitor</w:t>
      </w:r>
      <w:r w:rsidRPr="00F80B88">
        <w:rPr>
          <w:i/>
          <w:sz w:val="20"/>
          <w:lang w:val="en-US"/>
        </w:rPr>
        <w:t xml:space="preserve"> </w:t>
      </w:r>
      <w:r w:rsidRPr="00F80B88">
        <w:rPr>
          <w:i/>
          <w:sz w:val="20"/>
        </w:rPr>
        <w:t>for the intervener the Attorney General of Ontario (33559</w:t>
      </w:r>
      <w:r w:rsidRPr="00F80B88">
        <w:rPr>
          <w:i/>
          <w:sz w:val="20"/>
        </w:rPr>
        <w:noBreakHyphen/>
        <w:t>33563):  Attorney General of Ontario, Toronto.</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i/>
          <w:sz w:val="20"/>
        </w:rPr>
      </w:pPr>
      <w:r w:rsidRPr="00F80B88">
        <w:rPr>
          <w:i/>
          <w:sz w:val="20"/>
        </w:rPr>
        <w:tab/>
        <w:t>Solicitors for the intervener Her Majesty the Queen in Right of New Brunswick (33563):  Bennett Jones, Toronto.</w:t>
      </w:r>
    </w:p>
    <w:p w:rsidR="00697A14" w:rsidRPr="00F80B88" w:rsidRDefault="00697A14" w:rsidP="00697A14">
      <w:pPr>
        <w:pStyle w:val="SCCNormalDoubleSpacing"/>
        <w:spacing w:line="240" w:lineRule="auto"/>
        <w:rPr>
          <w:i/>
          <w:sz w:val="20"/>
        </w:rPr>
      </w:pPr>
    </w:p>
    <w:p w:rsidR="00697A14" w:rsidRDefault="00697A14" w:rsidP="00697A14">
      <w:pPr>
        <w:pStyle w:val="SCCNormalDoubleSpacing"/>
        <w:spacing w:line="240" w:lineRule="auto"/>
        <w:rPr>
          <w:i/>
          <w:sz w:val="20"/>
        </w:rPr>
      </w:pPr>
      <w:r w:rsidRPr="00F80B88">
        <w:rPr>
          <w:i/>
          <w:sz w:val="20"/>
        </w:rPr>
        <w:tab/>
        <w:t>Solicitor for the intervener the Attorney General of British Columbia (33559</w:t>
      </w:r>
      <w:r w:rsidRPr="00F80B88">
        <w:rPr>
          <w:i/>
          <w:sz w:val="20"/>
        </w:rPr>
        <w:noBreakHyphen/>
        <w:t>33563):  Attorney General of British Columbia, Victoria.</w:t>
      </w:r>
    </w:p>
    <w:p w:rsidR="003B3977" w:rsidRPr="00E01CF4" w:rsidRDefault="003B3977" w:rsidP="003B3977">
      <w:pPr>
        <w:rPr>
          <w:sz w:val="20"/>
          <w:szCs w:val="20"/>
          <w:lang w:val="fr-CA"/>
        </w:rPr>
      </w:pPr>
      <w:r w:rsidRPr="00E01CF4">
        <w:rPr>
          <w:sz w:val="20"/>
          <w:szCs w:val="20"/>
          <w:lang w:val="fr-CA"/>
        </w:rPr>
        <w:t>________________________</w:t>
      </w:r>
    </w:p>
    <w:p w:rsidR="003B3977" w:rsidRPr="00E01CF4" w:rsidRDefault="003B3977" w:rsidP="003B3977">
      <w:pPr>
        <w:rPr>
          <w:sz w:val="20"/>
          <w:szCs w:val="20"/>
          <w:lang w:val="fr-CA"/>
        </w:rPr>
      </w:pPr>
    </w:p>
    <w:p w:rsidR="00D03ED3" w:rsidRPr="00D03ED3" w:rsidRDefault="00D03ED3" w:rsidP="00D03ED3">
      <w:pPr>
        <w:jc w:val="both"/>
        <w:rPr>
          <w:sz w:val="20"/>
          <w:lang w:val="fr-CA"/>
        </w:rPr>
      </w:pPr>
      <w:r w:rsidRPr="00D03ED3">
        <w:rPr>
          <w:sz w:val="20"/>
          <w:lang w:val="fr-CA"/>
        </w:rPr>
        <w:t>Présents : La juge en chef McLachlin et les juges Binnie, LeBel, Deschamps, Fish, Abella, Charron, Rothstein et Cromwell.</w:t>
      </w:r>
    </w:p>
    <w:p w:rsidR="00D03ED3" w:rsidRPr="00D03ED3" w:rsidRDefault="00D03ED3" w:rsidP="00D03ED3">
      <w:pPr>
        <w:pStyle w:val="SCCLowerCourtNameLowercase"/>
        <w:spacing w:line="240" w:lineRule="auto"/>
        <w:rPr>
          <w:sz w:val="20"/>
          <w:lang w:val="fr-CA"/>
        </w:rPr>
      </w:pPr>
    </w:p>
    <w:p w:rsidR="00D03ED3" w:rsidRDefault="00D03ED3" w:rsidP="00D03ED3">
      <w:pPr>
        <w:pStyle w:val="SCCNormalDoubleSpacing"/>
        <w:spacing w:line="240" w:lineRule="auto"/>
        <w:rPr>
          <w:i/>
          <w:sz w:val="20"/>
          <w:lang w:val="fr-FR"/>
        </w:rPr>
      </w:pPr>
      <w:r w:rsidRPr="00D03ED3">
        <w:rPr>
          <w:i/>
          <w:sz w:val="20"/>
          <w:lang w:val="fr-CA"/>
        </w:rPr>
        <w:tab/>
      </w:r>
      <w:r w:rsidRPr="00593981">
        <w:rPr>
          <w:i/>
          <w:sz w:val="20"/>
          <w:lang w:val="fr-FR"/>
        </w:rPr>
        <w:t xml:space="preserve">Procédure civile — Mise en cause — Requête en radiation — Fabricants de tabac poursuivis par le gouvernement d’une province qui cherche à recouvrer les sommes consacrées au traitement des maladies liées au tabagisme, et par des consommateurs de cigarettes dites « légères » ou « douces » qui demandent des dommages-intérêts et des dommages-intérêts punitifs — Compagnies de tabac mettant en cause le gouvernement fédéral pour lui </w:t>
      </w:r>
      <w:r w:rsidRPr="00593981">
        <w:rPr>
          <w:i/>
          <w:sz w:val="20"/>
          <w:lang w:val="fr-FR"/>
        </w:rPr>
        <w:lastRenderedPageBreak/>
        <w:t xml:space="preserve">réclamer une contribution et une indemnisation — Est-il évident et manifeste que les avis de mise en cause ne révèlent aucune cause d’action raisonnable? </w:t>
      </w:r>
    </w:p>
    <w:p w:rsidR="00D03ED3" w:rsidRPr="00593981" w:rsidRDefault="00D03ED3" w:rsidP="00D03ED3">
      <w:pPr>
        <w:pStyle w:val="SCCNormalDoubleSpacing"/>
        <w:spacing w:line="240" w:lineRule="auto"/>
        <w:rPr>
          <w:i/>
          <w:sz w:val="20"/>
          <w:lang w:val="fr-FR"/>
        </w:rPr>
      </w:pPr>
    </w:p>
    <w:p w:rsidR="00D03ED3" w:rsidRDefault="00D03ED3" w:rsidP="00D03ED3">
      <w:pPr>
        <w:pStyle w:val="SCCNormalDoubleSpacing"/>
        <w:spacing w:line="240" w:lineRule="auto"/>
        <w:rPr>
          <w:i/>
          <w:sz w:val="20"/>
          <w:lang w:val="fr-FR"/>
        </w:rPr>
      </w:pPr>
      <w:r w:rsidRPr="00593981">
        <w:rPr>
          <w:i/>
          <w:sz w:val="20"/>
          <w:lang w:val="fr-FR"/>
        </w:rPr>
        <w:tab/>
        <w:t xml:space="preserve">Responsabilité délictuelle — Déclaration inexacte faite par négligence — Défaut de mise en garde — Conception négligente — Obligation de diligence — Lien de proximité — Poursuites engagées par le gouvernement d’une province et des consommateurs contre des fabricants de tabac qui ont mis en cause le gouvernement fédéral pour lui réclamer une contribution et une indemnisation — Gouvernement fédéral prétendant que les déclarations relevaient de la politique générale du gouvernement et étaient de ce fait soustraites au contrôle judiciaire — Les faits allégués établissent-ils l’existence d’une obligation de diligence prima facie? — Dans l’affirmative, des considérations de politique générale opposées écartent-elles cette obligation? </w:t>
      </w:r>
    </w:p>
    <w:p w:rsidR="00D03ED3" w:rsidRPr="00593981" w:rsidRDefault="00D03ED3" w:rsidP="00D03ED3">
      <w:pPr>
        <w:pStyle w:val="SCCNormalDoubleSpacing"/>
        <w:spacing w:line="240" w:lineRule="auto"/>
        <w:rPr>
          <w:i/>
          <w:sz w:val="20"/>
          <w:lang w:val="fr-FR"/>
        </w:rPr>
      </w:pPr>
    </w:p>
    <w:p w:rsidR="00D03ED3" w:rsidRDefault="00D03ED3" w:rsidP="00D03ED3">
      <w:pPr>
        <w:pStyle w:val="SCCNormalDoubleSpacing"/>
        <w:spacing w:line="240" w:lineRule="auto"/>
        <w:rPr>
          <w:i/>
          <w:sz w:val="20"/>
          <w:lang w:val="fr-FR"/>
        </w:rPr>
      </w:pPr>
      <w:r w:rsidRPr="00593981">
        <w:rPr>
          <w:i/>
          <w:sz w:val="20"/>
          <w:lang w:val="fr-FR"/>
        </w:rPr>
        <w:tab/>
        <w:t>Responsabilité délictuelle — Régime législatif provincial conférant un droit d’action contre les fabricants et les fournisseurs de tabac — Le gouvernement fédéral a-t-il engagé sa responsabilité à titre de « fabricant » au sens de la Tobacco Damages and Health Care Costs Recovery Act, S.B.C. 2000, ch. 30, ou de « fournisseur » au sens de la Business Practices and Consumer Protection Act, S.B.C. 2004, ch. 2, et de la Trade Practice Act, R.S.B.C. 1996, ch. 457?</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sz w:val="20"/>
          <w:lang w:val="fr-FR"/>
        </w:rPr>
      </w:pPr>
      <w:r w:rsidRPr="00593981">
        <w:rPr>
          <w:sz w:val="20"/>
          <w:lang w:val="fr-FR"/>
        </w:rPr>
        <w:tab/>
        <w:t>Le pourvoi porte sur deux actions intentées devant les tribunaux de la Colombie-Britannique.  Dans l’</w:t>
      </w:r>
      <w:r w:rsidRPr="00593981">
        <w:rPr>
          <w:i/>
          <w:sz w:val="20"/>
          <w:lang w:val="fr-FR"/>
        </w:rPr>
        <w:t>Affaire du recouvrement des coûts</w:t>
      </w:r>
      <w:r w:rsidRPr="00593981">
        <w:rPr>
          <w:sz w:val="20"/>
          <w:lang w:val="fr-FR"/>
        </w:rPr>
        <w:t xml:space="preserve">, le gouvernement de la Colombie-Britannique cherche, aux termes de la </w:t>
      </w:r>
      <w:r w:rsidRPr="00593981">
        <w:rPr>
          <w:i/>
          <w:sz w:val="20"/>
          <w:lang w:val="fr-FR"/>
        </w:rPr>
        <w:t>Tobacco Damages and Health Care Costs Recovery Act</w:t>
      </w:r>
      <w:r w:rsidRPr="00593981">
        <w:rPr>
          <w:sz w:val="20"/>
          <w:lang w:val="fr-FR"/>
        </w:rPr>
        <w:t xml:space="preserve"> (« </w:t>
      </w:r>
      <w:r w:rsidRPr="00593981">
        <w:rPr>
          <w:i/>
          <w:sz w:val="20"/>
          <w:lang w:val="fr-FR"/>
        </w:rPr>
        <w:t xml:space="preserve">CRA </w:t>
      </w:r>
      <w:r w:rsidRPr="00593981">
        <w:rPr>
          <w:sz w:val="20"/>
          <w:lang w:val="fr-FR"/>
        </w:rPr>
        <w:t xml:space="preserve">»), à recouvrer d’un groupe de compagnies de tabac, dont Imperial, les sommes consacrées au traitement médical de personnes souffrant de maladies liées au tabagisme.  Selon la Colombie-Britannique, dès 1950, les compagnies de tabac savaient ou auraient dû savoir que les cigarettes étaient néfastes pour la santé et ont fait défaut de mettre le public en garde adéquatement contre les risques associés à l’usage de leur produit.  Dans l’affaire </w:t>
      </w:r>
      <w:r w:rsidRPr="00593981">
        <w:rPr>
          <w:i/>
          <w:sz w:val="20"/>
          <w:lang w:val="fr-FR"/>
        </w:rPr>
        <w:t>Knight</w:t>
      </w:r>
      <w:r w:rsidRPr="00593981">
        <w:rPr>
          <w:sz w:val="20"/>
          <w:lang w:val="fr-FR"/>
        </w:rPr>
        <w:t>, un recours collectif a été intenté contre Imperial seulement, pour demander, au nom des membres qui ont acheté des cigarettes dites « légères » ou « douces », le remboursement du coût des cigarettes ainsi que le versement de dommages-intérêts punitifs.  Selon eux, la teneur en goudron et en nicotine indiquée sur les paquets de cigarettes fabriquées par Imperial ne correspondait pas aux émissions toxiques réelles pour les fumeurs. Ils font valoir que la fumée dégagée par les cigarettes légères était tout aussi néfaste que celle dégagée par les cigarettes régulières.</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sz w:val="20"/>
          <w:lang w:val="fr-FR"/>
        </w:rPr>
      </w:pPr>
      <w:r w:rsidRPr="00593981">
        <w:rPr>
          <w:sz w:val="20"/>
          <w:lang w:val="fr-FR"/>
        </w:rPr>
        <w:tab/>
        <w:t xml:space="preserve">Dans les deux affaires, les compagnies de tabac ont mis en cause le gouvernement du Canada, prétendant que, si elles étaient tenues responsables envers les demandeurs, elles avaient le droit d’être indemnisées par le Canada pour déclarations inexactes faites par négligence, conception négligente et défaut de mise en garde; ainsi qu’en vertu de l’equity.  Elles font également valoir que le Canada aurait engagé sa propre responsabilité à titre de « fabricant » au sens de la </w:t>
      </w:r>
      <w:r w:rsidRPr="00593981">
        <w:rPr>
          <w:i/>
          <w:sz w:val="20"/>
          <w:lang w:val="fr-FR"/>
        </w:rPr>
        <w:t>CRA</w:t>
      </w:r>
      <w:r w:rsidRPr="00593981">
        <w:rPr>
          <w:sz w:val="20"/>
          <w:lang w:val="fr-FR"/>
        </w:rPr>
        <w:t xml:space="preserve"> ou à titre de « fournisseur » au sens de la </w:t>
      </w:r>
      <w:r w:rsidRPr="00593981">
        <w:rPr>
          <w:i/>
          <w:sz w:val="20"/>
          <w:lang w:val="fr-FR"/>
        </w:rPr>
        <w:t>Business Practices and Consumer Protection Act</w:t>
      </w:r>
      <w:r w:rsidRPr="00593981">
        <w:rPr>
          <w:sz w:val="20"/>
          <w:lang w:val="fr-FR"/>
        </w:rPr>
        <w:t xml:space="preserve"> et de la </w:t>
      </w:r>
      <w:r w:rsidRPr="00593981">
        <w:rPr>
          <w:i/>
          <w:sz w:val="20"/>
          <w:lang w:val="fr-FR"/>
        </w:rPr>
        <w:t>Trade Practice Act</w:t>
      </w:r>
      <w:r w:rsidRPr="00593981">
        <w:rPr>
          <w:sz w:val="20"/>
          <w:lang w:val="fr-FR"/>
        </w:rPr>
        <w:t xml:space="preserve">, et qu’elles sont en droit d’obtenir du Canada une contribution et une indemnisation en vertu de la </w:t>
      </w:r>
      <w:r w:rsidRPr="00593981">
        <w:rPr>
          <w:i/>
          <w:sz w:val="20"/>
          <w:lang w:val="fr-FR"/>
        </w:rPr>
        <w:t>Negligence Act</w:t>
      </w:r>
      <w:r w:rsidRPr="00593981">
        <w:rPr>
          <w:sz w:val="20"/>
          <w:lang w:val="fr-FR"/>
        </w:rPr>
        <w:t>.  Le Canada a présenté des requêtes en radiation des avis de mise en cause, faisant valoir qu’il était évident et manifeste que ces avis ne révélaient aucune cause d’action raisonnable.  Dans les deux affaires, les juges siégeant en cabinet ont ordonné la radiation de tous les avis de mise en cause.  La Cour d’appel de la Colombie-Britannique a accueilli en partie les appels interjetés par les compagnies de tabac.  Les juges majoritaires ont conclu à l’opportunité d’instruire, dans l’</w:t>
      </w:r>
      <w:r w:rsidRPr="00593981">
        <w:rPr>
          <w:i/>
          <w:sz w:val="20"/>
          <w:lang w:val="fr-FR"/>
        </w:rPr>
        <w:t>Affaire</w:t>
      </w:r>
      <w:r w:rsidRPr="00593981">
        <w:rPr>
          <w:sz w:val="20"/>
          <w:lang w:val="fr-FR"/>
        </w:rPr>
        <w:t xml:space="preserve"> </w:t>
      </w:r>
      <w:r w:rsidRPr="00593981">
        <w:rPr>
          <w:i/>
          <w:sz w:val="20"/>
          <w:lang w:val="fr-FR"/>
        </w:rPr>
        <w:t>du recouvrement des coûts</w:t>
      </w:r>
      <w:r w:rsidRPr="00593981">
        <w:rPr>
          <w:sz w:val="20"/>
          <w:lang w:val="fr-FR"/>
        </w:rPr>
        <w:t xml:space="preserve"> et dans l’affaire </w:t>
      </w:r>
      <w:r w:rsidRPr="00593981">
        <w:rPr>
          <w:i/>
          <w:sz w:val="20"/>
          <w:lang w:val="fr-FR"/>
        </w:rPr>
        <w:t>Knight</w:t>
      </w:r>
      <w:r w:rsidRPr="00593981">
        <w:rPr>
          <w:sz w:val="20"/>
          <w:lang w:val="fr-FR"/>
        </w:rPr>
        <w:t xml:space="preserve">, les demandes relatives aux déclarations inexactes faites par négligence en violation d’une prétendue obligation de diligence du Canada envers les compagnies de tabac.  Dans l’affaire </w:t>
      </w:r>
      <w:r w:rsidRPr="00593981">
        <w:rPr>
          <w:i/>
          <w:sz w:val="20"/>
          <w:lang w:val="fr-FR"/>
        </w:rPr>
        <w:t>Knight</w:t>
      </w:r>
      <w:r w:rsidRPr="00593981">
        <w:rPr>
          <w:sz w:val="20"/>
          <w:lang w:val="fr-FR"/>
        </w:rPr>
        <w:t xml:space="preserve">, les juges majoritaires ont conclu en outre à l’opportunité d’instruire la demande relative aux déclarations inexactes faites par négligence fondée sur une prétendue obligation de diligence du Canada envers les consommateurs, ainsi que la demande relative à la conception négligente.  La cour a radié à l’unanimité les autres demandes présentées par les compagnies de tabac. </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sz w:val="20"/>
          <w:lang w:val="fr-FR"/>
        </w:rPr>
      </w:pPr>
      <w:r w:rsidRPr="00593981">
        <w:rPr>
          <w:sz w:val="20"/>
          <w:lang w:val="fr-FR"/>
        </w:rPr>
        <w:tab/>
      </w:r>
      <w:r w:rsidRPr="00593981">
        <w:rPr>
          <w:i/>
          <w:sz w:val="20"/>
          <w:lang w:val="fr-FR"/>
        </w:rPr>
        <w:t>Arrêt </w:t>
      </w:r>
      <w:r w:rsidRPr="00593981">
        <w:rPr>
          <w:rStyle w:val="QuoteChar"/>
          <w:lang w:val="fr-FR"/>
        </w:rPr>
        <w:t>:</w:t>
      </w:r>
      <w:r w:rsidRPr="00593981">
        <w:rPr>
          <w:sz w:val="20"/>
          <w:lang w:val="fr-FR"/>
        </w:rPr>
        <w:t xml:space="preserve"> Les pourvois sont accueillis et les demandes sont radiées. Les pourvois incidents interjetés par les compagnies de tabac sont rejetés. </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sz w:val="20"/>
          <w:lang w:val="fr-FR"/>
        </w:rPr>
      </w:pPr>
      <w:r w:rsidRPr="00593981">
        <w:rPr>
          <w:sz w:val="20"/>
          <w:lang w:val="fr-FR"/>
        </w:rPr>
        <w:tab/>
        <w:t xml:space="preserve">Dans le cas d’une requête en radiation, une demande ne sera radiée que s’il est évident et manifeste, dans l’hypothèse où les faits allégués seraient avérés, que la déclaration ne révèle aucune cause d’action raisonnable.  L’approche doit être généreuse et permettre, dans la mesure du possible, l’instruction de toute demande inédite, mais soutenable.  Cependant, le juge ne peut pas anticiper ce que la preuve qui sera produite permettra d’établir.  En l’espèce, il est évident et manifeste qu’aucune des allégations des compagnies de tabac visant le Canada n’a une possibilité raisonnable d’être accueillie. </w:t>
      </w:r>
    </w:p>
    <w:p w:rsidR="00D03ED3" w:rsidRPr="00593981" w:rsidRDefault="00D03ED3" w:rsidP="00D03ED3">
      <w:pPr>
        <w:pStyle w:val="SCCNormalDoubleSpacing"/>
        <w:spacing w:line="240" w:lineRule="auto"/>
        <w:rPr>
          <w:i/>
          <w:sz w:val="20"/>
          <w:lang w:val="fr-FR"/>
        </w:rPr>
      </w:pPr>
      <w:r w:rsidRPr="00593981">
        <w:rPr>
          <w:i/>
          <w:sz w:val="20"/>
          <w:lang w:val="fr-FR"/>
        </w:rPr>
        <w:lastRenderedPageBreak/>
        <w:t xml:space="preserve">Les prétendues obligations de diligence du Canada envers les fumeurs dans l’Affaire du recouvrement des coûts </w:t>
      </w:r>
    </w:p>
    <w:p w:rsidR="00D03ED3"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sz w:val="20"/>
          <w:lang w:val="fr-FR"/>
        </w:rPr>
      </w:pPr>
      <w:r w:rsidRPr="00593981">
        <w:rPr>
          <w:sz w:val="20"/>
          <w:lang w:val="fr-FR"/>
        </w:rPr>
        <w:tab/>
        <w:t>Dans l’</w:t>
      </w:r>
      <w:r w:rsidRPr="00593981">
        <w:rPr>
          <w:i/>
          <w:sz w:val="20"/>
          <w:lang w:val="fr-FR"/>
        </w:rPr>
        <w:t>Affaire du recouvrement des coûts</w:t>
      </w:r>
      <w:r w:rsidRPr="00593981">
        <w:rPr>
          <w:sz w:val="20"/>
          <w:lang w:val="fr-FR"/>
        </w:rPr>
        <w:t>, les demandes de contribution et d’indemnisation de droit privé dirigées contre le Canada et fondées sur des manquements allégués à une obligation de diligence envers les fumeurs</w:t>
      </w:r>
      <w:r w:rsidRPr="00593981">
        <w:rPr>
          <w:i/>
          <w:sz w:val="20"/>
          <w:lang w:val="fr-FR"/>
        </w:rPr>
        <w:t xml:space="preserve"> </w:t>
      </w:r>
      <w:r w:rsidRPr="00593981">
        <w:rPr>
          <w:sz w:val="20"/>
          <w:lang w:val="fr-FR"/>
        </w:rPr>
        <w:t xml:space="preserve">doivent être radiées.  Un tiers ne peut être tenu de verser une contribution en vertu de la </w:t>
      </w:r>
      <w:r w:rsidRPr="00593981">
        <w:rPr>
          <w:i/>
          <w:sz w:val="20"/>
          <w:lang w:val="fr-FR"/>
        </w:rPr>
        <w:t>Negligence Act</w:t>
      </w:r>
      <w:r w:rsidRPr="00593981">
        <w:rPr>
          <w:sz w:val="20"/>
          <w:lang w:val="fr-FR"/>
        </w:rPr>
        <w:t xml:space="preserve"> que s’il est directement responsable envers le demandeur, en l’occurrence la Colombie-Britannique.  En l’espèce, même si le Canada a manqué à ses obligations envers les fumeurs, ce manquement n’aurait aucune incidence sur la question de savoir s’il est responsable envers la Colombie-Britannique. </w:t>
      </w:r>
    </w:p>
    <w:p w:rsidR="00D03ED3" w:rsidRPr="00593981" w:rsidRDefault="00D03ED3" w:rsidP="00D03ED3">
      <w:pPr>
        <w:pStyle w:val="SCCNormalDoubleSpacing"/>
        <w:spacing w:line="240" w:lineRule="auto"/>
        <w:rPr>
          <w:sz w:val="20"/>
          <w:lang w:val="fr-FR"/>
        </w:rPr>
      </w:pPr>
    </w:p>
    <w:p w:rsidR="00D03ED3" w:rsidRPr="00593981" w:rsidRDefault="00D03ED3" w:rsidP="00D03ED3">
      <w:pPr>
        <w:pStyle w:val="SCCNormalDoubleSpacing"/>
        <w:spacing w:line="240" w:lineRule="auto"/>
        <w:rPr>
          <w:i/>
          <w:sz w:val="20"/>
          <w:lang w:val="fr-FR"/>
        </w:rPr>
      </w:pPr>
      <w:r w:rsidRPr="00593981">
        <w:rPr>
          <w:i/>
          <w:sz w:val="20"/>
          <w:lang w:val="fr-FR"/>
        </w:rPr>
        <w:t xml:space="preserve">Les allégations de déclarations inexactes faites par négligence </w:t>
      </w:r>
    </w:p>
    <w:p w:rsidR="00D03ED3"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sz w:val="20"/>
          <w:lang w:val="fr-FR"/>
        </w:rPr>
      </w:pPr>
      <w:r w:rsidRPr="00593981">
        <w:rPr>
          <w:sz w:val="20"/>
          <w:lang w:val="fr-FR"/>
        </w:rPr>
        <w:tab/>
        <w:t xml:space="preserve">Les allégations en l’espèce mettent en cause deux liens : celui entre le Canada et les consommateurs, et celui entre le Canada et les compagnies de tabac.  Dans l’affaire </w:t>
      </w:r>
      <w:r w:rsidRPr="00593981">
        <w:rPr>
          <w:i/>
          <w:sz w:val="20"/>
          <w:lang w:val="fr-FR"/>
        </w:rPr>
        <w:t>Knight</w:t>
      </w:r>
      <w:r w:rsidRPr="00593981">
        <w:rPr>
          <w:sz w:val="20"/>
          <w:lang w:val="fr-FR"/>
        </w:rPr>
        <w:t xml:space="preserve">, Imperial prétend que le Canada a fait preuve de négligence en déclarant faussement aux fumeurs que la cigarette à teneur réduite en goudron serait moins nocive pour la santé. Dans l’affaire </w:t>
      </w:r>
      <w:r w:rsidRPr="00593981">
        <w:rPr>
          <w:i/>
          <w:sz w:val="20"/>
          <w:lang w:val="fr-FR"/>
        </w:rPr>
        <w:t>Knight</w:t>
      </w:r>
      <w:r w:rsidRPr="00593981">
        <w:rPr>
          <w:sz w:val="20"/>
          <w:lang w:val="fr-FR"/>
        </w:rPr>
        <w:t xml:space="preserve"> et l’</w:t>
      </w:r>
      <w:r w:rsidRPr="00593981">
        <w:rPr>
          <w:i/>
          <w:sz w:val="20"/>
          <w:lang w:val="fr-FR"/>
        </w:rPr>
        <w:t>Affaire</w:t>
      </w:r>
      <w:r w:rsidRPr="00593981">
        <w:rPr>
          <w:sz w:val="20"/>
          <w:lang w:val="fr-FR"/>
        </w:rPr>
        <w:t xml:space="preserve"> </w:t>
      </w:r>
      <w:r w:rsidRPr="00593981">
        <w:rPr>
          <w:i/>
          <w:sz w:val="20"/>
          <w:lang w:val="fr-FR"/>
        </w:rPr>
        <w:t>du</w:t>
      </w:r>
      <w:r w:rsidRPr="00593981">
        <w:rPr>
          <w:sz w:val="20"/>
          <w:lang w:val="fr-FR"/>
        </w:rPr>
        <w:t xml:space="preserve"> </w:t>
      </w:r>
      <w:r w:rsidRPr="00593981">
        <w:rPr>
          <w:i/>
          <w:sz w:val="20"/>
          <w:lang w:val="fr-FR"/>
        </w:rPr>
        <w:t>recouvrement des coûts</w:t>
      </w:r>
      <w:r w:rsidRPr="00593981">
        <w:rPr>
          <w:sz w:val="20"/>
          <w:lang w:val="fr-FR"/>
        </w:rPr>
        <w:t xml:space="preserve">, les compagnies de tabac prétendent que le Canada leur a fait des déclarations inexactes par négligence.  </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sz w:val="20"/>
          <w:lang w:val="fr-FR"/>
        </w:rPr>
      </w:pPr>
      <w:r w:rsidRPr="00593981">
        <w:rPr>
          <w:sz w:val="20"/>
          <w:lang w:val="fr-FR"/>
        </w:rPr>
        <w:tab/>
        <w:t xml:space="preserve">Les faits allégués ne font pas entrer la relation du Canada avec les consommateurs et les compagnies de tabac dans une catégorie définie en matière de déclarations inexactes faites par négligence.  Par conséquent, afin de déterminer si les causes d’action alléguées ont une possibilité raisonnable d’être accueillies, il faut que les exigences générales en matière de responsabilité délictuelle soient remplies.  À la première étape, il faut se demander si les faits révèlent l’existence d’un lien de proximité dans le cadre duquel l’omission de faire preuve de diligence raisonnable peut, de façon prévisible, causer une perte ou un préjudice au plaignant.  Dans le cadre d’une action pour déclaration inexacte faite par négligence, ces deux conditions pour qu’il existe une obligation de diligence </w:t>
      </w:r>
      <w:r w:rsidRPr="00593981">
        <w:rPr>
          <w:i/>
          <w:sz w:val="20"/>
          <w:lang w:val="fr-FR"/>
        </w:rPr>
        <w:t xml:space="preserve">prima facie </w:t>
      </w:r>
      <w:r w:rsidRPr="00593981">
        <w:rPr>
          <w:sz w:val="20"/>
          <w:lang w:val="fr-FR"/>
        </w:rPr>
        <w:t xml:space="preserve">sont remplies lorsqu’un « lien spécial » unit les parties.  L’existence d’un lien spécial est établie lorsque : (1) le défendeur doit raisonnablement prévoir que le demandeur se fiera à sa déclaration; et que (2) la confiance que le demandeur accorde à la déclaration serait raisonnable dans les circonstances.  Si l’existence d’un lien de proximité est établie, il y a obligation de diligence </w:t>
      </w:r>
      <w:r w:rsidRPr="00593981">
        <w:rPr>
          <w:i/>
          <w:sz w:val="20"/>
          <w:lang w:val="fr-FR"/>
        </w:rPr>
        <w:t>prima facie</w:t>
      </w:r>
      <w:r w:rsidRPr="00593981">
        <w:rPr>
          <w:sz w:val="20"/>
          <w:lang w:val="fr-FR"/>
        </w:rPr>
        <w:t xml:space="preserve"> et l’analyse passe à l’étape suivante dans laquelle on se demande si des considérations de politique empêcheraient de reconnaître cette obligation de diligence </w:t>
      </w:r>
      <w:r w:rsidRPr="00593981">
        <w:rPr>
          <w:i/>
          <w:sz w:val="20"/>
          <w:lang w:val="fr-FR"/>
        </w:rPr>
        <w:t>prima facie</w:t>
      </w:r>
      <w:r w:rsidRPr="00593981">
        <w:rPr>
          <w:sz w:val="20"/>
          <w:lang w:val="fr-FR"/>
        </w:rPr>
        <w:t>.</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sz w:val="20"/>
          <w:lang w:val="fr-FR"/>
        </w:rPr>
      </w:pPr>
      <w:r w:rsidRPr="00593981">
        <w:rPr>
          <w:sz w:val="20"/>
          <w:lang w:val="fr-FR"/>
        </w:rPr>
        <w:tab/>
        <w:t xml:space="preserve">Compte tenu des faits allégués, le Canada n’avait pas d’obligation de ce genre envers les consommateurs.  Le lien entre eux se limitait aux déclarations du Canada adressées au grand public selon lesquelles les cigarettes à faible teneur en goudron sont moins dangereuses pour la santé. Le Canada n’entretenait pas de rapports spéciaux avec les membres du groupe.  Par conséquent, le constat qu’il s’agit d’un lien suffisamment étroit doit découler des lois applicables.  Les lois pertinentes n’établissent toutefois que des obligations générales envers le public, et aucune obligation de nature privée envers les consommateurs. Vu l’absence de lien de proximité, il convient de radier cette allégation dans l’affaire </w:t>
      </w:r>
      <w:r w:rsidRPr="00593981">
        <w:rPr>
          <w:i/>
          <w:sz w:val="20"/>
          <w:lang w:val="fr-FR"/>
        </w:rPr>
        <w:t>Knight</w:t>
      </w:r>
      <w:r w:rsidRPr="00593981">
        <w:rPr>
          <w:sz w:val="20"/>
          <w:lang w:val="fr-FR"/>
        </w:rPr>
        <w:t xml:space="preserve"> à la première étape de l’analyse. </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sz w:val="20"/>
          <w:lang w:val="fr-FR"/>
        </w:rPr>
      </w:pPr>
      <w:r w:rsidRPr="00593981">
        <w:rPr>
          <w:sz w:val="20"/>
          <w:lang w:val="fr-FR"/>
        </w:rPr>
        <w:tab/>
        <w:t xml:space="preserve">En ce qui concerne les compagnies de tabac, les faits allégués révèlent que le Canada et les compagnies de tabac entretiennent depuis longtemps des rapports qui peuvent constituer un lien spécial imposant une obligation de diligence </w:t>
      </w:r>
      <w:r w:rsidRPr="00593981">
        <w:rPr>
          <w:i/>
          <w:sz w:val="20"/>
          <w:lang w:val="fr-FR"/>
        </w:rPr>
        <w:t>prima facie</w:t>
      </w:r>
      <w:r w:rsidRPr="00593981">
        <w:rPr>
          <w:sz w:val="20"/>
          <w:lang w:val="fr-FR"/>
        </w:rPr>
        <w:t xml:space="preserve">.  On allègue que le Canada a joué un rôle de conseiller auprès d’un nombre déterminé de fabricants et a entretenu des rapports commerciaux avec les sociétés en cause compte tenu, en partie, des avis fournis à ces dernières par des fonctionnaires, avis qui vont bien au-delà des déclarations faites par le Canada au grand public.  De plus, les pouvoirs de réglementation du Canada envers les fabricants, conjugués aux avis précis qu’il a donnés et à sa participation à des activités commerciales, pourraient être considérés comme étayant la conclusion que le Canada aurait raisonnablement dû prévoir que les compagnies de tabac se fieraient aux déclarations et que cette confiance serait raisonnable dans les circonstances alléguées.  </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sz w:val="20"/>
          <w:lang w:val="fr-FR"/>
        </w:rPr>
      </w:pPr>
      <w:r w:rsidRPr="00593981">
        <w:rPr>
          <w:sz w:val="20"/>
          <w:lang w:val="fr-FR"/>
        </w:rPr>
        <w:tab/>
        <w:t xml:space="preserve">Les déclarations inexactes que le Canada aurait faites par négligence n’engagent toutefois pas sa responsabilité délictuelle parce que des considérations de politique générale s’y opposent.  Les déclarations qui auraient été faites sont des expressions protégées de politique générale du gouvernement.  Les décisions de politique générale fondamentale du gouvernement qui sont soustraites aux poursuites sont les décisions qui se rapportent à une ligne de conduite et reposent sur des considérations d’intérêt public, tels des facteurs économiques, sociaux ou politiques, pourvu qu’elles ne soient ni irrationnelles ni prises de mauvaise foi.  Les déclarations en cause faisaient partie intégrante d’une politique générale adoptée par les plus hautes instances du gouvernement canadien et élaborée par souci pour la santé des Canadiens et des </w:t>
      </w:r>
      <w:r w:rsidRPr="00593981">
        <w:rPr>
          <w:sz w:val="20"/>
          <w:lang w:val="fr-FR"/>
        </w:rPr>
        <w:lastRenderedPageBreak/>
        <w:t xml:space="preserve">Canadiennes et en raison des coûts individuels et institutionnels associés aux maladies causées par le tabac, afin d’inciter les personnes qui continuaient de fumer à opter pour des cigarettes à faible teneur en goudron.  </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sz w:val="20"/>
          <w:lang w:val="fr-FR"/>
        </w:rPr>
      </w:pPr>
      <w:r w:rsidRPr="00593981">
        <w:rPr>
          <w:sz w:val="20"/>
          <w:lang w:val="fr-FR"/>
        </w:rPr>
        <w:tab/>
        <w:t xml:space="preserve">Les allégations de déclarations inexactes faites par négligence doivent aussi être rejetées parce qu’elles exposeraient le Canada à une responsabilité indéterminée. Reconnaître une obligation de diligence à l’égard des déclarations faites aux compagnies de tabac, reviendrait en fait à reconnaître une obligation envers les consommateurs.  Le montant des dommages-intérêts dus par le Canada aux compagnies de tabac dans les deux cas dépendrait du nombre de fumeurs et du nombre de cigarettes vendues, alors que le Canada n’exerçait aucun contrôle sur le nombre de fumeurs de cigarettes légères. </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i/>
          <w:sz w:val="20"/>
          <w:lang w:val="fr-FR"/>
        </w:rPr>
      </w:pPr>
      <w:r w:rsidRPr="00593981">
        <w:rPr>
          <w:i/>
          <w:sz w:val="20"/>
          <w:lang w:val="fr-FR"/>
        </w:rPr>
        <w:t>Les allégations de défaut de mise en garde</w:t>
      </w:r>
    </w:p>
    <w:p w:rsidR="00D03ED3" w:rsidRPr="00593981" w:rsidRDefault="00D03ED3" w:rsidP="00D03ED3">
      <w:pPr>
        <w:pStyle w:val="SCCNormalDoubleSpacing"/>
        <w:spacing w:line="240" w:lineRule="auto"/>
        <w:rPr>
          <w:i/>
          <w:sz w:val="20"/>
          <w:lang w:val="fr-FR"/>
        </w:rPr>
      </w:pPr>
    </w:p>
    <w:p w:rsidR="00D03ED3" w:rsidRDefault="00D03ED3" w:rsidP="00D03ED3">
      <w:pPr>
        <w:pStyle w:val="SCCNormalDoubleSpacing"/>
        <w:spacing w:line="240" w:lineRule="auto"/>
        <w:rPr>
          <w:sz w:val="20"/>
          <w:lang w:val="fr-FR"/>
        </w:rPr>
      </w:pPr>
      <w:r w:rsidRPr="00593981">
        <w:rPr>
          <w:sz w:val="20"/>
          <w:lang w:val="fr-FR"/>
        </w:rPr>
        <w:tab/>
        <w:t xml:space="preserve">Les compagnies de tabac formulent deux allégations de défaut de mise en garde : (1) le Canada a interdit aux compagnies de tabac d’apposer sur les paquets de cigarettes des mises en garde à l’égard des dangers que présentent les cigarettes pour la santé et (2) le Canada n’a pas avisé les compagnies de tabac des dangers que présentent les souches de tabac conçues par le Canada et pour lesquelles il a octroyé des licences.  Il faut radier ces allégations.  L’élément crucial de la première allégation est essentiellement le même que celui des allégations de déclarations inexactes faites par négligence, et il y a lieu de le rejeter pour les mêmes considérations de politique générale. Les recommandations du ministre de la Santé sur les mises en garde faisaient partie intégrante de la politique générale du gouvernement visant à inciter les fumeurs à opter pour des cigarettes à faible teneur en goudron.  En tant que telles, elles ne peuvent fonder une action pour défaut de mise en garde.  Cela vaut aussi pour la deuxième allégation. Bien que le délit de défaut de mise en garde requière la preuve d’une obligation positive envers le demandeur, les avis de mise en cause ne donnent aucunement matière à croire que le Canada avait une telle obligation en l’espèce. Une allégation de négligence, sans plus, est insuffisante pour imposer une obligation de mise en garde. Quoi qu’il en soit, une allégation de ce genre serait rejetée pour les considérations de politique générale qui s’appliquent aux allégations de déclarations inexactes faites par négligence.  </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i/>
          <w:sz w:val="20"/>
          <w:lang w:val="fr-FR"/>
        </w:rPr>
      </w:pPr>
      <w:r w:rsidRPr="00593981">
        <w:rPr>
          <w:i/>
          <w:sz w:val="20"/>
          <w:lang w:val="fr-FR"/>
        </w:rPr>
        <w:t xml:space="preserve">La conception négligente </w:t>
      </w:r>
    </w:p>
    <w:p w:rsidR="00D03ED3" w:rsidRPr="00593981" w:rsidRDefault="00D03ED3" w:rsidP="00D03ED3">
      <w:pPr>
        <w:pStyle w:val="SCCNormalDoubleSpacing"/>
        <w:spacing w:line="240" w:lineRule="auto"/>
        <w:rPr>
          <w:i/>
          <w:sz w:val="20"/>
          <w:lang w:val="fr-FR"/>
        </w:rPr>
      </w:pPr>
    </w:p>
    <w:p w:rsidR="00D03ED3" w:rsidRDefault="00D03ED3" w:rsidP="00D03ED3">
      <w:pPr>
        <w:pStyle w:val="SCCNormalDoubleSpacing"/>
        <w:spacing w:line="240" w:lineRule="auto"/>
        <w:rPr>
          <w:sz w:val="20"/>
          <w:lang w:val="fr-FR"/>
        </w:rPr>
      </w:pPr>
      <w:r w:rsidRPr="00593981">
        <w:rPr>
          <w:sz w:val="20"/>
          <w:lang w:val="fr-FR"/>
        </w:rPr>
        <w:tab/>
        <w:t xml:space="preserve">Les compagnies de tabac ont soulevé à l’encontre du Canada deux types d’allégations de conception négligente.  Elles affirment que le Canada a manqué à son obligation de diligence envers elles en concevant de manière négligente ses souches de tabac à faible teneur en goudron.  Dans l’affaire </w:t>
      </w:r>
      <w:r w:rsidRPr="00593981">
        <w:rPr>
          <w:i/>
          <w:sz w:val="20"/>
          <w:lang w:val="fr-FR"/>
        </w:rPr>
        <w:t>Knight</w:t>
      </w:r>
      <w:r w:rsidRPr="00593981">
        <w:rPr>
          <w:sz w:val="20"/>
          <w:lang w:val="fr-FR"/>
        </w:rPr>
        <w:t xml:space="preserve">, Imperial fait valoir que le Canada a manqué à son obligation de diligence envers les consommateurs de cigarettes légères et douces.  Ces deux allégations de conception négligente établissent l’existence d’une obligation de diligence </w:t>
      </w:r>
      <w:r w:rsidRPr="00593981">
        <w:rPr>
          <w:i/>
          <w:sz w:val="20"/>
          <w:lang w:val="fr-FR"/>
        </w:rPr>
        <w:t>prima facie</w:t>
      </w:r>
      <w:r w:rsidRPr="00593981">
        <w:rPr>
          <w:sz w:val="20"/>
          <w:lang w:val="fr-FR"/>
        </w:rPr>
        <w:t xml:space="preserve">.  Pour ce qui est des souches de tabac à faible teneur en goudron conçues par le Canada, le prétendu lien de proximité avec les compagnies de tabac se fonde non pas sur une obligation prévue par la loi, mais sur les rapports entre le Canada et les compagnies de tabac.  Dans l’affaire </w:t>
      </w:r>
      <w:r w:rsidRPr="00593981">
        <w:rPr>
          <w:i/>
          <w:sz w:val="20"/>
          <w:lang w:val="fr-FR"/>
        </w:rPr>
        <w:t>Knight</w:t>
      </w:r>
      <w:r w:rsidRPr="00593981">
        <w:rPr>
          <w:sz w:val="20"/>
          <w:lang w:val="fr-FR"/>
        </w:rPr>
        <w:t xml:space="preserve"> également, il est au moins possible de soutenir que le Canada agissait comme une entreprise commerciale envers les consommateurs de cigarettes légères et douces lorsqu’il a conçu ses souches de tabac.  Cependant, la décision de concevoir des souches de tabac à faible teneur en goudron parce qu’on croit que les cigarettes fabriquées avec ce tabac seraient moins nuisibles pour la santé constitue une ligne de conduite fondée sur la politique générale du Canada en matière de santé et repose sur des facteurs sociaux et économiques.  Cette décision de politique générale fondamentale du gouvernement ne saurait fonder une poursuite pour conception négligente.  Il faut donc rejeter ces allégations. </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i/>
          <w:sz w:val="20"/>
          <w:lang w:val="fr-FR"/>
        </w:rPr>
      </w:pPr>
      <w:r w:rsidRPr="00593981">
        <w:rPr>
          <w:i/>
          <w:sz w:val="20"/>
          <w:lang w:val="fr-FR"/>
        </w:rPr>
        <w:t xml:space="preserve">Responsabilité d’un « fabricant » et d’un « fournisseur » </w:t>
      </w:r>
    </w:p>
    <w:p w:rsidR="00D03ED3" w:rsidRPr="00593981" w:rsidRDefault="00D03ED3" w:rsidP="00D03ED3">
      <w:pPr>
        <w:pStyle w:val="SCCNormalDoubleSpacing"/>
        <w:spacing w:line="240" w:lineRule="auto"/>
        <w:rPr>
          <w:i/>
          <w:sz w:val="20"/>
          <w:lang w:val="fr-FR"/>
        </w:rPr>
      </w:pPr>
    </w:p>
    <w:p w:rsidR="00D03ED3" w:rsidRDefault="00D03ED3" w:rsidP="00D03ED3">
      <w:pPr>
        <w:pStyle w:val="SCCNormalDoubleSpacing"/>
        <w:spacing w:line="240" w:lineRule="auto"/>
        <w:rPr>
          <w:sz w:val="20"/>
          <w:lang w:val="fr-FR"/>
        </w:rPr>
      </w:pPr>
      <w:r w:rsidRPr="00593981">
        <w:rPr>
          <w:sz w:val="20"/>
          <w:lang w:val="fr-FR"/>
        </w:rPr>
        <w:tab/>
        <w:t>Dans l’</w:t>
      </w:r>
      <w:r w:rsidRPr="00593981">
        <w:rPr>
          <w:i/>
          <w:sz w:val="20"/>
          <w:lang w:val="fr-FR"/>
        </w:rPr>
        <w:t>Affaire</w:t>
      </w:r>
      <w:r w:rsidRPr="00593981">
        <w:rPr>
          <w:sz w:val="20"/>
          <w:lang w:val="fr-FR"/>
        </w:rPr>
        <w:t xml:space="preserve"> </w:t>
      </w:r>
      <w:r w:rsidRPr="00593981">
        <w:rPr>
          <w:i/>
          <w:sz w:val="20"/>
          <w:lang w:val="fr-FR"/>
        </w:rPr>
        <w:t>du recouvrement des coûts</w:t>
      </w:r>
      <w:r w:rsidRPr="00593981">
        <w:rPr>
          <w:sz w:val="20"/>
          <w:lang w:val="fr-FR"/>
        </w:rPr>
        <w:t xml:space="preserve">, la demande de contribution des compagnies de tabac visant à faire reconnaître au Canada la qualité de « fabricant » au sens de la </w:t>
      </w:r>
      <w:r w:rsidRPr="00593981">
        <w:rPr>
          <w:i/>
          <w:sz w:val="20"/>
          <w:lang w:val="fr-FR"/>
        </w:rPr>
        <w:t>CRA</w:t>
      </w:r>
      <w:r w:rsidRPr="00593981">
        <w:rPr>
          <w:sz w:val="20"/>
          <w:lang w:val="fr-FR"/>
        </w:rPr>
        <w:t xml:space="preserve"> doit être radiée.  Il est manifeste et évident que le gouvernement fédéral n’est pas un fabricant de produits du tabac au sens de cette loi.  Lorsqu’on interprète la loi dans son contexte eu égard à l’ensemble de ses dispositions, il appert que la législature de la Colombie-Britannique ne voulait pas imposer au Canada la responsabilité d’un fabricant.  C’est ce que confirment le texte de la loi, l’intention qu’avait le législateur au moment de l’adopter et le contexte plus général des rapports entre la province et le gouvernement fédéral.  Tenir le Canada responsable en application de la </w:t>
      </w:r>
      <w:r w:rsidRPr="00593981">
        <w:rPr>
          <w:i/>
          <w:sz w:val="20"/>
          <w:lang w:val="fr-FR"/>
        </w:rPr>
        <w:t>CRA</w:t>
      </w:r>
      <w:r w:rsidRPr="00593981">
        <w:rPr>
          <w:sz w:val="20"/>
          <w:lang w:val="fr-FR"/>
        </w:rPr>
        <w:t xml:space="preserve">, contrecarrerait l’intention de la législature de faire passer des contribuables à l’industrie du tabac la responsabilité des coûts des soins de santé résultant d’une faute du fabricant.  Dans le même ordre d’idées, les compagnies de tabac ne peuvent s’appuyer sur la </w:t>
      </w:r>
      <w:r w:rsidRPr="00593981">
        <w:rPr>
          <w:i/>
          <w:sz w:val="20"/>
          <w:lang w:val="fr-FR"/>
        </w:rPr>
        <w:t xml:space="preserve">Health </w:t>
      </w:r>
      <w:r w:rsidRPr="00593981">
        <w:rPr>
          <w:i/>
          <w:sz w:val="20"/>
          <w:lang w:val="fr-FR"/>
        </w:rPr>
        <w:lastRenderedPageBreak/>
        <w:t>Care Costs Recovery Act</w:t>
      </w:r>
      <w:r w:rsidRPr="00593981">
        <w:rPr>
          <w:sz w:val="20"/>
          <w:lang w:val="fr-FR"/>
        </w:rPr>
        <w:t xml:space="preserve">, récemment édictée, dans le cadre d’une action intentée pour obtenir une contribution en vertu de la </w:t>
      </w:r>
      <w:r w:rsidRPr="00593981">
        <w:rPr>
          <w:i/>
          <w:sz w:val="20"/>
          <w:lang w:val="fr-FR"/>
        </w:rPr>
        <w:t>CRA</w:t>
      </w:r>
      <w:r w:rsidRPr="00593981">
        <w:rPr>
          <w:sz w:val="20"/>
          <w:lang w:val="fr-FR"/>
        </w:rPr>
        <w:t xml:space="preserve">.  Enfin, le Canada ne peut être tenu à une contribution au titre de la </w:t>
      </w:r>
      <w:r w:rsidRPr="00593981">
        <w:rPr>
          <w:i/>
          <w:sz w:val="20"/>
          <w:lang w:val="fr-FR"/>
        </w:rPr>
        <w:t>Negligence Act</w:t>
      </w:r>
      <w:r w:rsidRPr="00593981">
        <w:rPr>
          <w:sz w:val="20"/>
          <w:lang w:val="fr-FR"/>
        </w:rPr>
        <w:t xml:space="preserve"> ou en common law parce qu’il n’est pas directement responsable envers la Colombie-Britannique. </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sz w:val="20"/>
          <w:lang w:val="fr-FR"/>
        </w:rPr>
      </w:pPr>
      <w:r w:rsidRPr="00593981">
        <w:rPr>
          <w:sz w:val="20"/>
          <w:lang w:val="fr-FR"/>
        </w:rPr>
        <w:tab/>
        <w:t xml:space="preserve">Dans l’affaire </w:t>
      </w:r>
      <w:r w:rsidRPr="00593981">
        <w:rPr>
          <w:i/>
          <w:sz w:val="20"/>
          <w:lang w:val="fr-FR"/>
        </w:rPr>
        <w:t>Knight</w:t>
      </w:r>
      <w:r w:rsidRPr="00593981">
        <w:rPr>
          <w:sz w:val="20"/>
          <w:lang w:val="fr-FR"/>
        </w:rPr>
        <w:t xml:space="preserve">, la demande d’Imperial de reconnaître au Canada la qualité de « fournisseur » au sens de la </w:t>
      </w:r>
      <w:r w:rsidRPr="00593981">
        <w:rPr>
          <w:i/>
          <w:sz w:val="20"/>
          <w:lang w:val="fr-FR"/>
        </w:rPr>
        <w:t>Trade Practices Act</w:t>
      </w:r>
      <w:r w:rsidRPr="00593981">
        <w:rPr>
          <w:sz w:val="20"/>
          <w:lang w:val="fr-FR"/>
        </w:rPr>
        <w:t xml:space="preserve"> et de la loi qui l’a remplacée, la </w:t>
      </w:r>
      <w:r w:rsidRPr="00593981">
        <w:rPr>
          <w:i/>
          <w:sz w:val="20"/>
          <w:lang w:val="fr-FR"/>
        </w:rPr>
        <w:t>Business Practices and Consumer Protection Act</w:t>
      </w:r>
      <w:r w:rsidRPr="00593981">
        <w:rPr>
          <w:sz w:val="20"/>
          <w:lang w:val="fr-FR"/>
        </w:rPr>
        <w:t xml:space="preserve">, doit aussi être radiée.  Le but recherché par le Canada lorsqu’il a développé et promu le tabac, comme l’indique l’avis de mise en cause, tend à indiquer que le Canada n’agissait pas « dans le cours de ses affaires », dans le sens où cette expression est employée dans ces lois.  Cette expression doit être interprétée comme visant seulement les activités exercées à une fin commerciale.  Il ressort de façon évidente et manifeste des faits allégués que le Canada a promu la consommation de cigarettes à faible teneur en goudron non pas à une fin commerciale, mais à une fin liée à la santé.  Le Canada n’est donc pas un fournisseur et sa responsabilité n’est pas engagée en application de ces lois. </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i/>
          <w:sz w:val="20"/>
          <w:lang w:val="fr-FR"/>
        </w:rPr>
      </w:pPr>
      <w:r w:rsidRPr="00593981">
        <w:rPr>
          <w:i/>
          <w:sz w:val="20"/>
          <w:lang w:val="fr-FR"/>
        </w:rPr>
        <w:t xml:space="preserve">Demandes d’indemnité fondées sur l’equity et considérations d’ordre procédural </w:t>
      </w:r>
    </w:p>
    <w:p w:rsidR="00D03ED3" w:rsidRPr="00593981" w:rsidRDefault="00D03ED3" w:rsidP="00D03ED3">
      <w:pPr>
        <w:pStyle w:val="SCCNormalDoubleSpacing"/>
        <w:spacing w:line="240" w:lineRule="auto"/>
        <w:rPr>
          <w:i/>
          <w:sz w:val="20"/>
          <w:lang w:val="fr-FR"/>
        </w:rPr>
      </w:pPr>
    </w:p>
    <w:p w:rsidR="00D03ED3" w:rsidRDefault="00D03ED3" w:rsidP="00D03ED3">
      <w:pPr>
        <w:pStyle w:val="SCCNormalDoubleSpacing"/>
        <w:spacing w:line="240" w:lineRule="auto"/>
        <w:rPr>
          <w:sz w:val="20"/>
          <w:lang w:val="fr-FR"/>
        </w:rPr>
      </w:pPr>
      <w:r w:rsidRPr="00593981">
        <w:rPr>
          <w:sz w:val="20"/>
          <w:lang w:val="fr-FR"/>
        </w:rPr>
        <w:tab/>
        <w:t xml:space="preserve">Les demandes des compagnies de tabac relatives à l’indemnisation en equity doivent être radiées.  La doctrine de l’indemnité fondée sur l’equity est une doctrine restreinte qui ne s’applique que dans les cas où le mandant s’engage expressément ou implicitement à indemniser son mandataire pour avoir agi conformément à ses directives.  Lorsque le Canada a donné à l’industrie du tabac des directives sur la manière dont elle devrait se comporter, il le faisait à titre d’autorité de réglementation du gouvernement qui se souciait de la santé des Canadiens et des Canadiennes. Dans ces circonstances, il est déraisonnable de déduire que le Canada avait promis implicitement d’indemniser l’industrie pour avoir donné suite à sa demande. </w:t>
      </w:r>
    </w:p>
    <w:p w:rsidR="00D03ED3" w:rsidRPr="00593981" w:rsidRDefault="00D03ED3" w:rsidP="00D03ED3">
      <w:pPr>
        <w:pStyle w:val="SCCNormalDoubleSpacing"/>
        <w:spacing w:line="240" w:lineRule="auto"/>
        <w:rPr>
          <w:sz w:val="20"/>
          <w:lang w:val="fr-FR"/>
        </w:rPr>
      </w:pPr>
    </w:p>
    <w:p w:rsidR="00D03ED3" w:rsidRDefault="00D03ED3" w:rsidP="00D03ED3">
      <w:pPr>
        <w:pStyle w:val="SCCNormalDoubleSpacing"/>
        <w:spacing w:line="240" w:lineRule="auto"/>
        <w:rPr>
          <w:sz w:val="20"/>
          <w:lang w:val="fr-FR"/>
        </w:rPr>
      </w:pPr>
      <w:r w:rsidRPr="00593981">
        <w:rPr>
          <w:sz w:val="20"/>
          <w:lang w:val="fr-FR"/>
        </w:rPr>
        <w:tab/>
        <w:t xml:space="preserve">Enfin, il convient de radier les demandes de jugement déclaratoire. La capacité des compagnies de tabac de se défendre ne serait pas gravement compromise si la mise en cause du Canada en l’espèce prenait fin. </w:t>
      </w:r>
    </w:p>
    <w:p w:rsidR="00D03ED3" w:rsidRPr="00593981" w:rsidRDefault="00D03ED3" w:rsidP="00D03ED3">
      <w:pPr>
        <w:pStyle w:val="SCCNormalDoubleSpacing"/>
        <w:spacing w:line="240" w:lineRule="auto"/>
        <w:rPr>
          <w:sz w:val="20"/>
          <w:lang w:val="fr-FR"/>
        </w:rPr>
      </w:pPr>
    </w:p>
    <w:p w:rsidR="00D03ED3" w:rsidRPr="00456E5F" w:rsidRDefault="00D03ED3" w:rsidP="00D03ED3">
      <w:pPr>
        <w:pStyle w:val="SCCNormalDoubleSpacing"/>
        <w:spacing w:line="240" w:lineRule="auto"/>
        <w:rPr>
          <w:sz w:val="20"/>
          <w:lang w:val="fr-CA"/>
        </w:rPr>
      </w:pPr>
      <w:r w:rsidRPr="00456E5F">
        <w:rPr>
          <w:sz w:val="20"/>
          <w:lang w:val="fr-CA"/>
        </w:rPr>
        <w:tab/>
        <w:t xml:space="preserve">POURVOI et POURVOI INCIDENT contre un arrêt de la Cour d’appel de la </w:t>
      </w:r>
      <w:r w:rsidRPr="00456E5F">
        <w:rPr>
          <w:rStyle w:val="documentbody"/>
          <w:sz w:val="20"/>
          <w:lang w:val="fr-CA"/>
        </w:rPr>
        <w:t>Colombie</w:t>
      </w:r>
      <w:r w:rsidRPr="00456E5F">
        <w:rPr>
          <w:sz w:val="20"/>
          <w:lang w:val="fr-CA"/>
        </w:rPr>
        <w:noBreakHyphen/>
      </w:r>
      <w:r w:rsidRPr="00456E5F">
        <w:rPr>
          <w:rStyle w:val="documentbody"/>
          <w:sz w:val="20"/>
          <w:lang w:val="fr-CA"/>
        </w:rPr>
        <w:t>Britannique</w:t>
      </w:r>
      <w:r w:rsidRPr="00456E5F">
        <w:rPr>
          <w:sz w:val="20"/>
          <w:lang w:val="fr-CA"/>
        </w:rPr>
        <w:t xml:space="preserve"> (les juges Hall, Saunders, Lowry, Tysoe et Smith), 2009 BCCA 541, 99 B.C.L.R. (4th) 93, 313 D.L.R. (4th) 695, [2010] 2 W.W.R. 9, 280 B.C.A.C. 160, 474 W.A.C. 160, </w:t>
      </w:r>
      <w:r w:rsidR="004D20D2" w:rsidRPr="00593981">
        <w:rPr>
          <w:sz w:val="20"/>
        </w:rPr>
        <w:fldChar w:fldCharType="begin"/>
      </w:r>
      <w:r w:rsidRPr="00456E5F">
        <w:rPr>
          <w:sz w:val="20"/>
          <w:lang w:val="fr-CA"/>
        </w:rPr>
        <w:instrText xml:space="preserve"> SEQ CHAPTER \h \r 1</w:instrText>
      </w:r>
      <w:r w:rsidR="004D20D2" w:rsidRPr="00593981">
        <w:rPr>
          <w:sz w:val="20"/>
        </w:rPr>
        <w:fldChar w:fldCharType="end"/>
      </w:r>
      <w:r w:rsidRPr="00456E5F">
        <w:rPr>
          <w:sz w:val="20"/>
          <w:lang w:val="fr-CA"/>
        </w:rPr>
        <w:t xml:space="preserve">[2009] B.C.J. No. 2445 (QL), 2009 CarswellBC 3300, qui a infirmé en partie une décision de la juge Satanove qui a ordonné la radiation des avis de mise en cause, </w:t>
      </w:r>
      <w:r w:rsidR="004D20D2" w:rsidRPr="00593981">
        <w:rPr>
          <w:sz w:val="20"/>
        </w:rPr>
        <w:fldChar w:fldCharType="begin"/>
      </w:r>
      <w:r w:rsidRPr="00456E5F">
        <w:rPr>
          <w:sz w:val="20"/>
          <w:lang w:val="fr-CA"/>
        </w:rPr>
        <w:instrText xml:space="preserve"> SEQ CHAPTER \h \r 1</w:instrText>
      </w:r>
      <w:r w:rsidR="004D20D2" w:rsidRPr="00593981">
        <w:rPr>
          <w:sz w:val="20"/>
        </w:rPr>
        <w:fldChar w:fldCharType="end"/>
      </w:r>
      <w:r w:rsidRPr="00456E5F">
        <w:rPr>
          <w:sz w:val="20"/>
          <w:lang w:val="fr-CA"/>
        </w:rPr>
        <w:t xml:space="preserve">2007 BCSC 964, 76 B.C.L.R. (4th) 100, [2008] 4 W.W.R. 156, [2007] B.C.J. No. 1461 (QL), 2007 CarswellBC 1806.  Pourvoi accueilli et pourvoi incident rejeté. </w:t>
      </w:r>
    </w:p>
    <w:p w:rsidR="00D03ED3" w:rsidRPr="00456E5F" w:rsidRDefault="00D03ED3" w:rsidP="00D03ED3">
      <w:pPr>
        <w:pStyle w:val="SCCNormalDoubleSpacing"/>
        <w:spacing w:line="240" w:lineRule="auto"/>
        <w:rPr>
          <w:sz w:val="20"/>
          <w:lang w:val="fr-CA"/>
        </w:rPr>
      </w:pPr>
    </w:p>
    <w:p w:rsidR="00D03ED3" w:rsidRPr="00456E5F" w:rsidRDefault="00D03ED3" w:rsidP="00D03ED3">
      <w:pPr>
        <w:pStyle w:val="SCCNormalDoubleSpacing"/>
        <w:spacing w:line="240" w:lineRule="auto"/>
        <w:rPr>
          <w:sz w:val="20"/>
          <w:lang w:val="fr-CA"/>
        </w:rPr>
      </w:pPr>
      <w:r w:rsidRPr="00456E5F">
        <w:rPr>
          <w:sz w:val="20"/>
          <w:lang w:val="fr-CA"/>
        </w:rPr>
        <w:tab/>
        <w:t xml:space="preserve">POURVOI et POURVOI INCIDENT contre un arrêt de la Cour d’appel de la </w:t>
      </w:r>
      <w:r w:rsidRPr="00456E5F">
        <w:rPr>
          <w:rStyle w:val="documentbody"/>
          <w:sz w:val="20"/>
          <w:lang w:val="fr-CA"/>
        </w:rPr>
        <w:t>Colombie</w:t>
      </w:r>
      <w:r w:rsidRPr="00456E5F">
        <w:rPr>
          <w:sz w:val="20"/>
          <w:lang w:val="fr-CA"/>
        </w:rPr>
        <w:noBreakHyphen/>
      </w:r>
      <w:r w:rsidRPr="00456E5F">
        <w:rPr>
          <w:rStyle w:val="documentbody"/>
          <w:sz w:val="20"/>
          <w:lang w:val="fr-CA"/>
        </w:rPr>
        <w:t>Britannique</w:t>
      </w:r>
      <w:r w:rsidRPr="00456E5F">
        <w:rPr>
          <w:sz w:val="20"/>
          <w:lang w:val="fr-CA"/>
        </w:rPr>
        <w:t xml:space="preserve"> (les juges Hall, Saunders, Lowry, Tysoe et Smith), 2009 BCCA 540, 98 B.C.L.R. (4th) 201, 313 D.L.R. (4th) 651, [2010] 2 W.W.R. 385, 280 B.C.A.C. 100, 474 W.A.C. 100, [2009] B.C.J. No. 2444 (QL), 2009 CarswellBC 3307, qui a infirmé en partie une décision de la juge Wedge qui a ordonné la radiation des avis de mise en cause, </w:t>
      </w:r>
      <w:r w:rsidR="004D20D2" w:rsidRPr="00593981">
        <w:rPr>
          <w:sz w:val="20"/>
        </w:rPr>
        <w:fldChar w:fldCharType="begin"/>
      </w:r>
      <w:r w:rsidRPr="00456E5F">
        <w:rPr>
          <w:sz w:val="20"/>
          <w:lang w:val="fr-CA"/>
        </w:rPr>
        <w:instrText xml:space="preserve"> SEQ CHAPTER \h \r 1</w:instrText>
      </w:r>
      <w:r w:rsidR="004D20D2" w:rsidRPr="00593981">
        <w:rPr>
          <w:sz w:val="20"/>
        </w:rPr>
        <w:fldChar w:fldCharType="end"/>
      </w:r>
      <w:r w:rsidRPr="00456E5F">
        <w:rPr>
          <w:sz w:val="20"/>
          <w:lang w:val="fr-CA"/>
        </w:rPr>
        <w:t xml:space="preserve">2008 BCSC 419, 82 B.C.L.R. (4th) 362, 292 D.L.R. (4th) 353, [2008] 12 W.W.R. 241, [2008] B.C.J. No. 609 (QL), 2008 CarswellBC 687.  Pourvoi accueilli et pourvoi incident rejeté. </w:t>
      </w:r>
    </w:p>
    <w:p w:rsidR="00D03ED3" w:rsidRPr="00456E5F" w:rsidRDefault="00D03ED3" w:rsidP="00D03ED3">
      <w:pPr>
        <w:pStyle w:val="SCCNormalDoubleSpacing"/>
        <w:spacing w:line="240" w:lineRule="auto"/>
        <w:rPr>
          <w:sz w:val="20"/>
          <w:lang w:val="fr-CA"/>
        </w:rPr>
      </w:pPr>
    </w:p>
    <w:p w:rsidR="00D03ED3" w:rsidRPr="00456E5F" w:rsidRDefault="00D03ED3" w:rsidP="00D03ED3">
      <w:pPr>
        <w:pStyle w:val="SCCNormalDoubleSpacing"/>
        <w:spacing w:line="240" w:lineRule="auto"/>
        <w:rPr>
          <w:sz w:val="20"/>
          <w:lang w:val="fr-CA"/>
        </w:rPr>
      </w:pPr>
      <w:r w:rsidRPr="00456E5F">
        <w:rPr>
          <w:i/>
          <w:sz w:val="20"/>
          <w:lang w:val="fr-CA"/>
        </w:rPr>
        <w:tab/>
        <w:t>John S. Tyhurst</w:t>
      </w:r>
      <w:r w:rsidRPr="00456E5F">
        <w:rPr>
          <w:sz w:val="20"/>
          <w:lang w:val="fr-CA"/>
        </w:rPr>
        <w:t xml:space="preserve">, </w:t>
      </w:r>
      <w:r w:rsidRPr="00456E5F">
        <w:rPr>
          <w:i/>
          <w:sz w:val="20"/>
          <w:lang w:val="fr-CA"/>
        </w:rPr>
        <w:t>Paul Vickery</w:t>
      </w:r>
      <w:r w:rsidRPr="00456E5F">
        <w:rPr>
          <w:sz w:val="20"/>
          <w:lang w:val="fr-CA"/>
        </w:rPr>
        <w:t xml:space="preserve"> et </w:t>
      </w:r>
      <w:r w:rsidRPr="00456E5F">
        <w:rPr>
          <w:i/>
          <w:sz w:val="20"/>
          <w:lang w:val="fr-CA"/>
        </w:rPr>
        <w:t>Travis Henderson</w:t>
      </w:r>
      <w:r w:rsidRPr="00456E5F">
        <w:rPr>
          <w:sz w:val="20"/>
          <w:lang w:val="fr-CA"/>
        </w:rPr>
        <w:t xml:space="preserve">, pour l’appelante/intimée au pourvoi </w:t>
      </w:r>
      <w:r w:rsidRPr="00456E5F">
        <w:rPr>
          <w:rStyle w:val="documentbody"/>
          <w:sz w:val="20"/>
          <w:lang w:val="fr-CA"/>
        </w:rPr>
        <w:t>incident</w:t>
      </w:r>
      <w:r w:rsidRPr="00456E5F">
        <w:rPr>
          <w:sz w:val="20"/>
          <w:lang w:val="fr-CA"/>
        </w:rPr>
        <w:t xml:space="preserve"> Sa Majesté la Reine du chef du Canada (33559).</w:t>
      </w:r>
    </w:p>
    <w:p w:rsidR="00D03ED3" w:rsidRPr="00456E5F" w:rsidRDefault="00D03ED3" w:rsidP="00D03ED3">
      <w:pPr>
        <w:pStyle w:val="SCCNormalDoubleSpacing"/>
        <w:spacing w:line="240" w:lineRule="auto"/>
        <w:rPr>
          <w:sz w:val="20"/>
          <w:lang w:val="fr-CA"/>
        </w:rPr>
      </w:pPr>
    </w:p>
    <w:p w:rsidR="00D03ED3" w:rsidRPr="00456E5F" w:rsidRDefault="00D03ED3" w:rsidP="00D03ED3">
      <w:pPr>
        <w:pStyle w:val="SCCNormalDoubleSpacing"/>
        <w:spacing w:line="240" w:lineRule="auto"/>
        <w:rPr>
          <w:sz w:val="20"/>
          <w:lang w:val="fr-CA"/>
        </w:rPr>
      </w:pPr>
      <w:r w:rsidRPr="00456E5F">
        <w:rPr>
          <w:i/>
          <w:sz w:val="20"/>
          <w:lang w:val="fr-CA"/>
        </w:rPr>
        <w:tab/>
        <w:t>Paul Vickery</w:t>
      </w:r>
      <w:r w:rsidRPr="00456E5F">
        <w:rPr>
          <w:sz w:val="20"/>
          <w:lang w:val="fr-CA"/>
        </w:rPr>
        <w:t xml:space="preserve">, </w:t>
      </w:r>
      <w:r w:rsidRPr="00456E5F">
        <w:rPr>
          <w:i/>
          <w:sz w:val="20"/>
          <w:lang w:val="fr-CA"/>
        </w:rPr>
        <w:t xml:space="preserve">John S. Tyhurst </w:t>
      </w:r>
      <w:r w:rsidRPr="00456E5F">
        <w:rPr>
          <w:sz w:val="20"/>
          <w:lang w:val="fr-CA"/>
        </w:rPr>
        <w:t xml:space="preserve">et </w:t>
      </w:r>
      <w:r w:rsidRPr="00456E5F">
        <w:rPr>
          <w:i/>
          <w:sz w:val="20"/>
          <w:lang w:val="fr-CA"/>
        </w:rPr>
        <w:t>Travis Henderson</w:t>
      </w:r>
      <w:r w:rsidRPr="00456E5F">
        <w:rPr>
          <w:sz w:val="20"/>
          <w:lang w:val="fr-CA"/>
        </w:rPr>
        <w:t xml:space="preserve">, pour l’appelant/intimé au pourvoi </w:t>
      </w:r>
      <w:r w:rsidRPr="00456E5F">
        <w:rPr>
          <w:rStyle w:val="documentbody"/>
          <w:sz w:val="20"/>
          <w:lang w:val="fr-CA"/>
        </w:rPr>
        <w:t>incident</w:t>
      </w:r>
      <w:r w:rsidRPr="00456E5F">
        <w:rPr>
          <w:sz w:val="20"/>
          <w:lang w:val="fr-CA"/>
        </w:rPr>
        <w:t xml:space="preserve"> le procureur général du Canada (33563).</w:t>
      </w:r>
    </w:p>
    <w:p w:rsidR="00D03ED3" w:rsidRPr="00456E5F" w:rsidRDefault="00D03ED3" w:rsidP="00D03ED3">
      <w:pPr>
        <w:pStyle w:val="SCCNormalDoubleSpacing"/>
        <w:spacing w:line="240" w:lineRule="auto"/>
        <w:rPr>
          <w:sz w:val="20"/>
          <w:lang w:val="fr-CA"/>
        </w:rPr>
      </w:pPr>
    </w:p>
    <w:p w:rsidR="00D03ED3" w:rsidRPr="00456E5F" w:rsidRDefault="00D03ED3" w:rsidP="00D03ED3">
      <w:pPr>
        <w:pStyle w:val="SCCNormalDoubleSpacing"/>
        <w:spacing w:line="240" w:lineRule="auto"/>
        <w:rPr>
          <w:sz w:val="20"/>
          <w:lang w:val="fr-CA"/>
        </w:rPr>
      </w:pPr>
      <w:r w:rsidRPr="00456E5F">
        <w:rPr>
          <w:i/>
          <w:sz w:val="20"/>
          <w:lang w:val="fr-CA"/>
        </w:rPr>
        <w:tab/>
        <w:t>Deborah Glendining</w:t>
      </w:r>
      <w:r w:rsidRPr="00456E5F">
        <w:rPr>
          <w:sz w:val="20"/>
          <w:lang w:val="fr-CA"/>
        </w:rPr>
        <w:t xml:space="preserve"> et </w:t>
      </w:r>
      <w:r w:rsidRPr="00456E5F">
        <w:rPr>
          <w:i/>
          <w:sz w:val="20"/>
          <w:lang w:val="fr-CA"/>
        </w:rPr>
        <w:t>Nada Khirdaji</w:t>
      </w:r>
      <w:r w:rsidRPr="00456E5F">
        <w:rPr>
          <w:sz w:val="20"/>
          <w:lang w:val="fr-CA"/>
        </w:rPr>
        <w:t xml:space="preserve">, pour l’intimée/appelante au pourvoi </w:t>
      </w:r>
      <w:r w:rsidRPr="00456E5F">
        <w:rPr>
          <w:rStyle w:val="documentbody"/>
          <w:sz w:val="20"/>
          <w:lang w:val="fr-CA"/>
        </w:rPr>
        <w:t>incident</w:t>
      </w:r>
      <w:r w:rsidRPr="00456E5F">
        <w:rPr>
          <w:sz w:val="20"/>
          <w:lang w:val="fr-CA"/>
        </w:rPr>
        <w:t xml:space="preserve"> </w:t>
      </w:r>
      <w:r w:rsidRPr="00456E5F">
        <w:rPr>
          <w:rStyle w:val="documentbody"/>
          <w:sz w:val="20"/>
          <w:lang w:val="fr-CA"/>
        </w:rPr>
        <w:t>Imperial</w:t>
      </w:r>
      <w:r w:rsidRPr="00456E5F">
        <w:rPr>
          <w:sz w:val="20"/>
          <w:lang w:val="fr-CA"/>
        </w:rPr>
        <w:t xml:space="preserve"> Tobacco Canada Limitée (33559).</w:t>
      </w:r>
    </w:p>
    <w:p w:rsidR="00D03ED3" w:rsidRPr="00456E5F" w:rsidRDefault="00D03ED3" w:rsidP="00D03ED3">
      <w:pPr>
        <w:pStyle w:val="SCCNormalDoubleSpacing"/>
        <w:spacing w:line="240" w:lineRule="auto"/>
        <w:rPr>
          <w:sz w:val="20"/>
          <w:lang w:val="fr-CA"/>
        </w:rPr>
      </w:pPr>
    </w:p>
    <w:p w:rsidR="00D03ED3" w:rsidRPr="00456E5F" w:rsidRDefault="00D03ED3" w:rsidP="00D03ED3">
      <w:pPr>
        <w:pStyle w:val="SCCNormalDoubleSpacing"/>
        <w:spacing w:line="240" w:lineRule="auto"/>
        <w:rPr>
          <w:sz w:val="20"/>
          <w:lang w:val="fr-CA"/>
        </w:rPr>
      </w:pPr>
      <w:r w:rsidRPr="00456E5F">
        <w:rPr>
          <w:i/>
          <w:sz w:val="20"/>
          <w:lang w:val="fr-CA"/>
        </w:rPr>
        <w:tab/>
        <w:t xml:space="preserve">Ryan D. W. Dalziel </w:t>
      </w:r>
      <w:r w:rsidRPr="00456E5F">
        <w:rPr>
          <w:sz w:val="20"/>
          <w:lang w:val="fr-CA"/>
        </w:rPr>
        <w:t xml:space="preserve">et </w:t>
      </w:r>
      <w:r w:rsidRPr="00456E5F">
        <w:rPr>
          <w:i/>
          <w:sz w:val="20"/>
          <w:lang w:val="fr-CA"/>
        </w:rPr>
        <w:t>Daniel A. Webster</w:t>
      </w:r>
      <w:r w:rsidRPr="00456E5F">
        <w:rPr>
          <w:sz w:val="20"/>
          <w:lang w:val="fr-CA"/>
        </w:rPr>
        <w:t xml:space="preserve">, </w:t>
      </w:r>
      <w:r w:rsidRPr="00456E5F">
        <w:rPr>
          <w:i/>
          <w:sz w:val="20"/>
          <w:lang w:val="fr-CA"/>
        </w:rPr>
        <w:t>c.r.</w:t>
      </w:r>
      <w:r w:rsidRPr="00456E5F">
        <w:rPr>
          <w:sz w:val="20"/>
          <w:lang w:val="fr-CA"/>
        </w:rPr>
        <w:t xml:space="preserve">, pour l’intimée Sa Majesté la Reine du </w:t>
      </w:r>
      <w:r w:rsidRPr="00456E5F">
        <w:rPr>
          <w:rStyle w:val="documentbody"/>
          <w:sz w:val="20"/>
          <w:lang w:val="fr-CA"/>
        </w:rPr>
        <w:t>chef</w:t>
      </w:r>
      <w:r w:rsidRPr="00456E5F">
        <w:rPr>
          <w:sz w:val="20"/>
          <w:lang w:val="fr-CA"/>
        </w:rPr>
        <w:t xml:space="preserve"> de la Colombie</w:t>
      </w:r>
      <w:r w:rsidRPr="00456E5F">
        <w:rPr>
          <w:sz w:val="20"/>
          <w:lang w:val="fr-CA"/>
        </w:rPr>
        <w:noBreakHyphen/>
        <w:t>Britannique (33563).</w:t>
      </w:r>
    </w:p>
    <w:p w:rsidR="00D03ED3" w:rsidRPr="00456E5F" w:rsidRDefault="00D03ED3" w:rsidP="00D03ED3">
      <w:pPr>
        <w:pStyle w:val="SCCNormalDoubleSpacing"/>
        <w:spacing w:line="240" w:lineRule="auto"/>
        <w:rPr>
          <w:sz w:val="20"/>
          <w:lang w:val="fr-CA"/>
        </w:rPr>
      </w:pPr>
    </w:p>
    <w:p w:rsidR="00D03ED3" w:rsidRPr="00456E5F" w:rsidRDefault="00D03ED3" w:rsidP="00D03ED3">
      <w:pPr>
        <w:pStyle w:val="SCCNormalDoubleSpacing"/>
        <w:spacing w:line="240" w:lineRule="auto"/>
        <w:rPr>
          <w:sz w:val="20"/>
          <w:lang w:val="fr-CA"/>
        </w:rPr>
      </w:pPr>
      <w:r w:rsidRPr="00456E5F">
        <w:rPr>
          <w:i/>
          <w:sz w:val="20"/>
          <w:lang w:val="fr-CA"/>
        </w:rPr>
        <w:tab/>
        <w:t>John J. L. Hunter</w:t>
      </w:r>
      <w:r w:rsidRPr="00456E5F">
        <w:rPr>
          <w:sz w:val="20"/>
          <w:lang w:val="fr-CA"/>
        </w:rPr>
        <w:t xml:space="preserve">, </w:t>
      </w:r>
      <w:r w:rsidRPr="00456E5F">
        <w:rPr>
          <w:i/>
          <w:sz w:val="20"/>
          <w:lang w:val="fr-CA"/>
        </w:rPr>
        <w:t>c.r.</w:t>
      </w:r>
      <w:r w:rsidRPr="00456E5F">
        <w:rPr>
          <w:sz w:val="20"/>
          <w:lang w:val="fr-CA"/>
        </w:rPr>
        <w:t xml:space="preserve">, et </w:t>
      </w:r>
      <w:r w:rsidRPr="00456E5F">
        <w:rPr>
          <w:i/>
          <w:sz w:val="20"/>
          <w:lang w:val="fr-CA"/>
        </w:rPr>
        <w:t>Brent B. Olthuis</w:t>
      </w:r>
      <w:r w:rsidRPr="00456E5F">
        <w:rPr>
          <w:sz w:val="20"/>
          <w:lang w:val="fr-CA"/>
        </w:rPr>
        <w:t xml:space="preserve">, pour l’intimée/appelante au pourvoi incident </w:t>
      </w:r>
      <w:r w:rsidRPr="00456E5F">
        <w:rPr>
          <w:rStyle w:val="documentbody"/>
          <w:sz w:val="20"/>
          <w:lang w:val="fr-CA"/>
        </w:rPr>
        <w:t>Imperial</w:t>
      </w:r>
      <w:r w:rsidRPr="00456E5F">
        <w:rPr>
          <w:sz w:val="20"/>
          <w:lang w:val="fr-CA"/>
        </w:rPr>
        <w:t xml:space="preserve"> Tobacco Canada Limitée (33563).</w:t>
      </w:r>
    </w:p>
    <w:p w:rsidR="00D03ED3" w:rsidRPr="00456E5F" w:rsidRDefault="00D03ED3" w:rsidP="00D03ED3">
      <w:pPr>
        <w:pStyle w:val="SCCNormalDoubleSpacing"/>
        <w:spacing w:line="240" w:lineRule="auto"/>
        <w:rPr>
          <w:sz w:val="20"/>
          <w:lang w:val="fr-CA"/>
        </w:rPr>
      </w:pPr>
    </w:p>
    <w:p w:rsidR="00D03ED3" w:rsidRPr="00456E5F" w:rsidRDefault="00D03ED3" w:rsidP="00D03ED3">
      <w:pPr>
        <w:pStyle w:val="SCCNormalDoubleSpacing"/>
        <w:spacing w:line="240" w:lineRule="auto"/>
        <w:rPr>
          <w:sz w:val="20"/>
          <w:lang w:val="fr-CA"/>
        </w:rPr>
      </w:pPr>
      <w:r w:rsidRPr="00456E5F">
        <w:rPr>
          <w:sz w:val="20"/>
          <w:lang w:val="fr-CA"/>
        </w:rPr>
        <w:lastRenderedPageBreak/>
        <w:tab/>
        <w:t xml:space="preserve">Argumentation écrite seulement par </w:t>
      </w:r>
      <w:r w:rsidRPr="00456E5F">
        <w:rPr>
          <w:i/>
          <w:sz w:val="20"/>
          <w:lang w:val="fr-CA"/>
        </w:rPr>
        <w:t>Kenneth N. Affleck</w:t>
      </w:r>
      <w:r w:rsidRPr="00456E5F">
        <w:rPr>
          <w:sz w:val="20"/>
          <w:lang w:val="fr-CA"/>
        </w:rPr>
        <w:t xml:space="preserve">, </w:t>
      </w:r>
      <w:r w:rsidRPr="00456E5F">
        <w:rPr>
          <w:i/>
          <w:sz w:val="20"/>
          <w:lang w:val="fr-CA"/>
        </w:rPr>
        <w:t>c.r.</w:t>
      </w:r>
      <w:r w:rsidRPr="00456E5F">
        <w:rPr>
          <w:sz w:val="20"/>
          <w:lang w:val="fr-CA"/>
        </w:rPr>
        <w:t>, pour les intimées/</w:t>
      </w:r>
      <w:r w:rsidRPr="00456E5F">
        <w:rPr>
          <w:rStyle w:val="documentbody"/>
          <w:sz w:val="20"/>
          <w:lang w:val="fr-CA"/>
        </w:rPr>
        <w:t>appelantes</w:t>
      </w:r>
      <w:r w:rsidRPr="00456E5F">
        <w:rPr>
          <w:sz w:val="20"/>
          <w:lang w:val="fr-CA"/>
        </w:rPr>
        <w:t xml:space="preserve"> au pourvoi incident Rothmans, Benson &amp; Hedges Inc. et Rothmans Inc. (33563).</w:t>
      </w:r>
    </w:p>
    <w:p w:rsidR="00D03ED3" w:rsidRPr="00456E5F" w:rsidRDefault="00D03ED3" w:rsidP="00D03ED3">
      <w:pPr>
        <w:pStyle w:val="SCCNormalDoubleSpacing"/>
        <w:spacing w:line="240" w:lineRule="auto"/>
        <w:rPr>
          <w:b/>
          <w:sz w:val="20"/>
          <w:lang w:val="fr-CA"/>
        </w:rPr>
      </w:pPr>
    </w:p>
    <w:p w:rsidR="00D03ED3" w:rsidRPr="00456E5F" w:rsidRDefault="00D03ED3" w:rsidP="00D03ED3">
      <w:pPr>
        <w:pStyle w:val="SCCNormalDoubleSpacing"/>
        <w:spacing w:line="240" w:lineRule="auto"/>
        <w:rPr>
          <w:sz w:val="20"/>
          <w:lang w:val="fr-CA"/>
        </w:rPr>
      </w:pPr>
      <w:r w:rsidRPr="00456E5F">
        <w:rPr>
          <w:i/>
          <w:sz w:val="20"/>
          <w:lang w:val="fr-CA"/>
        </w:rPr>
        <w:tab/>
      </w:r>
      <w:r w:rsidRPr="00456E5F">
        <w:rPr>
          <w:sz w:val="20"/>
          <w:lang w:val="fr-CA"/>
        </w:rPr>
        <w:t>Argumentation écrite seulement par</w:t>
      </w:r>
      <w:r w:rsidRPr="00456E5F">
        <w:rPr>
          <w:b/>
          <w:sz w:val="20"/>
          <w:lang w:val="fr-CA"/>
        </w:rPr>
        <w:t xml:space="preserve"> </w:t>
      </w:r>
      <w:r w:rsidRPr="00456E5F">
        <w:rPr>
          <w:i/>
          <w:sz w:val="20"/>
          <w:lang w:val="fr-CA"/>
        </w:rPr>
        <w:t>Jeffrey J. Kay</w:t>
      </w:r>
      <w:r w:rsidRPr="00456E5F">
        <w:rPr>
          <w:sz w:val="20"/>
          <w:lang w:val="fr-CA"/>
        </w:rPr>
        <w:t xml:space="preserve">, </w:t>
      </w:r>
      <w:r w:rsidRPr="00456E5F">
        <w:rPr>
          <w:i/>
          <w:sz w:val="20"/>
          <w:lang w:val="fr-CA"/>
        </w:rPr>
        <w:t>c.r.</w:t>
      </w:r>
      <w:r w:rsidRPr="00456E5F">
        <w:rPr>
          <w:sz w:val="20"/>
          <w:lang w:val="fr-CA"/>
        </w:rPr>
        <w:t>, pour les intimées/</w:t>
      </w:r>
      <w:r w:rsidRPr="00456E5F">
        <w:rPr>
          <w:rStyle w:val="documentbody"/>
          <w:sz w:val="20"/>
          <w:lang w:val="fr-CA"/>
        </w:rPr>
        <w:t>appelantes</w:t>
      </w:r>
      <w:r w:rsidRPr="00456E5F">
        <w:rPr>
          <w:sz w:val="20"/>
          <w:lang w:val="fr-CA"/>
        </w:rPr>
        <w:t xml:space="preserve"> au pourvoi incident JTI</w:t>
      </w:r>
      <w:r w:rsidRPr="00456E5F">
        <w:rPr>
          <w:sz w:val="20"/>
          <w:lang w:val="fr-CA"/>
        </w:rPr>
        <w:noBreakHyphen/>
        <w:t>MacDonald Corp., R.J. Reynolds Tobacco Company et R.J. Reynolds Tobacco International Inc. (33563).</w:t>
      </w:r>
    </w:p>
    <w:p w:rsidR="00D03ED3" w:rsidRPr="00456E5F" w:rsidRDefault="00D03ED3" w:rsidP="00D03ED3">
      <w:pPr>
        <w:pStyle w:val="SCCNormalDoubleSpacing"/>
        <w:spacing w:line="240" w:lineRule="auto"/>
        <w:rPr>
          <w:sz w:val="20"/>
          <w:lang w:val="fr-CA"/>
        </w:rPr>
      </w:pPr>
    </w:p>
    <w:p w:rsidR="00D03ED3" w:rsidRPr="00456E5F" w:rsidRDefault="00D03ED3" w:rsidP="00D03ED3">
      <w:pPr>
        <w:pStyle w:val="SCCNormalDoubleSpacing"/>
        <w:spacing w:line="240" w:lineRule="auto"/>
        <w:rPr>
          <w:sz w:val="20"/>
          <w:lang w:val="fr-CA"/>
        </w:rPr>
      </w:pPr>
      <w:r w:rsidRPr="00456E5F">
        <w:rPr>
          <w:i/>
          <w:sz w:val="20"/>
          <w:lang w:val="fr-CA"/>
        </w:rPr>
        <w:tab/>
      </w:r>
      <w:r w:rsidRPr="00456E5F">
        <w:rPr>
          <w:sz w:val="20"/>
          <w:lang w:val="fr-CA"/>
        </w:rPr>
        <w:t>Argumentation écrite seulement par</w:t>
      </w:r>
      <w:r w:rsidRPr="00456E5F">
        <w:rPr>
          <w:b/>
          <w:sz w:val="20"/>
          <w:lang w:val="fr-CA"/>
        </w:rPr>
        <w:t xml:space="preserve"> </w:t>
      </w:r>
      <w:r w:rsidRPr="00456E5F">
        <w:rPr>
          <w:i/>
          <w:sz w:val="20"/>
          <w:lang w:val="fr-CA"/>
        </w:rPr>
        <w:t xml:space="preserve">Craig P. Dennis </w:t>
      </w:r>
      <w:r w:rsidRPr="00456E5F">
        <w:rPr>
          <w:sz w:val="20"/>
          <w:lang w:val="fr-CA"/>
        </w:rPr>
        <w:t xml:space="preserve">et </w:t>
      </w:r>
      <w:r w:rsidRPr="00456E5F">
        <w:rPr>
          <w:i/>
          <w:sz w:val="20"/>
          <w:lang w:val="fr-CA"/>
        </w:rPr>
        <w:t>Michael D. Shirreff</w:t>
      </w:r>
      <w:r w:rsidRPr="00456E5F">
        <w:rPr>
          <w:sz w:val="20"/>
          <w:lang w:val="fr-CA"/>
        </w:rPr>
        <w:t xml:space="preserve">, pour les </w:t>
      </w:r>
      <w:r w:rsidRPr="00456E5F">
        <w:rPr>
          <w:rStyle w:val="documentbody"/>
          <w:sz w:val="20"/>
          <w:lang w:val="fr-CA"/>
        </w:rPr>
        <w:t>intimées</w:t>
      </w:r>
      <w:r w:rsidRPr="00456E5F">
        <w:rPr>
          <w:sz w:val="20"/>
          <w:lang w:val="fr-CA"/>
        </w:rPr>
        <w:t>/appelantes au pourvoi incident B.A.T. Industries p.l.c. et British American Tobacco (Investments) Limited (33563).</w:t>
      </w:r>
    </w:p>
    <w:p w:rsidR="00D03ED3" w:rsidRPr="00456E5F" w:rsidRDefault="00D03ED3" w:rsidP="00D03ED3">
      <w:pPr>
        <w:pStyle w:val="SCCNormalDoubleSpacing"/>
        <w:spacing w:line="240" w:lineRule="auto"/>
        <w:rPr>
          <w:sz w:val="20"/>
          <w:lang w:val="fr-CA"/>
        </w:rPr>
      </w:pPr>
    </w:p>
    <w:p w:rsidR="00D03ED3" w:rsidRPr="00456E5F" w:rsidRDefault="00D03ED3" w:rsidP="00D03ED3">
      <w:pPr>
        <w:pStyle w:val="SCCNormalDoubleSpacing"/>
        <w:spacing w:line="240" w:lineRule="auto"/>
        <w:rPr>
          <w:sz w:val="20"/>
          <w:lang w:val="fr-CA"/>
        </w:rPr>
      </w:pPr>
      <w:r w:rsidRPr="00456E5F">
        <w:rPr>
          <w:sz w:val="20"/>
          <w:lang w:val="fr-CA"/>
        </w:rPr>
        <w:tab/>
        <w:t>Argumentation écrite seulement par</w:t>
      </w:r>
      <w:r w:rsidRPr="00456E5F">
        <w:rPr>
          <w:b/>
          <w:sz w:val="20"/>
          <w:lang w:val="fr-CA"/>
        </w:rPr>
        <w:t xml:space="preserve"> </w:t>
      </w:r>
      <w:r w:rsidRPr="00456E5F">
        <w:rPr>
          <w:i/>
          <w:sz w:val="20"/>
          <w:lang w:val="fr-CA"/>
        </w:rPr>
        <w:t>Christopher M. Rusnak</w:t>
      </w:r>
      <w:r w:rsidRPr="00456E5F">
        <w:rPr>
          <w:sz w:val="20"/>
          <w:lang w:val="fr-CA"/>
        </w:rPr>
        <w:t>, pour l’intimée/</w:t>
      </w:r>
      <w:r w:rsidRPr="00456E5F">
        <w:rPr>
          <w:rStyle w:val="documentbody"/>
          <w:sz w:val="20"/>
          <w:lang w:val="fr-CA"/>
        </w:rPr>
        <w:t>appelante</w:t>
      </w:r>
      <w:r w:rsidRPr="00456E5F">
        <w:rPr>
          <w:sz w:val="20"/>
          <w:lang w:val="fr-CA"/>
        </w:rPr>
        <w:t xml:space="preserve"> au pourvoi incident Carreras Rothmans Limited (33563).</w:t>
      </w:r>
    </w:p>
    <w:p w:rsidR="00D03ED3" w:rsidRPr="00456E5F" w:rsidRDefault="00D03ED3" w:rsidP="00D03ED3">
      <w:pPr>
        <w:pStyle w:val="SCCNormalDoubleSpacing"/>
        <w:spacing w:line="240" w:lineRule="auto"/>
        <w:rPr>
          <w:sz w:val="20"/>
          <w:lang w:val="fr-CA"/>
        </w:rPr>
      </w:pPr>
    </w:p>
    <w:p w:rsidR="00D03ED3" w:rsidRPr="00456E5F" w:rsidRDefault="00D03ED3" w:rsidP="00D03ED3">
      <w:pPr>
        <w:pStyle w:val="SCCNormalDoubleSpacing"/>
        <w:spacing w:line="240" w:lineRule="auto"/>
        <w:rPr>
          <w:sz w:val="20"/>
          <w:lang w:val="fr-CA"/>
        </w:rPr>
      </w:pPr>
      <w:r w:rsidRPr="00456E5F">
        <w:rPr>
          <w:sz w:val="20"/>
          <w:lang w:val="fr-CA"/>
        </w:rPr>
        <w:tab/>
        <w:t>Argumentation écrite seulement par</w:t>
      </w:r>
      <w:r w:rsidRPr="00456E5F">
        <w:rPr>
          <w:b/>
          <w:sz w:val="20"/>
          <w:lang w:val="fr-CA"/>
        </w:rPr>
        <w:t xml:space="preserve"> </w:t>
      </w:r>
      <w:r w:rsidRPr="00456E5F">
        <w:rPr>
          <w:i/>
          <w:sz w:val="20"/>
          <w:lang w:val="fr-CA"/>
        </w:rPr>
        <w:t>D. Ross Clark</w:t>
      </w:r>
      <w:r w:rsidRPr="00456E5F">
        <w:rPr>
          <w:sz w:val="20"/>
          <w:lang w:val="fr-CA"/>
        </w:rPr>
        <w:t xml:space="preserve">, pour l’intimée/appelante au pourvoi </w:t>
      </w:r>
      <w:r w:rsidRPr="00456E5F">
        <w:rPr>
          <w:rStyle w:val="documentbody"/>
          <w:sz w:val="20"/>
          <w:lang w:val="fr-CA"/>
        </w:rPr>
        <w:t>incident</w:t>
      </w:r>
      <w:r w:rsidRPr="00456E5F">
        <w:rPr>
          <w:sz w:val="20"/>
          <w:lang w:val="fr-CA"/>
        </w:rPr>
        <w:t xml:space="preserve"> Philip Morris U.S.A. Inc. (33563).</w:t>
      </w:r>
    </w:p>
    <w:p w:rsidR="00D03ED3" w:rsidRPr="00456E5F" w:rsidRDefault="00D03ED3" w:rsidP="00D03ED3">
      <w:pPr>
        <w:pStyle w:val="SCCNormalDoubleSpacing"/>
        <w:spacing w:line="240" w:lineRule="auto"/>
        <w:rPr>
          <w:sz w:val="20"/>
          <w:lang w:val="fr-CA"/>
        </w:rPr>
      </w:pPr>
    </w:p>
    <w:p w:rsidR="00D03ED3" w:rsidRPr="00456E5F" w:rsidRDefault="00D03ED3" w:rsidP="00D03ED3">
      <w:pPr>
        <w:pStyle w:val="SCCNormalDoubleSpacing"/>
        <w:spacing w:line="240" w:lineRule="auto"/>
        <w:rPr>
          <w:sz w:val="20"/>
          <w:lang w:val="fr-CA"/>
        </w:rPr>
      </w:pPr>
      <w:r w:rsidRPr="00456E5F">
        <w:rPr>
          <w:sz w:val="20"/>
          <w:lang w:val="fr-CA"/>
        </w:rPr>
        <w:tab/>
      </w:r>
      <w:r w:rsidRPr="00456E5F">
        <w:rPr>
          <w:i/>
          <w:sz w:val="20"/>
          <w:lang w:val="fr-CA"/>
        </w:rPr>
        <w:t>Simon V. Potter</w:t>
      </w:r>
      <w:r w:rsidRPr="00456E5F">
        <w:rPr>
          <w:sz w:val="20"/>
          <w:lang w:val="fr-CA"/>
        </w:rPr>
        <w:t xml:space="preserve">, </w:t>
      </w:r>
      <w:r w:rsidRPr="00456E5F">
        <w:rPr>
          <w:i/>
          <w:sz w:val="20"/>
          <w:lang w:val="fr-CA"/>
        </w:rPr>
        <w:t xml:space="preserve">Michael A. Feder </w:t>
      </w:r>
      <w:r w:rsidRPr="00456E5F">
        <w:rPr>
          <w:sz w:val="20"/>
          <w:lang w:val="fr-CA"/>
        </w:rPr>
        <w:t xml:space="preserve">et </w:t>
      </w:r>
      <w:r w:rsidRPr="00456E5F">
        <w:rPr>
          <w:i/>
          <w:sz w:val="20"/>
          <w:lang w:val="fr-CA"/>
        </w:rPr>
        <w:t>Angela M. Juba</w:t>
      </w:r>
      <w:r w:rsidRPr="00456E5F">
        <w:rPr>
          <w:sz w:val="20"/>
          <w:lang w:val="fr-CA"/>
        </w:rPr>
        <w:t xml:space="preserve">, pour l’intimée/appelante au pourvoi </w:t>
      </w:r>
      <w:r w:rsidRPr="00456E5F">
        <w:rPr>
          <w:rStyle w:val="documentbody"/>
          <w:sz w:val="20"/>
          <w:lang w:val="fr-CA"/>
        </w:rPr>
        <w:t>incident</w:t>
      </w:r>
      <w:r w:rsidRPr="00456E5F">
        <w:rPr>
          <w:sz w:val="20"/>
          <w:lang w:val="fr-CA"/>
        </w:rPr>
        <w:t xml:space="preserve"> Philip Morris International Inc. (33563).</w:t>
      </w:r>
    </w:p>
    <w:p w:rsidR="00D03ED3" w:rsidRPr="00456E5F" w:rsidRDefault="00D03ED3" w:rsidP="00D03ED3">
      <w:pPr>
        <w:pStyle w:val="SCCNormalDoubleSpacing"/>
        <w:spacing w:line="240" w:lineRule="auto"/>
        <w:rPr>
          <w:sz w:val="20"/>
          <w:lang w:val="fr-CA"/>
        </w:rPr>
      </w:pPr>
    </w:p>
    <w:p w:rsidR="00D03ED3" w:rsidRPr="00456E5F" w:rsidRDefault="00D03ED3" w:rsidP="00D03ED3">
      <w:pPr>
        <w:pStyle w:val="SCCNormalDoubleSpacing"/>
        <w:spacing w:line="240" w:lineRule="auto"/>
        <w:rPr>
          <w:sz w:val="20"/>
          <w:lang w:val="fr-CA"/>
        </w:rPr>
      </w:pPr>
      <w:r w:rsidRPr="00456E5F">
        <w:rPr>
          <w:sz w:val="20"/>
          <w:lang w:val="fr-CA"/>
        </w:rPr>
        <w:tab/>
      </w:r>
      <w:r w:rsidRPr="00456E5F">
        <w:rPr>
          <w:i/>
          <w:sz w:val="20"/>
          <w:lang w:val="fr-CA"/>
        </w:rPr>
        <w:t xml:space="preserve">Malliha Wilson </w:t>
      </w:r>
      <w:r w:rsidRPr="00456E5F">
        <w:rPr>
          <w:sz w:val="20"/>
          <w:lang w:val="fr-CA"/>
        </w:rPr>
        <w:t xml:space="preserve">et </w:t>
      </w:r>
      <w:r w:rsidRPr="00456E5F">
        <w:rPr>
          <w:i/>
          <w:sz w:val="20"/>
          <w:lang w:val="fr-CA"/>
        </w:rPr>
        <w:t>Lynne McArdle</w:t>
      </w:r>
      <w:r w:rsidRPr="00456E5F">
        <w:rPr>
          <w:sz w:val="20"/>
          <w:lang w:val="fr-CA"/>
        </w:rPr>
        <w:t xml:space="preserve">, pour l’intervenant le procureur général de </w:t>
      </w:r>
      <w:r w:rsidRPr="00456E5F">
        <w:rPr>
          <w:rStyle w:val="documentbody"/>
          <w:sz w:val="20"/>
          <w:lang w:val="fr-CA"/>
        </w:rPr>
        <w:t>l’Ontario</w:t>
      </w:r>
      <w:r w:rsidRPr="00456E5F">
        <w:rPr>
          <w:sz w:val="20"/>
          <w:lang w:val="fr-CA"/>
        </w:rPr>
        <w:t xml:space="preserve"> (33559</w:t>
      </w:r>
      <w:r w:rsidRPr="00456E5F">
        <w:rPr>
          <w:sz w:val="20"/>
          <w:lang w:val="fr-CA"/>
        </w:rPr>
        <w:noBreakHyphen/>
        <w:t>33563).</w:t>
      </w:r>
    </w:p>
    <w:p w:rsidR="00D03ED3" w:rsidRPr="00456E5F" w:rsidRDefault="00D03ED3" w:rsidP="00D03ED3">
      <w:pPr>
        <w:pStyle w:val="SCCNormalDoubleSpacing"/>
        <w:spacing w:line="240" w:lineRule="auto"/>
        <w:rPr>
          <w:sz w:val="20"/>
          <w:lang w:val="fr-CA"/>
        </w:rPr>
      </w:pPr>
    </w:p>
    <w:p w:rsidR="00D03ED3" w:rsidRPr="00456E5F" w:rsidRDefault="00D03ED3" w:rsidP="00D03ED3">
      <w:pPr>
        <w:pStyle w:val="SCCNormalDoubleSpacing"/>
        <w:spacing w:line="240" w:lineRule="auto"/>
        <w:rPr>
          <w:sz w:val="20"/>
          <w:lang w:val="fr-CA"/>
        </w:rPr>
      </w:pPr>
      <w:r w:rsidRPr="00456E5F">
        <w:rPr>
          <w:sz w:val="20"/>
          <w:lang w:val="fr-CA"/>
        </w:rPr>
        <w:tab/>
      </w:r>
      <w:r w:rsidRPr="00456E5F">
        <w:rPr>
          <w:i/>
          <w:sz w:val="20"/>
          <w:lang w:val="fr-CA"/>
        </w:rPr>
        <w:t>Jeffrey S. Leon</w:t>
      </w:r>
      <w:r w:rsidRPr="00456E5F">
        <w:rPr>
          <w:sz w:val="20"/>
          <w:lang w:val="fr-CA"/>
        </w:rPr>
        <w:t xml:space="preserve">, </w:t>
      </w:r>
      <w:r w:rsidRPr="00456E5F">
        <w:rPr>
          <w:i/>
          <w:sz w:val="20"/>
          <w:lang w:val="fr-CA"/>
        </w:rPr>
        <w:t>Robyn M. Ryan Bell</w:t>
      </w:r>
      <w:r w:rsidRPr="00456E5F">
        <w:rPr>
          <w:sz w:val="20"/>
          <w:lang w:val="fr-CA"/>
        </w:rPr>
        <w:t xml:space="preserve"> et </w:t>
      </w:r>
      <w:r w:rsidRPr="00456E5F">
        <w:rPr>
          <w:i/>
          <w:sz w:val="20"/>
          <w:lang w:val="fr-CA"/>
        </w:rPr>
        <w:t>Michael A. Eizenga</w:t>
      </w:r>
      <w:r w:rsidRPr="00456E5F">
        <w:rPr>
          <w:sz w:val="20"/>
          <w:lang w:val="fr-CA"/>
        </w:rPr>
        <w:t xml:space="preserve">, pour l’intervenante Sa Majesté la </w:t>
      </w:r>
      <w:r w:rsidRPr="00456E5F">
        <w:rPr>
          <w:rStyle w:val="documentbody"/>
          <w:sz w:val="20"/>
          <w:lang w:val="fr-CA"/>
        </w:rPr>
        <w:t>Reine</w:t>
      </w:r>
      <w:r w:rsidRPr="00456E5F">
        <w:rPr>
          <w:sz w:val="20"/>
          <w:lang w:val="fr-CA"/>
        </w:rPr>
        <w:t xml:space="preserve"> du chef de la province du Nouveau</w:t>
      </w:r>
      <w:r w:rsidRPr="00456E5F">
        <w:rPr>
          <w:sz w:val="20"/>
          <w:lang w:val="fr-CA"/>
        </w:rPr>
        <w:noBreakHyphen/>
        <w:t>Brunswick (33563).</w:t>
      </w:r>
    </w:p>
    <w:p w:rsidR="00D03ED3" w:rsidRPr="00456E5F" w:rsidRDefault="00D03ED3" w:rsidP="00D03ED3">
      <w:pPr>
        <w:pStyle w:val="SCCNormalDoubleSpacing"/>
        <w:spacing w:line="240" w:lineRule="auto"/>
        <w:rPr>
          <w:b/>
          <w:sz w:val="20"/>
          <w:lang w:val="fr-CA"/>
        </w:rPr>
      </w:pPr>
    </w:p>
    <w:p w:rsidR="00D03ED3" w:rsidRPr="00456E5F" w:rsidRDefault="00D03ED3" w:rsidP="00D03ED3">
      <w:pPr>
        <w:pStyle w:val="SCCNormalDoubleSpacing"/>
        <w:spacing w:line="240" w:lineRule="auto"/>
        <w:rPr>
          <w:sz w:val="20"/>
          <w:lang w:val="fr-CA"/>
        </w:rPr>
      </w:pPr>
      <w:r w:rsidRPr="00456E5F">
        <w:rPr>
          <w:sz w:val="20"/>
          <w:lang w:val="fr-CA"/>
        </w:rPr>
        <w:tab/>
      </w:r>
      <w:r w:rsidRPr="00456E5F">
        <w:rPr>
          <w:i/>
          <w:sz w:val="20"/>
          <w:lang w:val="fr-CA"/>
        </w:rPr>
        <w:t>Nancy Brown</w:t>
      </w:r>
      <w:r w:rsidRPr="00456E5F">
        <w:rPr>
          <w:sz w:val="20"/>
          <w:lang w:val="fr-CA"/>
        </w:rPr>
        <w:t xml:space="preserve">, pour </w:t>
      </w:r>
      <w:r w:rsidRPr="00456E5F">
        <w:rPr>
          <w:rStyle w:val="documentbody"/>
          <w:sz w:val="20"/>
          <w:lang w:val="fr-CA"/>
        </w:rPr>
        <w:t>l’intervenant</w:t>
      </w:r>
      <w:r w:rsidRPr="00456E5F">
        <w:rPr>
          <w:sz w:val="20"/>
          <w:lang w:val="fr-CA"/>
        </w:rPr>
        <w:t xml:space="preserve"> le procureur général de la Colombie</w:t>
      </w:r>
      <w:r w:rsidRPr="00456E5F">
        <w:rPr>
          <w:sz w:val="20"/>
          <w:lang w:val="fr-CA"/>
        </w:rPr>
        <w:noBreakHyphen/>
        <w:t>Britannique (33559</w:t>
      </w:r>
      <w:r w:rsidRPr="00456E5F">
        <w:rPr>
          <w:sz w:val="20"/>
          <w:lang w:val="fr-CA"/>
        </w:rPr>
        <w:noBreakHyphen/>
        <w:t>33563).</w:t>
      </w:r>
    </w:p>
    <w:p w:rsidR="00D03ED3" w:rsidRPr="00456E5F" w:rsidRDefault="00D03ED3" w:rsidP="00D03ED3">
      <w:pPr>
        <w:pStyle w:val="SCCNormalDoubleSpacing"/>
        <w:spacing w:line="240" w:lineRule="auto"/>
        <w:rPr>
          <w:sz w:val="20"/>
          <w:lang w:val="fr-CA"/>
        </w:rPr>
      </w:pPr>
    </w:p>
    <w:p w:rsidR="00D03ED3" w:rsidRPr="00456E5F" w:rsidRDefault="00D03ED3" w:rsidP="00D03ED3">
      <w:pPr>
        <w:pStyle w:val="SCCNormalDoubleSpacing"/>
        <w:spacing w:line="240" w:lineRule="auto"/>
        <w:rPr>
          <w:i/>
          <w:sz w:val="20"/>
          <w:lang w:val="fr-CA"/>
        </w:rPr>
      </w:pPr>
      <w:r w:rsidRPr="00456E5F">
        <w:rPr>
          <w:i/>
          <w:sz w:val="20"/>
          <w:lang w:val="fr-CA"/>
        </w:rPr>
        <w:tab/>
        <w:t>Procureur des appelants/intimés au pourvoi incident (33559</w:t>
      </w:r>
      <w:r w:rsidRPr="00456E5F">
        <w:rPr>
          <w:i/>
          <w:sz w:val="20"/>
          <w:lang w:val="fr-CA"/>
        </w:rPr>
        <w:noBreakHyphen/>
        <w:t>33563) : Procureur général du Canada, Ottawa.</w:t>
      </w:r>
    </w:p>
    <w:p w:rsidR="00D03ED3" w:rsidRPr="00456E5F" w:rsidRDefault="00D03ED3" w:rsidP="00D03ED3">
      <w:pPr>
        <w:pStyle w:val="SCCNormalDoubleSpacing"/>
        <w:spacing w:line="240" w:lineRule="auto"/>
        <w:rPr>
          <w:i/>
          <w:sz w:val="20"/>
          <w:lang w:val="fr-CA"/>
        </w:rPr>
      </w:pPr>
    </w:p>
    <w:p w:rsidR="00D03ED3" w:rsidRPr="00456E5F" w:rsidRDefault="00D03ED3" w:rsidP="00D03ED3">
      <w:pPr>
        <w:pStyle w:val="SCCNormalDoubleSpacing"/>
        <w:spacing w:line="240" w:lineRule="auto"/>
        <w:rPr>
          <w:i/>
          <w:sz w:val="20"/>
          <w:lang w:val="fr-CA"/>
        </w:rPr>
      </w:pPr>
      <w:r w:rsidRPr="00456E5F">
        <w:rPr>
          <w:i/>
          <w:sz w:val="20"/>
          <w:lang w:val="fr-CA"/>
        </w:rPr>
        <w:tab/>
        <w:t>Procureurs de l’intimée/appelante au pourvoi incident Imperial Tobacco Canada Limitée (33559) : Hunter Litigation Chambers Law Corporation, Vancouver.</w:t>
      </w:r>
    </w:p>
    <w:p w:rsidR="00D03ED3" w:rsidRPr="00456E5F" w:rsidRDefault="00D03ED3" w:rsidP="00D03ED3">
      <w:pPr>
        <w:pStyle w:val="SCCNormalDoubleSpacing"/>
        <w:spacing w:line="240" w:lineRule="auto"/>
        <w:rPr>
          <w:i/>
          <w:sz w:val="20"/>
          <w:lang w:val="fr-CA"/>
        </w:rPr>
      </w:pPr>
    </w:p>
    <w:p w:rsidR="00D03ED3" w:rsidRPr="00456E5F" w:rsidRDefault="00D03ED3" w:rsidP="00D03ED3">
      <w:pPr>
        <w:pStyle w:val="SCCNormalDoubleSpacing"/>
        <w:spacing w:line="240" w:lineRule="auto"/>
        <w:rPr>
          <w:i/>
          <w:sz w:val="20"/>
          <w:lang w:val="fr-CA"/>
        </w:rPr>
      </w:pPr>
      <w:r w:rsidRPr="00456E5F">
        <w:rPr>
          <w:i/>
          <w:sz w:val="20"/>
          <w:lang w:val="fr-CA"/>
        </w:rPr>
        <w:tab/>
        <w:t>Procureurs de l’intimée Sa Majesté la Reine du chef de la Colombie</w:t>
      </w:r>
      <w:r w:rsidRPr="00456E5F">
        <w:rPr>
          <w:i/>
          <w:sz w:val="20"/>
          <w:lang w:val="fr-CA"/>
        </w:rPr>
        <w:noBreakHyphen/>
        <w:t>Britannique (33563) : Bull, Housser &amp; Tupper, Vancouver.</w:t>
      </w:r>
    </w:p>
    <w:p w:rsidR="00D03ED3" w:rsidRPr="00456E5F" w:rsidRDefault="00D03ED3" w:rsidP="00D03ED3">
      <w:pPr>
        <w:pStyle w:val="SCCNormalDoubleSpacing"/>
        <w:spacing w:line="240" w:lineRule="auto"/>
        <w:rPr>
          <w:i/>
          <w:sz w:val="20"/>
          <w:lang w:val="fr-CA"/>
        </w:rPr>
      </w:pPr>
    </w:p>
    <w:p w:rsidR="00D03ED3" w:rsidRPr="00456E5F" w:rsidRDefault="00D03ED3" w:rsidP="00D03ED3">
      <w:pPr>
        <w:pStyle w:val="SCCNormalDoubleSpacing"/>
        <w:spacing w:line="240" w:lineRule="auto"/>
        <w:rPr>
          <w:i/>
          <w:sz w:val="20"/>
          <w:lang w:val="fr-CA"/>
        </w:rPr>
      </w:pPr>
      <w:r w:rsidRPr="00456E5F">
        <w:rPr>
          <w:i/>
          <w:sz w:val="20"/>
          <w:lang w:val="fr-CA"/>
        </w:rPr>
        <w:tab/>
        <w:t>Procureurs de l’intimée/appelante au pourvoi incident Imperial Tobacco Canada Limitée (33563) : Osler, Hoskin &amp; Harcourt, Toronto.</w:t>
      </w:r>
    </w:p>
    <w:p w:rsidR="00D03ED3" w:rsidRPr="00456E5F" w:rsidRDefault="00D03ED3" w:rsidP="00D03ED3">
      <w:pPr>
        <w:pStyle w:val="SCCNormalDoubleSpacing"/>
        <w:spacing w:line="240" w:lineRule="auto"/>
        <w:rPr>
          <w:i/>
          <w:sz w:val="20"/>
          <w:lang w:val="fr-CA"/>
        </w:rPr>
      </w:pPr>
    </w:p>
    <w:p w:rsidR="00D03ED3" w:rsidRPr="00E01CF4" w:rsidRDefault="00D03ED3" w:rsidP="00D03ED3">
      <w:pPr>
        <w:pStyle w:val="SCCNormalDoubleSpacing"/>
        <w:spacing w:line="240" w:lineRule="auto"/>
        <w:rPr>
          <w:i/>
          <w:sz w:val="20"/>
          <w:lang w:val="fr-CA"/>
        </w:rPr>
      </w:pPr>
      <w:r w:rsidRPr="00456E5F">
        <w:rPr>
          <w:i/>
          <w:sz w:val="20"/>
          <w:lang w:val="fr-CA"/>
        </w:rPr>
        <w:tab/>
        <w:t xml:space="preserve">Procureurs des intimées/appelantes au pourvoi incident Rothmans, Benson &amp; Hedges Inc. et Rothmans Inc. </w:t>
      </w:r>
      <w:r w:rsidRPr="00E01CF4">
        <w:rPr>
          <w:i/>
          <w:sz w:val="20"/>
          <w:lang w:val="fr-CA"/>
        </w:rPr>
        <w:t>(33563) : Affleck Hira Burgoyne, Vancouver.</w:t>
      </w:r>
    </w:p>
    <w:p w:rsidR="00D03ED3" w:rsidRPr="00E01CF4" w:rsidRDefault="00D03ED3" w:rsidP="00D03ED3">
      <w:pPr>
        <w:pStyle w:val="SCCNormalDoubleSpacing"/>
        <w:spacing w:line="240" w:lineRule="auto"/>
        <w:rPr>
          <w:i/>
          <w:sz w:val="20"/>
          <w:lang w:val="fr-CA"/>
        </w:rPr>
      </w:pPr>
    </w:p>
    <w:p w:rsidR="00D03ED3" w:rsidRPr="00D03ED3" w:rsidRDefault="00D03ED3" w:rsidP="00D03ED3">
      <w:pPr>
        <w:pStyle w:val="SCCNormalDoubleSpacing"/>
        <w:spacing w:line="240" w:lineRule="auto"/>
        <w:rPr>
          <w:i/>
          <w:sz w:val="20"/>
          <w:lang w:val="fr-CA"/>
        </w:rPr>
      </w:pPr>
      <w:r w:rsidRPr="00E01CF4">
        <w:rPr>
          <w:i/>
          <w:sz w:val="20"/>
          <w:lang w:val="fr-CA"/>
        </w:rPr>
        <w:tab/>
      </w:r>
      <w:r w:rsidRPr="00D03ED3">
        <w:rPr>
          <w:i/>
          <w:sz w:val="20"/>
          <w:lang w:val="fr-CA"/>
        </w:rPr>
        <w:t>Procureurs des intimées/appelantes au pourvoi incident JTI</w:t>
      </w:r>
      <w:r w:rsidRPr="00D03ED3">
        <w:rPr>
          <w:i/>
          <w:sz w:val="20"/>
          <w:lang w:val="fr-CA"/>
        </w:rPr>
        <w:noBreakHyphen/>
        <w:t>MacDonald Corp., R.J. Reynolds Tobacco Company et R.J. Reynolds Tobacco International Inc. (33563) : Farris, Vaughan, Willis &amp; Murphy, Vancouver.</w:t>
      </w:r>
    </w:p>
    <w:p w:rsidR="00D03ED3" w:rsidRPr="00D03ED3" w:rsidRDefault="00D03ED3" w:rsidP="00D03ED3">
      <w:pPr>
        <w:pStyle w:val="SCCNormalDoubleSpacing"/>
        <w:spacing w:line="240" w:lineRule="auto"/>
        <w:rPr>
          <w:i/>
          <w:sz w:val="20"/>
          <w:lang w:val="fr-CA"/>
        </w:rPr>
      </w:pPr>
    </w:p>
    <w:p w:rsidR="00D03ED3" w:rsidRPr="00D03ED3" w:rsidRDefault="00D03ED3" w:rsidP="00D03ED3">
      <w:pPr>
        <w:pStyle w:val="SCCNormalDoubleSpacing"/>
        <w:spacing w:line="240" w:lineRule="auto"/>
        <w:rPr>
          <w:i/>
          <w:sz w:val="20"/>
          <w:lang w:val="fr-CA"/>
        </w:rPr>
      </w:pPr>
      <w:r w:rsidRPr="00D03ED3">
        <w:rPr>
          <w:i/>
          <w:sz w:val="20"/>
          <w:lang w:val="fr-CA"/>
        </w:rPr>
        <w:tab/>
        <w:t>Procureurs des intimées/appelantes au pourvoi incident B.A.T. Industries p.l.c. et British American Tobacco (Investments) Limited (33563) : Sugden, McFee &amp; Roos, Vancouver.</w:t>
      </w:r>
    </w:p>
    <w:p w:rsidR="00D03ED3" w:rsidRPr="00D03ED3" w:rsidRDefault="00D03ED3" w:rsidP="00D03ED3">
      <w:pPr>
        <w:pStyle w:val="SCCNormalDoubleSpacing"/>
        <w:spacing w:line="240" w:lineRule="auto"/>
        <w:rPr>
          <w:i/>
          <w:sz w:val="20"/>
          <w:lang w:val="fr-CA"/>
        </w:rPr>
      </w:pPr>
    </w:p>
    <w:p w:rsidR="00D03ED3" w:rsidRPr="00D03ED3" w:rsidRDefault="00D03ED3" w:rsidP="00D03ED3">
      <w:pPr>
        <w:pStyle w:val="SCCNormalDoubleSpacing"/>
        <w:spacing w:line="240" w:lineRule="auto"/>
        <w:rPr>
          <w:i/>
          <w:sz w:val="20"/>
          <w:lang w:val="fr-CA"/>
        </w:rPr>
      </w:pPr>
      <w:r w:rsidRPr="00D03ED3">
        <w:rPr>
          <w:i/>
          <w:sz w:val="20"/>
          <w:lang w:val="fr-CA"/>
        </w:rPr>
        <w:tab/>
        <w:t>Procureurs de l’intimée/appelante au pourvoi incident Carreras Rothmans Limited (33563) : Harper Grey, Vancouver.</w:t>
      </w:r>
    </w:p>
    <w:p w:rsidR="00D03ED3" w:rsidRPr="00D03ED3" w:rsidRDefault="00D03ED3" w:rsidP="00D03ED3">
      <w:pPr>
        <w:pStyle w:val="SCCNormalDoubleSpacing"/>
        <w:spacing w:line="240" w:lineRule="auto"/>
        <w:rPr>
          <w:i/>
          <w:sz w:val="20"/>
          <w:lang w:val="fr-CA"/>
        </w:rPr>
      </w:pPr>
    </w:p>
    <w:p w:rsidR="00D03ED3" w:rsidRPr="00D03ED3" w:rsidRDefault="00D03ED3" w:rsidP="00D03ED3">
      <w:pPr>
        <w:pStyle w:val="SCCNormalDoubleSpacing"/>
        <w:spacing w:line="240" w:lineRule="auto"/>
        <w:rPr>
          <w:i/>
          <w:sz w:val="20"/>
          <w:lang w:val="fr-CA"/>
        </w:rPr>
      </w:pPr>
      <w:r w:rsidRPr="00D03ED3">
        <w:rPr>
          <w:i/>
          <w:sz w:val="20"/>
          <w:lang w:val="fr-CA"/>
        </w:rPr>
        <w:tab/>
        <w:t>Procureurs de l’intimée/appelante au pourvoi incident Philip Morris U.S.A. Inc. (33563) : Davis &amp; Company, Vancouver.</w:t>
      </w:r>
    </w:p>
    <w:p w:rsidR="00D03ED3" w:rsidRPr="00D03ED3" w:rsidRDefault="00D03ED3" w:rsidP="00D03ED3">
      <w:pPr>
        <w:pStyle w:val="SCCNormalDoubleSpacing"/>
        <w:spacing w:line="240" w:lineRule="auto"/>
        <w:rPr>
          <w:i/>
          <w:sz w:val="20"/>
          <w:lang w:val="fr-CA"/>
        </w:rPr>
      </w:pPr>
    </w:p>
    <w:p w:rsidR="00D03ED3" w:rsidRPr="00D03ED3" w:rsidRDefault="00D03ED3" w:rsidP="00D03ED3">
      <w:pPr>
        <w:pStyle w:val="SCCNormalDoubleSpacing"/>
        <w:spacing w:line="240" w:lineRule="auto"/>
        <w:rPr>
          <w:i/>
          <w:sz w:val="20"/>
          <w:lang w:val="fr-CA"/>
        </w:rPr>
      </w:pPr>
      <w:r w:rsidRPr="00D03ED3">
        <w:rPr>
          <w:i/>
          <w:sz w:val="20"/>
          <w:lang w:val="fr-CA"/>
        </w:rPr>
        <w:tab/>
        <w:t>Procureurs de l’intimée/appelante au pourvoi incident Philip Morris International Inc. (33563) : McCarthy Tétrault, Montréal.</w:t>
      </w:r>
    </w:p>
    <w:p w:rsidR="00D03ED3" w:rsidRPr="00D03ED3" w:rsidRDefault="00D03ED3" w:rsidP="00D03ED3">
      <w:pPr>
        <w:pStyle w:val="SCCNormalDoubleSpacing"/>
        <w:spacing w:line="240" w:lineRule="auto"/>
        <w:rPr>
          <w:i/>
          <w:sz w:val="20"/>
          <w:lang w:val="fr-CA"/>
        </w:rPr>
      </w:pPr>
    </w:p>
    <w:p w:rsidR="00D03ED3" w:rsidRPr="00D03ED3" w:rsidRDefault="00D03ED3" w:rsidP="00D03ED3">
      <w:pPr>
        <w:pStyle w:val="SCCNormalDoubleSpacing"/>
        <w:spacing w:line="240" w:lineRule="auto"/>
        <w:rPr>
          <w:i/>
          <w:sz w:val="20"/>
          <w:lang w:val="fr-CA"/>
        </w:rPr>
      </w:pPr>
      <w:r w:rsidRPr="00D03ED3">
        <w:rPr>
          <w:i/>
          <w:sz w:val="20"/>
          <w:lang w:val="fr-CA"/>
        </w:rPr>
        <w:lastRenderedPageBreak/>
        <w:tab/>
        <w:t>Procureur de l’intervenant le procureur général de l’Ontario (33559</w:t>
      </w:r>
      <w:r w:rsidRPr="00D03ED3">
        <w:rPr>
          <w:i/>
          <w:sz w:val="20"/>
          <w:lang w:val="fr-CA"/>
        </w:rPr>
        <w:noBreakHyphen/>
        <w:t>33563) : Procureur général de l’Ontario, Toronto.</w:t>
      </w:r>
    </w:p>
    <w:p w:rsidR="00D03ED3" w:rsidRPr="00D03ED3" w:rsidRDefault="00D03ED3" w:rsidP="00D03ED3">
      <w:pPr>
        <w:pStyle w:val="SCCNormalDoubleSpacing"/>
        <w:spacing w:line="240" w:lineRule="auto"/>
        <w:rPr>
          <w:i/>
          <w:sz w:val="20"/>
          <w:lang w:val="fr-CA"/>
        </w:rPr>
      </w:pPr>
    </w:p>
    <w:p w:rsidR="00D03ED3" w:rsidRPr="00D03ED3" w:rsidRDefault="00D03ED3" w:rsidP="00D03ED3">
      <w:pPr>
        <w:pStyle w:val="SCCNormalDoubleSpacing"/>
        <w:spacing w:line="240" w:lineRule="auto"/>
        <w:rPr>
          <w:i/>
          <w:sz w:val="20"/>
          <w:lang w:val="fr-CA"/>
        </w:rPr>
      </w:pPr>
      <w:r w:rsidRPr="00D03ED3">
        <w:rPr>
          <w:i/>
          <w:sz w:val="20"/>
          <w:lang w:val="fr-CA"/>
        </w:rPr>
        <w:tab/>
        <w:t>Procureurs de l’intervenante Sa Majesté la Reine du chef de la province du Nouveau</w:t>
      </w:r>
      <w:r w:rsidRPr="00D03ED3">
        <w:rPr>
          <w:i/>
          <w:sz w:val="20"/>
          <w:lang w:val="fr-CA"/>
        </w:rPr>
        <w:noBreakHyphen/>
        <w:t>Brunswick (33563) : Bennett Jones, Toronto.</w:t>
      </w:r>
    </w:p>
    <w:p w:rsidR="00D03ED3" w:rsidRPr="00D03ED3" w:rsidRDefault="00D03ED3" w:rsidP="00D03ED3">
      <w:pPr>
        <w:pStyle w:val="SCCNormalDoubleSpacing"/>
        <w:spacing w:line="240" w:lineRule="auto"/>
        <w:rPr>
          <w:i/>
          <w:sz w:val="20"/>
          <w:lang w:val="fr-CA"/>
        </w:rPr>
      </w:pPr>
    </w:p>
    <w:p w:rsidR="00D03ED3" w:rsidRPr="00D03ED3" w:rsidRDefault="00D03ED3" w:rsidP="00D03ED3">
      <w:pPr>
        <w:pStyle w:val="SCCNormalDoubleSpacing"/>
        <w:spacing w:line="240" w:lineRule="auto"/>
        <w:rPr>
          <w:i/>
          <w:sz w:val="20"/>
          <w:lang w:val="fr-CA"/>
        </w:rPr>
      </w:pPr>
      <w:r w:rsidRPr="00D03ED3">
        <w:rPr>
          <w:i/>
          <w:sz w:val="20"/>
          <w:lang w:val="fr-CA"/>
        </w:rPr>
        <w:tab/>
        <w:t>Procureur de l’intervenant le procureur général de la Colombie</w:t>
      </w:r>
      <w:r w:rsidRPr="00D03ED3">
        <w:rPr>
          <w:i/>
          <w:sz w:val="20"/>
          <w:lang w:val="fr-CA"/>
        </w:rPr>
        <w:noBreakHyphen/>
        <w:t>Britannique (33559</w:t>
      </w:r>
      <w:r w:rsidRPr="00D03ED3">
        <w:rPr>
          <w:i/>
          <w:sz w:val="20"/>
          <w:lang w:val="fr-CA"/>
        </w:rPr>
        <w:noBreakHyphen/>
        <w:t>33563) : Procureur général de la Colombie</w:t>
      </w:r>
      <w:r w:rsidRPr="00D03ED3">
        <w:rPr>
          <w:i/>
          <w:sz w:val="20"/>
          <w:lang w:val="fr-CA"/>
        </w:rPr>
        <w:noBreakHyphen/>
        <w:t>Britannique, Victoria.</w:t>
      </w:r>
    </w:p>
    <w:p w:rsidR="00D03ED3" w:rsidRPr="00D03ED3" w:rsidRDefault="00D03ED3" w:rsidP="003B3977">
      <w:pPr>
        <w:rPr>
          <w:sz w:val="20"/>
          <w:szCs w:val="20"/>
          <w:lang w:val="fr-CA"/>
        </w:rPr>
      </w:pPr>
    </w:p>
    <w:p w:rsidR="00D03ED3" w:rsidRDefault="004D20D2" w:rsidP="003B3977">
      <w:pPr>
        <w:rPr>
          <w:rFonts w:cs="Times New Roman"/>
          <w:sz w:val="20"/>
          <w:szCs w:val="20"/>
          <w:lang w:val="fr-CA"/>
        </w:rPr>
      </w:pPr>
      <w:r w:rsidRPr="004D20D2">
        <w:rPr>
          <w:rFonts w:cs="Times New Roman"/>
          <w:sz w:val="20"/>
          <w:szCs w:val="20"/>
          <w:lang w:val="fr-CA"/>
        </w:rPr>
        <w:pict>
          <v:rect id="_x0000_i1071" style="width:144.3pt;height:1pt" o:hrpct="300" o:hralign="center" o:hrstd="t" o:hrnoshade="t" o:hr="t" fillcolor="black [3213]" stroked="f"/>
        </w:pict>
      </w:r>
    </w:p>
    <w:p w:rsidR="00456E5F" w:rsidRPr="00D03ED3" w:rsidRDefault="00456E5F" w:rsidP="003B3977">
      <w:pPr>
        <w:rPr>
          <w:sz w:val="20"/>
          <w:szCs w:val="20"/>
          <w:lang w:val="fr-CA"/>
        </w:rPr>
      </w:pPr>
    </w:p>
    <w:p w:rsidR="005C6840" w:rsidRPr="00D03ED3" w:rsidRDefault="005C6840" w:rsidP="005C6840">
      <w:pPr>
        <w:jc w:val="both"/>
        <w:rPr>
          <w:sz w:val="20"/>
          <w:szCs w:val="20"/>
          <w:lang w:val="fr-CA"/>
        </w:rPr>
      </w:pPr>
    </w:p>
    <w:p w:rsidR="00102926" w:rsidRPr="00D03ED3" w:rsidRDefault="00102926" w:rsidP="00782AE4">
      <w:pPr>
        <w:jc w:val="both"/>
        <w:rPr>
          <w:sz w:val="20"/>
          <w:szCs w:val="20"/>
          <w:lang w:val="fr-CA"/>
        </w:rPr>
        <w:sectPr w:rsidR="00102926" w:rsidRPr="00D03ED3" w:rsidSect="00782AE4">
          <w:headerReference w:type="even" r:id="rId59"/>
          <w:headerReference w:type="default" r:id="rId60"/>
          <w:footerReference w:type="even" r:id="rId61"/>
          <w:footerReference w:type="default" r:id="rId62"/>
          <w:headerReference w:type="first" r:id="rId63"/>
          <w:footerReference w:type="first" r:id="rId64"/>
          <w:pgSz w:w="12240" w:h="15840"/>
          <w:pgMar w:top="720" w:right="965" w:bottom="1080" w:left="1656" w:header="576" w:footer="960" w:gutter="0"/>
          <w:cols w:space="720"/>
          <w:titlePg/>
          <w:docGrid w:linePitch="272"/>
        </w:sectPr>
      </w:pPr>
    </w:p>
    <w:tbl>
      <w:tblPr>
        <w:tblW w:w="0" w:type="auto"/>
        <w:tblBorders>
          <w:bottom w:val="single" w:sz="8" w:space="0" w:color="auto"/>
        </w:tblBorders>
        <w:tblLayout w:type="fixed"/>
        <w:tblCellMar>
          <w:left w:w="0" w:type="dxa"/>
          <w:right w:w="0" w:type="dxa"/>
        </w:tblCellMar>
        <w:tblLook w:val="0000"/>
      </w:tblPr>
      <w:tblGrid>
        <w:gridCol w:w="4320"/>
        <w:gridCol w:w="840"/>
        <w:gridCol w:w="4320"/>
      </w:tblGrid>
      <w:tr w:rsidR="0022323B" w:rsidRPr="00C50A5C" w:rsidTr="0085476B">
        <w:tc>
          <w:tcPr>
            <w:tcW w:w="4320" w:type="dxa"/>
            <w:shd w:val="clear" w:color="auto" w:fill="auto"/>
            <w:tcMar>
              <w:left w:w="0" w:type="dxa"/>
              <w:right w:w="0" w:type="dxa"/>
            </w:tcMar>
          </w:tcPr>
          <w:p w:rsidR="0022323B" w:rsidRPr="00C50A5C" w:rsidRDefault="0022323B" w:rsidP="00F420F7">
            <w:pPr>
              <w:keepNext/>
              <w:keepLines/>
              <w:rPr>
                <w:b/>
                <w:szCs w:val="24"/>
              </w:rPr>
            </w:pPr>
            <w:r w:rsidRPr="00C50A5C">
              <w:rPr>
                <w:b/>
                <w:szCs w:val="24"/>
              </w:rPr>
              <w:lastRenderedPageBreak/>
              <w:t>AGENDA FOR A</w:t>
            </w:r>
            <w:r w:rsidR="00F420F7">
              <w:rPr>
                <w:b/>
                <w:szCs w:val="24"/>
              </w:rPr>
              <w:t>UGUS</w:t>
            </w:r>
            <w:r w:rsidRPr="00C50A5C">
              <w:rPr>
                <w:b/>
                <w:szCs w:val="24"/>
              </w:rPr>
              <w:t>T</w:t>
            </w:r>
            <w:r w:rsidR="00F420F7">
              <w:rPr>
                <w:b/>
                <w:szCs w:val="24"/>
              </w:rPr>
              <w:t xml:space="preserve"> 2011</w:t>
            </w:r>
          </w:p>
        </w:tc>
        <w:tc>
          <w:tcPr>
            <w:tcW w:w="840" w:type="dxa"/>
            <w:shd w:val="clear" w:color="auto" w:fill="auto"/>
            <w:tcMar>
              <w:left w:w="0" w:type="dxa"/>
              <w:right w:w="0" w:type="dxa"/>
            </w:tcMar>
          </w:tcPr>
          <w:p w:rsidR="0022323B" w:rsidRPr="00C50A5C" w:rsidRDefault="0022323B" w:rsidP="0022323B">
            <w:pPr>
              <w:keepNext/>
              <w:keepLines/>
              <w:jc w:val="center"/>
              <w:rPr>
                <w:b/>
                <w:szCs w:val="24"/>
              </w:rPr>
            </w:pPr>
          </w:p>
          <w:p w:rsidR="0022323B" w:rsidRPr="00C50A5C" w:rsidRDefault="0022323B" w:rsidP="0022323B">
            <w:pPr>
              <w:keepNext/>
              <w:keepLines/>
              <w:jc w:val="center"/>
              <w:rPr>
                <w:b/>
                <w:szCs w:val="24"/>
              </w:rPr>
            </w:pPr>
          </w:p>
        </w:tc>
        <w:tc>
          <w:tcPr>
            <w:tcW w:w="4320" w:type="dxa"/>
            <w:shd w:val="clear" w:color="auto" w:fill="auto"/>
            <w:tcMar>
              <w:left w:w="0" w:type="dxa"/>
              <w:right w:w="0" w:type="dxa"/>
            </w:tcMar>
          </w:tcPr>
          <w:p w:rsidR="0022323B" w:rsidRPr="00C50A5C" w:rsidRDefault="0022323B" w:rsidP="00F420F7">
            <w:pPr>
              <w:keepNext/>
              <w:keepLines/>
              <w:rPr>
                <w:b/>
                <w:szCs w:val="24"/>
                <w:lang w:val="fr-CA"/>
              </w:rPr>
            </w:pPr>
            <w:r w:rsidRPr="00C50A5C">
              <w:rPr>
                <w:b/>
                <w:szCs w:val="24"/>
                <w:lang w:val="fr-CA"/>
              </w:rPr>
              <w:t>CALENDRIER D</w:t>
            </w:r>
            <w:r w:rsidR="00F420F7">
              <w:rPr>
                <w:b/>
                <w:szCs w:val="24"/>
                <w:lang w:val="fr-CA"/>
              </w:rPr>
              <w:t>’</w:t>
            </w:r>
            <w:r w:rsidRPr="00C50A5C">
              <w:rPr>
                <w:b/>
                <w:szCs w:val="24"/>
                <w:lang w:val="fr-CA"/>
              </w:rPr>
              <w:t>A</w:t>
            </w:r>
            <w:r w:rsidR="00F420F7">
              <w:rPr>
                <w:b/>
                <w:szCs w:val="24"/>
                <w:lang w:val="fr-CA"/>
              </w:rPr>
              <w:t>OÛT 2011</w:t>
            </w:r>
          </w:p>
        </w:tc>
      </w:tr>
    </w:tbl>
    <w:p w:rsidR="004B66B4" w:rsidRPr="00F420F7" w:rsidRDefault="004B66B4" w:rsidP="004B66B4">
      <w:pPr>
        <w:rPr>
          <w:sz w:val="20"/>
          <w:szCs w:val="20"/>
        </w:rPr>
      </w:pPr>
    </w:p>
    <w:p w:rsidR="004B66B4" w:rsidRDefault="004B66B4" w:rsidP="00DD0B49">
      <w:pPr>
        <w:ind w:left="2160" w:hanging="2160"/>
        <w:jc w:val="both"/>
        <w:rPr>
          <w:sz w:val="20"/>
          <w:szCs w:val="20"/>
        </w:rPr>
      </w:pPr>
    </w:p>
    <w:p w:rsidR="00F420F7" w:rsidRDefault="00F420F7" w:rsidP="00DD0B49">
      <w:pPr>
        <w:ind w:left="2160" w:hanging="2160"/>
        <w:jc w:val="both"/>
        <w:rPr>
          <w:sz w:val="20"/>
          <w:szCs w:val="20"/>
        </w:rPr>
      </w:pPr>
    </w:p>
    <w:p w:rsidR="00F420F7" w:rsidRPr="00F420F7" w:rsidRDefault="00F420F7" w:rsidP="00DD0B49">
      <w:pPr>
        <w:ind w:left="2160" w:hanging="2160"/>
        <w:jc w:val="both"/>
        <w:rPr>
          <w:sz w:val="28"/>
          <w:szCs w:val="28"/>
        </w:rPr>
      </w:pPr>
      <w:r w:rsidRPr="00F420F7">
        <w:rPr>
          <w:sz w:val="28"/>
          <w:szCs w:val="28"/>
        </w:rPr>
        <w:t xml:space="preserve">The next </w:t>
      </w:r>
      <w:r w:rsidRPr="00F420F7">
        <w:rPr>
          <w:b/>
          <w:sz w:val="28"/>
          <w:szCs w:val="28"/>
        </w:rPr>
        <w:t>Bulletin of Proceedings</w:t>
      </w:r>
      <w:r w:rsidRPr="00F420F7">
        <w:rPr>
          <w:sz w:val="28"/>
          <w:szCs w:val="28"/>
        </w:rPr>
        <w:t xml:space="preserve"> will be published on August 26, 2011</w:t>
      </w:r>
      <w:r>
        <w:rPr>
          <w:sz w:val="28"/>
          <w:szCs w:val="28"/>
        </w:rPr>
        <w:t xml:space="preserve">. </w:t>
      </w:r>
    </w:p>
    <w:p w:rsidR="00F420F7" w:rsidRPr="00F420F7" w:rsidRDefault="00F420F7" w:rsidP="00DD0B49">
      <w:pPr>
        <w:ind w:left="2160" w:hanging="2160"/>
        <w:jc w:val="both"/>
        <w:rPr>
          <w:sz w:val="28"/>
          <w:szCs w:val="28"/>
        </w:rPr>
      </w:pPr>
    </w:p>
    <w:p w:rsidR="00F420F7" w:rsidRPr="00F420F7" w:rsidRDefault="00F420F7" w:rsidP="00DD0B49">
      <w:pPr>
        <w:ind w:left="2160" w:hanging="2160"/>
        <w:jc w:val="both"/>
        <w:rPr>
          <w:sz w:val="28"/>
          <w:szCs w:val="28"/>
          <w:lang w:val="fr-CA"/>
        </w:rPr>
      </w:pPr>
      <w:r w:rsidRPr="00F420F7">
        <w:rPr>
          <w:sz w:val="28"/>
          <w:szCs w:val="28"/>
          <w:lang w:val="fr-CA"/>
        </w:rPr>
        <w:t xml:space="preserve">Le prochain </w:t>
      </w:r>
      <w:r w:rsidRPr="00F420F7">
        <w:rPr>
          <w:b/>
          <w:sz w:val="28"/>
          <w:szCs w:val="28"/>
          <w:lang w:val="fr-CA"/>
        </w:rPr>
        <w:t>Bulletin des procédures</w:t>
      </w:r>
      <w:r w:rsidRPr="00F420F7">
        <w:rPr>
          <w:sz w:val="28"/>
          <w:szCs w:val="28"/>
          <w:lang w:val="fr-CA"/>
        </w:rPr>
        <w:t xml:space="preserve"> sera publié le 26 août 2011.</w:t>
      </w:r>
    </w:p>
    <w:p w:rsidR="00F420F7" w:rsidRDefault="00F420F7" w:rsidP="00DD0B49">
      <w:pPr>
        <w:ind w:left="2160" w:hanging="2160"/>
        <w:jc w:val="both"/>
        <w:rPr>
          <w:sz w:val="20"/>
          <w:szCs w:val="20"/>
          <w:lang w:val="fr-CA"/>
        </w:rPr>
      </w:pPr>
    </w:p>
    <w:p w:rsidR="004B66B4" w:rsidRPr="00DD0B49" w:rsidRDefault="004D20D2" w:rsidP="002868D0">
      <w:pPr>
        <w:jc w:val="both"/>
        <w:rPr>
          <w:sz w:val="20"/>
          <w:szCs w:val="20"/>
        </w:rPr>
      </w:pPr>
      <w:r w:rsidRPr="004D20D2">
        <w:rPr>
          <w:sz w:val="20"/>
          <w:szCs w:val="20"/>
          <w:lang w:val="fr-CA"/>
        </w:rPr>
        <w:pict>
          <v:rect id="_x0000_i1074" style="width:2in;height:1pt" o:hrpct="0" o:hralign="center" o:hrstd="t" o:hrnoshade="t" o:hr="t" fillcolor="black [3213]" stroked="f"/>
        </w:pict>
      </w:r>
    </w:p>
    <w:p w:rsidR="004B66B4" w:rsidRPr="00DD0B49" w:rsidRDefault="004B66B4" w:rsidP="004B66B4">
      <w:pPr>
        <w:tabs>
          <w:tab w:val="left" w:pos="1980"/>
        </w:tabs>
        <w:jc w:val="both"/>
        <w:rPr>
          <w:sz w:val="20"/>
          <w:szCs w:val="20"/>
        </w:rPr>
      </w:pPr>
    </w:p>
    <w:p w:rsidR="00C50A5C" w:rsidRDefault="00C50A5C" w:rsidP="0022323B">
      <w:pPr>
        <w:rPr>
          <w:sz w:val="20"/>
          <w:szCs w:val="20"/>
          <w:lang w:val="fr-CA"/>
        </w:rPr>
      </w:pPr>
    </w:p>
    <w:p w:rsidR="00102926" w:rsidRPr="00C50A5C" w:rsidRDefault="00102926" w:rsidP="00782AE4">
      <w:pPr>
        <w:jc w:val="both"/>
        <w:rPr>
          <w:sz w:val="20"/>
          <w:szCs w:val="20"/>
          <w:lang w:val="fr-CA"/>
        </w:rPr>
      </w:pPr>
    </w:p>
    <w:p w:rsidR="0022323B" w:rsidRPr="00C50A5C" w:rsidRDefault="0022323B" w:rsidP="00782AE4">
      <w:pPr>
        <w:jc w:val="both"/>
        <w:rPr>
          <w:sz w:val="20"/>
          <w:szCs w:val="20"/>
          <w:lang w:val="fr-CA"/>
        </w:rPr>
        <w:sectPr w:rsidR="0022323B" w:rsidRPr="00C50A5C" w:rsidSect="0022323B">
          <w:headerReference w:type="even" r:id="rId65"/>
          <w:headerReference w:type="default" r:id="rId66"/>
          <w:footerReference w:type="even" r:id="rId67"/>
          <w:footerReference w:type="default" r:id="rId68"/>
          <w:headerReference w:type="first" r:id="rId69"/>
          <w:footerReference w:type="first" r:id="rId70"/>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320"/>
        <w:gridCol w:w="840"/>
        <w:gridCol w:w="4320"/>
      </w:tblGrid>
      <w:tr w:rsidR="006B6926" w:rsidRPr="00291AC9" w:rsidTr="0085476B">
        <w:tc>
          <w:tcPr>
            <w:tcW w:w="4320" w:type="dxa"/>
            <w:shd w:val="clear" w:color="auto" w:fill="auto"/>
          </w:tcPr>
          <w:p w:rsidR="006B6926" w:rsidRPr="00C50A5C" w:rsidRDefault="006B6926" w:rsidP="006B6926">
            <w:pPr>
              <w:keepNext/>
              <w:keepLines/>
              <w:rPr>
                <w:b/>
                <w:bCs/>
                <w:szCs w:val="24"/>
                <w:lang w:val="en-GB"/>
              </w:rPr>
            </w:pPr>
            <w:r w:rsidRPr="00C50A5C">
              <w:rPr>
                <w:b/>
                <w:bCs/>
                <w:szCs w:val="24"/>
                <w:lang w:val="en-GB"/>
              </w:rPr>
              <w:lastRenderedPageBreak/>
              <w:t>SUPREME COURT REPORTS</w:t>
            </w:r>
          </w:p>
        </w:tc>
        <w:tc>
          <w:tcPr>
            <w:tcW w:w="840" w:type="dxa"/>
            <w:shd w:val="clear" w:color="auto" w:fill="auto"/>
          </w:tcPr>
          <w:p w:rsidR="006B6926" w:rsidRPr="00C50A5C" w:rsidRDefault="006B6926" w:rsidP="006B6926">
            <w:pPr>
              <w:jc w:val="center"/>
              <w:rPr>
                <w:b/>
                <w:bCs/>
                <w:szCs w:val="24"/>
                <w:lang w:val="en-GB"/>
              </w:rPr>
            </w:pPr>
          </w:p>
          <w:p w:rsidR="006B6926" w:rsidRPr="00C50A5C" w:rsidRDefault="006B6926" w:rsidP="006B6926">
            <w:pPr>
              <w:jc w:val="center"/>
              <w:rPr>
                <w:b/>
                <w:bCs/>
                <w:szCs w:val="24"/>
                <w:lang w:val="en-GB"/>
              </w:rPr>
            </w:pPr>
          </w:p>
          <w:p w:rsidR="006B6926" w:rsidRPr="00C50A5C" w:rsidRDefault="006B6926" w:rsidP="006B6926">
            <w:pPr>
              <w:jc w:val="center"/>
              <w:rPr>
                <w:b/>
                <w:bCs/>
                <w:szCs w:val="24"/>
                <w:lang w:val="en-GB"/>
              </w:rPr>
            </w:pPr>
          </w:p>
        </w:tc>
        <w:tc>
          <w:tcPr>
            <w:tcW w:w="4320" w:type="dxa"/>
            <w:shd w:val="clear" w:color="auto" w:fill="auto"/>
          </w:tcPr>
          <w:p w:rsidR="006B6926" w:rsidRPr="00C50A5C" w:rsidRDefault="006B6926" w:rsidP="006B6926">
            <w:pPr>
              <w:keepNext/>
              <w:keepLines/>
              <w:rPr>
                <w:b/>
                <w:bCs/>
                <w:szCs w:val="24"/>
                <w:lang w:val="fr-CA"/>
              </w:rPr>
            </w:pPr>
            <w:r w:rsidRPr="00C50A5C">
              <w:rPr>
                <w:b/>
                <w:bCs/>
                <w:szCs w:val="24"/>
                <w:lang w:val="fr-CA"/>
              </w:rPr>
              <w:t>RECUEIL DES ARRÊTS DE LA COUR SUPRÊME</w:t>
            </w:r>
          </w:p>
        </w:tc>
      </w:tr>
    </w:tbl>
    <w:p w:rsidR="006B6926" w:rsidRDefault="006B6926" w:rsidP="006B6926">
      <w:pPr>
        <w:rPr>
          <w:sz w:val="20"/>
          <w:szCs w:val="20"/>
          <w:lang w:val="fr-CA"/>
        </w:rPr>
      </w:pPr>
    </w:p>
    <w:tbl>
      <w:tblPr>
        <w:tblW w:w="0" w:type="auto"/>
        <w:tblLayout w:type="fixed"/>
        <w:tblCellMar>
          <w:left w:w="0" w:type="dxa"/>
          <w:right w:w="0" w:type="dxa"/>
        </w:tblCellMar>
        <w:tblLook w:val="0000"/>
      </w:tblPr>
      <w:tblGrid>
        <w:gridCol w:w="4320"/>
        <w:gridCol w:w="840"/>
        <w:gridCol w:w="4320"/>
      </w:tblGrid>
      <w:tr w:rsidR="00DD0B49" w:rsidRPr="00291AC9" w:rsidTr="003B3977">
        <w:trPr>
          <w:cantSplit/>
          <w:trHeight w:val="1152"/>
        </w:trPr>
        <w:tc>
          <w:tcPr>
            <w:tcW w:w="4320" w:type="dxa"/>
            <w:tcBorders>
              <w:top w:val="nil"/>
              <w:left w:val="nil"/>
              <w:bottom w:val="nil"/>
              <w:right w:val="nil"/>
            </w:tcBorders>
          </w:tcPr>
          <w:p w:rsidR="00DD0B49" w:rsidRPr="00DD0B49" w:rsidRDefault="00DD0B49" w:rsidP="00DD0B49">
            <w:pPr>
              <w:keepNext/>
              <w:keepLines/>
              <w:jc w:val="both"/>
              <w:rPr>
                <w:rFonts w:cs="Times New Roman"/>
                <w:sz w:val="20"/>
                <w:szCs w:val="20"/>
                <w:lang w:val="en-GB"/>
              </w:rPr>
            </w:pPr>
            <w:r w:rsidRPr="00DD0B49">
              <w:rPr>
                <w:rFonts w:cs="Times New Roman"/>
                <w:b/>
                <w:bCs/>
                <w:sz w:val="20"/>
                <w:szCs w:val="20"/>
                <w:lang w:val="en-GB"/>
              </w:rPr>
              <w:t>THE STYLES OF CAUSE IN THE PRESENT TABLE ARE THE STANDARDIZED STYLES OF CAUSE (AS EXPRESSED UNDER THE "INDEXED AS" ENTRY IN EACH CASE).</w:t>
            </w:r>
          </w:p>
        </w:tc>
        <w:tc>
          <w:tcPr>
            <w:tcW w:w="840" w:type="dxa"/>
            <w:tcBorders>
              <w:top w:val="nil"/>
              <w:left w:val="nil"/>
              <w:bottom w:val="nil"/>
              <w:right w:val="nil"/>
            </w:tcBorders>
          </w:tcPr>
          <w:p w:rsidR="00DD0B49" w:rsidRPr="00DD0B49" w:rsidRDefault="00DD0B49" w:rsidP="003B3977">
            <w:pPr>
              <w:rPr>
                <w:rFonts w:cs="Times New Roman"/>
                <w:b/>
                <w:bCs/>
                <w:sz w:val="20"/>
                <w:szCs w:val="20"/>
                <w:lang w:val="en-GB"/>
              </w:rPr>
            </w:pPr>
          </w:p>
        </w:tc>
        <w:tc>
          <w:tcPr>
            <w:tcW w:w="4320" w:type="dxa"/>
            <w:tcBorders>
              <w:top w:val="nil"/>
              <w:left w:val="nil"/>
              <w:bottom w:val="nil"/>
              <w:right w:val="nil"/>
            </w:tcBorders>
          </w:tcPr>
          <w:p w:rsidR="00DD0B49" w:rsidRPr="00DD0B49" w:rsidRDefault="00DD0B49" w:rsidP="00DD0B49">
            <w:pPr>
              <w:keepNext/>
              <w:keepLines/>
              <w:jc w:val="both"/>
              <w:rPr>
                <w:rFonts w:cs="Times New Roman"/>
                <w:b/>
                <w:bCs/>
                <w:sz w:val="20"/>
                <w:szCs w:val="20"/>
                <w:lang w:val="fr-CA"/>
              </w:rPr>
            </w:pPr>
            <w:r w:rsidRPr="00DD0B49">
              <w:rPr>
                <w:rFonts w:cs="Times New Roman"/>
                <w:b/>
                <w:bCs/>
                <w:sz w:val="20"/>
                <w:szCs w:val="20"/>
                <w:lang w:val="fr-CA"/>
              </w:rPr>
              <w:t>LES INTITULÉS UTILISÉS DANS CETTE TABLE SONT LES INTITULÉS NORMALISÉS DE LA RUBRIQUE "RÉPERTORIÉ" DANS CHAQUE ARRÊT.</w:t>
            </w:r>
          </w:p>
        </w:tc>
      </w:tr>
      <w:tr w:rsidR="00DD0B49" w:rsidRPr="00DD0B49" w:rsidTr="003B3977">
        <w:tc>
          <w:tcPr>
            <w:tcW w:w="4320" w:type="dxa"/>
            <w:tcBorders>
              <w:top w:val="nil"/>
              <w:left w:val="nil"/>
              <w:bottom w:val="nil"/>
              <w:right w:val="nil"/>
            </w:tcBorders>
          </w:tcPr>
          <w:p w:rsidR="00DD0B49" w:rsidRPr="00DD0B49" w:rsidRDefault="00DD0B49" w:rsidP="003B3977">
            <w:pPr>
              <w:rPr>
                <w:rFonts w:cs="Times New Roman"/>
                <w:sz w:val="20"/>
                <w:szCs w:val="20"/>
                <w:lang w:val="en-GB"/>
              </w:rPr>
            </w:pPr>
            <w:r w:rsidRPr="00DD0B49">
              <w:rPr>
                <w:rFonts w:cs="Times New Roman"/>
                <w:b/>
                <w:bCs/>
                <w:sz w:val="20"/>
                <w:szCs w:val="20"/>
                <w:lang w:val="en-GB"/>
              </w:rPr>
              <w:t>Judgments reported in [201</w:t>
            </w:r>
            <w:r w:rsidR="008F6D3A">
              <w:rPr>
                <w:rFonts w:cs="Times New Roman"/>
                <w:b/>
                <w:bCs/>
                <w:sz w:val="20"/>
                <w:szCs w:val="20"/>
                <w:lang w:val="en-GB"/>
              </w:rPr>
              <w:t>1</w:t>
            </w:r>
            <w:r w:rsidRPr="00DD0B49">
              <w:rPr>
                <w:rFonts w:cs="Times New Roman"/>
                <w:b/>
                <w:bCs/>
                <w:sz w:val="20"/>
                <w:szCs w:val="20"/>
                <w:lang w:val="en-GB"/>
              </w:rPr>
              <w:t xml:space="preserve">] 1 S.C.R. Part </w:t>
            </w:r>
            <w:r w:rsidR="008F6D3A">
              <w:rPr>
                <w:rFonts w:cs="Times New Roman"/>
                <w:b/>
                <w:bCs/>
                <w:sz w:val="20"/>
                <w:szCs w:val="20"/>
                <w:lang w:val="en-GB"/>
              </w:rPr>
              <w:t>2</w:t>
            </w:r>
          </w:p>
          <w:p w:rsidR="00DD0B49" w:rsidRPr="00DD0B49" w:rsidRDefault="00DD0B49" w:rsidP="003B3977">
            <w:pPr>
              <w:rPr>
                <w:rFonts w:cs="Times New Roman"/>
                <w:sz w:val="20"/>
                <w:szCs w:val="20"/>
                <w:lang w:val="en-GB"/>
              </w:rPr>
            </w:pPr>
          </w:p>
          <w:p w:rsidR="00DD0B49" w:rsidRPr="00DD0B49" w:rsidRDefault="008F6D3A" w:rsidP="003B3977">
            <w:pPr>
              <w:rPr>
                <w:rFonts w:cs="Times New Roman"/>
                <w:sz w:val="20"/>
                <w:szCs w:val="20"/>
                <w:lang w:val="en-GB"/>
              </w:rPr>
            </w:pPr>
            <w:r>
              <w:rPr>
                <w:rFonts w:cs="Times New Roman"/>
                <w:sz w:val="20"/>
                <w:szCs w:val="20"/>
                <w:lang w:val="en-GB"/>
              </w:rPr>
              <w:t>Kerr</w:t>
            </w:r>
            <w:r w:rsidR="00DD0B49" w:rsidRPr="00DD0B49">
              <w:rPr>
                <w:rFonts w:cs="Times New Roman"/>
                <w:sz w:val="20"/>
                <w:szCs w:val="20"/>
                <w:lang w:val="en-GB"/>
              </w:rPr>
              <w:t xml:space="preserve"> </w:t>
            </w:r>
            <w:r w:rsidR="00DD0B49" w:rsidRPr="00DD0B49">
              <w:rPr>
                <w:rFonts w:cs="Times New Roman"/>
                <w:i/>
                <w:sz w:val="20"/>
                <w:szCs w:val="20"/>
                <w:lang w:val="en-GB"/>
              </w:rPr>
              <w:t>v.</w:t>
            </w:r>
            <w:r w:rsidR="00DD0B49" w:rsidRPr="00DD0B49">
              <w:rPr>
                <w:rFonts w:cs="Times New Roman"/>
                <w:sz w:val="20"/>
                <w:szCs w:val="20"/>
                <w:lang w:val="en-GB"/>
              </w:rPr>
              <w:t xml:space="preserve"> </w:t>
            </w:r>
            <w:r>
              <w:rPr>
                <w:rFonts w:cs="Times New Roman"/>
                <w:sz w:val="20"/>
                <w:szCs w:val="20"/>
                <w:lang w:val="en-GB"/>
              </w:rPr>
              <w:t>B</w:t>
            </w:r>
            <w:r w:rsidR="00DD0B49" w:rsidRPr="00DD0B49">
              <w:rPr>
                <w:rFonts w:cs="Times New Roman"/>
                <w:sz w:val="20"/>
                <w:szCs w:val="20"/>
                <w:lang w:val="en-GB"/>
              </w:rPr>
              <w:t>a</w:t>
            </w:r>
            <w:r>
              <w:rPr>
                <w:rFonts w:cs="Times New Roman"/>
                <w:sz w:val="20"/>
                <w:szCs w:val="20"/>
                <w:lang w:val="en-GB"/>
              </w:rPr>
              <w:t>ranow</w:t>
            </w:r>
            <w:r w:rsidR="00DD0B49" w:rsidRPr="00DD0B49">
              <w:rPr>
                <w:rFonts w:cs="Times New Roman"/>
                <w:sz w:val="20"/>
                <w:szCs w:val="20"/>
                <w:lang w:val="en-GB"/>
              </w:rPr>
              <w:t>,</w:t>
            </w:r>
          </w:p>
          <w:p w:rsidR="00DD0B49" w:rsidRPr="00DD0B49" w:rsidRDefault="00DD0B49" w:rsidP="003B3977">
            <w:pPr>
              <w:rPr>
                <w:rFonts w:cs="Times New Roman"/>
                <w:sz w:val="20"/>
                <w:szCs w:val="20"/>
                <w:lang w:val="en-GB"/>
              </w:rPr>
            </w:pPr>
            <w:r w:rsidRPr="00DD0B49">
              <w:rPr>
                <w:rFonts w:cs="Times New Roman"/>
                <w:sz w:val="20"/>
                <w:szCs w:val="20"/>
                <w:lang w:val="en-GB"/>
              </w:rPr>
              <w:t>201</w:t>
            </w:r>
            <w:r w:rsidR="008F6D3A">
              <w:rPr>
                <w:rFonts w:cs="Times New Roman"/>
                <w:sz w:val="20"/>
                <w:szCs w:val="20"/>
                <w:lang w:val="en-GB"/>
              </w:rPr>
              <w:t>1</w:t>
            </w:r>
            <w:r w:rsidRPr="00DD0B49">
              <w:rPr>
                <w:rFonts w:cs="Times New Roman"/>
                <w:sz w:val="20"/>
                <w:szCs w:val="20"/>
                <w:lang w:val="en-GB"/>
              </w:rPr>
              <w:t xml:space="preserve"> SCC </w:t>
            </w:r>
            <w:r w:rsidR="008F6D3A">
              <w:rPr>
                <w:rFonts w:cs="Times New Roman"/>
                <w:sz w:val="20"/>
                <w:szCs w:val="20"/>
                <w:lang w:val="en-GB"/>
              </w:rPr>
              <w:t>10</w:t>
            </w:r>
            <w:r w:rsidRPr="00DD0B49">
              <w:rPr>
                <w:rFonts w:cs="Times New Roman"/>
                <w:sz w:val="20"/>
                <w:szCs w:val="20"/>
                <w:lang w:val="en-GB"/>
              </w:rPr>
              <w:t>, [201</w:t>
            </w:r>
            <w:r w:rsidR="008F6D3A">
              <w:rPr>
                <w:rFonts w:cs="Times New Roman"/>
                <w:sz w:val="20"/>
                <w:szCs w:val="20"/>
                <w:lang w:val="en-GB"/>
              </w:rPr>
              <w:t>1</w:t>
            </w:r>
            <w:r w:rsidRPr="00DD0B49">
              <w:rPr>
                <w:rFonts w:cs="Times New Roman"/>
                <w:sz w:val="20"/>
                <w:szCs w:val="20"/>
                <w:lang w:val="en-GB"/>
              </w:rPr>
              <w:t xml:space="preserve">] 1 S.C.R. </w:t>
            </w:r>
            <w:r w:rsidR="008F6D3A">
              <w:rPr>
                <w:rFonts w:cs="Times New Roman"/>
                <w:sz w:val="20"/>
                <w:szCs w:val="20"/>
                <w:lang w:val="en-GB"/>
              </w:rPr>
              <w:t>269</w:t>
            </w:r>
          </w:p>
          <w:p w:rsidR="00DD0B49" w:rsidRPr="00DD0B49" w:rsidRDefault="00DD0B49" w:rsidP="003B3977">
            <w:pPr>
              <w:rPr>
                <w:rFonts w:cs="Times New Roman"/>
                <w:sz w:val="20"/>
                <w:szCs w:val="20"/>
                <w:lang w:val="en-GB"/>
              </w:rPr>
            </w:pPr>
          </w:p>
          <w:p w:rsidR="00DD0B49" w:rsidRPr="00DD0B49" w:rsidRDefault="00F20DFD" w:rsidP="003B3977">
            <w:pPr>
              <w:rPr>
                <w:rFonts w:cs="Times New Roman"/>
                <w:sz w:val="20"/>
                <w:szCs w:val="20"/>
                <w:lang w:val="en-GB"/>
              </w:rPr>
            </w:pPr>
            <w:r>
              <w:rPr>
                <w:rFonts w:cs="Times New Roman"/>
                <w:sz w:val="20"/>
                <w:szCs w:val="20"/>
                <w:lang w:val="en-GB"/>
              </w:rPr>
              <w:t>Quebec (Attorney General)</w:t>
            </w:r>
            <w:r w:rsidR="00DD0B49" w:rsidRPr="00DD0B49">
              <w:rPr>
                <w:rFonts w:cs="Times New Roman"/>
                <w:sz w:val="20"/>
                <w:szCs w:val="20"/>
                <w:lang w:val="en-GB"/>
              </w:rPr>
              <w:t xml:space="preserve"> </w:t>
            </w:r>
            <w:r w:rsidR="00DD0B49" w:rsidRPr="00DD0B49">
              <w:rPr>
                <w:rFonts w:cs="Times New Roman"/>
                <w:i/>
                <w:iCs/>
                <w:sz w:val="20"/>
                <w:szCs w:val="20"/>
                <w:lang w:val="en-GB"/>
              </w:rPr>
              <w:t>v.</w:t>
            </w:r>
            <w:r w:rsidR="00DD0B49" w:rsidRPr="00DD0B49">
              <w:rPr>
                <w:rFonts w:cs="Times New Roman"/>
                <w:iCs/>
                <w:sz w:val="20"/>
                <w:szCs w:val="20"/>
                <w:lang w:val="en-GB"/>
              </w:rPr>
              <w:t xml:space="preserve"> C</w:t>
            </w:r>
            <w:r>
              <w:rPr>
                <w:rFonts w:cs="Times New Roman"/>
                <w:iCs/>
                <w:sz w:val="20"/>
                <w:szCs w:val="20"/>
                <w:lang w:val="en-GB"/>
              </w:rPr>
              <w:t>a</w:t>
            </w:r>
            <w:r w:rsidR="00DD0B49" w:rsidRPr="00DD0B49">
              <w:rPr>
                <w:rFonts w:cs="Times New Roman"/>
                <w:iCs/>
                <w:sz w:val="20"/>
                <w:szCs w:val="20"/>
                <w:lang w:val="en-GB"/>
              </w:rPr>
              <w:t>na</w:t>
            </w:r>
            <w:r>
              <w:rPr>
                <w:rFonts w:cs="Times New Roman"/>
                <w:iCs/>
                <w:sz w:val="20"/>
                <w:szCs w:val="20"/>
                <w:lang w:val="en-GB"/>
              </w:rPr>
              <w:t>da</w:t>
            </w:r>
            <w:r w:rsidR="00DD0B49" w:rsidRPr="00DD0B49">
              <w:rPr>
                <w:rFonts w:cs="Times New Roman"/>
                <w:sz w:val="20"/>
                <w:szCs w:val="20"/>
                <w:lang w:val="en-GB"/>
              </w:rPr>
              <w:t>,</w:t>
            </w:r>
          </w:p>
          <w:p w:rsidR="00DD0B49" w:rsidRPr="00DD0B49" w:rsidRDefault="00DD0B49" w:rsidP="003B3977">
            <w:pPr>
              <w:rPr>
                <w:rFonts w:cs="Times New Roman"/>
                <w:sz w:val="20"/>
                <w:szCs w:val="20"/>
                <w:lang w:val="en-GB"/>
              </w:rPr>
            </w:pPr>
            <w:r w:rsidRPr="00DD0B49">
              <w:rPr>
                <w:rFonts w:cs="Times New Roman"/>
                <w:sz w:val="20"/>
                <w:szCs w:val="20"/>
                <w:lang w:val="en-GB"/>
              </w:rPr>
              <w:t>201</w:t>
            </w:r>
            <w:r w:rsidR="008F6D3A">
              <w:rPr>
                <w:rFonts w:cs="Times New Roman"/>
                <w:sz w:val="20"/>
                <w:szCs w:val="20"/>
                <w:lang w:val="en-GB"/>
              </w:rPr>
              <w:t>1</w:t>
            </w:r>
            <w:r w:rsidRPr="00DD0B49">
              <w:rPr>
                <w:rFonts w:cs="Times New Roman"/>
                <w:sz w:val="20"/>
                <w:szCs w:val="20"/>
                <w:lang w:val="en-GB"/>
              </w:rPr>
              <w:t xml:space="preserve"> SCC </w:t>
            </w:r>
            <w:r w:rsidR="00F20DFD">
              <w:rPr>
                <w:rFonts w:cs="Times New Roman"/>
                <w:sz w:val="20"/>
                <w:szCs w:val="20"/>
                <w:lang w:val="en-GB"/>
              </w:rPr>
              <w:t>11</w:t>
            </w:r>
            <w:r w:rsidRPr="00DD0B49">
              <w:rPr>
                <w:rFonts w:cs="Times New Roman"/>
                <w:sz w:val="20"/>
                <w:szCs w:val="20"/>
                <w:lang w:val="en-GB"/>
              </w:rPr>
              <w:t>, [201</w:t>
            </w:r>
            <w:r w:rsidR="008F6D3A">
              <w:rPr>
                <w:rFonts w:cs="Times New Roman"/>
                <w:sz w:val="20"/>
                <w:szCs w:val="20"/>
                <w:lang w:val="en-GB"/>
              </w:rPr>
              <w:t>1</w:t>
            </w:r>
            <w:r w:rsidRPr="00DD0B49">
              <w:rPr>
                <w:rFonts w:cs="Times New Roman"/>
                <w:sz w:val="20"/>
                <w:szCs w:val="20"/>
                <w:lang w:val="en-GB"/>
              </w:rPr>
              <w:t xml:space="preserve">] 1 S.C.R. </w:t>
            </w:r>
            <w:r w:rsidR="00F20DFD">
              <w:rPr>
                <w:rFonts w:cs="Times New Roman"/>
                <w:sz w:val="20"/>
                <w:szCs w:val="20"/>
                <w:lang w:val="en-GB"/>
              </w:rPr>
              <w:t>3</w:t>
            </w:r>
            <w:r w:rsidRPr="00DD0B49">
              <w:rPr>
                <w:rFonts w:cs="Times New Roman"/>
                <w:sz w:val="20"/>
                <w:szCs w:val="20"/>
                <w:lang w:val="en-GB"/>
              </w:rPr>
              <w:t>6</w:t>
            </w:r>
            <w:r w:rsidR="00F20DFD">
              <w:rPr>
                <w:rFonts w:cs="Times New Roman"/>
                <w:sz w:val="20"/>
                <w:szCs w:val="20"/>
                <w:lang w:val="en-GB"/>
              </w:rPr>
              <w:t>8</w:t>
            </w:r>
          </w:p>
          <w:p w:rsidR="00DD0B49" w:rsidRPr="00DD0B49" w:rsidRDefault="00DD0B49" w:rsidP="003B3977">
            <w:pPr>
              <w:rPr>
                <w:rFonts w:cs="Times New Roman"/>
                <w:iCs/>
                <w:sz w:val="20"/>
                <w:szCs w:val="20"/>
                <w:lang w:val="en-GB"/>
              </w:rPr>
            </w:pPr>
          </w:p>
          <w:p w:rsidR="00DD0B49" w:rsidRPr="00DD0B49" w:rsidRDefault="00DD0B49" w:rsidP="003B3977">
            <w:pPr>
              <w:rPr>
                <w:rFonts w:cs="Times New Roman"/>
                <w:iCs/>
                <w:sz w:val="20"/>
                <w:szCs w:val="20"/>
                <w:lang w:val="en-GB"/>
              </w:rPr>
            </w:pPr>
            <w:r w:rsidRPr="00DD0B49">
              <w:rPr>
                <w:rFonts w:cs="Times New Roman"/>
                <w:iCs/>
                <w:sz w:val="20"/>
                <w:szCs w:val="20"/>
                <w:lang w:val="en-GB"/>
              </w:rPr>
              <w:t xml:space="preserve">R. </w:t>
            </w:r>
            <w:r w:rsidRPr="00DD0B49">
              <w:rPr>
                <w:rFonts w:cs="Times New Roman"/>
                <w:i/>
                <w:iCs/>
                <w:sz w:val="20"/>
                <w:szCs w:val="20"/>
                <w:lang w:val="en-GB"/>
              </w:rPr>
              <w:t>v.</w:t>
            </w:r>
            <w:r w:rsidRPr="00DD0B49">
              <w:rPr>
                <w:rFonts w:cs="Times New Roman"/>
                <w:iCs/>
                <w:sz w:val="20"/>
                <w:szCs w:val="20"/>
                <w:lang w:val="en-GB"/>
              </w:rPr>
              <w:t xml:space="preserve"> </w:t>
            </w:r>
            <w:r w:rsidR="00F20DFD">
              <w:rPr>
                <w:rFonts w:cs="Times New Roman"/>
                <w:iCs/>
                <w:sz w:val="20"/>
                <w:szCs w:val="20"/>
                <w:lang w:val="en-GB"/>
              </w:rPr>
              <w:t>S.D.</w:t>
            </w:r>
            <w:r w:rsidRPr="00DD0B49">
              <w:rPr>
                <w:rFonts w:cs="Times New Roman"/>
                <w:iCs/>
                <w:sz w:val="20"/>
                <w:szCs w:val="20"/>
                <w:lang w:val="en-GB"/>
              </w:rPr>
              <w:t>,</w:t>
            </w:r>
          </w:p>
          <w:p w:rsidR="00DD0B49" w:rsidRPr="00DD0B49" w:rsidRDefault="00DD0B49" w:rsidP="003B3977">
            <w:pPr>
              <w:rPr>
                <w:rFonts w:cs="Times New Roman"/>
                <w:sz w:val="20"/>
                <w:szCs w:val="20"/>
                <w:lang w:val="en-GB"/>
              </w:rPr>
            </w:pPr>
            <w:r w:rsidRPr="00DD0B49">
              <w:rPr>
                <w:rFonts w:cs="Times New Roman"/>
                <w:sz w:val="20"/>
                <w:szCs w:val="20"/>
                <w:lang w:val="en-GB"/>
              </w:rPr>
              <w:t>201</w:t>
            </w:r>
            <w:r w:rsidR="008F6D3A">
              <w:rPr>
                <w:rFonts w:cs="Times New Roman"/>
                <w:sz w:val="20"/>
                <w:szCs w:val="20"/>
                <w:lang w:val="en-GB"/>
              </w:rPr>
              <w:t>1</w:t>
            </w:r>
            <w:r w:rsidRPr="00DD0B49">
              <w:rPr>
                <w:rFonts w:cs="Times New Roman"/>
                <w:sz w:val="20"/>
                <w:szCs w:val="20"/>
                <w:lang w:val="en-GB"/>
              </w:rPr>
              <w:t xml:space="preserve"> SCC 1</w:t>
            </w:r>
            <w:r w:rsidR="00F20DFD">
              <w:rPr>
                <w:rFonts w:cs="Times New Roman"/>
                <w:sz w:val="20"/>
                <w:szCs w:val="20"/>
                <w:lang w:val="en-GB"/>
              </w:rPr>
              <w:t>4</w:t>
            </w:r>
            <w:r w:rsidRPr="00DD0B49">
              <w:rPr>
                <w:rFonts w:cs="Times New Roman"/>
                <w:sz w:val="20"/>
                <w:szCs w:val="20"/>
                <w:lang w:val="en-GB"/>
              </w:rPr>
              <w:t>, [201</w:t>
            </w:r>
            <w:r w:rsidR="008F6D3A">
              <w:rPr>
                <w:rFonts w:cs="Times New Roman"/>
                <w:sz w:val="20"/>
                <w:szCs w:val="20"/>
                <w:lang w:val="en-GB"/>
              </w:rPr>
              <w:t>1</w:t>
            </w:r>
            <w:r w:rsidRPr="00DD0B49">
              <w:rPr>
                <w:rFonts w:cs="Times New Roman"/>
                <w:sz w:val="20"/>
                <w:szCs w:val="20"/>
                <w:lang w:val="en-GB"/>
              </w:rPr>
              <w:t xml:space="preserve">] 1 S.C.R. </w:t>
            </w:r>
            <w:r w:rsidR="00F20DFD">
              <w:rPr>
                <w:rFonts w:cs="Times New Roman"/>
                <w:sz w:val="20"/>
                <w:szCs w:val="20"/>
                <w:lang w:val="en-GB"/>
              </w:rPr>
              <w:t>52</w:t>
            </w:r>
            <w:r w:rsidRPr="00DD0B49">
              <w:rPr>
                <w:rFonts w:cs="Times New Roman"/>
                <w:sz w:val="20"/>
                <w:szCs w:val="20"/>
                <w:lang w:val="en-GB"/>
              </w:rPr>
              <w:t>7</w:t>
            </w:r>
          </w:p>
          <w:p w:rsidR="00DD0B49" w:rsidRPr="00DD0B49" w:rsidRDefault="00DD0B49" w:rsidP="003B3977">
            <w:pPr>
              <w:rPr>
                <w:rFonts w:cs="Times New Roman"/>
                <w:sz w:val="20"/>
                <w:szCs w:val="20"/>
                <w:lang w:val="en-GB"/>
              </w:rPr>
            </w:pPr>
          </w:p>
          <w:p w:rsidR="00DD0B49" w:rsidRPr="00DD0B49" w:rsidRDefault="00DD0B49" w:rsidP="003B3977">
            <w:pPr>
              <w:rPr>
                <w:rFonts w:cs="Times New Roman"/>
                <w:sz w:val="20"/>
                <w:szCs w:val="20"/>
                <w:lang w:val="en-GB"/>
              </w:rPr>
            </w:pPr>
            <w:r w:rsidRPr="00DD0B49">
              <w:rPr>
                <w:rFonts w:cs="Times New Roman"/>
                <w:sz w:val="20"/>
                <w:szCs w:val="20"/>
                <w:lang w:val="en-GB"/>
              </w:rPr>
              <w:t xml:space="preserve">R. </w:t>
            </w:r>
            <w:r w:rsidRPr="00DD0B49">
              <w:rPr>
                <w:rFonts w:cs="Times New Roman"/>
                <w:i/>
                <w:iCs/>
                <w:sz w:val="20"/>
                <w:szCs w:val="20"/>
                <w:lang w:val="en-GB"/>
              </w:rPr>
              <w:t>v.</w:t>
            </w:r>
            <w:r w:rsidRPr="00DD0B49">
              <w:rPr>
                <w:rFonts w:cs="Times New Roman"/>
                <w:sz w:val="20"/>
                <w:szCs w:val="20"/>
                <w:lang w:val="en-GB"/>
              </w:rPr>
              <w:t xml:space="preserve"> </w:t>
            </w:r>
            <w:r w:rsidR="00F20DFD">
              <w:rPr>
                <w:rFonts w:cs="Times New Roman"/>
                <w:sz w:val="20"/>
                <w:szCs w:val="20"/>
                <w:lang w:val="en-GB"/>
              </w:rPr>
              <w:t>White</w:t>
            </w:r>
            <w:r w:rsidRPr="00DD0B49">
              <w:rPr>
                <w:rFonts w:cs="Times New Roman"/>
                <w:sz w:val="20"/>
                <w:szCs w:val="20"/>
                <w:lang w:val="en-GB"/>
              </w:rPr>
              <w:t>,</w:t>
            </w:r>
          </w:p>
          <w:p w:rsidR="00DD0B49" w:rsidRDefault="00DD0B49" w:rsidP="003B3977">
            <w:pPr>
              <w:rPr>
                <w:rFonts w:cs="Times New Roman"/>
                <w:sz w:val="20"/>
                <w:szCs w:val="20"/>
                <w:lang w:val="en-GB"/>
              </w:rPr>
            </w:pPr>
            <w:r w:rsidRPr="00DD0B49">
              <w:rPr>
                <w:rFonts w:cs="Times New Roman"/>
                <w:sz w:val="20"/>
                <w:szCs w:val="20"/>
                <w:lang w:val="en-GB"/>
              </w:rPr>
              <w:t>201</w:t>
            </w:r>
            <w:r w:rsidR="008F6D3A">
              <w:rPr>
                <w:rFonts w:cs="Times New Roman"/>
                <w:sz w:val="20"/>
                <w:szCs w:val="20"/>
                <w:lang w:val="en-GB"/>
              </w:rPr>
              <w:t>1</w:t>
            </w:r>
            <w:r w:rsidRPr="00DD0B49">
              <w:rPr>
                <w:rFonts w:cs="Times New Roman"/>
                <w:sz w:val="20"/>
                <w:szCs w:val="20"/>
                <w:lang w:val="en-GB"/>
              </w:rPr>
              <w:t xml:space="preserve"> SCC </w:t>
            </w:r>
            <w:r w:rsidR="00F20DFD">
              <w:rPr>
                <w:rFonts w:cs="Times New Roman"/>
                <w:sz w:val="20"/>
                <w:szCs w:val="20"/>
                <w:lang w:val="en-GB"/>
              </w:rPr>
              <w:t>13</w:t>
            </w:r>
            <w:r w:rsidRPr="00DD0B49">
              <w:rPr>
                <w:rFonts w:cs="Times New Roman"/>
                <w:sz w:val="20"/>
                <w:szCs w:val="20"/>
                <w:lang w:val="en-GB"/>
              </w:rPr>
              <w:t>, [201</w:t>
            </w:r>
            <w:r w:rsidR="008F6D3A">
              <w:rPr>
                <w:rFonts w:cs="Times New Roman"/>
                <w:sz w:val="20"/>
                <w:szCs w:val="20"/>
                <w:lang w:val="en-GB"/>
              </w:rPr>
              <w:t>1</w:t>
            </w:r>
            <w:r w:rsidRPr="00DD0B49">
              <w:rPr>
                <w:rFonts w:cs="Times New Roman"/>
                <w:sz w:val="20"/>
                <w:szCs w:val="20"/>
                <w:lang w:val="en-GB"/>
              </w:rPr>
              <w:t xml:space="preserve">] 1 S.C.R. </w:t>
            </w:r>
            <w:r w:rsidR="00F20DFD">
              <w:rPr>
                <w:rFonts w:cs="Times New Roman"/>
                <w:sz w:val="20"/>
                <w:szCs w:val="20"/>
                <w:lang w:val="en-GB"/>
              </w:rPr>
              <w:t>433</w:t>
            </w:r>
          </w:p>
          <w:p w:rsidR="00F20DFD" w:rsidRPr="00DD0B49" w:rsidRDefault="00F20DFD" w:rsidP="003B3977">
            <w:pPr>
              <w:rPr>
                <w:rFonts w:cs="Times New Roman"/>
                <w:sz w:val="20"/>
                <w:szCs w:val="20"/>
                <w:lang w:val="en-GB"/>
              </w:rPr>
            </w:pPr>
          </w:p>
          <w:p w:rsidR="00DD0B49" w:rsidRPr="00DD0B49" w:rsidRDefault="00F20DFD" w:rsidP="003B3977">
            <w:pPr>
              <w:rPr>
                <w:rFonts w:cs="Times New Roman"/>
                <w:sz w:val="20"/>
                <w:szCs w:val="20"/>
                <w:lang w:val="en-GB"/>
              </w:rPr>
            </w:pPr>
            <w:r>
              <w:rPr>
                <w:rFonts w:cs="Times New Roman"/>
                <w:sz w:val="20"/>
                <w:szCs w:val="20"/>
                <w:lang w:val="en-GB"/>
              </w:rPr>
              <w:t>Withler</w:t>
            </w:r>
            <w:r w:rsidR="00DD0B49" w:rsidRPr="00DD0B49">
              <w:rPr>
                <w:rFonts w:cs="Times New Roman"/>
                <w:sz w:val="20"/>
                <w:szCs w:val="20"/>
                <w:lang w:val="en-GB"/>
              </w:rPr>
              <w:t xml:space="preserve"> </w:t>
            </w:r>
            <w:r w:rsidR="00DD0B49" w:rsidRPr="00DD0B49">
              <w:rPr>
                <w:rFonts w:cs="Times New Roman"/>
                <w:i/>
                <w:iCs/>
                <w:sz w:val="20"/>
                <w:szCs w:val="20"/>
                <w:lang w:val="en-GB"/>
              </w:rPr>
              <w:t>v</w:t>
            </w:r>
            <w:r w:rsidR="00DD0B49" w:rsidRPr="00DD0B49">
              <w:rPr>
                <w:rFonts w:cs="Times New Roman"/>
                <w:sz w:val="20"/>
                <w:szCs w:val="20"/>
                <w:lang w:val="en-GB"/>
              </w:rPr>
              <w:t xml:space="preserve">. </w:t>
            </w:r>
            <w:r>
              <w:rPr>
                <w:rFonts w:cs="Times New Roman"/>
                <w:sz w:val="20"/>
                <w:szCs w:val="20"/>
                <w:lang w:val="en-GB"/>
              </w:rPr>
              <w:t>Canada (Attorney General)</w:t>
            </w:r>
            <w:r w:rsidR="00DD0B49" w:rsidRPr="00DD0B49">
              <w:rPr>
                <w:rFonts w:cs="Times New Roman"/>
                <w:sz w:val="20"/>
                <w:szCs w:val="20"/>
                <w:lang w:val="en-GB"/>
              </w:rPr>
              <w:t>,</w:t>
            </w:r>
          </w:p>
          <w:p w:rsidR="00DD0B49" w:rsidRPr="00DD0B49" w:rsidRDefault="00DD0B49" w:rsidP="003B3977">
            <w:pPr>
              <w:rPr>
                <w:rFonts w:cs="Times New Roman"/>
                <w:sz w:val="20"/>
                <w:szCs w:val="20"/>
              </w:rPr>
            </w:pPr>
            <w:r w:rsidRPr="00DD0B49">
              <w:rPr>
                <w:rFonts w:cs="Times New Roman"/>
                <w:sz w:val="20"/>
                <w:szCs w:val="20"/>
              </w:rPr>
              <w:t>201</w:t>
            </w:r>
            <w:r w:rsidR="008F6D3A">
              <w:rPr>
                <w:rFonts w:cs="Times New Roman"/>
                <w:sz w:val="20"/>
                <w:szCs w:val="20"/>
              </w:rPr>
              <w:t>1</w:t>
            </w:r>
            <w:r w:rsidRPr="00DD0B49">
              <w:rPr>
                <w:rFonts w:cs="Times New Roman"/>
                <w:sz w:val="20"/>
                <w:szCs w:val="20"/>
              </w:rPr>
              <w:t xml:space="preserve"> SCC </w:t>
            </w:r>
            <w:r w:rsidR="00F20DFD">
              <w:rPr>
                <w:rFonts w:cs="Times New Roman"/>
                <w:sz w:val="20"/>
                <w:szCs w:val="20"/>
              </w:rPr>
              <w:t>1</w:t>
            </w:r>
            <w:r w:rsidRPr="00DD0B49">
              <w:rPr>
                <w:rFonts w:cs="Times New Roman"/>
                <w:sz w:val="20"/>
                <w:szCs w:val="20"/>
              </w:rPr>
              <w:t>2, [201</w:t>
            </w:r>
            <w:r w:rsidR="008F6D3A">
              <w:rPr>
                <w:rFonts w:cs="Times New Roman"/>
                <w:sz w:val="20"/>
                <w:szCs w:val="20"/>
              </w:rPr>
              <w:t>1</w:t>
            </w:r>
            <w:r w:rsidRPr="00DD0B49">
              <w:rPr>
                <w:rFonts w:cs="Times New Roman"/>
                <w:sz w:val="20"/>
                <w:szCs w:val="20"/>
              </w:rPr>
              <w:t xml:space="preserve">] 1 S.C.R. </w:t>
            </w:r>
            <w:r w:rsidR="00F20DFD">
              <w:rPr>
                <w:rFonts w:cs="Times New Roman"/>
                <w:sz w:val="20"/>
                <w:szCs w:val="20"/>
              </w:rPr>
              <w:t>39</w:t>
            </w:r>
            <w:r w:rsidRPr="00DD0B49">
              <w:rPr>
                <w:rFonts w:cs="Times New Roman"/>
                <w:sz w:val="20"/>
                <w:szCs w:val="20"/>
              </w:rPr>
              <w:t>6</w:t>
            </w:r>
          </w:p>
          <w:p w:rsidR="00DD0B49" w:rsidRPr="00DD0B49" w:rsidRDefault="00DD0B49" w:rsidP="003B3977">
            <w:pPr>
              <w:rPr>
                <w:rFonts w:cs="Times New Roman"/>
                <w:sz w:val="20"/>
                <w:szCs w:val="20"/>
              </w:rPr>
            </w:pPr>
          </w:p>
          <w:p w:rsidR="00DD0B49" w:rsidRPr="00DD0B49" w:rsidRDefault="004D20D2" w:rsidP="003B3977">
            <w:pPr>
              <w:keepNext/>
              <w:keepLines/>
              <w:rPr>
                <w:rFonts w:cs="Times New Roman"/>
                <w:bCs/>
                <w:sz w:val="20"/>
                <w:szCs w:val="20"/>
                <w:lang w:val="fr-CA"/>
              </w:rPr>
            </w:pPr>
            <w:r w:rsidRPr="004D20D2">
              <w:rPr>
                <w:rFonts w:cs="Times New Roman"/>
                <w:sz w:val="20"/>
                <w:szCs w:val="20"/>
              </w:rPr>
              <w:pict>
                <v:rect id="_x0000_i1077" style="width:129.6pt;height:1pt" o:hrpct="600" o:hralign="center" o:hrstd="t" o:hrnoshade="t" o:hr="t" fillcolor="black [3213]" stroked="f"/>
              </w:pict>
            </w:r>
          </w:p>
          <w:p w:rsidR="00DD0B49" w:rsidRPr="00DD0B49" w:rsidRDefault="00DD0B49" w:rsidP="003B3977">
            <w:pPr>
              <w:keepNext/>
              <w:keepLines/>
              <w:rPr>
                <w:rFonts w:cs="Times New Roman"/>
                <w:bCs/>
                <w:sz w:val="20"/>
                <w:szCs w:val="20"/>
                <w:lang w:val="fr-CA"/>
              </w:rPr>
            </w:pPr>
          </w:p>
        </w:tc>
        <w:tc>
          <w:tcPr>
            <w:tcW w:w="840" w:type="dxa"/>
            <w:tcBorders>
              <w:top w:val="nil"/>
              <w:left w:val="nil"/>
              <w:bottom w:val="nil"/>
              <w:right w:val="nil"/>
            </w:tcBorders>
          </w:tcPr>
          <w:p w:rsidR="00DD0B49" w:rsidRPr="00DD0B49" w:rsidRDefault="00DD0B49" w:rsidP="003B3977">
            <w:pPr>
              <w:rPr>
                <w:rFonts w:cs="Times New Roman"/>
                <w:b/>
                <w:bCs/>
                <w:sz w:val="20"/>
                <w:szCs w:val="20"/>
                <w:lang w:val="fr-CA"/>
              </w:rPr>
            </w:pPr>
          </w:p>
        </w:tc>
        <w:tc>
          <w:tcPr>
            <w:tcW w:w="4320" w:type="dxa"/>
            <w:tcBorders>
              <w:top w:val="nil"/>
              <w:left w:val="nil"/>
              <w:bottom w:val="nil"/>
              <w:right w:val="nil"/>
            </w:tcBorders>
          </w:tcPr>
          <w:p w:rsidR="00DD0B49" w:rsidRPr="00DD0B49" w:rsidRDefault="00DD0B49" w:rsidP="003B3977">
            <w:pPr>
              <w:rPr>
                <w:rFonts w:cs="Times New Roman"/>
                <w:b/>
                <w:bCs/>
                <w:sz w:val="20"/>
                <w:szCs w:val="20"/>
                <w:lang w:val="fr-CA"/>
              </w:rPr>
            </w:pPr>
            <w:r w:rsidRPr="00DD0B49">
              <w:rPr>
                <w:rFonts w:cs="Times New Roman"/>
                <w:b/>
                <w:bCs/>
                <w:sz w:val="20"/>
                <w:szCs w:val="20"/>
                <w:lang w:val="fr-CA"/>
              </w:rPr>
              <w:t>Jugements publiés dans [201</w:t>
            </w:r>
            <w:r w:rsidR="008F6D3A">
              <w:rPr>
                <w:rFonts w:cs="Times New Roman"/>
                <w:b/>
                <w:bCs/>
                <w:sz w:val="20"/>
                <w:szCs w:val="20"/>
                <w:lang w:val="fr-CA"/>
              </w:rPr>
              <w:t>1</w:t>
            </w:r>
            <w:r w:rsidRPr="00DD0B49">
              <w:rPr>
                <w:rFonts w:cs="Times New Roman"/>
                <w:b/>
                <w:bCs/>
                <w:sz w:val="20"/>
                <w:szCs w:val="20"/>
                <w:lang w:val="fr-CA"/>
              </w:rPr>
              <w:t xml:space="preserve">] 1 R.C.S. Partie </w:t>
            </w:r>
            <w:r w:rsidR="008F6D3A">
              <w:rPr>
                <w:rFonts w:cs="Times New Roman"/>
                <w:b/>
                <w:bCs/>
                <w:sz w:val="20"/>
                <w:szCs w:val="20"/>
                <w:lang w:val="fr-CA"/>
              </w:rPr>
              <w:t>2</w:t>
            </w:r>
          </w:p>
          <w:p w:rsidR="00DD0B49" w:rsidRPr="00DD0B49" w:rsidRDefault="00DD0B49" w:rsidP="003B3977">
            <w:pPr>
              <w:rPr>
                <w:rFonts w:cs="Times New Roman"/>
                <w:b/>
                <w:bCs/>
                <w:sz w:val="20"/>
                <w:szCs w:val="20"/>
                <w:lang w:val="fr-CA"/>
              </w:rPr>
            </w:pPr>
          </w:p>
          <w:p w:rsidR="00DD0B49" w:rsidRPr="008F6D3A" w:rsidRDefault="008F6D3A" w:rsidP="003B3977">
            <w:pPr>
              <w:rPr>
                <w:rFonts w:cs="Times New Roman"/>
                <w:sz w:val="20"/>
                <w:szCs w:val="20"/>
              </w:rPr>
            </w:pPr>
            <w:r w:rsidRPr="008F6D3A">
              <w:rPr>
                <w:rFonts w:cs="Times New Roman"/>
                <w:sz w:val="20"/>
                <w:szCs w:val="20"/>
              </w:rPr>
              <w:t>Kerr</w:t>
            </w:r>
            <w:r w:rsidR="00DD0B49" w:rsidRPr="008F6D3A">
              <w:rPr>
                <w:rFonts w:cs="Times New Roman"/>
                <w:sz w:val="20"/>
                <w:szCs w:val="20"/>
              </w:rPr>
              <w:t xml:space="preserve"> </w:t>
            </w:r>
            <w:r w:rsidR="00DD0B49" w:rsidRPr="008F6D3A">
              <w:rPr>
                <w:rFonts w:cs="Times New Roman"/>
                <w:i/>
                <w:sz w:val="20"/>
                <w:szCs w:val="20"/>
              </w:rPr>
              <w:t>c.</w:t>
            </w:r>
            <w:r w:rsidR="00DD0B49" w:rsidRPr="008F6D3A">
              <w:rPr>
                <w:rFonts w:cs="Times New Roman"/>
                <w:sz w:val="20"/>
                <w:szCs w:val="20"/>
              </w:rPr>
              <w:t xml:space="preserve"> </w:t>
            </w:r>
            <w:r>
              <w:rPr>
                <w:rFonts w:cs="Times New Roman"/>
                <w:sz w:val="20"/>
                <w:szCs w:val="20"/>
              </w:rPr>
              <w:t>Baranow</w:t>
            </w:r>
            <w:r w:rsidR="00DD0B49" w:rsidRPr="008F6D3A">
              <w:rPr>
                <w:rFonts w:cs="Times New Roman"/>
                <w:sz w:val="20"/>
                <w:szCs w:val="20"/>
              </w:rPr>
              <w:t>,</w:t>
            </w:r>
          </w:p>
          <w:p w:rsidR="00DD0B49" w:rsidRPr="003367E5" w:rsidRDefault="00DD0B49" w:rsidP="003B3977">
            <w:pPr>
              <w:rPr>
                <w:rFonts w:cs="Times New Roman"/>
                <w:sz w:val="20"/>
                <w:szCs w:val="20"/>
              </w:rPr>
            </w:pPr>
            <w:r w:rsidRPr="003367E5">
              <w:rPr>
                <w:rFonts w:cs="Times New Roman"/>
                <w:sz w:val="20"/>
                <w:szCs w:val="20"/>
              </w:rPr>
              <w:t>201</w:t>
            </w:r>
            <w:r w:rsidR="008F6D3A" w:rsidRPr="003367E5">
              <w:rPr>
                <w:rFonts w:cs="Times New Roman"/>
                <w:sz w:val="20"/>
                <w:szCs w:val="20"/>
              </w:rPr>
              <w:t>1</w:t>
            </w:r>
            <w:r w:rsidRPr="003367E5">
              <w:rPr>
                <w:rFonts w:cs="Times New Roman"/>
                <w:sz w:val="20"/>
                <w:szCs w:val="20"/>
              </w:rPr>
              <w:t xml:space="preserve"> CSC </w:t>
            </w:r>
            <w:r w:rsidR="008F6D3A" w:rsidRPr="003367E5">
              <w:rPr>
                <w:rFonts w:cs="Times New Roman"/>
                <w:sz w:val="20"/>
                <w:szCs w:val="20"/>
              </w:rPr>
              <w:t>10</w:t>
            </w:r>
            <w:r w:rsidRPr="003367E5">
              <w:rPr>
                <w:rFonts w:cs="Times New Roman"/>
                <w:sz w:val="20"/>
                <w:szCs w:val="20"/>
              </w:rPr>
              <w:t>, [201</w:t>
            </w:r>
            <w:r w:rsidR="008F6D3A" w:rsidRPr="003367E5">
              <w:rPr>
                <w:rFonts w:cs="Times New Roman"/>
                <w:sz w:val="20"/>
                <w:szCs w:val="20"/>
              </w:rPr>
              <w:t>1</w:t>
            </w:r>
            <w:r w:rsidRPr="003367E5">
              <w:rPr>
                <w:rFonts w:cs="Times New Roman"/>
                <w:sz w:val="20"/>
                <w:szCs w:val="20"/>
              </w:rPr>
              <w:t xml:space="preserve">] 1 R.C.S. </w:t>
            </w:r>
            <w:r w:rsidR="008F6D3A" w:rsidRPr="003367E5">
              <w:rPr>
                <w:rFonts w:cs="Times New Roman"/>
                <w:sz w:val="20"/>
                <w:szCs w:val="20"/>
              </w:rPr>
              <w:t>269</w:t>
            </w:r>
          </w:p>
          <w:p w:rsidR="00DD0B49" w:rsidRPr="003367E5" w:rsidRDefault="00DD0B49" w:rsidP="003B3977">
            <w:pPr>
              <w:rPr>
                <w:rFonts w:cs="Times New Roman"/>
                <w:sz w:val="20"/>
                <w:szCs w:val="20"/>
              </w:rPr>
            </w:pPr>
          </w:p>
          <w:p w:rsidR="00DD0B49" w:rsidRPr="00F20DFD" w:rsidRDefault="00F20DFD" w:rsidP="003B3977">
            <w:pPr>
              <w:rPr>
                <w:rFonts w:cs="Times New Roman"/>
                <w:sz w:val="20"/>
                <w:szCs w:val="20"/>
                <w:lang w:val="fr-CA"/>
              </w:rPr>
            </w:pPr>
            <w:r w:rsidRPr="00F20DFD">
              <w:rPr>
                <w:rFonts w:cs="Times New Roman"/>
                <w:sz w:val="20"/>
                <w:szCs w:val="20"/>
                <w:lang w:val="fr-CA"/>
              </w:rPr>
              <w:t>Québec (Procureur général)</w:t>
            </w:r>
            <w:r w:rsidR="00DD0B49" w:rsidRPr="00F20DFD">
              <w:rPr>
                <w:rFonts w:cs="Times New Roman"/>
                <w:sz w:val="20"/>
                <w:szCs w:val="20"/>
                <w:lang w:val="fr-CA"/>
              </w:rPr>
              <w:t xml:space="preserve"> </w:t>
            </w:r>
            <w:r w:rsidR="00DD0B49" w:rsidRPr="00F20DFD">
              <w:rPr>
                <w:rFonts w:cs="Times New Roman"/>
                <w:i/>
                <w:iCs/>
                <w:sz w:val="20"/>
                <w:szCs w:val="20"/>
                <w:lang w:val="fr-CA"/>
              </w:rPr>
              <w:t>c.</w:t>
            </w:r>
            <w:r w:rsidR="00DD0B49" w:rsidRPr="00F20DFD">
              <w:rPr>
                <w:rFonts w:cs="Times New Roman"/>
                <w:iCs/>
                <w:sz w:val="20"/>
                <w:szCs w:val="20"/>
                <w:lang w:val="fr-CA"/>
              </w:rPr>
              <w:t xml:space="preserve"> C</w:t>
            </w:r>
            <w:r>
              <w:rPr>
                <w:rFonts w:cs="Times New Roman"/>
                <w:iCs/>
                <w:sz w:val="20"/>
                <w:szCs w:val="20"/>
                <w:lang w:val="fr-CA"/>
              </w:rPr>
              <w:t>a</w:t>
            </w:r>
            <w:r w:rsidR="00DD0B49" w:rsidRPr="00F20DFD">
              <w:rPr>
                <w:rFonts w:cs="Times New Roman"/>
                <w:iCs/>
                <w:sz w:val="20"/>
                <w:szCs w:val="20"/>
                <w:lang w:val="fr-CA"/>
              </w:rPr>
              <w:t>na</w:t>
            </w:r>
            <w:r>
              <w:rPr>
                <w:rFonts w:cs="Times New Roman"/>
                <w:iCs/>
                <w:sz w:val="20"/>
                <w:szCs w:val="20"/>
                <w:lang w:val="fr-CA"/>
              </w:rPr>
              <w:t>da</w:t>
            </w:r>
            <w:r w:rsidR="00DD0B49" w:rsidRPr="00F20DFD">
              <w:rPr>
                <w:rFonts w:cs="Times New Roman"/>
                <w:sz w:val="20"/>
                <w:szCs w:val="20"/>
                <w:lang w:val="fr-CA"/>
              </w:rPr>
              <w:t>,</w:t>
            </w:r>
          </w:p>
          <w:p w:rsidR="00DD0B49" w:rsidRPr="00F20DFD" w:rsidRDefault="00DD0B49" w:rsidP="003B3977">
            <w:pPr>
              <w:rPr>
                <w:rFonts w:cs="Times New Roman"/>
                <w:sz w:val="20"/>
                <w:szCs w:val="20"/>
                <w:lang w:val="fr-CA"/>
              </w:rPr>
            </w:pPr>
            <w:r w:rsidRPr="00F20DFD">
              <w:rPr>
                <w:rFonts w:cs="Times New Roman"/>
                <w:sz w:val="20"/>
                <w:szCs w:val="20"/>
                <w:lang w:val="fr-CA"/>
              </w:rPr>
              <w:t>201</w:t>
            </w:r>
            <w:r w:rsidR="008F6D3A" w:rsidRPr="00F20DFD">
              <w:rPr>
                <w:rFonts w:cs="Times New Roman"/>
                <w:sz w:val="20"/>
                <w:szCs w:val="20"/>
                <w:lang w:val="fr-CA"/>
              </w:rPr>
              <w:t>1</w:t>
            </w:r>
            <w:r w:rsidRPr="00F20DFD">
              <w:rPr>
                <w:rFonts w:cs="Times New Roman"/>
                <w:sz w:val="20"/>
                <w:szCs w:val="20"/>
                <w:lang w:val="fr-CA"/>
              </w:rPr>
              <w:t xml:space="preserve"> CSC </w:t>
            </w:r>
            <w:r w:rsidR="00F20DFD" w:rsidRPr="00F20DFD">
              <w:rPr>
                <w:rFonts w:cs="Times New Roman"/>
                <w:sz w:val="20"/>
                <w:szCs w:val="20"/>
                <w:lang w:val="fr-CA"/>
              </w:rPr>
              <w:t>11</w:t>
            </w:r>
            <w:r w:rsidRPr="00F20DFD">
              <w:rPr>
                <w:rFonts w:cs="Times New Roman"/>
                <w:sz w:val="20"/>
                <w:szCs w:val="20"/>
                <w:lang w:val="fr-CA"/>
              </w:rPr>
              <w:t>, [201</w:t>
            </w:r>
            <w:r w:rsidR="008F6D3A" w:rsidRPr="00F20DFD">
              <w:rPr>
                <w:rFonts w:cs="Times New Roman"/>
                <w:sz w:val="20"/>
                <w:szCs w:val="20"/>
                <w:lang w:val="fr-CA"/>
              </w:rPr>
              <w:t>1</w:t>
            </w:r>
            <w:r w:rsidRPr="00F20DFD">
              <w:rPr>
                <w:rFonts w:cs="Times New Roman"/>
                <w:sz w:val="20"/>
                <w:szCs w:val="20"/>
                <w:lang w:val="fr-CA"/>
              </w:rPr>
              <w:t xml:space="preserve">] 1 R.C.S. </w:t>
            </w:r>
            <w:r w:rsidR="00F20DFD" w:rsidRPr="00F20DFD">
              <w:rPr>
                <w:rFonts w:cs="Times New Roman"/>
                <w:sz w:val="20"/>
                <w:szCs w:val="20"/>
                <w:lang w:val="fr-CA"/>
              </w:rPr>
              <w:t>3</w:t>
            </w:r>
            <w:r w:rsidRPr="00F20DFD">
              <w:rPr>
                <w:rFonts w:cs="Times New Roman"/>
                <w:sz w:val="20"/>
                <w:szCs w:val="20"/>
                <w:lang w:val="fr-CA"/>
              </w:rPr>
              <w:t>6</w:t>
            </w:r>
            <w:r w:rsidR="00F20DFD" w:rsidRPr="00F20DFD">
              <w:rPr>
                <w:rFonts w:cs="Times New Roman"/>
                <w:sz w:val="20"/>
                <w:szCs w:val="20"/>
                <w:lang w:val="fr-CA"/>
              </w:rPr>
              <w:t>8</w:t>
            </w:r>
          </w:p>
          <w:p w:rsidR="00DD0B49" w:rsidRPr="00F20DFD" w:rsidRDefault="00DD0B49" w:rsidP="003B3977">
            <w:pPr>
              <w:rPr>
                <w:rFonts w:cs="Times New Roman"/>
                <w:iCs/>
                <w:sz w:val="20"/>
                <w:szCs w:val="20"/>
                <w:lang w:val="fr-CA"/>
              </w:rPr>
            </w:pPr>
          </w:p>
          <w:p w:rsidR="00DD0B49" w:rsidRPr="00F20DFD" w:rsidRDefault="00DD0B49" w:rsidP="003B3977">
            <w:pPr>
              <w:rPr>
                <w:rFonts w:cs="Times New Roman"/>
                <w:iCs/>
                <w:sz w:val="20"/>
                <w:szCs w:val="20"/>
                <w:lang w:val="fr-CA"/>
              </w:rPr>
            </w:pPr>
            <w:r w:rsidRPr="00F20DFD">
              <w:rPr>
                <w:rFonts w:cs="Times New Roman"/>
                <w:iCs/>
                <w:sz w:val="20"/>
                <w:szCs w:val="20"/>
                <w:lang w:val="fr-CA"/>
              </w:rPr>
              <w:t xml:space="preserve">R. </w:t>
            </w:r>
            <w:r w:rsidRPr="00F20DFD">
              <w:rPr>
                <w:rFonts w:cs="Times New Roman"/>
                <w:i/>
                <w:iCs/>
                <w:sz w:val="20"/>
                <w:szCs w:val="20"/>
                <w:lang w:val="fr-CA"/>
              </w:rPr>
              <w:t>c.</w:t>
            </w:r>
            <w:r w:rsidRPr="00F20DFD">
              <w:rPr>
                <w:rFonts w:cs="Times New Roman"/>
                <w:iCs/>
                <w:sz w:val="20"/>
                <w:szCs w:val="20"/>
                <w:lang w:val="fr-CA"/>
              </w:rPr>
              <w:t xml:space="preserve"> </w:t>
            </w:r>
            <w:r w:rsidR="00F20DFD" w:rsidRPr="00F20DFD">
              <w:rPr>
                <w:rFonts w:cs="Times New Roman"/>
                <w:iCs/>
                <w:sz w:val="20"/>
                <w:szCs w:val="20"/>
                <w:lang w:val="fr-CA"/>
              </w:rPr>
              <w:t>S.D.</w:t>
            </w:r>
            <w:r w:rsidRPr="00F20DFD">
              <w:rPr>
                <w:rFonts w:cs="Times New Roman"/>
                <w:iCs/>
                <w:sz w:val="20"/>
                <w:szCs w:val="20"/>
                <w:lang w:val="fr-CA"/>
              </w:rPr>
              <w:t>,</w:t>
            </w:r>
          </w:p>
          <w:p w:rsidR="00DD0B49" w:rsidRPr="00DD0B49" w:rsidRDefault="00DD0B49" w:rsidP="003B3977">
            <w:pPr>
              <w:rPr>
                <w:rFonts w:cs="Times New Roman"/>
                <w:sz w:val="20"/>
                <w:szCs w:val="20"/>
                <w:lang w:val="en-GB"/>
              </w:rPr>
            </w:pPr>
            <w:r w:rsidRPr="00DD0B49">
              <w:rPr>
                <w:rFonts w:cs="Times New Roman"/>
                <w:sz w:val="20"/>
                <w:szCs w:val="20"/>
                <w:lang w:val="en-GB"/>
              </w:rPr>
              <w:t>201</w:t>
            </w:r>
            <w:r w:rsidR="008F6D3A">
              <w:rPr>
                <w:rFonts w:cs="Times New Roman"/>
                <w:sz w:val="20"/>
                <w:szCs w:val="20"/>
                <w:lang w:val="en-GB"/>
              </w:rPr>
              <w:t>1</w:t>
            </w:r>
            <w:r w:rsidRPr="00DD0B49">
              <w:rPr>
                <w:rFonts w:cs="Times New Roman"/>
                <w:sz w:val="20"/>
                <w:szCs w:val="20"/>
                <w:lang w:val="en-GB"/>
              </w:rPr>
              <w:t xml:space="preserve"> CSC 1</w:t>
            </w:r>
            <w:r w:rsidR="00F20DFD">
              <w:rPr>
                <w:rFonts w:cs="Times New Roman"/>
                <w:sz w:val="20"/>
                <w:szCs w:val="20"/>
                <w:lang w:val="en-GB"/>
              </w:rPr>
              <w:t>4</w:t>
            </w:r>
            <w:r w:rsidRPr="00DD0B49">
              <w:rPr>
                <w:rFonts w:cs="Times New Roman"/>
                <w:sz w:val="20"/>
                <w:szCs w:val="20"/>
                <w:lang w:val="en-GB"/>
              </w:rPr>
              <w:t>, [201</w:t>
            </w:r>
            <w:r w:rsidR="008F6D3A">
              <w:rPr>
                <w:rFonts w:cs="Times New Roman"/>
                <w:sz w:val="20"/>
                <w:szCs w:val="20"/>
                <w:lang w:val="en-GB"/>
              </w:rPr>
              <w:t>1</w:t>
            </w:r>
            <w:r w:rsidRPr="00DD0B49">
              <w:rPr>
                <w:rFonts w:cs="Times New Roman"/>
                <w:sz w:val="20"/>
                <w:szCs w:val="20"/>
                <w:lang w:val="en-GB"/>
              </w:rPr>
              <w:t xml:space="preserve">] 1 R.C.S. </w:t>
            </w:r>
            <w:r w:rsidR="00F20DFD">
              <w:rPr>
                <w:rFonts w:cs="Times New Roman"/>
                <w:sz w:val="20"/>
                <w:szCs w:val="20"/>
                <w:lang w:val="en-GB"/>
              </w:rPr>
              <w:t>52</w:t>
            </w:r>
            <w:r w:rsidRPr="00DD0B49">
              <w:rPr>
                <w:rFonts w:cs="Times New Roman"/>
                <w:sz w:val="20"/>
                <w:szCs w:val="20"/>
                <w:lang w:val="en-GB"/>
              </w:rPr>
              <w:t>7</w:t>
            </w:r>
          </w:p>
          <w:p w:rsidR="00DD0B49" w:rsidRPr="00DD0B49" w:rsidRDefault="00DD0B49" w:rsidP="003B3977">
            <w:pPr>
              <w:rPr>
                <w:rFonts w:cs="Times New Roman"/>
                <w:sz w:val="20"/>
                <w:szCs w:val="20"/>
                <w:lang w:val="en-GB"/>
              </w:rPr>
            </w:pPr>
          </w:p>
          <w:p w:rsidR="00DD0B49" w:rsidRPr="00DD0B49" w:rsidRDefault="00DD0B49" w:rsidP="003B3977">
            <w:pPr>
              <w:rPr>
                <w:rFonts w:cs="Times New Roman"/>
                <w:sz w:val="20"/>
                <w:szCs w:val="20"/>
                <w:lang w:val="en-GB"/>
              </w:rPr>
            </w:pPr>
            <w:r w:rsidRPr="00DD0B49">
              <w:rPr>
                <w:rFonts w:cs="Times New Roman"/>
                <w:sz w:val="20"/>
                <w:szCs w:val="20"/>
                <w:lang w:val="en-GB"/>
              </w:rPr>
              <w:t xml:space="preserve">R. </w:t>
            </w:r>
            <w:r w:rsidRPr="00DD0B49">
              <w:rPr>
                <w:rFonts w:cs="Times New Roman"/>
                <w:i/>
                <w:iCs/>
                <w:sz w:val="20"/>
                <w:szCs w:val="20"/>
                <w:lang w:val="en-GB"/>
              </w:rPr>
              <w:t>c.</w:t>
            </w:r>
            <w:r w:rsidRPr="00DD0B49">
              <w:rPr>
                <w:rFonts w:cs="Times New Roman"/>
                <w:sz w:val="20"/>
                <w:szCs w:val="20"/>
                <w:lang w:val="en-GB"/>
              </w:rPr>
              <w:t xml:space="preserve"> </w:t>
            </w:r>
            <w:r w:rsidR="00F20DFD">
              <w:rPr>
                <w:rFonts w:cs="Times New Roman"/>
                <w:sz w:val="20"/>
                <w:szCs w:val="20"/>
                <w:lang w:val="en-GB"/>
              </w:rPr>
              <w:t>White</w:t>
            </w:r>
            <w:r w:rsidRPr="00DD0B49">
              <w:rPr>
                <w:rFonts w:cs="Times New Roman"/>
                <w:sz w:val="20"/>
                <w:szCs w:val="20"/>
                <w:lang w:val="en-GB"/>
              </w:rPr>
              <w:t>,</w:t>
            </w:r>
          </w:p>
          <w:p w:rsidR="00DD0B49" w:rsidRPr="003367E5" w:rsidRDefault="00DD0B49" w:rsidP="003B3977">
            <w:pPr>
              <w:rPr>
                <w:rFonts w:cs="Times New Roman"/>
                <w:sz w:val="20"/>
                <w:szCs w:val="20"/>
                <w:lang w:val="fr-CA"/>
              </w:rPr>
            </w:pPr>
            <w:r w:rsidRPr="003367E5">
              <w:rPr>
                <w:rFonts w:cs="Times New Roman"/>
                <w:sz w:val="20"/>
                <w:szCs w:val="20"/>
                <w:lang w:val="fr-CA"/>
              </w:rPr>
              <w:t>201</w:t>
            </w:r>
            <w:r w:rsidR="008F6D3A" w:rsidRPr="003367E5">
              <w:rPr>
                <w:rFonts w:cs="Times New Roman"/>
                <w:sz w:val="20"/>
                <w:szCs w:val="20"/>
                <w:lang w:val="fr-CA"/>
              </w:rPr>
              <w:t>1</w:t>
            </w:r>
            <w:r w:rsidRPr="003367E5">
              <w:rPr>
                <w:rFonts w:cs="Times New Roman"/>
                <w:sz w:val="20"/>
                <w:szCs w:val="20"/>
                <w:lang w:val="fr-CA"/>
              </w:rPr>
              <w:t xml:space="preserve"> CSC </w:t>
            </w:r>
            <w:r w:rsidR="00F20DFD" w:rsidRPr="003367E5">
              <w:rPr>
                <w:rFonts w:cs="Times New Roman"/>
                <w:sz w:val="20"/>
                <w:szCs w:val="20"/>
                <w:lang w:val="fr-CA"/>
              </w:rPr>
              <w:t>13</w:t>
            </w:r>
            <w:r w:rsidRPr="003367E5">
              <w:rPr>
                <w:rFonts w:cs="Times New Roman"/>
                <w:sz w:val="20"/>
                <w:szCs w:val="20"/>
                <w:lang w:val="fr-CA"/>
              </w:rPr>
              <w:t>, [201</w:t>
            </w:r>
            <w:r w:rsidR="008F6D3A" w:rsidRPr="003367E5">
              <w:rPr>
                <w:rFonts w:cs="Times New Roman"/>
                <w:sz w:val="20"/>
                <w:szCs w:val="20"/>
                <w:lang w:val="fr-CA"/>
              </w:rPr>
              <w:t>1</w:t>
            </w:r>
            <w:r w:rsidRPr="003367E5">
              <w:rPr>
                <w:rFonts w:cs="Times New Roman"/>
                <w:sz w:val="20"/>
                <w:szCs w:val="20"/>
                <w:lang w:val="fr-CA"/>
              </w:rPr>
              <w:t xml:space="preserve">] 1 R.C.S. </w:t>
            </w:r>
            <w:r w:rsidR="00F20DFD" w:rsidRPr="003367E5">
              <w:rPr>
                <w:rFonts w:cs="Times New Roman"/>
                <w:sz w:val="20"/>
                <w:szCs w:val="20"/>
                <w:lang w:val="fr-CA"/>
              </w:rPr>
              <w:t>433</w:t>
            </w:r>
          </w:p>
          <w:p w:rsidR="00DD0B49" w:rsidRPr="003367E5" w:rsidRDefault="00DD0B49" w:rsidP="003B3977">
            <w:pPr>
              <w:rPr>
                <w:rFonts w:cs="Times New Roman"/>
                <w:sz w:val="20"/>
                <w:szCs w:val="20"/>
                <w:lang w:val="fr-CA"/>
              </w:rPr>
            </w:pPr>
          </w:p>
          <w:p w:rsidR="00DD0B49" w:rsidRPr="003367E5" w:rsidRDefault="00F20DFD" w:rsidP="003B3977">
            <w:pPr>
              <w:rPr>
                <w:rFonts w:cs="Times New Roman"/>
                <w:sz w:val="20"/>
                <w:szCs w:val="20"/>
                <w:lang w:val="fr-CA"/>
              </w:rPr>
            </w:pPr>
            <w:r w:rsidRPr="003367E5">
              <w:rPr>
                <w:rFonts w:cs="Times New Roman"/>
                <w:sz w:val="20"/>
                <w:szCs w:val="20"/>
                <w:lang w:val="fr-CA"/>
              </w:rPr>
              <w:t>Withler</w:t>
            </w:r>
            <w:r w:rsidR="00DD0B49" w:rsidRPr="003367E5">
              <w:rPr>
                <w:rFonts w:cs="Times New Roman"/>
                <w:sz w:val="20"/>
                <w:szCs w:val="20"/>
                <w:lang w:val="fr-CA"/>
              </w:rPr>
              <w:t xml:space="preserve"> </w:t>
            </w:r>
            <w:r w:rsidR="00DD0B49" w:rsidRPr="003367E5">
              <w:rPr>
                <w:rFonts w:cs="Times New Roman"/>
                <w:i/>
                <w:iCs/>
                <w:sz w:val="20"/>
                <w:szCs w:val="20"/>
                <w:lang w:val="fr-CA"/>
              </w:rPr>
              <w:t>c</w:t>
            </w:r>
            <w:r w:rsidR="00DD0B49" w:rsidRPr="003367E5">
              <w:rPr>
                <w:rFonts w:cs="Times New Roman"/>
                <w:sz w:val="20"/>
                <w:szCs w:val="20"/>
                <w:lang w:val="fr-CA"/>
              </w:rPr>
              <w:t xml:space="preserve">. </w:t>
            </w:r>
            <w:r w:rsidRPr="003367E5">
              <w:rPr>
                <w:rFonts w:cs="Times New Roman"/>
                <w:sz w:val="20"/>
                <w:szCs w:val="20"/>
                <w:lang w:val="fr-CA"/>
              </w:rPr>
              <w:t>Canada (Procureur général)</w:t>
            </w:r>
            <w:r w:rsidR="00DD0B49" w:rsidRPr="003367E5">
              <w:rPr>
                <w:rFonts w:cs="Times New Roman"/>
                <w:sz w:val="20"/>
                <w:szCs w:val="20"/>
                <w:lang w:val="fr-CA"/>
              </w:rPr>
              <w:t>,</w:t>
            </w:r>
          </w:p>
          <w:p w:rsidR="00DD0B49" w:rsidRPr="00DD0B49" w:rsidRDefault="00DD0B49" w:rsidP="003B3977">
            <w:pPr>
              <w:rPr>
                <w:rFonts w:cs="Times New Roman"/>
                <w:sz w:val="20"/>
                <w:szCs w:val="20"/>
              </w:rPr>
            </w:pPr>
            <w:r w:rsidRPr="00DD0B49">
              <w:rPr>
                <w:rFonts w:cs="Times New Roman"/>
                <w:sz w:val="20"/>
                <w:szCs w:val="20"/>
              </w:rPr>
              <w:t>201</w:t>
            </w:r>
            <w:r w:rsidR="008F6D3A">
              <w:rPr>
                <w:rFonts w:cs="Times New Roman"/>
                <w:sz w:val="20"/>
                <w:szCs w:val="20"/>
              </w:rPr>
              <w:t>1</w:t>
            </w:r>
            <w:r w:rsidRPr="00DD0B49">
              <w:rPr>
                <w:rFonts w:cs="Times New Roman"/>
                <w:sz w:val="20"/>
                <w:szCs w:val="20"/>
              </w:rPr>
              <w:t xml:space="preserve"> CSC </w:t>
            </w:r>
            <w:r w:rsidR="00F20DFD">
              <w:rPr>
                <w:rFonts w:cs="Times New Roman"/>
                <w:sz w:val="20"/>
                <w:szCs w:val="20"/>
              </w:rPr>
              <w:t>1</w:t>
            </w:r>
            <w:r w:rsidRPr="00DD0B49">
              <w:rPr>
                <w:rFonts w:cs="Times New Roman"/>
                <w:sz w:val="20"/>
                <w:szCs w:val="20"/>
              </w:rPr>
              <w:t>2, [201</w:t>
            </w:r>
            <w:r w:rsidR="008F6D3A">
              <w:rPr>
                <w:rFonts w:cs="Times New Roman"/>
                <w:sz w:val="20"/>
                <w:szCs w:val="20"/>
              </w:rPr>
              <w:t>1</w:t>
            </w:r>
            <w:r w:rsidRPr="00DD0B49">
              <w:rPr>
                <w:rFonts w:cs="Times New Roman"/>
                <w:sz w:val="20"/>
                <w:szCs w:val="20"/>
              </w:rPr>
              <w:t xml:space="preserve">] 1 R.C.S. </w:t>
            </w:r>
            <w:r w:rsidR="00F20DFD">
              <w:rPr>
                <w:rFonts w:cs="Times New Roman"/>
                <w:sz w:val="20"/>
                <w:szCs w:val="20"/>
              </w:rPr>
              <w:t>39</w:t>
            </w:r>
            <w:r w:rsidRPr="00DD0B49">
              <w:rPr>
                <w:rFonts w:cs="Times New Roman"/>
                <w:sz w:val="20"/>
                <w:szCs w:val="20"/>
              </w:rPr>
              <w:t>6</w:t>
            </w:r>
          </w:p>
          <w:p w:rsidR="00DD0B49" w:rsidRPr="00DD0B49" w:rsidRDefault="00DD0B49" w:rsidP="003B3977">
            <w:pPr>
              <w:rPr>
                <w:rFonts w:cs="Times New Roman"/>
                <w:sz w:val="20"/>
                <w:szCs w:val="20"/>
              </w:rPr>
            </w:pPr>
          </w:p>
          <w:p w:rsidR="00DD0B49" w:rsidRPr="00DD0B49" w:rsidRDefault="004D20D2" w:rsidP="003B3977">
            <w:pPr>
              <w:rPr>
                <w:rFonts w:cs="Times New Roman"/>
                <w:sz w:val="20"/>
                <w:szCs w:val="20"/>
              </w:rPr>
            </w:pPr>
            <w:r w:rsidRPr="004D20D2">
              <w:rPr>
                <w:rFonts w:cs="Times New Roman"/>
                <w:sz w:val="20"/>
                <w:szCs w:val="20"/>
              </w:rPr>
              <w:pict>
                <v:rect id="_x0000_i1078" style="width:129.6pt;height:1pt" o:hrpct="600" o:hralign="center" o:hrstd="t" o:hrnoshade="t" o:hr="t" fillcolor="black [3213]" stroked="f"/>
              </w:pict>
            </w:r>
          </w:p>
          <w:p w:rsidR="00DD0B49" w:rsidRPr="00DD0B49" w:rsidRDefault="00DD0B49" w:rsidP="003B3977">
            <w:pPr>
              <w:keepNext/>
              <w:keepLines/>
              <w:rPr>
                <w:rFonts w:cs="Times New Roman"/>
                <w:bCs/>
                <w:sz w:val="20"/>
                <w:szCs w:val="20"/>
                <w:lang w:val="fr-CA"/>
              </w:rPr>
            </w:pPr>
          </w:p>
        </w:tc>
      </w:tr>
    </w:tbl>
    <w:p w:rsidR="00DD0B49" w:rsidRDefault="00DD0B49" w:rsidP="006B6926">
      <w:pPr>
        <w:rPr>
          <w:sz w:val="20"/>
          <w:szCs w:val="20"/>
          <w:lang w:val="fr-CA"/>
        </w:rPr>
      </w:pPr>
    </w:p>
    <w:p w:rsidR="00DD0B49" w:rsidRDefault="00DD0B49" w:rsidP="006B6926">
      <w:pPr>
        <w:rPr>
          <w:sz w:val="20"/>
          <w:szCs w:val="20"/>
          <w:lang w:val="fr-CA"/>
        </w:rPr>
      </w:pPr>
    </w:p>
    <w:p w:rsidR="00DD0B49" w:rsidRPr="00C50A5C" w:rsidRDefault="00DD0B49" w:rsidP="006B6926">
      <w:pPr>
        <w:rPr>
          <w:sz w:val="20"/>
          <w:szCs w:val="20"/>
          <w:lang w:val="fr-CA"/>
        </w:rPr>
      </w:pPr>
    </w:p>
    <w:p w:rsidR="006B6926" w:rsidRPr="00C50A5C" w:rsidRDefault="006B6926">
      <w:pPr>
        <w:rPr>
          <w:sz w:val="20"/>
          <w:szCs w:val="20"/>
          <w:lang w:val="fr-CA"/>
        </w:rPr>
      </w:pPr>
    </w:p>
    <w:p w:rsidR="006B6926" w:rsidRPr="00C50A5C" w:rsidRDefault="006B6926" w:rsidP="00782AE4">
      <w:pPr>
        <w:jc w:val="both"/>
        <w:rPr>
          <w:sz w:val="20"/>
          <w:szCs w:val="20"/>
          <w:lang w:val="fr-CA"/>
        </w:rPr>
      </w:pPr>
    </w:p>
    <w:p w:rsidR="006B6926" w:rsidRPr="00C50A5C" w:rsidRDefault="006B6926" w:rsidP="00782AE4">
      <w:pPr>
        <w:jc w:val="both"/>
        <w:rPr>
          <w:sz w:val="20"/>
          <w:szCs w:val="20"/>
          <w:lang w:val="fr-CA"/>
        </w:rPr>
      </w:pPr>
    </w:p>
    <w:p w:rsidR="006B6926" w:rsidRPr="00C50A5C" w:rsidRDefault="006B6926" w:rsidP="00782AE4">
      <w:pPr>
        <w:jc w:val="both"/>
        <w:rPr>
          <w:sz w:val="20"/>
          <w:szCs w:val="20"/>
          <w:lang w:val="fr-CA"/>
        </w:rPr>
        <w:sectPr w:rsidR="006B6926" w:rsidRPr="00C50A5C" w:rsidSect="006B6926">
          <w:headerReference w:type="default" r:id="rId71"/>
          <w:footerReference w:type="default" r:id="rId72"/>
          <w:headerReference w:type="first" r:id="rId73"/>
          <w:footerReference w:type="first" r:id="rId74"/>
          <w:pgSz w:w="12240" w:h="15840"/>
          <w:pgMar w:top="720" w:right="965" w:bottom="1080" w:left="1656" w:header="720" w:footer="965" w:gutter="0"/>
          <w:cols w:space="720"/>
          <w:titlePg/>
          <w:docGrid w:linePitch="326"/>
        </w:sectPr>
      </w:pPr>
    </w:p>
    <w:p w:rsidR="00A82190" w:rsidRPr="002E0C7E" w:rsidRDefault="004D20D2" w:rsidP="00A82190">
      <w:pPr>
        <w:widowControl w:val="0"/>
        <w:spacing w:line="180" w:lineRule="auto"/>
        <w:jc w:val="center"/>
        <w:rPr>
          <w:rFonts w:asciiTheme="minorHAnsi" w:hAnsiTheme="minorHAnsi" w:cstheme="minorHAnsi"/>
          <w:b/>
          <w:szCs w:val="24"/>
        </w:rPr>
      </w:pPr>
      <w:r w:rsidRPr="002E0C7E">
        <w:rPr>
          <w:rFonts w:asciiTheme="minorHAnsi" w:hAnsiTheme="minorHAnsi" w:cstheme="minorHAnsi"/>
          <w:b/>
          <w:szCs w:val="24"/>
        </w:rPr>
        <w:lastRenderedPageBreak/>
        <w:fldChar w:fldCharType="begin"/>
      </w:r>
      <w:r w:rsidR="00A82190" w:rsidRPr="002E0C7E">
        <w:rPr>
          <w:rFonts w:asciiTheme="minorHAnsi" w:hAnsiTheme="minorHAnsi" w:cstheme="minorHAnsi"/>
          <w:b/>
          <w:szCs w:val="24"/>
        </w:rPr>
        <w:instrText xml:space="preserve"> SEQ CHAPTER \h \r 1</w:instrText>
      </w:r>
      <w:r w:rsidRPr="002E0C7E">
        <w:rPr>
          <w:rFonts w:asciiTheme="minorHAnsi" w:hAnsiTheme="minorHAnsi" w:cstheme="minorHAnsi"/>
          <w:b/>
          <w:szCs w:val="24"/>
        </w:rPr>
        <w:fldChar w:fldCharType="end"/>
      </w:r>
      <w:r w:rsidR="00A82190" w:rsidRPr="002E0C7E">
        <w:rPr>
          <w:rFonts w:asciiTheme="minorHAnsi" w:hAnsiTheme="minorHAnsi" w:cstheme="minorHAnsi"/>
          <w:b/>
          <w:szCs w:val="24"/>
        </w:rPr>
        <w:t>SUPREME COURT OF CANADA SCHEDULE / CALENDRIER DE LA COUR SUPREME</w:t>
      </w:r>
    </w:p>
    <w:p w:rsidR="00A82190" w:rsidRPr="002E0C7E" w:rsidRDefault="00A82190" w:rsidP="00A82190">
      <w:pPr>
        <w:widowControl w:val="0"/>
        <w:spacing w:line="180" w:lineRule="auto"/>
        <w:rPr>
          <w:rFonts w:asciiTheme="minorHAnsi" w:hAnsiTheme="minorHAnsi" w:cstheme="minorHAnsi"/>
          <w:szCs w:val="24"/>
        </w:rPr>
      </w:pPr>
      <w:r w:rsidRPr="002E0C7E">
        <w:rPr>
          <w:rFonts w:asciiTheme="minorHAnsi" w:hAnsiTheme="minorHAnsi" w:cstheme="minorHAnsi"/>
          <w:szCs w:val="24"/>
        </w:rPr>
        <w:t xml:space="preserve"> </w:t>
      </w:r>
    </w:p>
    <w:p w:rsidR="00A82190" w:rsidRPr="002E0C7E" w:rsidRDefault="00A82190" w:rsidP="00A82190">
      <w:pPr>
        <w:widowControl w:val="0"/>
        <w:tabs>
          <w:tab w:val="center" w:pos="5400"/>
          <w:tab w:val="right" w:pos="10440"/>
        </w:tabs>
        <w:rPr>
          <w:rFonts w:ascii="Arial" w:hAnsi="Arial"/>
          <w:sz w:val="18"/>
        </w:rPr>
      </w:pPr>
      <w:r w:rsidRPr="002E0C7E">
        <w:rPr>
          <w:rFonts w:ascii="Arial" w:hAnsi="Arial"/>
          <w:sz w:val="18"/>
        </w:rPr>
        <w:tab/>
      </w:r>
      <w:r w:rsidRPr="002E0C7E">
        <w:rPr>
          <w:rFonts w:ascii="Arial" w:hAnsi="Arial"/>
          <w:i/>
          <w:sz w:val="36"/>
        </w:rPr>
        <w:t xml:space="preserve">- </w:t>
      </w:r>
      <w:r w:rsidRPr="002E0C7E">
        <w:rPr>
          <w:rFonts w:ascii="Arial" w:hAnsi="Arial"/>
          <w:b/>
          <w:i/>
          <w:sz w:val="36"/>
        </w:rPr>
        <w:t>2011</w:t>
      </w:r>
      <w:r w:rsidRPr="002E0C7E">
        <w:rPr>
          <w:rFonts w:ascii="Arial" w:hAnsi="Arial"/>
          <w:i/>
          <w:sz w:val="36"/>
        </w:rPr>
        <w:t xml:space="preserve"> -</w:t>
      </w:r>
      <w:r w:rsidRPr="002E0C7E">
        <w:rPr>
          <w:rFonts w:ascii="Arial" w:hAnsi="Arial"/>
          <w:sz w:val="18"/>
        </w:rPr>
        <w:tab/>
      </w: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50"/>
        <w:gridCol w:w="488"/>
        <w:gridCol w:w="469"/>
        <w:gridCol w:w="469"/>
        <w:gridCol w:w="463"/>
        <w:gridCol w:w="475"/>
        <w:gridCol w:w="469"/>
        <w:gridCol w:w="469"/>
        <w:gridCol w:w="469"/>
        <w:gridCol w:w="457"/>
        <w:gridCol w:w="506"/>
        <w:gridCol w:w="450"/>
        <w:gridCol w:w="484"/>
        <w:gridCol w:w="450"/>
        <w:gridCol w:w="468"/>
        <w:gridCol w:w="469"/>
        <w:gridCol w:w="536"/>
        <w:gridCol w:w="450"/>
        <w:gridCol w:w="540"/>
        <w:gridCol w:w="450"/>
        <w:gridCol w:w="450"/>
        <w:gridCol w:w="396"/>
        <w:gridCol w:w="470"/>
      </w:tblGrid>
      <w:tr w:rsidR="00A82190" w:rsidRPr="002E0C7E" w:rsidTr="004E3031">
        <w:trPr>
          <w:cantSplit/>
          <w:jc w:val="center"/>
        </w:trPr>
        <w:tc>
          <w:tcPr>
            <w:tcW w:w="3283" w:type="dxa"/>
            <w:gridSpan w:val="7"/>
            <w:tcBorders>
              <w:top w:val="double" w:sz="8" w:space="0" w:color="000000"/>
              <w:left w:val="double" w:sz="8" w:space="0" w:color="000000"/>
              <w:bottom w:val="double" w:sz="8" w:space="0" w:color="000000"/>
              <w:right w:val="double" w:sz="6" w:space="0" w:color="000000"/>
            </w:tcBorders>
            <w:shd w:val="pct30" w:color="000000" w:fill="auto"/>
            <w:tcMar>
              <w:top w:w="72" w:type="dxa"/>
              <w:left w:w="0" w:type="dxa"/>
              <w:bottom w:w="72"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OCTOBER - OCTOBRE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A82190" w:rsidRPr="002E0C7E" w:rsidRDefault="00A82190" w:rsidP="004E3031">
            <w:pPr>
              <w:widowControl w:val="0"/>
              <w:jc w:val="center"/>
              <w:rPr>
                <w:rFonts w:ascii="Arial" w:hAnsi="Arial"/>
                <w:sz w:val="14"/>
              </w:rPr>
            </w:pPr>
          </w:p>
        </w:tc>
        <w:tc>
          <w:tcPr>
            <w:tcW w:w="3284" w:type="dxa"/>
            <w:gridSpan w:val="7"/>
            <w:tcBorders>
              <w:top w:val="double" w:sz="8"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NOVEMBER - NOVEMBRE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A82190" w:rsidRPr="002E0C7E" w:rsidRDefault="00A82190" w:rsidP="004E3031">
            <w:pPr>
              <w:widowControl w:val="0"/>
              <w:jc w:val="center"/>
              <w:rPr>
                <w:rFonts w:ascii="Arial" w:hAnsi="Arial"/>
                <w:sz w:val="14"/>
              </w:rPr>
            </w:pPr>
          </w:p>
        </w:tc>
        <w:tc>
          <w:tcPr>
            <w:tcW w:w="3292" w:type="dxa"/>
            <w:gridSpan w:val="7"/>
            <w:tcBorders>
              <w:top w:val="double" w:sz="8" w:space="0" w:color="000000"/>
              <w:left w:val="double" w:sz="6" w:space="0" w:color="000000"/>
              <w:bottom w:val="double" w:sz="8" w:space="0" w:color="000000"/>
              <w:right w:val="double" w:sz="8" w:space="0" w:color="000000"/>
            </w:tcBorders>
            <w:shd w:val="pct30" w:color="000000" w:fill="auto"/>
            <w:tcMar>
              <w:top w:w="72" w:type="dxa"/>
              <w:left w:w="0" w:type="dxa"/>
              <w:bottom w:w="72"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DECEMBER - DÉCEMBRE</w:t>
            </w:r>
          </w:p>
        </w:tc>
      </w:tr>
      <w:tr w:rsidR="00A82190" w:rsidRPr="002E0C7E" w:rsidTr="004E3031">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D</w:t>
            </w:r>
          </w:p>
        </w:tc>
        <w:tc>
          <w:tcPr>
            <w:tcW w:w="48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M</w:t>
            </w:r>
          </w:p>
          <w:p w:rsidR="00A82190" w:rsidRPr="002E0C7E" w:rsidRDefault="00A82190" w:rsidP="004E3031">
            <w:pPr>
              <w:widowControl w:val="0"/>
              <w:jc w:val="center"/>
              <w:rPr>
                <w:rFonts w:ascii="Arial" w:hAnsi="Arial"/>
                <w:sz w:val="14"/>
              </w:rPr>
            </w:pPr>
            <w:r w:rsidRPr="002E0C7E">
              <w:rPr>
                <w:rFonts w:ascii="Arial" w:hAnsi="Arial"/>
                <w:sz w:val="14"/>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W</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63"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J</w:t>
            </w:r>
          </w:p>
        </w:tc>
        <w:tc>
          <w:tcPr>
            <w:tcW w:w="475"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F</w:t>
            </w:r>
          </w:p>
          <w:p w:rsidR="00A82190" w:rsidRPr="002E0C7E" w:rsidRDefault="00A82190" w:rsidP="004E3031">
            <w:pPr>
              <w:widowControl w:val="0"/>
              <w:jc w:val="center"/>
              <w:rPr>
                <w:rFonts w:ascii="Arial" w:hAnsi="Arial"/>
                <w:sz w:val="14"/>
              </w:rPr>
            </w:pPr>
            <w:r w:rsidRPr="002E0C7E">
              <w:rPr>
                <w:rFonts w:ascii="Arial" w:hAnsi="Arial"/>
                <w:sz w:val="14"/>
              </w:rPr>
              <w:t>V</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D</w:t>
            </w:r>
          </w:p>
        </w:tc>
        <w:tc>
          <w:tcPr>
            <w:tcW w:w="457"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M</w:t>
            </w:r>
          </w:p>
          <w:p w:rsidR="00A82190" w:rsidRPr="002E0C7E" w:rsidRDefault="00A82190" w:rsidP="004E3031">
            <w:pPr>
              <w:widowControl w:val="0"/>
              <w:jc w:val="center"/>
              <w:rPr>
                <w:rFonts w:ascii="Arial" w:hAnsi="Arial"/>
                <w:sz w:val="14"/>
              </w:rPr>
            </w:pPr>
            <w:r w:rsidRPr="002E0C7E">
              <w:rPr>
                <w:rFonts w:ascii="Arial" w:hAnsi="Arial"/>
                <w:sz w:val="14"/>
              </w:rPr>
              <w:t>L</w:t>
            </w:r>
          </w:p>
        </w:tc>
        <w:tc>
          <w:tcPr>
            <w:tcW w:w="50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W</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J</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F</w:t>
            </w:r>
          </w:p>
          <w:p w:rsidR="00A82190" w:rsidRPr="002E0C7E" w:rsidRDefault="00A82190" w:rsidP="004E3031">
            <w:pPr>
              <w:widowControl w:val="0"/>
              <w:jc w:val="center"/>
              <w:rPr>
                <w:rFonts w:ascii="Arial" w:hAnsi="Arial"/>
                <w:sz w:val="14"/>
              </w:rPr>
            </w:pPr>
            <w:r w:rsidRPr="002E0C7E">
              <w:rPr>
                <w:rFonts w:ascii="Arial" w:hAnsi="Arial"/>
                <w:sz w:val="14"/>
              </w:rPr>
              <w:t>V</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536"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D</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M</w:t>
            </w:r>
          </w:p>
          <w:p w:rsidR="00A82190" w:rsidRPr="002E0C7E" w:rsidRDefault="00A82190" w:rsidP="004E3031">
            <w:pPr>
              <w:widowControl w:val="0"/>
              <w:jc w:val="center"/>
              <w:rPr>
                <w:rFonts w:ascii="Arial" w:hAnsi="Arial"/>
                <w:sz w:val="14"/>
              </w:rPr>
            </w:pPr>
            <w:r w:rsidRPr="002E0C7E">
              <w:rPr>
                <w:rFonts w:ascii="Arial" w:hAnsi="Arial"/>
                <w:sz w:val="14"/>
              </w:rPr>
              <w:t>L</w:t>
            </w:r>
          </w:p>
        </w:tc>
        <w:tc>
          <w:tcPr>
            <w:tcW w:w="54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W</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J</w:t>
            </w:r>
          </w:p>
        </w:tc>
        <w:tc>
          <w:tcPr>
            <w:tcW w:w="39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F</w:t>
            </w:r>
          </w:p>
          <w:p w:rsidR="00A82190" w:rsidRPr="002E0C7E" w:rsidRDefault="00A82190" w:rsidP="004E3031">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S</w:t>
            </w:r>
          </w:p>
        </w:tc>
      </w:tr>
      <w:tr w:rsidR="00A82190" w:rsidRPr="002E0C7E" w:rsidTr="004E3031">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88" w:type="dxa"/>
            <w:tcBorders>
              <w:top w:val="single" w:sz="8" w:space="0" w:color="000000"/>
              <w:left w:val="single" w:sz="8" w:space="0" w:color="000000"/>
              <w:bottom w:val="nil"/>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3"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75"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57" w:type="dxa"/>
            <w:tcBorders>
              <w:top w:val="single" w:sz="8" w:space="0" w:color="000000"/>
              <w:left w:val="single" w:sz="8" w:space="0" w:color="000000"/>
              <w:bottom w:val="nil"/>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50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w:t>
            </w: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4</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5</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5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w:t>
            </w:r>
          </w:p>
        </w:tc>
        <w:tc>
          <w:tcPr>
            <w:tcW w:w="39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w:t>
            </w:r>
          </w:p>
        </w:tc>
      </w:tr>
      <w:tr w:rsidR="00A82190" w:rsidRPr="002E0C7E" w:rsidTr="004E3031">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w:t>
            </w:r>
          </w:p>
        </w:tc>
        <w:tc>
          <w:tcPr>
            <w:tcW w:w="488" w:type="dxa"/>
            <w:tcBorders>
              <w:top w:val="single" w:sz="8" w:space="0" w:color="000000"/>
              <w:left w:val="single" w:sz="8" w:space="0" w:color="000000"/>
              <w:bottom w:val="nil"/>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w:t>
            </w:r>
          </w:p>
        </w:tc>
        <w:tc>
          <w:tcPr>
            <w:tcW w:w="469" w:type="dxa"/>
            <w:tcBorders>
              <w:top w:val="single" w:sz="8" w:space="0" w:color="000000"/>
              <w:left w:val="nil"/>
              <w:bottom w:val="nil"/>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5</w:t>
            </w:r>
          </w:p>
        </w:tc>
        <w:tc>
          <w:tcPr>
            <w:tcW w:w="463" w:type="dxa"/>
            <w:tcBorders>
              <w:top w:val="single" w:sz="8" w:space="0" w:color="000000"/>
              <w:left w:val="single" w:sz="8" w:space="0" w:color="000000"/>
              <w:bottom w:val="nil"/>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6</w:t>
            </w:r>
          </w:p>
        </w:tc>
        <w:tc>
          <w:tcPr>
            <w:tcW w:w="475"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7</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8</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6</w:t>
            </w:r>
          </w:p>
        </w:tc>
        <w:tc>
          <w:tcPr>
            <w:tcW w:w="457"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M</w:t>
            </w:r>
          </w:p>
          <w:p w:rsidR="00A82190" w:rsidRPr="002E0C7E" w:rsidRDefault="00A82190" w:rsidP="004E3031">
            <w:pPr>
              <w:widowControl w:val="0"/>
              <w:jc w:val="center"/>
              <w:rPr>
                <w:rFonts w:ascii="Arial" w:hAnsi="Arial"/>
                <w:sz w:val="14"/>
              </w:rPr>
            </w:pPr>
            <w:r w:rsidRPr="002E0C7E">
              <w:rPr>
                <w:rFonts w:ascii="Arial" w:hAnsi="Arial"/>
                <w:sz w:val="14"/>
              </w:rPr>
              <w:t>7</w:t>
            </w:r>
          </w:p>
        </w:tc>
        <w:tc>
          <w:tcPr>
            <w:tcW w:w="50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8</w:t>
            </w:r>
          </w:p>
        </w:tc>
        <w:tc>
          <w:tcPr>
            <w:tcW w:w="45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9</w:t>
            </w:r>
          </w:p>
        </w:tc>
        <w:tc>
          <w:tcPr>
            <w:tcW w:w="484"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10</w:t>
            </w:r>
          </w:p>
        </w:tc>
        <w:tc>
          <w:tcPr>
            <w:tcW w:w="450"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H</w:t>
            </w:r>
          </w:p>
          <w:p w:rsidR="00A82190" w:rsidRPr="002E0C7E" w:rsidRDefault="00A82190" w:rsidP="004E3031">
            <w:pPr>
              <w:widowControl w:val="0"/>
              <w:jc w:val="center"/>
              <w:rPr>
                <w:rFonts w:ascii="Arial" w:hAnsi="Arial"/>
                <w:sz w:val="14"/>
              </w:rPr>
            </w:pPr>
            <w:r w:rsidRPr="002E0C7E">
              <w:rPr>
                <w:rFonts w:ascii="Arial" w:hAnsi="Arial"/>
                <w:sz w:val="14"/>
              </w:rPr>
              <w:t>11</w:t>
            </w:r>
          </w:p>
        </w:tc>
        <w:tc>
          <w:tcPr>
            <w:tcW w:w="468" w:type="dxa"/>
            <w:tcBorders>
              <w:top w:val="single" w:sz="8" w:space="0" w:color="000000"/>
              <w:left w:val="nil"/>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12</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4</w:t>
            </w:r>
          </w:p>
        </w:tc>
        <w:tc>
          <w:tcPr>
            <w:tcW w:w="450"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M</w:t>
            </w:r>
          </w:p>
          <w:p w:rsidR="00A82190" w:rsidRPr="002E0C7E" w:rsidRDefault="00A82190" w:rsidP="004E3031">
            <w:pPr>
              <w:widowControl w:val="0"/>
              <w:jc w:val="center"/>
              <w:rPr>
                <w:rFonts w:ascii="Arial" w:hAnsi="Arial"/>
                <w:sz w:val="14"/>
              </w:rPr>
            </w:pPr>
            <w:r w:rsidRPr="002E0C7E">
              <w:rPr>
                <w:rFonts w:ascii="Arial" w:hAnsi="Arial"/>
                <w:sz w:val="14"/>
              </w:rPr>
              <w:t>5</w:t>
            </w:r>
          </w:p>
        </w:tc>
        <w:tc>
          <w:tcPr>
            <w:tcW w:w="5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6</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7</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8</w:t>
            </w:r>
          </w:p>
        </w:tc>
        <w:tc>
          <w:tcPr>
            <w:tcW w:w="39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9</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10</w:t>
            </w:r>
          </w:p>
        </w:tc>
      </w:tr>
      <w:tr w:rsidR="00A82190" w:rsidRPr="002E0C7E" w:rsidTr="004E3031">
        <w:trPr>
          <w:cantSplit/>
          <w:trHeight w:val="288"/>
          <w:jc w:val="center"/>
        </w:trPr>
        <w:tc>
          <w:tcPr>
            <w:tcW w:w="450"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9</w:t>
            </w:r>
          </w:p>
        </w:tc>
        <w:tc>
          <w:tcPr>
            <w:tcW w:w="488"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H</w:t>
            </w:r>
          </w:p>
          <w:p w:rsidR="00A82190" w:rsidRPr="002E0C7E" w:rsidRDefault="00A82190" w:rsidP="004E3031">
            <w:pPr>
              <w:widowControl w:val="0"/>
              <w:jc w:val="center"/>
              <w:rPr>
                <w:rFonts w:ascii="Arial" w:hAnsi="Arial"/>
                <w:sz w:val="14"/>
              </w:rPr>
            </w:pPr>
            <w:r w:rsidRPr="002E0C7E">
              <w:rPr>
                <w:rFonts w:ascii="Arial" w:hAnsi="Arial"/>
                <w:sz w:val="14"/>
              </w:rPr>
              <w:t>10</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M</w:t>
            </w:r>
          </w:p>
          <w:p w:rsidR="00A82190" w:rsidRPr="002E0C7E" w:rsidRDefault="00A82190" w:rsidP="004E3031">
            <w:pPr>
              <w:widowControl w:val="0"/>
              <w:jc w:val="center"/>
              <w:rPr>
                <w:rFonts w:ascii="Arial" w:hAnsi="Arial"/>
                <w:sz w:val="14"/>
              </w:rPr>
            </w:pPr>
            <w:r w:rsidRPr="002E0C7E">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12</w:t>
            </w:r>
          </w:p>
        </w:tc>
        <w:tc>
          <w:tcPr>
            <w:tcW w:w="463"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13</w:t>
            </w:r>
          </w:p>
        </w:tc>
        <w:tc>
          <w:tcPr>
            <w:tcW w:w="475"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14</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15</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13</w:t>
            </w:r>
          </w:p>
        </w:tc>
        <w:tc>
          <w:tcPr>
            <w:tcW w:w="457" w:type="dxa"/>
            <w:tcBorders>
              <w:top w:val="single" w:sz="8" w:space="0" w:color="000000"/>
              <w:left w:val="single" w:sz="8" w:space="0" w:color="000000"/>
              <w:bottom w:val="nil"/>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14</w:t>
            </w:r>
          </w:p>
        </w:tc>
        <w:tc>
          <w:tcPr>
            <w:tcW w:w="506"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15</w:t>
            </w:r>
          </w:p>
        </w:tc>
        <w:tc>
          <w:tcPr>
            <w:tcW w:w="45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16</w:t>
            </w:r>
          </w:p>
        </w:tc>
        <w:tc>
          <w:tcPr>
            <w:tcW w:w="484"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17</w:t>
            </w:r>
          </w:p>
        </w:tc>
        <w:tc>
          <w:tcPr>
            <w:tcW w:w="450" w:type="dxa"/>
            <w:tcBorders>
              <w:top w:val="nil"/>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18</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19</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11</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12</w:t>
            </w:r>
          </w:p>
        </w:tc>
        <w:tc>
          <w:tcPr>
            <w:tcW w:w="5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13</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14</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15</w:t>
            </w:r>
          </w:p>
        </w:tc>
        <w:tc>
          <w:tcPr>
            <w:tcW w:w="39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16</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17</w:t>
            </w:r>
          </w:p>
        </w:tc>
      </w:tr>
      <w:tr w:rsidR="00A82190" w:rsidRPr="002E0C7E" w:rsidTr="004E3031">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16</w:t>
            </w:r>
          </w:p>
        </w:tc>
        <w:tc>
          <w:tcPr>
            <w:tcW w:w="488" w:type="dxa"/>
            <w:tcBorders>
              <w:top w:val="nil"/>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19</w:t>
            </w:r>
          </w:p>
        </w:tc>
        <w:tc>
          <w:tcPr>
            <w:tcW w:w="463"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20</w:t>
            </w:r>
          </w:p>
        </w:tc>
        <w:tc>
          <w:tcPr>
            <w:tcW w:w="475"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21</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22</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20</w:t>
            </w:r>
          </w:p>
        </w:tc>
        <w:tc>
          <w:tcPr>
            <w:tcW w:w="457" w:type="dxa"/>
            <w:tcBorders>
              <w:top w:val="single" w:sz="8" w:space="0" w:color="000000"/>
              <w:left w:val="single" w:sz="8" w:space="0" w:color="000000"/>
              <w:bottom w:val="nil"/>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21</w:t>
            </w:r>
          </w:p>
        </w:tc>
        <w:tc>
          <w:tcPr>
            <w:tcW w:w="506" w:type="dxa"/>
            <w:tcBorders>
              <w:top w:val="single" w:sz="8" w:space="0" w:color="000000"/>
              <w:left w:val="single" w:sz="8" w:space="0" w:color="000000"/>
              <w:bottom w:val="nil"/>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22</w:t>
            </w:r>
          </w:p>
        </w:tc>
        <w:tc>
          <w:tcPr>
            <w:tcW w:w="450" w:type="dxa"/>
            <w:tcBorders>
              <w:top w:val="single" w:sz="8" w:space="0" w:color="000000"/>
              <w:left w:val="single" w:sz="8" w:space="0" w:color="000000"/>
              <w:bottom w:val="nil"/>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23</w:t>
            </w: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24</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25</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26</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18</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19</w:t>
            </w:r>
          </w:p>
        </w:tc>
        <w:tc>
          <w:tcPr>
            <w:tcW w:w="54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20</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21</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22</w:t>
            </w:r>
          </w:p>
        </w:tc>
        <w:tc>
          <w:tcPr>
            <w:tcW w:w="39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23</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24</w:t>
            </w:r>
          </w:p>
        </w:tc>
      </w:tr>
      <w:tr w:rsidR="00A82190" w:rsidRPr="002E0C7E" w:rsidTr="004E3031">
        <w:trPr>
          <w:cantSplit/>
          <w:trHeight w:val="288"/>
          <w:jc w:val="center"/>
        </w:trPr>
        <w:tc>
          <w:tcPr>
            <w:tcW w:w="450"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23</w:t>
            </w:r>
          </w:p>
          <w:p w:rsidR="00A82190" w:rsidRPr="002E0C7E" w:rsidRDefault="00A82190" w:rsidP="004E3031">
            <w:pPr>
              <w:widowControl w:val="0"/>
              <w:jc w:val="center"/>
              <w:rPr>
                <w:rFonts w:ascii="Arial" w:hAnsi="Arial"/>
                <w:sz w:val="14"/>
              </w:rPr>
            </w:pPr>
            <w:r w:rsidRPr="002E0C7E">
              <w:rPr>
                <w:rFonts w:ascii="Arial" w:hAnsi="Arial"/>
                <w:sz w:val="14"/>
              </w:rPr>
              <w:t>/ 30</w:t>
            </w:r>
          </w:p>
        </w:tc>
        <w:tc>
          <w:tcPr>
            <w:tcW w:w="48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24</w:t>
            </w:r>
          </w:p>
          <w:p w:rsidR="00A82190" w:rsidRPr="002E0C7E" w:rsidRDefault="00A82190" w:rsidP="004E3031">
            <w:pPr>
              <w:widowControl w:val="0"/>
              <w:jc w:val="center"/>
              <w:rPr>
                <w:rFonts w:ascii="Arial" w:hAnsi="Arial"/>
                <w:sz w:val="14"/>
              </w:rPr>
            </w:pPr>
            <w:r w:rsidRPr="002E0C7E">
              <w:rPr>
                <w:rFonts w:ascii="Arial" w:hAnsi="Arial"/>
                <w:sz w:val="14"/>
              </w:rPr>
              <w:t>/ 31</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25</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26</w:t>
            </w:r>
          </w:p>
        </w:tc>
        <w:tc>
          <w:tcPr>
            <w:tcW w:w="463"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27</w:t>
            </w:r>
          </w:p>
        </w:tc>
        <w:tc>
          <w:tcPr>
            <w:tcW w:w="475"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28</w:t>
            </w:r>
          </w:p>
        </w:tc>
        <w:tc>
          <w:tcPr>
            <w:tcW w:w="469"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29</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27</w:t>
            </w:r>
          </w:p>
        </w:tc>
        <w:tc>
          <w:tcPr>
            <w:tcW w:w="457"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28</w:t>
            </w:r>
          </w:p>
        </w:tc>
        <w:tc>
          <w:tcPr>
            <w:tcW w:w="50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29</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30</w:t>
            </w:r>
          </w:p>
        </w:tc>
        <w:tc>
          <w:tcPr>
            <w:tcW w:w="484"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8"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536" w:type="dxa"/>
            <w:tcBorders>
              <w:top w:val="sing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25</w:t>
            </w:r>
          </w:p>
        </w:tc>
        <w:tc>
          <w:tcPr>
            <w:tcW w:w="450"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H</w:t>
            </w:r>
          </w:p>
          <w:p w:rsidR="00A82190" w:rsidRPr="002E0C7E" w:rsidRDefault="00A82190" w:rsidP="004E3031">
            <w:pPr>
              <w:widowControl w:val="0"/>
              <w:jc w:val="center"/>
              <w:rPr>
                <w:rFonts w:ascii="Arial" w:hAnsi="Arial"/>
                <w:sz w:val="14"/>
              </w:rPr>
            </w:pPr>
            <w:r w:rsidRPr="002E0C7E">
              <w:rPr>
                <w:rFonts w:ascii="Arial" w:hAnsi="Arial"/>
                <w:sz w:val="14"/>
              </w:rPr>
              <w:t>26</w:t>
            </w:r>
          </w:p>
        </w:tc>
        <w:tc>
          <w:tcPr>
            <w:tcW w:w="540"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H</w:t>
            </w:r>
          </w:p>
          <w:p w:rsidR="00A82190" w:rsidRPr="002E0C7E" w:rsidRDefault="00A82190" w:rsidP="004E3031">
            <w:pPr>
              <w:widowControl w:val="0"/>
              <w:jc w:val="center"/>
              <w:rPr>
                <w:rFonts w:ascii="Arial" w:hAnsi="Arial"/>
                <w:sz w:val="14"/>
              </w:rPr>
            </w:pPr>
            <w:r w:rsidRPr="002E0C7E">
              <w:rPr>
                <w:rFonts w:ascii="Arial" w:hAnsi="Arial"/>
                <w:sz w:val="14"/>
              </w:rPr>
              <w:t>27</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28</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29</w:t>
            </w:r>
          </w:p>
        </w:tc>
        <w:tc>
          <w:tcPr>
            <w:tcW w:w="39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30</w:t>
            </w:r>
          </w:p>
        </w:tc>
        <w:tc>
          <w:tcPr>
            <w:tcW w:w="470"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31</w:t>
            </w:r>
          </w:p>
        </w:tc>
      </w:tr>
    </w:tbl>
    <w:p w:rsidR="00A82190" w:rsidRPr="002E0C7E" w:rsidRDefault="00A82190" w:rsidP="00A82190">
      <w:pPr>
        <w:widowControl w:val="0"/>
        <w:tabs>
          <w:tab w:val="center" w:pos="5400"/>
        </w:tabs>
        <w:rPr>
          <w:rFonts w:ascii="Arial" w:hAnsi="Arial"/>
          <w:sz w:val="16"/>
        </w:rPr>
      </w:pPr>
      <w:r w:rsidRPr="002E0C7E">
        <w:rPr>
          <w:rFonts w:ascii="Arial" w:hAnsi="Arial"/>
          <w:sz w:val="18"/>
        </w:rPr>
        <w:tab/>
      </w:r>
      <w:r w:rsidRPr="002E0C7E">
        <w:rPr>
          <w:rFonts w:ascii="Arial" w:hAnsi="Arial"/>
          <w:i/>
          <w:sz w:val="36"/>
        </w:rPr>
        <w:t xml:space="preserve">- </w:t>
      </w:r>
      <w:r w:rsidRPr="002E0C7E">
        <w:rPr>
          <w:rFonts w:ascii="Arial" w:hAnsi="Arial"/>
          <w:b/>
          <w:i/>
          <w:sz w:val="36"/>
        </w:rPr>
        <w:t>2012</w:t>
      </w:r>
      <w:r w:rsidRPr="002E0C7E">
        <w:rPr>
          <w:rFonts w:ascii="Arial" w:hAnsi="Arial"/>
          <w:i/>
          <w:sz w:val="36"/>
        </w:rPr>
        <w:t xml:space="preserve"> -</w:t>
      </w: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69"/>
        <w:gridCol w:w="469"/>
        <w:gridCol w:w="498"/>
        <w:gridCol w:w="440"/>
        <w:gridCol w:w="469"/>
        <w:gridCol w:w="469"/>
        <w:gridCol w:w="469"/>
        <w:gridCol w:w="469"/>
        <w:gridCol w:w="469"/>
        <w:gridCol w:w="469"/>
        <w:gridCol w:w="469"/>
        <w:gridCol w:w="469"/>
        <w:gridCol w:w="486"/>
        <w:gridCol w:w="452"/>
        <w:gridCol w:w="469"/>
        <w:gridCol w:w="469"/>
        <w:gridCol w:w="469"/>
        <w:gridCol w:w="480"/>
        <w:gridCol w:w="458"/>
        <w:gridCol w:w="442"/>
        <w:gridCol w:w="450"/>
        <w:gridCol w:w="516"/>
        <w:gridCol w:w="470"/>
      </w:tblGrid>
      <w:tr w:rsidR="00A82190" w:rsidRPr="002E0C7E" w:rsidTr="004E3031">
        <w:trPr>
          <w:cantSplit/>
          <w:jc w:val="center"/>
        </w:trPr>
        <w:tc>
          <w:tcPr>
            <w:tcW w:w="3283" w:type="dxa"/>
            <w:gridSpan w:val="7"/>
            <w:tcBorders>
              <w:top w:val="double" w:sz="8" w:space="0" w:color="000000"/>
              <w:left w:val="double" w:sz="8" w:space="0" w:color="000000"/>
              <w:bottom w:val="double" w:sz="8" w:space="0" w:color="000000"/>
              <w:right w:val="double" w:sz="6" w:space="0" w:color="000000"/>
            </w:tcBorders>
            <w:shd w:val="pct30" w:color="000000" w:fill="auto"/>
            <w:tcMar>
              <w:top w:w="72" w:type="dxa"/>
              <w:left w:w="0" w:type="dxa"/>
              <w:bottom w:w="72"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JANUARY - JANVIER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A82190" w:rsidRPr="002E0C7E" w:rsidRDefault="00A82190" w:rsidP="004E3031">
            <w:pPr>
              <w:widowControl w:val="0"/>
              <w:jc w:val="center"/>
              <w:rPr>
                <w:rFonts w:ascii="Arial" w:hAnsi="Arial"/>
                <w:sz w:val="14"/>
              </w:rPr>
            </w:pPr>
          </w:p>
        </w:tc>
        <w:tc>
          <w:tcPr>
            <w:tcW w:w="3283" w:type="dxa"/>
            <w:gridSpan w:val="7"/>
            <w:tcBorders>
              <w:top w:val="double" w:sz="8"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FEBRUARY - FÉVRIER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A82190" w:rsidRPr="002E0C7E" w:rsidRDefault="00A82190" w:rsidP="004E3031">
            <w:pPr>
              <w:widowControl w:val="0"/>
              <w:jc w:val="center"/>
              <w:rPr>
                <w:rFonts w:ascii="Arial" w:hAnsi="Arial"/>
                <w:sz w:val="14"/>
              </w:rPr>
            </w:pPr>
          </w:p>
        </w:tc>
        <w:tc>
          <w:tcPr>
            <w:tcW w:w="3285" w:type="dxa"/>
            <w:gridSpan w:val="7"/>
            <w:tcBorders>
              <w:top w:val="double" w:sz="8" w:space="0" w:color="000000"/>
              <w:left w:val="double" w:sz="6" w:space="0" w:color="000000"/>
              <w:bottom w:val="double" w:sz="8" w:space="0" w:color="000000"/>
              <w:right w:val="double" w:sz="8" w:space="0" w:color="000000"/>
            </w:tcBorders>
            <w:shd w:val="pct30" w:color="000000" w:fill="auto"/>
            <w:tcMar>
              <w:top w:w="72" w:type="dxa"/>
              <w:left w:w="0" w:type="dxa"/>
              <w:bottom w:w="72"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MARCH - MARS</w:t>
            </w:r>
          </w:p>
        </w:tc>
      </w:tr>
      <w:tr w:rsidR="00A82190" w:rsidRPr="002E0C7E" w:rsidTr="004E3031">
        <w:trPr>
          <w:cantSplit/>
          <w:jc w:val="center"/>
        </w:trPr>
        <w:tc>
          <w:tcPr>
            <w:tcW w:w="469"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D</w:t>
            </w:r>
          </w:p>
        </w:tc>
        <w:tc>
          <w:tcPr>
            <w:tcW w:w="469" w:type="dxa"/>
            <w:tcBorders>
              <w:top w:val="doub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M</w:t>
            </w:r>
          </w:p>
          <w:p w:rsidR="00A82190" w:rsidRPr="002E0C7E" w:rsidRDefault="00A82190" w:rsidP="004E3031">
            <w:pPr>
              <w:widowControl w:val="0"/>
              <w:jc w:val="center"/>
              <w:rPr>
                <w:rFonts w:ascii="Arial" w:hAnsi="Arial"/>
                <w:sz w:val="14"/>
              </w:rPr>
            </w:pPr>
            <w:r w:rsidRPr="002E0C7E">
              <w:rPr>
                <w:rFonts w:ascii="Arial" w:hAnsi="Arial"/>
                <w:sz w:val="14"/>
              </w:rPr>
              <w:t>L</w:t>
            </w:r>
          </w:p>
        </w:tc>
        <w:tc>
          <w:tcPr>
            <w:tcW w:w="498"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4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W</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F</w:t>
            </w:r>
          </w:p>
          <w:p w:rsidR="00A82190" w:rsidRPr="002E0C7E" w:rsidRDefault="00A82190" w:rsidP="004E3031">
            <w:pPr>
              <w:widowControl w:val="0"/>
              <w:jc w:val="center"/>
              <w:rPr>
                <w:rFonts w:ascii="Arial" w:hAnsi="Arial"/>
                <w:sz w:val="14"/>
              </w:rPr>
            </w:pPr>
            <w:r w:rsidRPr="002E0C7E">
              <w:rPr>
                <w:rFonts w:ascii="Arial" w:hAnsi="Arial"/>
                <w:sz w:val="14"/>
              </w:rPr>
              <w:t>V</w:t>
            </w:r>
          </w:p>
        </w:tc>
        <w:tc>
          <w:tcPr>
            <w:tcW w:w="469"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D</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M</w:t>
            </w:r>
          </w:p>
          <w:p w:rsidR="00A82190" w:rsidRPr="002E0C7E" w:rsidRDefault="00A82190" w:rsidP="004E3031">
            <w:pPr>
              <w:widowControl w:val="0"/>
              <w:jc w:val="center"/>
              <w:rPr>
                <w:rFonts w:ascii="Arial" w:hAnsi="Arial"/>
                <w:sz w:val="14"/>
              </w:rPr>
            </w:pPr>
            <w:r w:rsidRPr="002E0C7E">
              <w:rPr>
                <w:rFonts w:ascii="Arial" w:hAnsi="Arial"/>
                <w:sz w:val="14"/>
              </w:rPr>
              <w:t>L</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W</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8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J</w:t>
            </w:r>
          </w:p>
        </w:tc>
        <w:tc>
          <w:tcPr>
            <w:tcW w:w="452"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F</w:t>
            </w:r>
          </w:p>
          <w:p w:rsidR="00A82190" w:rsidRPr="002E0C7E" w:rsidRDefault="00A82190" w:rsidP="004E3031">
            <w:pPr>
              <w:widowControl w:val="0"/>
              <w:jc w:val="center"/>
              <w:rPr>
                <w:rFonts w:ascii="Arial" w:hAnsi="Arial"/>
                <w:sz w:val="14"/>
              </w:rPr>
            </w:pPr>
            <w:r w:rsidRPr="002E0C7E">
              <w:rPr>
                <w:rFonts w:ascii="Arial" w:hAnsi="Arial"/>
                <w:sz w:val="14"/>
              </w:rPr>
              <w:t>V</w:t>
            </w:r>
          </w:p>
        </w:tc>
        <w:tc>
          <w:tcPr>
            <w:tcW w:w="469"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D</w:t>
            </w:r>
          </w:p>
        </w:tc>
        <w:tc>
          <w:tcPr>
            <w:tcW w:w="48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M</w:t>
            </w:r>
          </w:p>
          <w:p w:rsidR="00A82190" w:rsidRPr="002E0C7E" w:rsidRDefault="00A82190" w:rsidP="004E3031">
            <w:pPr>
              <w:widowControl w:val="0"/>
              <w:jc w:val="center"/>
              <w:rPr>
                <w:rFonts w:ascii="Arial" w:hAnsi="Arial"/>
                <w:sz w:val="14"/>
              </w:rPr>
            </w:pPr>
            <w:r w:rsidRPr="002E0C7E">
              <w:rPr>
                <w:rFonts w:ascii="Arial" w:hAnsi="Arial"/>
                <w:sz w:val="14"/>
              </w:rPr>
              <w:t>L</w:t>
            </w:r>
          </w:p>
        </w:tc>
        <w:tc>
          <w:tcPr>
            <w:tcW w:w="458"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42"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W</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J</w:t>
            </w:r>
          </w:p>
        </w:tc>
        <w:tc>
          <w:tcPr>
            <w:tcW w:w="51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F</w:t>
            </w:r>
          </w:p>
          <w:p w:rsidR="00A82190" w:rsidRPr="002E0C7E" w:rsidRDefault="00A82190" w:rsidP="004E3031">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S</w:t>
            </w:r>
          </w:p>
        </w:tc>
      </w:tr>
      <w:tr w:rsidR="00A82190" w:rsidRPr="002E0C7E" w:rsidTr="004E3031">
        <w:trPr>
          <w:cantSplit/>
          <w:jc w:val="center"/>
        </w:trPr>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w:t>
            </w:r>
          </w:p>
        </w:tc>
        <w:tc>
          <w:tcPr>
            <w:tcW w:w="469"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H</w:t>
            </w:r>
          </w:p>
          <w:p w:rsidR="00A82190" w:rsidRPr="002E0C7E" w:rsidRDefault="00A82190" w:rsidP="004E3031">
            <w:pPr>
              <w:widowControl w:val="0"/>
              <w:jc w:val="center"/>
              <w:rPr>
                <w:rFonts w:ascii="Arial" w:hAnsi="Arial"/>
                <w:sz w:val="14"/>
              </w:rPr>
            </w:pPr>
            <w:r w:rsidRPr="002E0C7E">
              <w:rPr>
                <w:rFonts w:ascii="Arial" w:hAnsi="Arial"/>
                <w:sz w:val="14"/>
              </w:rPr>
              <w:t>2</w:t>
            </w:r>
          </w:p>
        </w:tc>
        <w:tc>
          <w:tcPr>
            <w:tcW w:w="49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w:t>
            </w:r>
          </w:p>
        </w:tc>
        <w:tc>
          <w:tcPr>
            <w:tcW w:w="4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6</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7</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w:t>
            </w:r>
          </w:p>
        </w:tc>
        <w:tc>
          <w:tcPr>
            <w:tcW w:w="45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4</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8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4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w:t>
            </w:r>
          </w:p>
        </w:tc>
        <w:tc>
          <w:tcPr>
            <w:tcW w:w="51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w:t>
            </w:r>
          </w:p>
        </w:tc>
      </w:tr>
      <w:tr w:rsidR="00A82190" w:rsidRPr="002E0C7E" w:rsidTr="004E3031">
        <w:trPr>
          <w:cantSplit/>
          <w:jc w:val="center"/>
        </w:trPr>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8</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M</w:t>
            </w:r>
          </w:p>
          <w:p w:rsidR="00A82190" w:rsidRPr="002E0C7E" w:rsidRDefault="00A82190" w:rsidP="004E3031">
            <w:pPr>
              <w:widowControl w:val="0"/>
              <w:jc w:val="center"/>
              <w:rPr>
                <w:rFonts w:ascii="Arial" w:hAnsi="Arial"/>
                <w:sz w:val="14"/>
              </w:rPr>
            </w:pPr>
            <w:r w:rsidRPr="002E0C7E">
              <w:rPr>
                <w:rFonts w:ascii="Arial" w:hAnsi="Arial"/>
                <w:sz w:val="14"/>
              </w:rPr>
              <w:t>9</w:t>
            </w:r>
          </w:p>
        </w:tc>
        <w:tc>
          <w:tcPr>
            <w:tcW w:w="49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10</w:t>
            </w:r>
          </w:p>
        </w:tc>
        <w:tc>
          <w:tcPr>
            <w:tcW w:w="4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13</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14</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5</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M</w:t>
            </w:r>
          </w:p>
          <w:p w:rsidR="00A82190" w:rsidRPr="002E0C7E" w:rsidRDefault="00A82190" w:rsidP="004E3031">
            <w:pPr>
              <w:widowControl w:val="0"/>
              <w:jc w:val="center"/>
              <w:rPr>
                <w:rFonts w:ascii="Arial" w:hAnsi="Arial"/>
                <w:sz w:val="14"/>
              </w:rPr>
            </w:pPr>
            <w:r w:rsidRPr="002E0C7E">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8</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9</w:t>
            </w:r>
          </w:p>
        </w:tc>
        <w:tc>
          <w:tcPr>
            <w:tcW w:w="45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10</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11</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4</w:t>
            </w:r>
          </w:p>
        </w:tc>
        <w:tc>
          <w:tcPr>
            <w:tcW w:w="48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5</w:t>
            </w: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6</w:t>
            </w:r>
          </w:p>
        </w:tc>
        <w:tc>
          <w:tcPr>
            <w:tcW w:w="44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7</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8</w:t>
            </w:r>
          </w:p>
        </w:tc>
        <w:tc>
          <w:tcPr>
            <w:tcW w:w="51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9</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10</w:t>
            </w:r>
          </w:p>
        </w:tc>
      </w:tr>
      <w:tr w:rsidR="00A82190" w:rsidRPr="002E0C7E" w:rsidTr="004E3031">
        <w:trPr>
          <w:cantSplit/>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15</w:t>
            </w:r>
          </w:p>
        </w:tc>
        <w:tc>
          <w:tcPr>
            <w:tcW w:w="469"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16</w:t>
            </w:r>
          </w:p>
        </w:tc>
        <w:tc>
          <w:tcPr>
            <w:tcW w:w="49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17</w:t>
            </w:r>
          </w:p>
        </w:tc>
        <w:tc>
          <w:tcPr>
            <w:tcW w:w="4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20</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21</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12</w:t>
            </w:r>
          </w:p>
        </w:tc>
        <w:tc>
          <w:tcPr>
            <w:tcW w:w="469"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15</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16</w:t>
            </w:r>
          </w:p>
        </w:tc>
        <w:tc>
          <w:tcPr>
            <w:tcW w:w="45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17</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18</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11</w:t>
            </w:r>
          </w:p>
        </w:tc>
        <w:tc>
          <w:tcPr>
            <w:tcW w:w="480"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M</w:t>
            </w:r>
          </w:p>
          <w:p w:rsidR="00A82190" w:rsidRPr="002E0C7E" w:rsidRDefault="00A82190" w:rsidP="004E3031">
            <w:pPr>
              <w:widowControl w:val="0"/>
              <w:jc w:val="center"/>
              <w:rPr>
                <w:rFonts w:ascii="Arial" w:hAnsi="Arial"/>
                <w:sz w:val="14"/>
              </w:rPr>
            </w:pPr>
            <w:r w:rsidRPr="002E0C7E">
              <w:rPr>
                <w:rFonts w:ascii="Arial" w:hAnsi="Arial"/>
                <w:sz w:val="14"/>
              </w:rPr>
              <w:t>12</w:t>
            </w:r>
          </w:p>
        </w:tc>
        <w:tc>
          <w:tcPr>
            <w:tcW w:w="45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13</w:t>
            </w:r>
          </w:p>
        </w:tc>
        <w:tc>
          <w:tcPr>
            <w:tcW w:w="44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14</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15</w:t>
            </w:r>
          </w:p>
        </w:tc>
        <w:tc>
          <w:tcPr>
            <w:tcW w:w="51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16</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17</w:t>
            </w:r>
          </w:p>
        </w:tc>
      </w:tr>
      <w:tr w:rsidR="00A82190" w:rsidRPr="002E0C7E" w:rsidTr="004E3031">
        <w:trPr>
          <w:cantSplit/>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23</w:t>
            </w:r>
          </w:p>
        </w:tc>
        <w:tc>
          <w:tcPr>
            <w:tcW w:w="49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24</w:t>
            </w:r>
          </w:p>
        </w:tc>
        <w:tc>
          <w:tcPr>
            <w:tcW w:w="4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26</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27</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28</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20</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22</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23</w:t>
            </w:r>
          </w:p>
        </w:tc>
        <w:tc>
          <w:tcPr>
            <w:tcW w:w="45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24</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25</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18</w:t>
            </w:r>
          </w:p>
        </w:tc>
        <w:tc>
          <w:tcPr>
            <w:tcW w:w="48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19</w:t>
            </w:r>
          </w:p>
        </w:tc>
        <w:tc>
          <w:tcPr>
            <w:tcW w:w="45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20</w:t>
            </w:r>
          </w:p>
        </w:tc>
        <w:tc>
          <w:tcPr>
            <w:tcW w:w="44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21</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22</w:t>
            </w:r>
          </w:p>
        </w:tc>
        <w:tc>
          <w:tcPr>
            <w:tcW w:w="51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23</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24</w:t>
            </w:r>
          </w:p>
        </w:tc>
      </w:tr>
      <w:tr w:rsidR="00A82190" w:rsidRPr="002E0C7E" w:rsidTr="004E3031">
        <w:trPr>
          <w:cantSplit/>
          <w:jc w:val="center"/>
        </w:trPr>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29</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30</w:t>
            </w:r>
          </w:p>
        </w:tc>
        <w:tc>
          <w:tcPr>
            <w:tcW w:w="49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31</w:t>
            </w:r>
          </w:p>
        </w:tc>
        <w:tc>
          <w:tcPr>
            <w:tcW w:w="44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26</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27</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28</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29</w:t>
            </w:r>
          </w:p>
        </w:tc>
        <w:tc>
          <w:tcPr>
            <w:tcW w:w="48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5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25</w:t>
            </w:r>
          </w:p>
        </w:tc>
        <w:tc>
          <w:tcPr>
            <w:tcW w:w="48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26</w:t>
            </w:r>
          </w:p>
        </w:tc>
        <w:tc>
          <w:tcPr>
            <w:tcW w:w="45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27</w:t>
            </w:r>
          </w:p>
        </w:tc>
        <w:tc>
          <w:tcPr>
            <w:tcW w:w="44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28</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29</w:t>
            </w:r>
          </w:p>
        </w:tc>
        <w:tc>
          <w:tcPr>
            <w:tcW w:w="51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30</w:t>
            </w:r>
          </w:p>
        </w:tc>
        <w:tc>
          <w:tcPr>
            <w:tcW w:w="470"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31</w:t>
            </w:r>
          </w:p>
        </w:tc>
      </w:tr>
    </w:tbl>
    <w:p w:rsidR="00A82190" w:rsidRPr="002E0C7E" w:rsidRDefault="00A82190" w:rsidP="00A82190">
      <w:pPr>
        <w:widowControl w:val="0"/>
        <w:rPr>
          <w:rFonts w:ascii="Arial" w:hAnsi="Arial"/>
          <w:vanish/>
          <w:szCs w:val="24"/>
        </w:rPr>
      </w:pP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46"/>
        <w:gridCol w:w="492"/>
        <w:gridCol w:w="469"/>
        <w:gridCol w:w="469"/>
        <w:gridCol w:w="469"/>
        <w:gridCol w:w="469"/>
        <w:gridCol w:w="469"/>
        <w:gridCol w:w="469"/>
        <w:gridCol w:w="473"/>
        <w:gridCol w:w="466"/>
        <w:gridCol w:w="469"/>
        <w:gridCol w:w="469"/>
        <w:gridCol w:w="486"/>
        <w:gridCol w:w="450"/>
        <w:gridCol w:w="472"/>
        <w:gridCol w:w="518"/>
        <w:gridCol w:w="420"/>
        <w:gridCol w:w="480"/>
        <w:gridCol w:w="458"/>
        <w:gridCol w:w="469"/>
        <w:gridCol w:w="469"/>
        <w:gridCol w:w="469"/>
        <w:gridCol w:w="470"/>
      </w:tblGrid>
      <w:tr w:rsidR="00A82190" w:rsidRPr="002E0C7E" w:rsidTr="004E3031">
        <w:trPr>
          <w:cantSplit/>
          <w:jc w:val="center"/>
        </w:trPr>
        <w:tc>
          <w:tcPr>
            <w:tcW w:w="3283" w:type="dxa"/>
            <w:gridSpan w:val="7"/>
            <w:tcBorders>
              <w:top w:val="double" w:sz="8" w:space="0" w:color="000000"/>
              <w:left w:val="double" w:sz="8" w:space="0" w:color="000000"/>
              <w:bottom w:val="double" w:sz="8" w:space="0" w:color="000000"/>
              <w:right w:val="double" w:sz="6" w:space="0" w:color="000000"/>
            </w:tcBorders>
            <w:shd w:val="pct30" w:color="000000" w:fill="auto"/>
            <w:tcMar>
              <w:top w:w="72" w:type="dxa"/>
              <w:left w:w="0" w:type="dxa"/>
              <w:bottom w:w="72"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APRIL - AVRIL</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A82190" w:rsidRPr="002E0C7E" w:rsidRDefault="00A82190" w:rsidP="004E3031">
            <w:pPr>
              <w:widowControl w:val="0"/>
              <w:jc w:val="center"/>
              <w:rPr>
                <w:rFonts w:ascii="Arial" w:hAnsi="Arial"/>
                <w:sz w:val="14"/>
              </w:rPr>
            </w:pPr>
          </w:p>
        </w:tc>
        <w:tc>
          <w:tcPr>
            <w:tcW w:w="3285" w:type="dxa"/>
            <w:gridSpan w:val="7"/>
            <w:tcBorders>
              <w:top w:val="double" w:sz="8"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MAY - MAI</w:t>
            </w:r>
          </w:p>
        </w:tc>
        <w:tc>
          <w:tcPr>
            <w:tcW w:w="518" w:type="dxa"/>
            <w:tcBorders>
              <w:top w:val="nil"/>
              <w:left w:val="double" w:sz="6" w:space="0" w:color="000000"/>
              <w:bottom w:val="nil"/>
              <w:right w:val="double" w:sz="6" w:space="0" w:color="000000"/>
            </w:tcBorders>
            <w:tcMar>
              <w:top w:w="72" w:type="dxa"/>
              <w:left w:w="0" w:type="dxa"/>
              <w:bottom w:w="72" w:type="dxa"/>
              <w:right w:w="0" w:type="dxa"/>
            </w:tcMar>
          </w:tcPr>
          <w:p w:rsidR="00A82190" w:rsidRPr="002E0C7E" w:rsidRDefault="00A82190" w:rsidP="004E3031">
            <w:pPr>
              <w:widowControl w:val="0"/>
              <w:jc w:val="center"/>
              <w:rPr>
                <w:rFonts w:ascii="Arial" w:hAnsi="Arial"/>
                <w:sz w:val="14"/>
              </w:rPr>
            </w:pPr>
          </w:p>
        </w:tc>
        <w:tc>
          <w:tcPr>
            <w:tcW w:w="3235" w:type="dxa"/>
            <w:gridSpan w:val="7"/>
            <w:tcBorders>
              <w:top w:val="double" w:sz="8" w:space="0" w:color="000000"/>
              <w:left w:val="double" w:sz="6" w:space="0" w:color="000000"/>
              <w:bottom w:val="double" w:sz="8" w:space="0" w:color="000000"/>
              <w:right w:val="double" w:sz="8" w:space="0" w:color="000000"/>
            </w:tcBorders>
            <w:shd w:val="pct30" w:color="000000" w:fill="auto"/>
            <w:tcMar>
              <w:top w:w="72" w:type="dxa"/>
              <w:left w:w="0" w:type="dxa"/>
              <w:bottom w:w="72"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JUNE - JUIN</w:t>
            </w:r>
          </w:p>
        </w:tc>
      </w:tr>
      <w:tr w:rsidR="00A82190" w:rsidRPr="002E0C7E" w:rsidTr="004E3031">
        <w:trPr>
          <w:cantSplit/>
          <w:jc w:val="center"/>
        </w:trPr>
        <w:tc>
          <w:tcPr>
            <w:tcW w:w="446"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D</w:t>
            </w:r>
          </w:p>
        </w:tc>
        <w:tc>
          <w:tcPr>
            <w:tcW w:w="492"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M</w:t>
            </w:r>
          </w:p>
          <w:p w:rsidR="00A82190" w:rsidRPr="002E0C7E" w:rsidRDefault="00A82190" w:rsidP="004E3031">
            <w:pPr>
              <w:widowControl w:val="0"/>
              <w:jc w:val="center"/>
              <w:rPr>
                <w:rFonts w:ascii="Arial" w:hAnsi="Arial"/>
                <w:sz w:val="14"/>
              </w:rPr>
            </w:pPr>
            <w:r w:rsidRPr="002E0C7E">
              <w:rPr>
                <w:rFonts w:ascii="Arial" w:hAnsi="Arial"/>
                <w:sz w:val="14"/>
              </w:rPr>
              <w:t>L</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W</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F</w:t>
            </w:r>
          </w:p>
          <w:p w:rsidR="00A82190" w:rsidRPr="002E0C7E" w:rsidRDefault="00A82190" w:rsidP="004E3031">
            <w:pPr>
              <w:widowControl w:val="0"/>
              <w:jc w:val="center"/>
              <w:rPr>
                <w:rFonts w:ascii="Arial" w:hAnsi="Arial"/>
                <w:sz w:val="14"/>
              </w:rPr>
            </w:pPr>
            <w:r w:rsidRPr="002E0C7E">
              <w:rPr>
                <w:rFonts w:ascii="Arial" w:hAnsi="Arial"/>
                <w:sz w:val="14"/>
              </w:rPr>
              <w:t>V</w:t>
            </w:r>
          </w:p>
        </w:tc>
        <w:tc>
          <w:tcPr>
            <w:tcW w:w="469"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73"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D</w:t>
            </w:r>
          </w:p>
        </w:tc>
        <w:tc>
          <w:tcPr>
            <w:tcW w:w="46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M</w:t>
            </w:r>
          </w:p>
          <w:p w:rsidR="00A82190" w:rsidRPr="002E0C7E" w:rsidRDefault="00A82190" w:rsidP="004E3031">
            <w:pPr>
              <w:widowControl w:val="0"/>
              <w:jc w:val="center"/>
              <w:rPr>
                <w:rFonts w:ascii="Arial" w:hAnsi="Arial"/>
                <w:sz w:val="14"/>
              </w:rPr>
            </w:pPr>
            <w:r w:rsidRPr="002E0C7E">
              <w:rPr>
                <w:rFonts w:ascii="Arial" w:hAnsi="Arial"/>
                <w:sz w:val="14"/>
              </w:rPr>
              <w:t>L</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W</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8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J</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F</w:t>
            </w:r>
          </w:p>
          <w:p w:rsidR="00A82190" w:rsidRPr="002E0C7E" w:rsidRDefault="00A82190" w:rsidP="004E3031">
            <w:pPr>
              <w:widowControl w:val="0"/>
              <w:jc w:val="center"/>
              <w:rPr>
                <w:rFonts w:ascii="Arial" w:hAnsi="Arial"/>
                <w:sz w:val="14"/>
              </w:rPr>
            </w:pPr>
            <w:r w:rsidRPr="002E0C7E">
              <w:rPr>
                <w:rFonts w:ascii="Arial" w:hAnsi="Arial"/>
                <w:sz w:val="14"/>
              </w:rPr>
              <w:t>V</w:t>
            </w:r>
          </w:p>
        </w:tc>
        <w:tc>
          <w:tcPr>
            <w:tcW w:w="472"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S</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20"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D</w:t>
            </w:r>
          </w:p>
        </w:tc>
        <w:tc>
          <w:tcPr>
            <w:tcW w:w="48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M</w:t>
            </w:r>
          </w:p>
          <w:p w:rsidR="00A82190" w:rsidRPr="002E0C7E" w:rsidRDefault="00A82190" w:rsidP="004E3031">
            <w:pPr>
              <w:widowControl w:val="0"/>
              <w:jc w:val="center"/>
              <w:rPr>
                <w:rFonts w:ascii="Arial" w:hAnsi="Arial"/>
                <w:sz w:val="14"/>
              </w:rPr>
            </w:pPr>
            <w:r w:rsidRPr="002E0C7E">
              <w:rPr>
                <w:rFonts w:ascii="Arial" w:hAnsi="Arial"/>
                <w:sz w:val="14"/>
              </w:rPr>
              <w:t>L</w:t>
            </w:r>
          </w:p>
        </w:tc>
        <w:tc>
          <w:tcPr>
            <w:tcW w:w="458"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W</w:t>
            </w:r>
          </w:p>
          <w:p w:rsidR="00A82190" w:rsidRPr="002E0C7E" w:rsidRDefault="00A82190" w:rsidP="004E3031">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T</w:t>
            </w:r>
          </w:p>
          <w:p w:rsidR="00A82190" w:rsidRPr="002E0C7E" w:rsidRDefault="00A82190" w:rsidP="004E3031">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F</w:t>
            </w:r>
          </w:p>
          <w:p w:rsidR="00A82190" w:rsidRPr="002E0C7E" w:rsidRDefault="00A82190" w:rsidP="004E3031">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s</w:t>
            </w:r>
          </w:p>
          <w:p w:rsidR="00A82190" w:rsidRPr="002E0C7E" w:rsidRDefault="00A82190" w:rsidP="004E3031">
            <w:pPr>
              <w:widowControl w:val="0"/>
              <w:jc w:val="center"/>
              <w:rPr>
                <w:rFonts w:ascii="Arial" w:hAnsi="Arial"/>
                <w:sz w:val="14"/>
              </w:rPr>
            </w:pPr>
            <w:r w:rsidRPr="002E0C7E">
              <w:rPr>
                <w:rFonts w:ascii="Arial" w:hAnsi="Arial"/>
                <w:sz w:val="14"/>
              </w:rPr>
              <w:t>s</w:t>
            </w:r>
          </w:p>
        </w:tc>
      </w:tr>
      <w:tr w:rsidR="00A82190" w:rsidRPr="002E0C7E" w:rsidTr="004E3031">
        <w:trPr>
          <w:cantSplit/>
          <w:trHeight w:val="422"/>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w:t>
            </w:r>
          </w:p>
        </w:tc>
        <w:tc>
          <w:tcPr>
            <w:tcW w:w="49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4</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5</w:t>
            </w:r>
          </w:p>
        </w:tc>
        <w:tc>
          <w:tcPr>
            <w:tcW w:w="469"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H</w:t>
            </w:r>
          </w:p>
          <w:p w:rsidR="00A82190" w:rsidRPr="002E0C7E" w:rsidRDefault="00A82190" w:rsidP="004E3031">
            <w:pPr>
              <w:widowControl w:val="0"/>
              <w:jc w:val="center"/>
              <w:rPr>
                <w:rFonts w:ascii="Arial" w:hAnsi="Arial"/>
                <w:sz w:val="14"/>
              </w:rPr>
            </w:pPr>
            <w:r w:rsidRPr="002E0C7E">
              <w:rPr>
                <w:rFonts w:ascii="Arial" w:hAnsi="Arial"/>
                <w:sz w:val="14"/>
              </w:rPr>
              <w:t>6</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7</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b/>
                <w:sz w:val="14"/>
              </w:rPr>
            </w:pPr>
          </w:p>
          <w:p w:rsidR="00A82190" w:rsidRPr="002E0C7E" w:rsidRDefault="00A82190" w:rsidP="004E3031">
            <w:pPr>
              <w:widowControl w:val="0"/>
              <w:jc w:val="center"/>
              <w:rPr>
                <w:rFonts w:ascii="Arial" w:hAnsi="Arial"/>
                <w:sz w:val="14"/>
              </w:rPr>
            </w:pPr>
            <w:r w:rsidRPr="002E0C7E">
              <w:rPr>
                <w:rFonts w:ascii="Arial" w:hAnsi="Arial"/>
                <w:b/>
                <w:sz w:val="14"/>
              </w:rPr>
              <w:t>4</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5</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8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w:t>
            </w:r>
          </w:p>
        </w:tc>
      </w:tr>
      <w:tr w:rsidR="00A82190" w:rsidRPr="002E0C7E" w:rsidTr="004E3031">
        <w:trPr>
          <w:cantSplit/>
          <w:jc w:val="center"/>
        </w:trPr>
        <w:tc>
          <w:tcPr>
            <w:tcW w:w="446"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8</w:t>
            </w:r>
          </w:p>
        </w:tc>
        <w:tc>
          <w:tcPr>
            <w:tcW w:w="492"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H</w:t>
            </w:r>
          </w:p>
          <w:p w:rsidR="00A82190" w:rsidRPr="002E0C7E" w:rsidRDefault="00A82190" w:rsidP="004E3031">
            <w:pPr>
              <w:widowControl w:val="0"/>
              <w:jc w:val="center"/>
              <w:rPr>
                <w:rFonts w:ascii="Arial" w:hAnsi="Arial"/>
                <w:sz w:val="14"/>
              </w:rPr>
            </w:pPr>
            <w:r w:rsidRPr="002E0C7E">
              <w:rPr>
                <w:rFonts w:ascii="Arial" w:hAnsi="Arial"/>
                <w:sz w:val="14"/>
              </w:rPr>
              <w:t>9</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M</w:t>
            </w:r>
          </w:p>
          <w:p w:rsidR="00A82190" w:rsidRPr="002E0C7E" w:rsidRDefault="00A82190" w:rsidP="004E3031">
            <w:pPr>
              <w:widowControl w:val="0"/>
              <w:jc w:val="center"/>
              <w:rPr>
                <w:rFonts w:ascii="Arial" w:hAnsi="Arial"/>
                <w:sz w:val="14"/>
              </w:rPr>
            </w:pPr>
            <w:r w:rsidRPr="002E0C7E">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13</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14</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6</w:t>
            </w:r>
          </w:p>
        </w:tc>
        <w:tc>
          <w:tcPr>
            <w:tcW w:w="466"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M</w:t>
            </w:r>
          </w:p>
          <w:p w:rsidR="00A82190" w:rsidRPr="002E0C7E" w:rsidRDefault="00A82190" w:rsidP="004E3031">
            <w:pPr>
              <w:widowControl w:val="0"/>
              <w:jc w:val="center"/>
              <w:rPr>
                <w:rFonts w:ascii="Arial" w:hAnsi="Arial"/>
                <w:sz w:val="14"/>
              </w:rPr>
            </w:pPr>
            <w:r w:rsidRPr="002E0C7E">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9</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10</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11</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12</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w:t>
            </w:r>
          </w:p>
        </w:tc>
        <w:tc>
          <w:tcPr>
            <w:tcW w:w="480"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M</w:t>
            </w:r>
          </w:p>
          <w:p w:rsidR="00A82190" w:rsidRPr="002E0C7E" w:rsidRDefault="00A82190" w:rsidP="004E3031">
            <w:pPr>
              <w:widowControl w:val="0"/>
              <w:jc w:val="center"/>
              <w:rPr>
                <w:rFonts w:ascii="Arial" w:hAnsi="Arial"/>
                <w:sz w:val="14"/>
              </w:rPr>
            </w:pPr>
            <w:r w:rsidRPr="002E0C7E">
              <w:rPr>
                <w:rFonts w:ascii="Arial" w:hAnsi="Arial"/>
                <w:sz w:val="14"/>
              </w:rPr>
              <w:t>4</w:t>
            </w:r>
          </w:p>
        </w:tc>
        <w:tc>
          <w:tcPr>
            <w:tcW w:w="45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8</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9</w:t>
            </w:r>
          </w:p>
        </w:tc>
      </w:tr>
      <w:tr w:rsidR="00A82190" w:rsidRPr="002E0C7E" w:rsidTr="004E3031">
        <w:trPr>
          <w:cantSplit/>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15</w:t>
            </w:r>
          </w:p>
        </w:tc>
        <w:tc>
          <w:tcPr>
            <w:tcW w:w="492" w:type="dxa"/>
            <w:tcBorders>
              <w:top w:val="nil"/>
              <w:left w:val="single" w:sz="8" w:space="0" w:color="000000"/>
              <w:bottom w:val="single" w:sz="8" w:space="0" w:color="000000"/>
              <w:right w:val="nil"/>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20</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21</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13</w:t>
            </w:r>
          </w:p>
        </w:tc>
        <w:tc>
          <w:tcPr>
            <w:tcW w:w="466"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16</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17</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18</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19</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10</w:t>
            </w:r>
          </w:p>
        </w:tc>
        <w:tc>
          <w:tcPr>
            <w:tcW w:w="48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11</w:t>
            </w:r>
          </w:p>
        </w:tc>
        <w:tc>
          <w:tcPr>
            <w:tcW w:w="45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15</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16</w:t>
            </w:r>
          </w:p>
        </w:tc>
      </w:tr>
      <w:tr w:rsidR="00A82190" w:rsidRPr="002E0C7E" w:rsidTr="004E3031">
        <w:trPr>
          <w:cantSplit/>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22</w:t>
            </w:r>
          </w:p>
        </w:tc>
        <w:tc>
          <w:tcPr>
            <w:tcW w:w="49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vAlign w:val="cente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26</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27</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28</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20</w:t>
            </w:r>
          </w:p>
        </w:tc>
        <w:tc>
          <w:tcPr>
            <w:tcW w:w="466"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b/>
                <w:sz w:val="14"/>
              </w:rPr>
              <w:t>H</w:t>
            </w:r>
          </w:p>
          <w:p w:rsidR="00A82190" w:rsidRPr="002E0C7E" w:rsidRDefault="00A82190" w:rsidP="004E3031">
            <w:pPr>
              <w:widowControl w:val="0"/>
              <w:jc w:val="center"/>
              <w:rPr>
                <w:rFonts w:ascii="Arial" w:hAnsi="Arial"/>
                <w:sz w:val="14"/>
              </w:rPr>
            </w:pPr>
            <w:r w:rsidRPr="002E0C7E">
              <w:rPr>
                <w:rFonts w:ascii="Arial" w:hAnsi="Arial"/>
                <w:sz w:val="14"/>
              </w:rPr>
              <w:t>21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23</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24</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25</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26</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17</w:t>
            </w:r>
          </w:p>
        </w:tc>
        <w:tc>
          <w:tcPr>
            <w:tcW w:w="48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18</w:t>
            </w: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20</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22</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23</w:t>
            </w:r>
          </w:p>
        </w:tc>
      </w:tr>
      <w:tr w:rsidR="00A82190" w:rsidRPr="002E0C7E" w:rsidTr="004E3031">
        <w:trPr>
          <w:cantSplit/>
          <w:jc w:val="center"/>
        </w:trPr>
        <w:tc>
          <w:tcPr>
            <w:tcW w:w="446"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29</w:t>
            </w:r>
          </w:p>
        </w:tc>
        <w:tc>
          <w:tcPr>
            <w:tcW w:w="49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30</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73"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r w:rsidRPr="002E0C7E">
              <w:rPr>
                <w:rFonts w:ascii="Arial" w:hAnsi="Arial"/>
                <w:sz w:val="14"/>
              </w:rPr>
              <w:t xml:space="preserve">    </w:t>
            </w:r>
          </w:p>
          <w:p w:rsidR="00A82190" w:rsidRPr="002E0C7E" w:rsidRDefault="00A82190" w:rsidP="004E3031">
            <w:pPr>
              <w:widowControl w:val="0"/>
              <w:jc w:val="center"/>
              <w:rPr>
                <w:rFonts w:ascii="Arial" w:hAnsi="Arial"/>
                <w:sz w:val="14"/>
              </w:rPr>
            </w:pPr>
            <w:r w:rsidRPr="002E0C7E">
              <w:rPr>
                <w:rFonts w:ascii="Arial" w:hAnsi="Arial"/>
                <w:sz w:val="14"/>
              </w:rPr>
              <w:t>27</w:t>
            </w:r>
          </w:p>
        </w:tc>
        <w:tc>
          <w:tcPr>
            <w:tcW w:w="46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28</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29</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30</w:t>
            </w:r>
          </w:p>
        </w:tc>
        <w:tc>
          <w:tcPr>
            <w:tcW w:w="48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31</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472"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tc>
        <w:tc>
          <w:tcPr>
            <w:tcW w:w="420"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24</w:t>
            </w:r>
          </w:p>
        </w:tc>
        <w:tc>
          <w:tcPr>
            <w:tcW w:w="48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25</w:t>
            </w:r>
          </w:p>
        </w:tc>
        <w:tc>
          <w:tcPr>
            <w:tcW w:w="45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26</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27</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28</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29</w:t>
            </w:r>
          </w:p>
        </w:tc>
        <w:tc>
          <w:tcPr>
            <w:tcW w:w="470"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A82190" w:rsidRPr="002E0C7E" w:rsidRDefault="00A82190" w:rsidP="004E3031">
            <w:pPr>
              <w:widowControl w:val="0"/>
              <w:jc w:val="center"/>
              <w:rPr>
                <w:rFonts w:ascii="Arial" w:hAnsi="Arial"/>
                <w:sz w:val="14"/>
              </w:rPr>
            </w:pPr>
          </w:p>
          <w:p w:rsidR="00A82190" w:rsidRPr="002E0C7E" w:rsidRDefault="00A82190" w:rsidP="004E3031">
            <w:pPr>
              <w:widowControl w:val="0"/>
              <w:jc w:val="center"/>
              <w:rPr>
                <w:rFonts w:ascii="Arial" w:hAnsi="Arial"/>
                <w:sz w:val="14"/>
              </w:rPr>
            </w:pPr>
            <w:r w:rsidRPr="002E0C7E">
              <w:rPr>
                <w:rFonts w:ascii="Arial" w:hAnsi="Arial"/>
                <w:sz w:val="14"/>
              </w:rPr>
              <w:t>30</w:t>
            </w:r>
          </w:p>
        </w:tc>
      </w:tr>
    </w:tbl>
    <w:p w:rsidR="00A82190" w:rsidRPr="002E0C7E" w:rsidRDefault="00A82190" w:rsidP="00A82190">
      <w:pPr>
        <w:widowControl w:val="0"/>
        <w:rPr>
          <w:rFonts w:ascii="Arial" w:hAnsi="Arial"/>
          <w:sz w:val="16"/>
        </w:rPr>
      </w:pPr>
    </w:p>
    <w:tbl>
      <w:tblPr>
        <w:tblW w:w="10620" w:type="dxa"/>
        <w:tblInd w:w="120" w:type="dxa"/>
        <w:tblBorders>
          <w:top w:val="nil"/>
          <w:left w:val="nil"/>
          <w:bottom w:val="nil"/>
          <w:right w:val="nil"/>
          <w:insideH w:val="nil"/>
          <w:insideV w:val="nil"/>
        </w:tblBorders>
        <w:tblLayout w:type="fixed"/>
        <w:tblCellMar>
          <w:left w:w="120" w:type="dxa"/>
          <w:right w:w="120" w:type="dxa"/>
        </w:tblCellMar>
        <w:tblLook w:val="0000"/>
      </w:tblPr>
      <w:tblGrid>
        <w:gridCol w:w="1710"/>
        <w:gridCol w:w="540"/>
        <w:gridCol w:w="8370"/>
      </w:tblGrid>
      <w:tr w:rsidR="00A82190" w:rsidRPr="002E0C7E" w:rsidTr="004E3031">
        <w:trPr>
          <w:cantSplit/>
        </w:trPr>
        <w:tc>
          <w:tcPr>
            <w:tcW w:w="1710" w:type="dxa"/>
            <w:tcBorders>
              <w:top w:val="nil"/>
              <w:left w:val="nil"/>
              <w:bottom w:val="nil"/>
              <w:right w:val="nil"/>
            </w:tcBorders>
            <w:tcMar>
              <w:top w:w="43" w:type="dxa"/>
              <w:left w:w="120" w:type="dxa"/>
              <w:bottom w:w="29" w:type="dxa"/>
              <w:right w:w="120" w:type="dxa"/>
            </w:tcMar>
          </w:tcPr>
          <w:p w:rsidR="00A82190" w:rsidRPr="002E0C7E" w:rsidRDefault="00A82190" w:rsidP="004E3031">
            <w:pPr>
              <w:widowControl w:val="0"/>
              <w:rPr>
                <w:rFonts w:ascii="Arial" w:hAnsi="Arial"/>
                <w:sz w:val="16"/>
              </w:rPr>
            </w:pPr>
            <w:r w:rsidRPr="002E0C7E">
              <w:rPr>
                <w:rFonts w:ascii="Arial" w:hAnsi="Arial"/>
                <w:sz w:val="16"/>
              </w:rPr>
              <w:t>Sittings of the court:</w:t>
            </w:r>
          </w:p>
          <w:p w:rsidR="00A82190" w:rsidRPr="002E0C7E" w:rsidRDefault="00A82190" w:rsidP="004E3031">
            <w:pPr>
              <w:widowControl w:val="0"/>
              <w:rPr>
                <w:rFonts w:ascii="Arial" w:hAnsi="Arial"/>
                <w:sz w:val="16"/>
              </w:rPr>
            </w:pPr>
            <w:r w:rsidRPr="002E0C7E">
              <w:rPr>
                <w:rFonts w:ascii="Arial" w:hAnsi="Arial"/>
                <w:sz w:val="16"/>
              </w:rPr>
              <w:t>Séances de la cour :</w:t>
            </w:r>
          </w:p>
        </w:tc>
        <w:tc>
          <w:tcPr>
            <w:tcW w:w="540" w:type="dxa"/>
            <w:tcBorders>
              <w:top w:val="nil"/>
              <w:left w:val="nil"/>
              <w:bottom w:val="double" w:sz="8" w:space="0" w:color="000000"/>
              <w:right w:val="nil"/>
            </w:tcBorders>
            <w:shd w:val="pct30" w:color="000000" w:fill="auto"/>
            <w:tcMar>
              <w:top w:w="43" w:type="dxa"/>
              <w:left w:w="178" w:type="dxa"/>
              <w:bottom w:w="29" w:type="dxa"/>
              <w:right w:w="178" w:type="dxa"/>
            </w:tcMar>
          </w:tcPr>
          <w:p w:rsidR="00A82190" w:rsidRPr="002E0C7E" w:rsidRDefault="00A82190" w:rsidP="004E3031">
            <w:pPr>
              <w:widowControl w:val="0"/>
              <w:rPr>
                <w:rFonts w:ascii="Arial" w:hAnsi="Arial"/>
                <w:sz w:val="16"/>
              </w:rPr>
            </w:pPr>
          </w:p>
          <w:p w:rsidR="00A82190" w:rsidRPr="002E0C7E" w:rsidRDefault="00A82190" w:rsidP="004E3031">
            <w:pPr>
              <w:widowControl w:val="0"/>
              <w:rPr>
                <w:rFonts w:ascii="Arial" w:hAnsi="Arial"/>
                <w:sz w:val="16"/>
              </w:rPr>
            </w:pPr>
          </w:p>
        </w:tc>
        <w:tc>
          <w:tcPr>
            <w:tcW w:w="8370" w:type="dxa"/>
            <w:vMerge w:val="restart"/>
            <w:tcBorders>
              <w:top w:val="nil"/>
              <w:left w:val="nil"/>
              <w:bottom w:val="nil"/>
              <w:right w:val="nil"/>
            </w:tcBorders>
            <w:tcMar>
              <w:top w:w="43" w:type="dxa"/>
              <w:left w:w="139" w:type="dxa"/>
              <w:bottom w:w="29" w:type="dxa"/>
              <w:right w:w="120" w:type="dxa"/>
            </w:tcMar>
          </w:tcPr>
          <w:p w:rsidR="00A82190" w:rsidRPr="00B058C3" w:rsidRDefault="00A82190" w:rsidP="004E30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2E0C7E">
              <w:rPr>
                <w:rFonts w:ascii="Arial" w:hAnsi="Arial"/>
                <w:b/>
                <w:sz w:val="16"/>
              </w:rPr>
              <w:tab/>
            </w:r>
            <w:r w:rsidRPr="00B058C3">
              <w:rPr>
                <w:rFonts w:ascii="Arial" w:hAnsi="Arial"/>
                <w:b/>
                <w:sz w:val="16"/>
                <w:lang w:val="fr-CA"/>
              </w:rPr>
              <w:t>18  sitting weeks/semaines séances de la cour</w:t>
            </w:r>
          </w:p>
          <w:p w:rsidR="00A82190" w:rsidRPr="00B058C3" w:rsidRDefault="00A82190" w:rsidP="004E30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87  sitting days/journées séances de la cour</w:t>
            </w:r>
          </w:p>
          <w:p w:rsidR="00A82190" w:rsidRPr="00B058C3" w:rsidRDefault="00A82190" w:rsidP="004E30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9    motion and conference days/ journées des requêtes et des conférences</w:t>
            </w:r>
          </w:p>
          <w:p w:rsidR="00A82190" w:rsidRPr="002E0C7E" w:rsidRDefault="00A82190" w:rsidP="004E30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r w:rsidRPr="00B058C3">
              <w:rPr>
                <w:rFonts w:ascii="Arial" w:hAnsi="Arial"/>
                <w:b/>
                <w:sz w:val="16"/>
                <w:lang w:val="fr-CA"/>
              </w:rPr>
              <w:tab/>
            </w:r>
            <w:r w:rsidRPr="002E0C7E">
              <w:rPr>
                <w:rFonts w:ascii="Arial" w:hAnsi="Arial"/>
                <w:b/>
                <w:sz w:val="16"/>
              </w:rPr>
              <w:t>3    holidays during sitting days/ jours fériés durant les sessions</w:t>
            </w:r>
          </w:p>
          <w:p w:rsidR="00A82190" w:rsidRPr="002E0C7E" w:rsidRDefault="00A82190" w:rsidP="004E30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A82190" w:rsidRPr="002E0C7E" w:rsidTr="004E3031">
        <w:trPr>
          <w:cantSplit/>
        </w:trPr>
        <w:tc>
          <w:tcPr>
            <w:tcW w:w="1710" w:type="dxa"/>
            <w:tcBorders>
              <w:top w:val="nil"/>
              <w:left w:val="nil"/>
              <w:bottom w:val="nil"/>
              <w:right w:val="double" w:sz="8" w:space="0" w:color="000000"/>
            </w:tcBorders>
            <w:tcMar>
              <w:top w:w="43" w:type="dxa"/>
              <w:left w:w="120" w:type="dxa"/>
              <w:bottom w:w="29" w:type="dxa"/>
              <w:right w:w="120" w:type="dxa"/>
            </w:tcMar>
          </w:tcPr>
          <w:p w:rsidR="00A82190" w:rsidRPr="002E0C7E" w:rsidRDefault="00A82190" w:rsidP="004E30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Motions:</w:t>
            </w:r>
          </w:p>
          <w:p w:rsidR="00A82190" w:rsidRPr="002E0C7E" w:rsidRDefault="00A82190" w:rsidP="004E30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Requêtes :</w:t>
            </w:r>
          </w:p>
        </w:tc>
        <w:tc>
          <w:tcPr>
            <w:tcW w:w="540" w:type="dxa"/>
            <w:tcBorders>
              <w:top w:val="double" w:sz="8" w:space="0" w:color="000000"/>
              <w:left w:val="double" w:sz="8" w:space="0" w:color="000000"/>
              <w:bottom w:val="double" w:sz="8" w:space="0" w:color="000000"/>
              <w:right w:val="double" w:sz="8" w:space="0" w:color="000000"/>
            </w:tcBorders>
            <w:shd w:val="pct30" w:color="000000" w:fill="auto"/>
            <w:tcMar>
              <w:top w:w="43" w:type="dxa"/>
              <w:left w:w="178" w:type="dxa"/>
              <w:bottom w:w="29" w:type="dxa"/>
              <w:right w:w="178" w:type="dxa"/>
            </w:tcMar>
            <w:vAlign w:val="center"/>
          </w:tcPr>
          <w:p w:rsidR="00A82190" w:rsidRPr="002E0C7E" w:rsidRDefault="00A82190" w:rsidP="004E30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b/>
                <w:sz w:val="16"/>
              </w:rPr>
              <w:t>M</w:t>
            </w:r>
          </w:p>
        </w:tc>
        <w:tc>
          <w:tcPr>
            <w:tcW w:w="8370" w:type="dxa"/>
            <w:vMerge/>
            <w:tcBorders>
              <w:top w:val="nil"/>
              <w:left w:val="double" w:sz="8" w:space="0" w:color="000000"/>
              <w:bottom w:val="nil"/>
              <w:right w:val="nil"/>
            </w:tcBorders>
            <w:tcMar>
              <w:top w:w="43" w:type="dxa"/>
              <w:left w:w="139" w:type="dxa"/>
              <w:bottom w:w="29" w:type="dxa"/>
              <w:right w:w="120" w:type="dxa"/>
            </w:tcMar>
          </w:tcPr>
          <w:p w:rsidR="00A82190" w:rsidRPr="002E0C7E" w:rsidRDefault="00A82190" w:rsidP="004E30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A82190" w:rsidRPr="002E0C7E" w:rsidTr="004E3031">
        <w:trPr>
          <w:cantSplit/>
        </w:trPr>
        <w:tc>
          <w:tcPr>
            <w:tcW w:w="1710" w:type="dxa"/>
            <w:tcBorders>
              <w:top w:val="nil"/>
              <w:left w:val="nil"/>
              <w:bottom w:val="nil"/>
              <w:right w:val="double" w:sz="8" w:space="0" w:color="000000"/>
            </w:tcBorders>
            <w:tcMar>
              <w:top w:w="43" w:type="dxa"/>
              <w:left w:w="120" w:type="dxa"/>
              <w:bottom w:w="29" w:type="dxa"/>
              <w:right w:w="120" w:type="dxa"/>
            </w:tcMar>
          </w:tcPr>
          <w:p w:rsidR="00A82190" w:rsidRPr="002E0C7E" w:rsidRDefault="00A82190" w:rsidP="004E30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Holidays:</w:t>
            </w:r>
          </w:p>
          <w:p w:rsidR="00A82190" w:rsidRPr="002E0C7E" w:rsidRDefault="00A82190" w:rsidP="004E30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lang w:val="fr-CA"/>
              </w:rPr>
            </w:pPr>
            <w:r w:rsidRPr="002E0C7E">
              <w:rPr>
                <w:rFonts w:ascii="Arial" w:hAnsi="Arial"/>
                <w:sz w:val="16"/>
                <w:lang w:val="fr-CA"/>
              </w:rPr>
              <w:t>Jours fériés :</w:t>
            </w:r>
          </w:p>
        </w:tc>
        <w:tc>
          <w:tcPr>
            <w:tcW w:w="540" w:type="dxa"/>
            <w:tcBorders>
              <w:top w:val="double" w:sz="8" w:space="0" w:color="000000"/>
              <w:left w:val="double" w:sz="8" w:space="0" w:color="000000"/>
              <w:bottom w:val="double" w:sz="8" w:space="0" w:color="000000"/>
              <w:right w:val="double" w:sz="8" w:space="0" w:color="000000"/>
            </w:tcBorders>
            <w:tcMar>
              <w:top w:w="43" w:type="dxa"/>
              <w:left w:w="178" w:type="dxa"/>
              <w:bottom w:w="29" w:type="dxa"/>
              <w:right w:w="178" w:type="dxa"/>
            </w:tcMar>
            <w:vAlign w:val="center"/>
          </w:tcPr>
          <w:p w:rsidR="00A82190" w:rsidRPr="002E0C7E" w:rsidRDefault="00A82190" w:rsidP="004E3031">
            <w:pPr>
              <w:widowControl w:val="0"/>
              <w:tabs>
                <w:tab w:val="center" w:pos="150"/>
              </w:tabs>
              <w:rPr>
                <w:rFonts w:ascii="Arial" w:hAnsi="Arial"/>
                <w:sz w:val="16"/>
              </w:rPr>
            </w:pPr>
            <w:r w:rsidRPr="002E0C7E">
              <w:rPr>
                <w:rFonts w:ascii="Arial" w:hAnsi="Arial"/>
                <w:b/>
                <w:sz w:val="16"/>
              </w:rPr>
              <w:tab/>
              <w:t>H</w:t>
            </w:r>
          </w:p>
        </w:tc>
        <w:tc>
          <w:tcPr>
            <w:tcW w:w="8370" w:type="dxa"/>
            <w:vMerge/>
            <w:tcBorders>
              <w:top w:val="nil"/>
              <w:left w:val="double" w:sz="8" w:space="0" w:color="000000"/>
              <w:bottom w:val="nil"/>
              <w:right w:val="nil"/>
            </w:tcBorders>
            <w:tcMar>
              <w:top w:w="43" w:type="dxa"/>
              <w:left w:w="139" w:type="dxa"/>
              <w:bottom w:w="29" w:type="dxa"/>
              <w:right w:w="120" w:type="dxa"/>
            </w:tcMar>
          </w:tcPr>
          <w:p w:rsidR="00A82190" w:rsidRPr="002E0C7E" w:rsidRDefault="00A82190" w:rsidP="004E303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bl>
    <w:p w:rsidR="00A82190" w:rsidRPr="002E0C7E" w:rsidRDefault="00A82190" w:rsidP="00A82190">
      <w:pPr>
        <w:widowControl w:val="0"/>
        <w:rPr>
          <w:rFonts w:ascii="Arial" w:hAnsi="Arial"/>
          <w:sz w:val="16"/>
        </w:rPr>
      </w:pPr>
    </w:p>
    <w:p w:rsidR="002410B8" w:rsidRPr="0022323B" w:rsidRDefault="002410B8" w:rsidP="00A82190">
      <w:pPr>
        <w:jc w:val="center"/>
        <w:rPr>
          <w:lang w:val="fr-CA"/>
        </w:rPr>
      </w:pPr>
    </w:p>
    <w:sectPr w:rsidR="002410B8" w:rsidRPr="0022323B" w:rsidSect="00924065">
      <w:headerReference w:type="default" r:id="rId75"/>
      <w:footerReference w:type="default" r:id="rId76"/>
      <w:pgSz w:w="12240" w:h="15840" w:code="1"/>
      <w:pgMar w:top="720" w:right="720" w:bottom="1110" w:left="1080" w:header="144" w:footer="14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C2D" w:rsidRDefault="001A6C2D" w:rsidP="00A87207">
      <w:r>
        <w:separator/>
      </w:r>
    </w:p>
  </w:endnote>
  <w:endnote w:type="continuationSeparator" w:id="0">
    <w:p w:rsidR="001A6C2D" w:rsidRDefault="001A6C2D" w:rsidP="00A87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pPr>
      <w:pStyle w:val="Footer"/>
      <w:rPr>
        <w:lang w:val="fr-CA"/>
      </w:rPr>
    </w:pPr>
    <w:r w:rsidRPr="004D20D2">
      <w:rPr>
        <w:lang w:val="fr-CA"/>
      </w:rPr>
      <w:pict>
        <v:rect id="_x0000_i1046" style="width:480.95pt;height:1pt" o:hralign="center" o:hrstd="t" o:hrnoshade="t" o:hr="t" fillcolor="black [3213]" stroked="f"/>
      </w:pict>
    </w:r>
  </w:p>
  <w:p w:rsidR="001A6C2D" w:rsidRDefault="001A6C2D" w:rsidP="00245129">
    <w:pPr>
      <w:tabs>
        <w:tab w:val="center" w:pos="4680"/>
      </w:tabs>
    </w:pPr>
    <w:r>
      <w:tab/>
    </w:r>
    <w:r w:rsidRPr="0009648D">
      <w:t xml:space="preserve">- </w:t>
    </w:r>
    <w:fldSimple w:instr=" PAGE   \* MERGEFORMAT ">
      <w:r w:rsidR="00663B19">
        <w:rPr>
          <w:noProof/>
        </w:rPr>
        <w:t>1136</w:t>
      </w:r>
    </w:fldSimple>
    <w:r w:rsidRPr="0009648D">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A6C2D" w:rsidRDefault="001A6C2D">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rsidP="00EB2B90">
    <w:pPr>
      <w:tabs>
        <w:tab w:val="center" w:pos="4680"/>
      </w:tabs>
    </w:pPr>
    <w:r>
      <w:pict>
        <v:rect id="_x0000_i1048" style="width:480.95pt;height:1pt" o:hralign="center" o:hrstd="t" o:hrnoshade="t" o:hr="t" fillcolor="black" stroked="f"/>
      </w:pict>
    </w:r>
  </w:p>
  <w:p w:rsidR="001A6C2D" w:rsidRPr="002864CC" w:rsidRDefault="001A6C2D" w:rsidP="00EB2B90">
    <w:pPr>
      <w:tabs>
        <w:tab w:val="center" w:pos="4680"/>
      </w:tabs>
    </w:pPr>
    <w:r w:rsidRPr="002864CC">
      <w:tab/>
      <w:t xml:space="preserve">- </w:t>
    </w:r>
    <w:fldSimple w:instr=" PAGE   \* MERGEFORMAT ">
      <w:r w:rsidR="00663B19">
        <w:rPr>
          <w:noProof/>
        </w:rPr>
        <w:t>1140</w:t>
      </w:r>
    </w:fldSimple>
    <w:r w:rsidRPr="002864CC">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pPr>
      <w:pStyle w:val="Footer"/>
    </w:pPr>
    <w:r>
      <w:pict>
        <v:rect id="_x0000_i1049" style="width:480.95pt;height:1pt" o:hralign="center" o:hrstd="t" o:hrnoshade="t" o:hr="t" fillcolor="black" stroked="f"/>
      </w:pict>
    </w:r>
  </w:p>
  <w:p w:rsidR="001A6C2D" w:rsidRPr="002864CC" w:rsidRDefault="001A6C2D" w:rsidP="00EB2B90">
    <w:pPr>
      <w:tabs>
        <w:tab w:val="center" w:pos="4680"/>
      </w:tabs>
    </w:pPr>
    <w:r>
      <w:tab/>
      <w:t xml:space="preserve">- </w:t>
    </w:r>
    <w:fldSimple w:instr=" PAGE   \* MERGEFORMAT ">
      <w:r w:rsidR="00663B19">
        <w:rPr>
          <w:noProof/>
        </w:rPr>
        <w:t>1139</w:t>
      </w:r>
    </w:fldSimple>
    <w: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A6C2D" w:rsidRDefault="001A6C2D">
    <w:pPr>
      <w:tabs>
        <w:tab w:val="center" w:pos="4740"/>
      </w:tabs>
    </w:pPr>
    <w:r>
      <w:tab/>
      <w:t xml:space="preserve">- </w:t>
    </w:r>
    <w:r>
      <w:pgNum/>
    </w:r>
    <w: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rsidP="00755F22">
    <w:pPr>
      <w:tabs>
        <w:tab w:val="left" w:pos="-1440"/>
        <w:tab w:val="left" w:pos="-720"/>
      </w:tabs>
    </w:pPr>
    <w:r>
      <w:pict>
        <v:rect id="_x0000_i1054" style="width:480.95pt;height:1pt" o:hralign="center" o:hrstd="t" o:hrnoshade="t" o:hr="t" fillcolor="black [3213]" stroked="f"/>
      </w:pict>
    </w:r>
  </w:p>
  <w:p w:rsidR="001A6C2D" w:rsidRDefault="001A6C2D" w:rsidP="00EB2B90">
    <w:pPr>
      <w:tabs>
        <w:tab w:val="center" w:pos="4680"/>
      </w:tabs>
    </w:pPr>
    <w:r>
      <w:tab/>
      <w:t xml:space="preserve">- </w:t>
    </w:r>
    <w:fldSimple w:instr=" PAGE   \* MERGEFORMAT ">
      <w:r w:rsidR="00663B19">
        <w:rPr>
          <w:noProof/>
        </w:rPr>
        <w:t>1145</w:t>
      </w:r>
    </w:fldSimple>
    <w: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rsidP="00EB2B90">
    <w:pPr>
      <w:tabs>
        <w:tab w:val="center" w:pos="4680"/>
      </w:tabs>
    </w:pPr>
    <w:r>
      <w:pict>
        <v:rect id="_x0000_i1055" style="width:480.95pt;height:1pt" o:hralign="center" o:hrstd="t" o:hrnoshade="t" o:hr="t" fillcolor="black [3213]" stroked="f"/>
      </w:pict>
    </w:r>
  </w:p>
  <w:p w:rsidR="001A6C2D" w:rsidRPr="0031432F" w:rsidRDefault="001A6C2D" w:rsidP="00EB2B90">
    <w:pPr>
      <w:tabs>
        <w:tab w:val="center" w:pos="4680"/>
      </w:tabs>
    </w:pPr>
    <w:r>
      <w:tab/>
      <w:t xml:space="preserve">- </w:t>
    </w:r>
    <w:fldSimple w:instr=" PAGE   \* MERGEFORMAT ">
      <w:r w:rsidR="00663B19">
        <w:rPr>
          <w:noProof/>
        </w:rPr>
        <w:t>1141</w:t>
      </w:r>
    </w:fldSimple>
    <w: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A6C2D" w:rsidRDefault="001A6C2D">
    <w:pPr>
      <w:tabs>
        <w:tab w:val="center" w:pos="4740"/>
      </w:tabs>
    </w:pPr>
    <w:r>
      <w:tab/>
      <w:t xml:space="preserve">- </w:t>
    </w:r>
    <w:r>
      <w:pgNum/>
    </w:r>
    <w: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D20D2">
      <w:rPr>
        <w:lang w:val="fr-CA"/>
      </w:rPr>
      <w:pict>
        <v:rect id="_x0000_i1058" style="width:480.95pt;height:1pt" o:hralign="center" o:hrstd="t" o:hrnoshade="t" o:hr="t" fillcolor="black [3213]" stroked="f"/>
      </w:pict>
    </w:r>
  </w:p>
  <w:p w:rsidR="001A6C2D" w:rsidRDefault="001A6C2D" w:rsidP="00EB2B90">
    <w:pPr>
      <w:tabs>
        <w:tab w:val="center" w:pos="4680"/>
      </w:tabs>
    </w:pPr>
    <w:r>
      <w:tab/>
      <w:t xml:space="preserve">- </w:t>
    </w:r>
    <w:fldSimple w:instr=" PAGE   \* MERGEFORMAT ">
      <w:r>
        <w:rPr>
          <w:noProof/>
        </w:rPr>
        <w:t>519</w:t>
      </w:r>
    </w:fldSimple>
    <w:r>
      <w:t xml:space="preserve"> -</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pPr>
      <w:pStyle w:val="Footer"/>
      <w:rPr>
        <w:lang w:val="fr-CA"/>
      </w:rPr>
    </w:pPr>
    <w:r w:rsidRPr="004D20D2">
      <w:rPr>
        <w:lang w:val="fr-CA"/>
      </w:rPr>
      <w:pict>
        <v:rect id="_x0000_i1059" style="width:480.95pt;height:1pt" o:hralign="center" o:hrstd="t" o:hrnoshade="t" o:hr="t" fillcolor="black [3213]" stroked="f"/>
      </w:pict>
    </w:r>
  </w:p>
  <w:p w:rsidR="001A6C2D" w:rsidRDefault="001A6C2D" w:rsidP="00EB2B90">
    <w:pPr>
      <w:tabs>
        <w:tab w:val="center" w:pos="4680"/>
      </w:tabs>
    </w:pPr>
    <w:r>
      <w:tab/>
      <w:t xml:space="preserve">- </w:t>
    </w:r>
    <w:fldSimple w:instr=" PAGE   \* MERGEFORMAT ">
      <w:r w:rsidR="00663B19">
        <w:rPr>
          <w:noProof/>
        </w:rPr>
        <w:t>1146</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A6C2D" w:rsidRDefault="001A6C2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A6C2D" w:rsidRDefault="001A6C2D">
    <w:pPr>
      <w:widowControl w:val="0"/>
      <w:tabs>
        <w:tab w:val="center" w:pos="4740"/>
      </w:tabs>
    </w:pPr>
    <w:r>
      <w:tab/>
      <w:t xml:space="preserve">- </w:t>
    </w:r>
    <w:r>
      <w:pgNum/>
    </w:r>
    <w:r>
      <w:t xml:space="preserve"> -</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D20D2">
      <w:rPr>
        <w:lang w:val="fr-CA"/>
      </w:rPr>
      <w:pict>
        <v:rect id="_x0000_i1061" style="width:480.95pt;height:1pt" o:hralign="center" o:hrstd="t" o:hrnoshade="t" o:hr="t" fillcolor="black [3213]" stroked="f"/>
      </w:pict>
    </w:r>
  </w:p>
  <w:p w:rsidR="001A6C2D" w:rsidRDefault="001A6C2D" w:rsidP="00697C62">
    <w:pPr>
      <w:tabs>
        <w:tab w:val="center" w:pos="4680"/>
      </w:tabs>
    </w:pPr>
    <w:r>
      <w:tab/>
      <w:t xml:space="preserve">- </w:t>
    </w:r>
    <w:r w:rsidR="004D20D2" w:rsidRPr="00B74FED">
      <w:rPr>
        <w:szCs w:val="24"/>
      </w:rPr>
      <w:fldChar w:fldCharType="begin"/>
    </w:r>
    <w:r w:rsidRPr="00B74FED">
      <w:rPr>
        <w:szCs w:val="24"/>
      </w:rPr>
      <w:instrText xml:space="preserve"> PAGE   \* MERGEFORMAT </w:instrText>
    </w:r>
    <w:r w:rsidR="004D20D2" w:rsidRPr="00B74FED">
      <w:rPr>
        <w:szCs w:val="24"/>
      </w:rPr>
      <w:fldChar w:fldCharType="separate"/>
    </w:r>
    <w:r>
      <w:rPr>
        <w:noProof/>
        <w:szCs w:val="24"/>
      </w:rPr>
      <w:t>1159</w:t>
    </w:r>
    <w:r w:rsidR="004D20D2" w:rsidRPr="00B74FED">
      <w:rPr>
        <w:szCs w:val="24"/>
      </w:rPr>
      <w:fldChar w:fldCharType="end"/>
    </w:r>
    <w:r>
      <w:t xml:space="preserve"> -</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rsidP="00802863">
    <w:pPr>
      <w:widowControl w:val="0"/>
      <w:tabs>
        <w:tab w:val="left" w:pos="-1440"/>
        <w:tab w:val="left" w:pos="-720"/>
      </w:tabs>
    </w:pPr>
    <w:r w:rsidRPr="004D20D2">
      <w:rPr>
        <w:lang w:val="fr-CA"/>
      </w:rPr>
      <w:pict>
        <v:rect id="_x0000_i1062" style="width:480.95pt;height:1pt" o:hralign="center" o:hrstd="t" o:hrnoshade="t" o:hr="t" fillcolor="black [3213]" stroked="f"/>
      </w:pict>
    </w:r>
  </w:p>
  <w:p w:rsidR="001A6C2D" w:rsidRPr="00180897" w:rsidRDefault="001A6C2D" w:rsidP="00697C62">
    <w:pPr>
      <w:tabs>
        <w:tab w:val="center" w:pos="4680"/>
      </w:tabs>
    </w:pPr>
    <w:r>
      <w:tab/>
      <w:t xml:space="preserve">- </w:t>
    </w:r>
    <w:r w:rsidR="004D20D2" w:rsidRPr="00B74FED">
      <w:rPr>
        <w:szCs w:val="24"/>
      </w:rPr>
      <w:fldChar w:fldCharType="begin"/>
    </w:r>
    <w:r w:rsidRPr="00B74FED">
      <w:rPr>
        <w:szCs w:val="24"/>
      </w:rPr>
      <w:instrText xml:space="preserve"> PAGE   \* MERGEFORMAT </w:instrText>
    </w:r>
    <w:r w:rsidR="004D20D2" w:rsidRPr="00B74FED">
      <w:rPr>
        <w:szCs w:val="24"/>
      </w:rPr>
      <w:fldChar w:fldCharType="separate"/>
    </w:r>
    <w:r w:rsidR="00663B19">
      <w:rPr>
        <w:noProof/>
        <w:szCs w:val="24"/>
      </w:rPr>
      <w:t>1147</w:t>
    </w:r>
    <w:r w:rsidR="004D20D2" w:rsidRPr="00B74FED">
      <w:rPr>
        <w:szCs w:val="24"/>
      </w:rPr>
      <w:fldChar w:fldCharType="end"/>
    </w:r>
    <w:r>
      <w:t xml:space="preserve"> -</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A6C2D" w:rsidRDefault="001A6C2D">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rsidP="00732DB7">
    <w:r>
      <w:pict>
        <v:rect id="_x0000_i1066" style="width:480.95pt;height:1pt" o:hralign="center" o:hrstd="t" o:hrnoshade="t" o:hr="t" fillcolor="black" stroked="f"/>
      </w:pict>
    </w:r>
  </w:p>
  <w:p w:rsidR="001A6C2D" w:rsidRDefault="001A6C2D">
    <w:pPr>
      <w:tabs>
        <w:tab w:val="center" w:pos="4740"/>
      </w:tabs>
      <w:spacing w:line="0" w:lineRule="atLeast"/>
    </w:pPr>
    <w:r>
      <w:tab/>
      <w:t xml:space="preserve">- </w:t>
    </w:r>
    <w:r>
      <w:pgNum/>
    </w:r>
    <w:r>
      <w:t xml:space="preserve"> -</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pPr>
      <w:pStyle w:val="Footer"/>
    </w:pPr>
    <w:r>
      <w:pict>
        <v:rect id="_x0000_i1067" style="width:480.95pt;height:1pt" o:hralign="center" o:hrstd="t" o:hrnoshade="t" o:hr="t" fillcolor="black [3213]" stroked="f"/>
      </w:pict>
    </w:r>
  </w:p>
  <w:p w:rsidR="001A6C2D" w:rsidRPr="003C2C0F" w:rsidRDefault="001A6C2D" w:rsidP="00697C62">
    <w:pPr>
      <w:tabs>
        <w:tab w:val="center" w:pos="4680"/>
      </w:tabs>
    </w:pPr>
    <w:r>
      <w:tab/>
      <w:t xml:space="preserve">- </w:t>
    </w:r>
    <w:fldSimple w:instr=" PAGE   \* MERGEFORMAT ">
      <w:r w:rsidR="00663B19">
        <w:rPr>
          <w:noProof/>
        </w:rPr>
        <w:t>1148</w:t>
      </w:r>
    </w:fldSimple>
    <w:r>
      <w:t xml:space="preserve"> -</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A6C2D" w:rsidRDefault="001A6C2D">
    <w:pPr>
      <w:tabs>
        <w:tab w:val="center" w:pos="4740"/>
      </w:tabs>
    </w:pPr>
    <w:r>
      <w:tab/>
      <w:t xml:space="preserve">- </w:t>
    </w:r>
    <w:r>
      <w:pgNum/>
    </w:r>
    <w:r>
      <w:t xml:space="preserve"> -</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1A6C2D" w:rsidRDefault="004D20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72" style="width:480.95pt;height:1pt" o:hralign="center" o:hrstd="t" o:hrnoshade="t" o:hr="t" fillcolor="black [3213]" stroked="f"/>
      </w:pict>
    </w:r>
  </w:p>
  <w:p w:rsidR="001A6C2D" w:rsidRDefault="001A6C2D" w:rsidP="00782AE4">
    <w:pPr>
      <w:tabs>
        <w:tab w:val="center" w:pos="4680"/>
      </w:tabs>
    </w:pPr>
    <w:r>
      <w:tab/>
      <w:t xml:space="preserve">- </w:t>
    </w:r>
    <w:r w:rsidR="004D20D2" w:rsidRPr="001775C1">
      <w:rPr>
        <w:szCs w:val="24"/>
      </w:rPr>
      <w:fldChar w:fldCharType="begin"/>
    </w:r>
    <w:r w:rsidRPr="001775C1">
      <w:rPr>
        <w:szCs w:val="24"/>
      </w:rPr>
      <w:instrText xml:space="preserve"> PAGE   \* MERGEFORMAT </w:instrText>
    </w:r>
    <w:r w:rsidR="004D20D2" w:rsidRPr="001775C1">
      <w:rPr>
        <w:szCs w:val="24"/>
      </w:rPr>
      <w:fldChar w:fldCharType="separate"/>
    </w:r>
    <w:r w:rsidR="00663B19">
      <w:rPr>
        <w:noProof/>
        <w:szCs w:val="24"/>
      </w:rPr>
      <w:t>1166</w:t>
    </w:r>
    <w:r w:rsidR="004D20D2" w:rsidRPr="001775C1">
      <w:rPr>
        <w:szCs w:val="24"/>
      </w:rPr>
      <w:fldChar w:fldCharType="end"/>
    </w:r>
    <w:r>
      <w:t xml:space="preserve"> -</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rsidP="00782AE4">
    <w:pPr>
      <w:tabs>
        <w:tab w:val="center" w:pos="4680"/>
      </w:tabs>
    </w:pPr>
    <w:r>
      <w:pict>
        <v:rect id="_x0000_i1073" style="width:480.95pt;height:1pt" o:hralign="center" o:hrstd="t" o:hrnoshade="t" o:hr="t" fillcolor="black [3213]" stroked="f"/>
      </w:pict>
    </w:r>
  </w:p>
  <w:p w:rsidR="001A6C2D" w:rsidRDefault="001A6C2D" w:rsidP="00782AE4">
    <w:pPr>
      <w:tabs>
        <w:tab w:val="center" w:pos="4680"/>
      </w:tabs>
    </w:pPr>
    <w:r>
      <w:tab/>
      <w:t xml:space="preserve">- </w:t>
    </w:r>
    <w:r w:rsidR="004D20D2" w:rsidRPr="001775C1">
      <w:rPr>
        <w:szCs w:val="24"/>
      </w:rPr>
      <w:fldChar w:fldCharType="begin"/>
    </w:r>
    <w:r w:rsidRPr="001775C1">
      <w:rPr>
        <w:szCs w:val="24"/>
      </w:rPr>
      <w:instrText xml:space="preserve"> PAGE   \* MERGEFORMAT </w:instrText>
    </w:r>
    <w:r w:rsidR="004D20D2" w:rsidRPr="001775C1">
      <w:rPr>
        <w:szCs w:val="24"/>
      </w:rPr>
      <w:fldChar w:fldCharType="separate"/>
    </w:r>
    <w:r w:rsidR="00663B19">
      <w:rPr>
        <w:noProof/>
        <w:szCs w:val="24"/>
      </w:rPr>
      <w:t>1150</w:t>
    </w:r>
    <w:r w:rsidR="004D20D2" w:rsidRPr="001775C1">
      <w:rPr>
        <w:szCs w:val="24"/>
      </w:rPr>
      <w:fldChar w:fldCharType="end"/>
    </w:r>
    <w:r>
      <w:t xml:space="preserve"> -</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p w:rsidR="001A6C2D" w:rsidRDefault="001A6C2D">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0" w:lineRule="atLeast"/>
    </w:pPr>
  </w:p>
  <w:p w:rsidR="001A6C2D" w:rsidRDefault="001A6C2D">
    <w:pPr>
      <w:tabs>
        <w:tab w:val="center" w:pos="4740"/>
      </w:tabs>
    </w:pPr>
    <w:r>
      <w:tab/>
      <w:t xml:space="preserve">- </w:t>
    </w:r>
    <w:r>
      <w:pgNum/>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Foote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rsidP="0022323B">
    <w:r>
      <w:pict>
        <v:rect id="_x0000_i1075" style="width:480.95pt;height:1pt" o:hralign="center" o:hrstd="t" o:hrnoshade="t" o:hr="t" fillcolor="black [3213]" stroked="f"/>
      </w:pict>
    </w:r>
  </w:p>
  <w:p w:rsidR="001A6C2D" w:rsidRDefault="001A6C2D">
    <w:pPr>
      <w:tabs>
        <w:tab w:val="center" w:pos="4740"/>
      </w:tabs>
      <w:spacing w:line="0" w:lineRule="atLeast"/>
    </w:pPr>
    <w:r>
      <w:tab/>
      <w:t xml:space="preserve">- </w:t>
    </w:r>
    <w:fldSimple w:instr=" PAGE   \* MERGEFORMAT ">
      <w:r>
        <w:rPr>
          <w:noProof/>
        </w:rPr>
        <w:t>535</w:t>
      </w:r>
    </w:fldSimple>
    <w:r>
      <w:t xml:space="preserve"> -</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rsidP="0022323B">
    <w:r>
      <w:pict>
        <v:rect id="_x0000_i1076" style="width:480.95pt;height:1pt" o:hralign="center" o:hrstd="t" o:hrnoshade="t" o:hr="t" fillcolor="black [3213]" stroked="f"/>
      </w:pict>
    </w:r>
  </w:p>
  <w:p w:rsidR="001A6C2D" w:rsidRDefault="001A6C2D" w:rsidP="0022323B">
    <w:pPr>
      <w:tabs>
        <w:tab w:val="center" w:pos="4740"/>
      </w:tabs>
      <w:spacing w:line="0" w:lineRule="atLeast"/>
    </w:pPr>
    <w:r>
      <w:tab/>
      <w:t xml:space="preserve">- </w:t>
    </w:r>
    <w:fldSimple w:instr=" PAGE   \* MERGEFORMAT ">
      <w:r w:rsidR="00663B19">
        <w:rPr>
          <w:noProof/>
        </w:rPr>
        <w:t>1167</w:t>
      </w:r>
    </w:fldSimple>
    <w:r>
      <w:t xml:space="preserve"> -</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r w:rsidRPr="004D20D2">
      <w:rPr>
        <w:lang w:val="fr-CA"/>
      </w:rPr>
      <w:pict>
        <v:rect id="_x0000_i1079" style="width:480.95pt;height:1pt" o:hralign="center" o:hrstd="t" o:hrnoshade="t" o:hr="t" fillcolor="black [3213]" stroked="f"/>
      </w:pict>
    </w:r>
  </w:p>
  <w:p w:rsidR="001A6C2D" w:rsidRDefault="001A6C2D" w:rsidP="006B6926">
    <w:pPr>
      <w:tabs>
        <w:tab w:val="center" w:pos="4680"/>
      </w:tabs>
    </w:pPr>
    <w:r>
      <w:tab/>
      <w:t xml:space="preserve">- </w:t>
    </w:r>
    <w:fldSimple w:instr="PAGE ">
      <w:r>
        <w:rPr>
          <w:noProof/>
        </w:rPr>
        <w:t>540</w:t>
      </w:r>
    </w:fldSimple>
    <w:r>
      <w:t xml:space="preserve"> -</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rsidP="006B6926">
    <w:pPr>
      <w:tabs>
        <w:tab w:val="center" w:pos="4680"/>
      </w:tabs>
      <w:rPr>
        <w:lang w:val="fr-CA"/>
      </w:rPr>
    </w:pPr>
    <w:r w:rsidRPr="004D20D2">
      <w:rPr>
        <w:lang w:val="fr-CA"/>
      </w:rPr>
      <w:pict>
        <v:rect id="_x0000_i1080" style="width:480.95pt;height:1pt" o:hralign="center" o:hrstd="t" o:hrnoshade="t" o:hr="t" fillcolor="black [3213]" stroked="f"/>
      </w:pict>
    </w:r>
  </w:p>
  <w:p w:rsidR="001A6C2D" w:rsidRDefault="001A6C2D" w:rsidP="006B6926">
    <w:pPr>
      <w:tabs>
        <w:tab w:val="center" w:pos="4680"/>
      </w:tabs>
    </w:pPr>
    <w:r>
      <w:tab/>
      <w:t xml:space="preserve">- </w:t>
    </w:r>
    <w:fldSimple w:instr="PAGE ">
      <w:r w:rsidR="00663B19">
        <w:rPr>
          <w:noProof/>
        </w:rPr>
        <w:t>1168</w:t>
      </w:r>
    </w:fldSimple>
    <w:r>
      <w:t xml:space="preserve"> -</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Pr="00924065" w:rsidRDefault="001A6C2D" w:rsidP="00924065">
    <w:pPr>
      <w:pStyle w:val="Footer"/>
      <w:rPr>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rsidP="00A87207">
    <w:pPr>
      <w:pStyle w:val="Footer"/>
    </w:pPr>
    <w:r>
      <w:pict>
        <v:rect id="_x0000_i1036" style="width:480.95pt;height:1pt" o:hralign="center" o:hrstd="t" o:hrnoshade="t" o:hr="t" fillcolor="black [3213]" stroked="f"/>
      </w:pict>
    </w:r>
  </w:p>
  <w:p w:rsidR="001A6C2D" w:rsidRPr="00B7374B" w:rsidRDefault="001A6C2D" w:rsidP="00B7374B">
    <w:pPr>
      <w:tabs>
        <w:tab w:val="center" w:pos="4680"/>
      </w:tabs>
      <w:rPr>
        <w:szCs w:val="24"/>
      </w:rPr>
    </w:pPr>
    <w:r w:rsidRPr="00954D22">
      <w:rPr>
        <w:szCs w:val="24"/>
      </w:rPr>
      <w:tab/>
      <w:t xml:space="preserve">- </w:t>
    </w:r>
    <w:r w:rsidR="004D20D2" w:rsidRPr="00954D22">
      <w:rPr>
        <w:szCs w:val="24"/>
      </w:rPr>
      <w:fldChar w:fldCharType="begin"/>
    </w:r>
    <w:r w:rsidRPr="00954D22">
      <w:rPr>
        <w:szCs w:val="24"/>
      </w:rPr>
      <w:instrText xml:space="preserve"> PAGE   \* MERGEFORMAT </w:instrText>
    </w:r>
    <w:r w:rsidR="004D20D2" w:rsidRPr="00954D22">
      <w:rPr>
        <w:szCs w:val="24"/>
      </w:rPr>
      <w:fldChar w:fldCharType="separate"/>
    </w:r>
    <w:r w:rsidR="00663B19">
      <w:rPr>
        <w:noProof/>
        <w:szCs w:val="24"/>
      </w:rPr>
      <w:t>1134</w:t>
    </w:r>
    <w:r w:rsidR="004D20D2" w:rsidRPr="00954D22">
      <w:rPr>
        <w:szCs w:val="24"/>
      </w:rPr>
      <w:fldChar w:fldCharType="end"/>
    </w:r>
    <w:r w:rsidRPr="00954D22">
      <w:rPr>
        <w:szCs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rsidP="00755F22">
    <w:pPr>
      <w:tabs>
        <w:tab w:val="left" w:pos="-1440"/>
        <w:tab w:val="left" w:pos="-720"/>
      </w:tabs>
    </w:pPr>
    <w:r>
      <w:pict>
        <v:rect id="_x0000_i1037" style="width:480.95pt;height:1pt" o:hralign="center" o:hrstd="t" o:hrnoshade="t" o:hr="t" fillcolor="black [3213]" stroked="f"/>
      </w:pict>
    </w:r>
  </w:p>
  <w:p w:rsidR="001A6C2D" w:rsidRPr="00954D22" w:rsidRDefault="001A6C2D" w:rsidP="00B7374B">
    <w:pPr>
      <w:tabs>
        <w:tab w:val="center" w:pos="4680"/>
      </w:tabs>
      <w:rPr>
        <w:szCs w:val="24"/>
      </w:rPr>
    </w:pPr>
    <w:r w:rsidRPr="00954D22">
      <w:rPr>
        <w:szCs w:val="24"/>
      </w:rPr>
      <w:tab/>
      <w:t xml:space="preserve">- </w:t>
    </w:r>
    <w:r w:rsidR="004D20D2">
      <w:rPr>
        <w:szCs w:val="24"/>
      </w:rPr>
      <w:fldChar w:fldCharType="begin"/>
    </w:r>
    <w:r>
      <w:rPr>
        <w:szCs w:val="24"/>
      </w:rPr>
      <w:instrText xml:space="preserve"> PAGE   \* MERGEFORMAT </w:instrText>
    </w:r>
    <w:r w:rsidR="004D20D2">
      <w:rPr>
        <w:szCs w:val="24"/>
      </w:rPr>
      <w:fldChar w:fldCharType="separate"/>
    </w:r>
    <w:r w:rsidR="00663B19">
      <w:rPr>
        <w:noProof/>
        <w:szCs w:val="24"/>
      </w:rPr>
      <w:t>1133</w:t>
    </w:r>
    <w:r w:rsidR="004D20D2">
      <w:rPr>
        <w:szCs w:val="24"/>
      </w:rPr>
      <w:fldChar w:fldCharType="end"/>
    </w:r>
    <w:r w:rsidRPr="00954D22">
      <w:rPr>
        <w:szCs w:val="24"/>
      </w:rPr>
      <w:t xml:space="preserve"> -</w:t>
    </w:r>
  </w:p>
  <w:p w:rsidR="001A6C2D" w:rsidRDefault="001A6C2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rsidP="00A87207">
    <w:pPr>
      <w:pStyle w:val="Footer"/>
    </w:pPr>
    <w:r>
      <w:pict>
        <v:rect id="_x0000_i1039" style="width:480.95pt;height:1pt" o:hralign="center" o:hrstd="t" o:hrnoshade="t" o:hr="t" fillcolor="black [3213]" stroked="f"/>
      </w:pict>
    </w:r>
  </w:p>
  <w:p w:rsidR="001A6C2D" w:rsidRPr="00B7374B" w:rsidRDefault="001A6C2D" w:rsidP="00B7374B">
    <w:pPr>
      <w:tabs>
        <w:tab w:val="center" w:pos="4680"/>
      </w:tabs>
      <w:rPr>
        <w:szCs w:val="24"/>
      </w:rPr>
    </w:pPr>
    <w:r w:rsidRPr="00954D22">
      <w:rPr>
        <w:szCs w:val="24"/>
      </w:rPr>
      <w:tab/>
      <w:t xml:space="preserve">- </w:t>
    </w:r>
    <w:r w:rsidR="004D20D2" w:rsidRPr="00954D22">
      <w:rPr>
        <w:szCs w:val="24"/>
      </w:rPr>
      <w:fldChar w:fldCharType="begin"/>
    </w:r>
    <w:r w:rsidRPr="00954D22">
      <w:rPr>
        <w:szCs w:val="24"/>
      </w:rPr>
      <w:instrText xml:space="preserve"> PAGE   \* MERGEFORMAT </w:instrText>
    </w:r>
    <w:r w:rsidR="004D20D2" w:rsidRPr="00954D22">
      <w:rPr>
        <w:szCs w:val="24"/>
      </w:rPr>
      <w:fldChar w:fldCharType="separate"/>
    </w:r>
    <w:r>
      <w:rPr>
        <w:noProof/>
        <w:szCs w:val="24"/>
      </w:rPr>
      <w:t>1136</w:t>
    </w:r>
    <w:r w:rsidR="004D20D2" w:rsidRPr="00954D22">
      <w:rPr>
        <w:szCs w:val="24"/>
      </w:rPr>
      <w:fldChar w:fldCharType="end"/>
    </w:r>
    <w:r>
      <w:rPr>
        <w:szCs w:val="24"/>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rsidP="00B737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40" style="width:480.95pt;height:1pt" o:hralign="center" o:hrstd="t" o:hrnoshade="t" o:hr="t" fillcolor="black [3213]" stroked="f"/>
      </w:pict>
    </w:r>
  </w:p>
  <w:p w:rsidR="001A6C2D" w:rsidRPr="00954D22" w:rsidRDefault="001A6C2D" w:rsidP="00B7374B">
    <w:pPr>
      <w:tabs>
        <w:tab w:val="center" w:pos="4680"/>
      </w:tabs>
      <w:rPr>
        <w:szCs w:val="24"/>
      </w:rPr>
    </w:pPr>
    <w:r w:rsidRPr="00954D22">
      <w:rPr>
        <w:szCs w:val="24"/>
      </w:rPr>
      <w:tab/>
      <w:t xml:space="preserve">- </w:t>
    </w:r>
    <w:r w:rsidR="004D20D2" w:rsidRPr="00954D22">
      <w:rPr>
        <w:szCs w:val="24"/>
      </w:rPr>
      <w:fldChar w:fldCharType="begin"/>
    </w:r>
    <w:r w:rsidRPr="00954D22">
      <w:rPr>
        <w:szCs w:val="24"/>
      </w:rPr>
      <w:instrText xml:space="preserve"> PAGE   \* MERGEFORMAT </w:instrText>
    </w:r>
    <w:r w:rsidR="004D20D2" w:rsidRPr="00954D22">
      <w:rPr>
        <w:szCs w:val="24"/>
      </w:rPr>
      <w:fldChar w:fldCharType="separate"/>
    </w:r>
    <w:r w:rsidR="00663B19">
      <w:rPr>
        <w:noProof/>
        <w:szCs w:val="24"/>
      </w:rPr>
      <w:t>1135</w:t>
    </w:r>
    <w:r w:rsidR="004D20D2" w:rsidRPr="00954D22">
      <w:rPr>
        <w:szCs w:val="24"/>
      </w:rPr>
      <w:fldChar w:fldCharType="end"/>
    </w:r>
    <w:r w:rsidRPr="00954D22">
      <w:rPr>
        <w:szCs w:val="24"/>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1A6C2D" w:rsidRDefault="001A6C2D">
    <w:pPr>
      <w:tabs>
        <w:tab w:val="center" w:pos="4740"/>
      </w:tabs>
    </w:pPr>
    <w:r>
      <w:tab/>
      <w:t xml:space="preserve">- </w:t>
    </w:r>
    <w:r>
      <w:pgNum/>
    </w:r>
    <w: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4D20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D20D2">
      <w:rPr>
        <w:lang w:val="fr-CA"/>
      </w:rPr>
      <w:pict>
        <v:rect id="_x0000_i1045" style="width:480.95pt;height:1pt" o:hralign="center" o:hrstd="t" o:hrnoshade="t" o:hr="t" fillcolor="black [3213]" stroked="f"/>
      </w:pict>
    </w:r>
  </w:p>
  <w:p w:rsidR="001A6C2D" w:rsidRPr="0009648D" w:rsidRDefault="001A6C2D" w:rsidP="00ED7E83">
    <w:pPr>
      <w:tabs>
        <w:tab w:val="center" w:pos="4680"/>
      </w:tabs>
    </w:pPr>
    <w:r>
      <w:tab/>
    </w:r>
    <w:r w:rsidRPr="0009648D">
      <w:t xml:space="preserve">- </w:t>
    </w:r>
    <w:fldSimple w:instr=" PAGE   \* MERGEFORMAT ">
      <w:r w:rsidR="00663B19">
        <w:rPr>
          <w:noProof/>
        </w:rPr>
        <w:t>1138</w:t>
      </w:r>
    </w:fldSimple>
    <w:r w:rsidRPr="0009648D">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C2D" w:rsidRDefault="001A6C2D" w:rsidP="00A87207">
      <w:r>
        <w:separator/>
      </w:r>
    </w:p>
  </w:footnote>
  <w:footnote w:type="continuationSeparator" w:id="0">
    <w:p w:rsidR="001A6C2D" w:rsidRDefault="001A6C2D" w:rsidP="00A87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1A6C2D" w:rsidRPr="00291AC9">
      <w:tc>
        <w:tcPr>
          <w:tcW w:w="4200" w:type="dxa"/>
          <w:tcMar>
            <w:left w:w="0" w:type="dxa"/>
            <w:right w:w="0" w:type="dxa"/>
          </w:tcMar>
        </w:tcPr>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r>
            <w:rPr>
              <w:rFonts w:ascii="Times New" w:hAnsi="Times New"/>
            </w:rPr>
            <w:t>PRONOUNCEMENTS OF APPEALS RESERVED</w:t>
          </w:r>
        </w:p>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1200" w:type="dxa"/>
          <w:tcMar>
            <w:left w:w="0" w:type="dxa"/>
            <w:right w:w="0" w:type="dxa"/>
          </w:tcMar>
        </w:tcPr>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4080" w:type="dxa"/>
          <w:tcMar>
            <w:left w:w="0" w:type="dxa"/>
            <w:right w:w="0" w:type="dxa"/>
          </w:tcMar>
        </w:tcPr>
        <w:p w:rsidR="001A6C2D" w:rsidRPr="000204A4" w:rsidRDefault="001A6C2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r w:rsidRPr="000204A4">
            <w:rPr>
              <w:rFonts w:ascii="Times New" w:hAnsi="Times New"/>
              <w:lang w:val="fr-CA"/>
            </w:rPr>
            <w:t>JUGEMENTS RENDUS SUR LES APPELS EN DÉLIBÉRÉ</w:t>
          </w:r>
        </w:p>
        <w:p w:rsidR="001A6C2D" w:rsidRPr="000204A4"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tc>
    </w:tr>
  </w:tbl>
  <w:p w:rsidR="001A6C2D" w:rsidRPr="000204A4"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imes New" w:hAnsi="Times New"/>
        <w:lang w:val="fr-CA"/>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1A6C2D" w:rsidRPr="00890FEB" w:rsidTr="00245129">
      <w:tc>
        <w:tcPr>
          <w:tcW w:w="4200" w:type="dxa"/>
          <w:tcMar>
            <w:left w:w="0" w:type="dxa"/>
            <w:right w:w="0" w:type="dxa"/>
          </w:tcMar>
        </w:tcPr>
        <w:p w:rsidR="001A6C2D" w:rsidRPr="00890FEB" w:rsidRDefault="001A6C2D" w:rsidP="00EB2B90">
          <w:pPr>
            <w:rPr>
              <w:sz w:val="20"/>
              <w:szCs w:val="20"/>
            </w:rPr>
          </w:pPr>
          <w:r w:rsidRPr="00890FEB">
            <w:rPr>
              <w:sz w:val="20"/>
              <w:szCs w:val="20"/>
            </w:rPr>
            <w:t>JUDGEMENT ON MOTION</w:t>
          </w:r>
        </w:p>
      </w:tc>
      <w:tc>
        <w:tcPr>
          <w:tcW w:w="1200" w:type="dxa"/>
          <w:tcMar>
            <w:left w:w="0" w:type="dxa"/>
            <w:right w:w="0" w:type="dxa"/>
          </w:tcMar>
        </w:tcPr>
        <w:p w:rsidR="001A6C2D" w:rsidRPr="00890FEB" w:rsidRDefault="001A6C2D" w:rsidP="00890FEB">
          <w:pPr>
            <w:jc w:val="center"/>
            <w:rPr>
              <w:sz w:val="20"/>
              <w:szCs w:val="20"/>
            </w:rPr>
          </w:pPr>
        </w:p>
        <w:p w:rsidR="001A6C2D" w:rsidRPr="00890FEB" w:rsidRDefault="001A6C2D" w:rsidP="00890FEB">
          <w:pPr>
            <w:jc w:val="center"/>
            <w:rPr>
              <w:sz w:val="20"/>
              <w:szCs w:val="20"/>
            </w:rPr>
          </w:pPr>
        </w:p>
      </w:tc>
      <w:tc>
        <w:tcPr>
          <w:tcW w:w="4080" w:type="dxa"/>
          <w:tcMar>
            <w:left w:w="0" w:type="dxa"/>
            <w:right w:w="0" w:type="dxa"/>
          </w:tcMar>
        </w:tcPr>
        <w:p w:rsidR="001A6C2D" w:rsidRPr="00890FEB" w:rsidRDefault="001A6C2D" w:rsidP="00890FEB">
          <w:pPr>
            <w:rPr>
              <w:sz w:val="20"/>
              <w:szCs w:val="20"/>
              <w:lang w:val="fr-CA"/>
            </w:rPr>
          </w:pPr>
          <w:r w:rsidRPr="00890FEB">
            <w:rPr>
              <w:sz w:val="20"/>
              <w:szCs w:val="20"/>
              <w:lang w:val="fr-CA"/>
            </w:rPr>
            <w:t>JUGEMENTS SUR REQUÊTES</w:t>
          </w:r>
        </w:p>
      </w:tc>
    </w:tr>
  </w:tbl>
  <w:p w:rsidR="001A6C2D" w:rsidRPr="002864CC" w:rsidRDefault="001A6C2D" w:rsidP="00EB2B90">
    <w:pPr>
      <w:rPr>
        <w:lang w:val="fr-CA"/>
      </w:rPr>
    </w:pPr>
  </w:p>
  <w:p w:rsidR="001A6C2D" w:rsidRPr="000204A4" w:rsidRDefault="001A6C2D" w:rsidP="00EB2B90">
    <w:pPr>
      <w:spacing w:line="-19" w:lineRule="auto"/>
      <w:rPr>
        <w:rFonts w:ascii="Times New" w:hAnsi="Times New"/>
        <w:lang w:val="fr-CA"/>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1A6C2D">
      <w:tc>
        <w:tcPr>
          <w:tcW w:w="4230" w:type="dxa"/>
          <w:tcMar>
            <w:left w:w="0" w:type="dxa"/>
            <w:right w:w="0" w:type="dxa"/>
          </w:tcMar>
        </w:tcPr>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1A6C2D" w:rsidRDefault="001A6C2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1A6C2D" w:rsidRDefault="001A6C2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1A6C2D">
      <w:trPr>
        <w:gridAfter w:val="2"/>
        <w:wAfter w:w="5250" w:type="dxa"/>
      </w:trPr>
      <w:tc>
        <w:tcPr>
          <w:tcW w:w="4230" w:type="dxa"/>
          <w:tcMar>
            <w:left w:w="0" w:type="dxa"/>
            <w:right w:w="0" w:type="dxa"/>
          </w:tcMar>
        </w:tcPr>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1A6C2D" w:rsidRPr="00755F22" w:rsidTr="00245129">
      <w:tc>
        <w:tcPr>
          <w:tcW w:w="4230" w:type="dxa"/>
          <w:tcMar>
            <w:left w:w="0" w:type="dxa"/>
            <w:right w:w="0" w:type="dxa"/>
          </w:tcMar>
        </w:tcPr>
        <w:p w:rsidR="001A6C2D" w:rsidRPr="00755F22" w:rsidRDefault="001A6C2D" w:rsidP="00831CA9">
          <w:pPr>
            <w:keepNext/>
            <w:keepLines/>
            <w:rPr>
              <w:sz w:val="20"/>
              <w:szCs w:val="20"/>
            </w:rPr>
          </w:pPr>
          <w:r w:rsidRPr="00755F22">
            <w:rPr>
              <w:sz w:val="20"/>
              <w:szCs w:val="20"/>
            </w:rPr>
            <w:t>MOTIONS</w:t>
          </w:r>
        </w:p>
      </w:tc>
      <w:tc>
        <w:tcPr>
          <w:tcW w:w="1170" w:type="dxa"/>
          <w:tcMar>
            <w:left w:w="0" w:type="dxa"/>
            <w:right w:w="0" w:type="dxa"/>
          </w:tcMar>
        </w:tcPr>
        <w:p w:rsidR="001A6C2D" w:rsidRPr="00755F22" w:rsidRDefault="001A6C2D" w:rsidP="00831CA9">
          <w:pPr>
            <w:keepLines/>
            <w:jc w:val="center"/>
            <w:rPr>
              <w:sz w:val="20"/>
              <w:szCs w:val="20"/>
            </w:rPr>
          </w:pPr>
        </w:p>
        <w:p w:rsidR="001A6C2D" w:rsidRPr="00755F22" w:rsidRDefault="001A6C2D" w:rsidP="00831CA9">
          <w:pPr>
            <w:keepLines/>
            <w:tabs>
              <w:tab w:val="left" w:pos="-1440"/>
              <w:tab w:val="left" w:pos="-720"/>
            </w:tabs>
            <w:jc w:val="center"/>
            <w:rPr>
              <w:sz w:val="20"/>
              <w:szCs w:val="20"/>
            </w:rPr>
          </w:pPr>
        </w:p>
      </w:tc>
      <w:tc>
        <w:tcPr>
          <w:tcW w:w="4080" w:type="dxa"/>
          <w:tcMar>
            <w:left w:w="0" w:type="dxa"/>
            <w:right w:w="0" w:type="dxa"/>
          </w:tcMar>
        </w:tcPr>
        <w:p w:rsidR="001A6C2D" w:rsidRPr="00BA6468" w:rsidRDefault="001A6C2D" w:rsidP="00BA6468">
          <w:pPr>
            <w:keepLines/>
            <w:rPr>
              <w:sz w:val="20"/>
              <w:szCs w:val="20"/>
              <w:lang w:val="fr-CA"/>
            </w:rPr>
          </w:pPr>
          <w:r w:rsidRPr="00BA6468">
            <w:rPr>
              <w:sz w:val="20"/>
              <w:szCs w:val="20"/>
              <w:lang w:val="fr-CA"/>
            </w:rPr>
            <w:t>REQUÊTES</w:t>
          </w:r>
        </w:p>
      </w:tc>
    </w:tr>
  </w:tbl>
  <w:p w:rsidR="001A6C2D" w:rsidRDefault="001A6C2D" w:rsidP="00831CA9">
    <w:pPr>
      <w:jc w:val="both"/>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1A6C2D" w:rsidRPr="00291AC9">
      <w:tc>
        <w:tcPr>
          <w:tcW w:w="4200" w:type="dxa"/>
          <w:tcMar>
            <w:left w:w="0" w:type="dxa"/>
            <w:right w:w="0" w:type="dxa"/>
          </w:tcMar>
        </w:tcPr>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APPEAL FILED SINCE LAST ISSUE</w:t>
          </w:r>
        </w:p>
      </w:tc>
      <w:tc>
        <w:tcPr>
          <w:tcW w:w="1200" w:type="dxa"/>
          <w:tcMar>
            <w:left w:w="0" w:type="dxa"/>
            <w:right w:w="0" w:type="dxa"/>
          </w:tcMar>
        </w:tcPr>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1A6C2D" w:rsidRPr="00B01A03" w:rsidRDefault="001A6C2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B01A03">
            <w:rPr>
              <w:lang w:val="fr-CA"/>
            </w:rPr>
            <w:t>AVIS D’APPEL DÉPOSÉS DEPUIS LA DERNIÈRE PARUTION</w:t>
          </w:r>
        </w:p>
        <w:p w:rsidR="001A6C2D" w:rsidRPr="00B01A03"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1A6C2D" w:rsidRPr="00B01A03"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0" w:type="dxa"/>
      <w:tblBorders>
        <w:bottom w:val="single" w:sz="8" w:space="0" w:color="auto"/>
      </w:tblBorders>
      <w:tblLayout w:type="fixed"/>
      <w:tblCellMar>
        <w:left w:w="0" w:type="dxa"/>
        <w:right w:w="0" w:type="dxa"/>
      </w:tblCellMar>
      <w:tblLook w:val="0000"/>
    </w:tblPr>
    <w:tblGrid>
      <w:gridCol w:w="4200"/>
      <w:gridCol w:w="1200"/>
      <w:gridCol w:w="4230"/>
    </w:tblGrid>
    <w:tr w:rsidR="001A6C2D" w:rsidRPr="00291AC9" w:rsidTr="00245129">
      <w:tc>
        <w:tcPr>
          <w:tcW w:w="4200" w:type="dxa"/>
          <w:tcMar>
            <w:left w:w="0" w:type="dxa"/>
            <w:right w:w="0" w:type="dxa"/>
          </w:tcMar>
        </w:tcPr>
        <w:p w:rsidR="001A6C2D" w:rsidRPr="00F40249" w:rsidRDefault="001A6C2D" w:rsidP="00102926">
          <w:pPr>
            <w:keepNext/>
            <w:keepLines/>
            <w:tabs>
              <w:tab w:val="left" w:pos="-1440"/>
              <w:tab w:val="left" w:pos="-720"/>
            </w:tabs>
            <w:rPr>
              <w:sz w:val="20"/>
              <w:szCs w:val="20"/>
            </w:rPr>
          </w:pPr>
          <w:r w:rsidRPr="00F40249">
            <w:rPr>
              <w:sz w:val="20"/>
              <w:szCs w:val="20"/>
            </w:rPr>
            <w:t>NOTICE OF APPEAL FILED SINCE LAST ISSUE</w:t>
          </w:r>
        </w:p>
      </w:tc>
      <w:tc>
        <w:tcPr>
          <w:tcW w:w="1200" w:type="dxa"/>
          <w:tcMar>
            <w:left w:w="0" w:type="dxa"/>
            <w:right w:w="0" w:type="dxa"/>
          </w:tcMar>
        </w:tcPr>
        <w:p w:rsidR="001A6C2D" w:rsidRDefault="001A6C2D" w:rsidP="00102926">
          <w:pPr>
            <w:keepNext/>
            <w:keepLines/>
            <w:tabs>
              <w:tab w:val="left" w:pos="-1440"/>
              <w:tab w:val="left" w:pos="-720"/>
            </w:tabs>
            <w:jc w:val="center"/>
            <w:rPr>
              <w:sz w:val="20"/>
              <w:szCs w:val="20"/>
            </w:rPr>
          </w:pPr>
        </w:p>
        <w:p w:rsidR="001A6C2D" w:rsidRDefault="001A6C2D" w:rsidP="00102926">
          <w:pPr>
            <w:keepNext/>
            <w:keepLines/>
            <w:tabs>
              <w:tab w:val="left" w:pos="-1440"/>
              <w:tab w:val="left" w:pos="-720"/>
            </w:tabs>
            <w:jc w:val="center"/>
            <w:rPr>
              <w:sz w:val="20"/>
              <w:szCs w:val="20"/>
            </w:rPr>
          </w:pPr>
        </w:p>
        <w:p w:rsidR="001A6C2D" w:rsidRPr="00F40249" w:rsidRDefault="001A6C2D" w:rsidP="00102926">
          <w:pPr>
            <w:keepNext/>
            <w:keepLines/>
            <w:tabs>
              <w:tab w:val="left" w:pos="-1440"/>
              <w:tab w:val="left" w:pos="-720"/>
            </w:tabs>
            <w:jc w:val="center"/>
            <w:rPr>
              <w:sz w:val="20"/>
              <w:szCs w:val="20"/>
            </w:rPr>
          </w:pPr>
        </w:p>
      </w:tc>
      <w:tc>
        <w:tcPr>
          <w:tcW w:w="4230" w:type="dxa"/>
          <w:tcMar>
            <w:left w:w="0" w:type="dxa"/>
            <w:right w:w="0" w:type="dxa"/>
          </w:tcMar>
        </w:tcPr>
        <w:p w:rsidR="001A6C2D" w:rsidRPr="00F40249" w:rsidRDefault="001A6C2D" w:rsidP="00102926">
          <w:pPr>
            <w:keepLines/>
            <w:tabs>
              <w:tab w:val="left" w:pos="-1440"/>
              <w:tab w:val="left" w:pos="-720"/>
            </w:tabs>
            <w:rPr>
              <w:sz w:val="20"/>
              <w:szCs w:val="20"/>
              <w:lang w:val="fr-CA"/>
            </w:rPr>
          </w:pPr>
          <w:r w:rsidRPr="00F40249">
            <w:rPr>
              <w:sz w:val="20"/>
              <w:szCs w:val="20"/>
              <w:lang w:val="fr-CA"/>
            </w:rPr>
            <w:t>AVIS D’APPEL DÉPO</w:t>
          </w:r>
          <w:r>
            <w:rPr>
              <w:sz w:val="20"/>
              <w:szCs w:val="20"/>
              <w:lang w:val="fr-CA"/>
            </w:rPr>
            <w:t>SÉS DEPUIS LA DERNIÈRE PARUTION</w:t>
          </w:r>
        </w:p>
      </w:tc>
    </w:tr>
  </w:tbl>
  <w:p w:rsidR="001A6C2D" w:rsidRPr="00B01A03" w:rsidRDefault="001A6C2D" w:rsidP="00EB2B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1A6C2D" w:rsidRPr="00291AC9">
      <w:tc>
        <w:tcPr>
          <w:tcW w:w="4200" w:type="dxa"/>
          <w:tcMar>
            <w:left w:w="0" w:type="dxa"/>
            <w:right w:w="0" w:type="dxa"/>
          </w:tcMar>
        </w:tcPr>
        <w:p w:rsidR="001A6C2D" w:rsidRDefault="001A6C2D">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NOTICE OF DISCONTINUANCE FILED SINCE LAST ISSUE</w:t>
          </w:r>
        </w:p>
        <w:p w:rsidR="001A6C2D" w:rsidRDefault="001A6C2D">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200" w:type="dxa"/>
          <w:tcMar>
            <w:left w:w="0" w:type="dxa"/>
            <w:right w:w="0" w:type="dxa"/>
          </w:tcMar>
        </w:tcPr>
        <w:p w:rsidR="001A6C2D" w:rsidRDefault="001A6C2D">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1A6C2D" w:rsidRPr="009256DC" w:rsidRDefault="001A6C2D">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9256DC">
            <w:rPr>
              <w:lang w:val="fr-CA"/>
            </w:rPr>
            <w:t>AVIS DE DÉSISTEMENT DÉPOSÉS DEPUIS LA DERNIÈRE PARUTION</w:t>
          </w:r>
        </w:p>
        <w:p w:rsidR="001A6C2D" w:rsidRPr="009256DC" w:rsidRDefault="001A6C2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1A6C2D" w:rsidRPr="009256DC" w:rsidRDefault="001A6C2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rPr>
        <w:lang w:val="fr-CA"/>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1A6C2D" w:rsidRPr="00291AC9" w:rsidTr="00245129">
      <w:tc>
        <w:tcPr>
          <w:tcW w:w="4200" w:type="dxa"/>
          <w:tcMar>
            <w:left w:w="0" w:type="dxa"/>
            <w:right w:w="0" w:type="dxa"/>
          </w:tcMar>
        </w:tcPr>
        <w:p w:rsidR="001A6C2D" w:rsidRPr="00802863" w:rsidRDefault="001A6C2D" w:rsidP="00697C62">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02863">
            <w:rPr>
              <w:sz w:val="20"/>
              <w:szCs w:val="20"/>
            </w:rPr>
            <w:t>NOTICE OF DISCONTINUANCE FILED SINCE LAST ISSUE</w:t>
          </w:r>
        </w:p>
      </w:tc>
      <w:tc>
        <w:tcPr>
          <w:tcW w:w="1200" w:type="dxa"/>
          <w:tcMar>
            <w:left w:w="0" w:type="dxa"/>
            <w:right w:w="0" w:type="dxa"/>
          </w:tcMar>
        </w:tcPr>
        <w:p w:rsidR="001A6C2D" w:rsidRPr="00802863" w:rsidRDefault="001A6C2D" w:rsidP="00802863">
          <w:pPr>
            <w:keepNext/>
            <w:keepLines/>
            <w:widowControl w:val="0"/>
            <w:tabs>
              <w:tab w:val="left" w:pos="-1440"/>
              <w:tab w:val="left" w:pos="-720"/>
            </w:tabs>
            <w:jc w:val="center"/>
            <w:rPr>
              <w:sz w:val="20"/>
              <w:szCs w:val="20"/>
            </w:rPr>
          </w:pPr>
        </w:p>
        <w:p w:rsidR="001A6C2D" w:rsidRPr="00802863" w:rsidRDefault="001A6C2D" w:rsidP="00802863">
          <w:pPr>
            <w:keepNext/>
            <w:keepLines/>
            <w:widowControl w:val="0"/>
            <w:tabs>
              <w:tab w:val="left" w:pos="-1440"/>
              <w:tab w:val="left" w:pos="-720"/>
            </w:tabs>
            <w:jc w:val="center"/>
            <w:rPr>
              <w:sz w:val="20"/>
              <w:szCs w:val="20"/>
            </w:rPr>
          </w:pPr>
        </w:p>
        <w:p w:rsidR="001A6C2D" w:rsidRPr="00802863" w:rsidRDefault="001A6C2D" w:rsidP="00802863">
          <w:pPr>
            <w:keepNext/>
            <w:keepLines/>
            <w:widowControl w:val="0"/>
            <w:tabs>
              <w:tab w:val="left" w:pos="-1440"/>
              <w:tab w:val="left" w:pos="-720"/>
            </w:tabs>
            <w:jc w:val="center"/>
            <w:rPr>
              <w:sz w:val="20"/>
              <w:szCs w:val="20"/>
            </w:rPr>
          </w:pPr>
        </w:p>
      </w:tc>
      <w:tc>
        <w:tcPr>
          <w:tcW w:w="4080" w:type="dxa"/>
          <w:tcMar>
            <w:left w:w="0" w:type="dxa"/>
            <w:right w:w="0" w:type="dxa"/>
          </w:tcMar>
        </w:tcPr>
        <w:p w:rsidR="001A6C2D" w:rsidRPr="00802863" w:rsidRDefault="001A6C2D" w:rsidP="00697C62">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802863">
            <w:rPr>
              <w:sz w:val="20"/>
              <w:szCs w:val="20"/>
              <w:lang w:val="fr-CA"/>
            </w:rPr>
            <w:t>AVIS DE DÉSISTEMENT DÉPOSÉS DEPUIS LA DERNIÈRE PARUTION</w:t>
          </w:r>
        </w:p>
      </w:tc>
    </w:tr>
  </w:tbl>
  <w:p w:rsidR="001A6C2D" w:rsidRPr="009256DC" w:rsidRDefault="001A6C2D" w:rsidP="00697C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fr-CA"/>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1A6C2D" w:rsidRPr="00291AC9">
      <w:tc>
        <w:tcPr>
          <w:tcW w:w="4200" w:type="dxa"/>
          <w:tcMar>
            <w:left w:w="0" w:type="dxa"/>
            <w:right w:w="0" w:type="dxa"/>
          </w:tcMar>
        </w:tcPr>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r>
            <w:rPr>
              <w:rFonts w:ascii="Times New" w:hAnsi="Times New"/>
            </w:rPr>
            <w:t>PRONOUNCEMENTS OF APPEALS RESERVED</w:t>
          </w:r>
        </w:p>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1200" w:type="dxa"/>
          <w:tcMar>
            <w:left w:w="0" w:type="dxa"/>
            <w:right w:w="0" w:type="dxa"/>
          </w:tcMar>
        </w:tcPr>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4080" w:type="dxa"/>
          <w:tcMar>
            <w:left w:w="0" w:type="dxa"/>
            <w:right w:w="0" w:type="dxa"/>
          </w:tcMar>
        </w:tcPr>
        <w:p w:rsidR="001A6C2D" w:rsidRPr="003C2C0F" w:rsidRDefault="001A6C2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r w:rsidRPr="003C2C0F">
            <w:rPr>
              <w:rFonts w:ascii="Times New" w:hAnsi="Times New"/>
              <w:lang w:val="fr-CA"/>
            </w:rPr>
            <w:t>JUGEMENTS RENDUS SUR LES APPELS EN DÉLIBÉRÉ</w:t>
          </w:r>
        </w:p>
        <w:p w:rsidR="001A6C2D" w:rsidRPr="003C2C0F"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tc>
    </w:tr>
  </w:tbl>
  <w:p w:rsidR="001A6C2D" w:rsidRPr="003C2C0F"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imes New" w:hAnsi="Times New"/>
        <w:lang w:val="fr-CA"/>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1A6C2D" w:rsidRPr="00291AC9" w:rsidTr="00245129">
      <w:tc>
        <w:tcPr>
          <w:tcW w:w="4200" w:type="dxa"/>
          <w:tcMar>
            <w:left w:w="0" w:type="dxa"/>
            <w:right w:w="0" w:type="dxa"/>
          </w:tcMar>
        </w:tcPr>
        <w:p w:rsidR="001A6C2D" w:rsidRPr="00FF6EEC" w:rsidRDefault="001A6C2D" w:rsidP="00FF6EEC">
          <w:pPr>
            <w:rPr>
              <w:sz w:val="20"/>
              <w:szCs w:val="20"/>
            </w:rPr>
          </w:pPr>
          <w:r w:rsidRPr="00FF6EEC">
            <w:rPr>
              <w:sz w:val="20"/>
              <w:szCs w:val="20"/>
            </w:rPr>
            <w:t>PRONOUNCEMENTS OF APPEALS RESERVED</w:t>
          </w:r>
        </w:p>
      </w:tc>
      <w:tc>
        <w:tcPr>
          <w:tcW w:w="1200" w:type="dxa"/>
          <w:tcMar>
            <w:left w:w="0" w:type="dxa"/>
            <w:right w:w="0" w:type="dxa"/>
          </w:tcMar>
        </w:tcPr>
        <w:p w:rsidR="001A6C2D" w:rsidRPr="00FF6EEC" w:rsidRDefault="001A6C2D" w:rsidP="00FF6EEC">
          <w:pPr>
            <w:jc w:val="center"/>
            <w:rPr>
              <w:sz w:val="20"/>
              <w:szCs w:val="20"/>
            </w:rPr>
          </w:pPr>
        </w:p>
        <w:p w:rsidR="001A6C2D" w:rsidRPr="00FF6EEC" w:rsidRDefault="001A6C2D" w:rsidP="00FF6EEC">
          <w:pPr>
            <w:jc w:val="center"/>
            <w:rPr>
              <w:sz w:val="20"/>
              <w:szCs w:val="20"/>
            </w:rPr>
          </w:pPr>
        </w:p>
        <w:p w:rsidR="001A6C2D" w:rsidRPr="00FF6EEC" w:rsidRDefault="001A6C2D" w:rsidP="00FF6EEC">
          <w:pPr>
            <w:jc w:val="center"/>
            <w:rPr>
              <w:sz w:val="20"/>
              <w:szCs w:val="20"/>
            </w:rPr>
          </w:pPr>
        </w:p>
      </w:tc>
      <w:tc>
        <w:tcPr>
          <w:tcW w:w="4080" w:type="dxa"/>
          <w:tcMar>
            <w:left w:w="0" w:type="dxa"/>
            <w:right w:w="0" w:type="dxa"/>
          </w:tcMar>
        </w:tcPr>
        <w:p w:rsidR="001A6C2D" w:rsidRPr="00FF6EEC" w:rsidRDefault="001A6C2D" w:rsidP="00FF6EEC">
          <w:pPr>
            <w:rPr>
              <w:sz w:val="20"/>
              <w:szCs w:val="20"/>
              <w:lang w:val="fr-CA"/>
            </w:rPr>
          </w:pPr>
          <w:r w:rsidRPr="00FF6EEC">
            <w:rPr>
              <w:sz w:val="20"/>
              <w:szCs w:val="20"/>
              <w:lang w:val="fr-CA"/>
            </w:rPr>
            <w:t>JUGEMENTS RENDUS SUR LES APPELS EN DÉLIBÉRÉ</w:t>
          </w:r>
        </w:p>
      </w:tc>
    </w:tr>
  </w:tbl>
  <w:p w:rsidR="001A6C2D" w:rsidRPr="003C2C0F" w:rsidRDefault="001A6C2D" w:rsidP="00697C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1A6C2D">
      <w:tc>
        <w:tcPr>
          <w:tcW w:w="4230" w:type="dxa"/>
          <w:tcMar>
            <w:left w:w="0" w:type="dxa"/>
            <w:right w:w="0" w:type="dxa"/>
          </w:tcMar>
        </w:tcPr>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1A6C2D" w:rsidRDefault="001A6C2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1A6C2D"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1A6C2D" w:rsidRPr="00782AE4" w:rsidTr="00245129">
      <w:tc>
        <w:tcPr>
          <w:tcW w:w="4230" w:type="dxa"/>
          <w:tcMar>
            <w:left w:w="0" w:type="dxa"/>
            <w:right w:w="0" w:type="dxa"/>
          </w:tcMar>
        </w:tcPr>
        <w:p w:rsidR="001A6C2D" w:rsidRPr="00782AE4" w:rsidRDefault="001A6C2D" w:rsidP="00102926">
          <w:pPr>
            <w:keepNext/>
            <w:keepLines/>
            <w:tabs>
              <w:tab w:val="left" w:pos="-1440"/>
              <w:tab w:val="left" w:pos="-720"/>
            </w:tabs>
            <w:rPr>
              <w:sz w:val="20"/>
              <w:szCs w:val="20"/>
            </w:rPr>
          </w:pPr>
          <w:r w:rsidRPr="00782AE4">
            <w:rPr>
              <w:sz w:val="20"/>
              <w:szCs w:val="20"/>
            </w:rPr>
            <w:t xml:space="preserve">HEADNOTES OF RECENT </w:t>
          </w:r>
        </w:p>
        <w:p w:rsidR="001A6C2D" w:rsidRPr="00782AE4"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82AE4">
            <w:rPr>
              <w:sz w:val="20"/>
              <w:szCs w:val="20"/>
            </w:rPr>
            <w:t>JUDGMENTS</w:t>
          </w:r>
        </w:p>
      </w:tc>
      <w:tc>
        <w:tcPr>
          <w:tcW w:w="1170" w:type="dxa"/>
          <w:tcMar>
            <w:left w:w="0" w:type="dxa"/>
            <w:right w:w="0" w:type="dxa"/>
          </w:tcMar>
        </w:tcPr>
        <w:p w:rsidR="001A6C2D" w:rsidRDefault="001A6C2D" w:rsidP="00102926">
          <w:pPr>
            <w:keepNext/>
            <w:keepLines/>
            <w:tabs>
              <w:tab w:val="left" w:pos="-1440"/>
              <w:tab w:val="left" w:pos="-720"/>
            </w:tabs>
            <w:jc w:val="center"/>
            <w:rPr>
              <w:sz w:val="20"/>
              <w:szCs w:val="20"/>
            </w:rPr>
          </w:pPr>
        </w:p>
        <w:p w:rsidR="001A6C2D" w:rsidRDefault="001A6C2D" w:rsidP="00102926">
          <w:pPr>
            <w:keepNext/>
            <w:keepLines/>
            <w:tabs>
              <w:tab w:val="left" w:pos="-1440"/>
              <w:tab w:val="left" w:pos="-720"/>
            </w:tabs>
            <w:jc w:val="center"/>
            <w:rPr>
              <w:sz w:val="20"/>
              <w:szCs w:val="20"/>
            </w:rPr>
          </w:pPr>
        </w:p>
        <w:p w:rsidR="001A6C2D" w:rsidRPr="00782AE4" w:rsidRDefault="001A6C2D" w:rsidP="00102926">
          <w:pPr>
            <w:keepNext/>
            <w:keepLines/>
            <w:tabs>
              <w:tab w:val="left" w:pos="-1440"/>
              <w:tab w:val="left" w:pos="-720"/>
            </w:tabs>
            <w:jc w:val="center"/>
            <w:rPr>
              <w:sz w:val="20"/>
              <w:szCs w:val="20"/>
            </w:rPr>
          </w:pPr>
        </w:p>
      </w:tc>
      <w:tc>
        <w:tcPr>
          <w:tcW w:w="4080" w:type="dxa"/>
          <w:tcMar>
            <w:left w:w="0" w:type="dxa"/>
            <w:right w:w="0" w:type="dxa"/>
          </w:tcMar>
        </w:tcPr>
        <w:p w:rsidR="001A6C2D" w:rsidRPr="00102926"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102926">
            <w:rPr>
              <w:sz w:val="20"/>
              <w:szCs w:val="20"/>
              <w:lang w:val="fr-CA"/>
            </w:rPr>
            <w:t xml:space="preserve">SOMMAIRES DE JUGEMENTS </w:t>
          </w:r>
        </w:p>
        <w:p w:rsidR="001A6C2D" w:rsidRPr="00782AE4" w:rsidRDefault="001A6C2D" w:rsidP="00102926">
          <w:pPr>
            <w:keepLines/>
            <w:tabs>
              <w:tab w:val="left" w:pos="-1440"/>
              <w:tab w:val="left" w:pos="-720"/>
            </w:tabs>
            <w:rPr>
              <w:sz w:val="20"/>
              <w:szCs w:val="20"/>
            </w:rPr>
          </w:pPr>
          <w:r w:rsidRPr="00102926">
            <w:rPr>
              <w:sz w:val="20"/>
              <w:szCs w:val="20"/>
              <w:lang w:val="fr-CA"/>
            </w:rPr>
            <w:t>RÉCENTS</w:t>
          </w:r>
        </w:p>
      </w:tc>
    </w:tr>
  </w:tbl>
  <w:p w:rsidR="001A6C2D" w:rsidRDefault="001A6C2D"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1A6C2D">
      <w:tc>
        <w:tcPr>
          <w:tcW w:w="4200" w:type="dxa"/>
          <w:tcMar>
            <w:left w:w="0" w:type="dxa"/>
            <w:right w:w="0" w:type="dxa"/>
          </w:tcMar>
        </w:tcPr>
        <w:p w:rsidR="001A6C2D" w:rsidRDefault="001A6C2D">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AGENDA FOR DECEMBER 2009</w:t>
          </w:r>
        </w:p>
        <w:p w:rsidR="001A6C2D" w:rsidRDefault="001A6C2D">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1200" w:type="dxa"/>
          <w:tcMar>
            <w:left w:w="0" w:type="dxa"/>
            <w:right w:w="0" w:type="dxa"/>
          </w:tcMar>
        </w:tcPr>
        <w:p w:rsidR="001A6C2D" w:rsidRDefault="001A6C2D">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4080" w:type="dxa"/>
          <w:tcMar>
            <w:left w:w="0" w:type="dxa"/>
            <w:right w:w="0" w:type="dxa"/>
          </w:tcMar>
        </w:tcPr>
        <w:p w:rsidR="001A6C2D" w:rsidRDefault="001A6C2D">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CALENDRIER DE DÉCEMBRE 2009</w:t>
          </w:r>
        </w:p>
        <w:p w:rsidR="001A6C2D" w:rsidRDefault="001A6C2D">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r>
  </w:tbl>
  <w:p w:rsidR="001A6C2D" w:rsidRDefault="001A6C2D">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1A6C2D" w:rsidRPr="00C50A5C" w:rsidTr="00245129">
      <w:tc>
        <w:tcPr>
          <w:tcW w:w="4200" w:type="dxa"/>
          <w:tcMar>
            <w:left w:w="0" w:type="dxa"/>
            <w:right w:w="0" w:type="dxa"/>
          </w:tcMar>
        </w:tcPr>
        <w:p w:rsidR="001A6C2D" w:rsidRPr="00C50A5C" w:rsidRDefault="001A6C2D" w:rsidP="0022323B">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sz w:val="20"/>
              <w:szCs w:val="20"/>
            </w:rPr>
          </w:pPr>
          <w:r w:rsidRPr="00C50A5C">
            <w:rPr>
              <w:sz w:val="20"/>
              <w:szCs w:val="20"/>
            </w:rPr>
            <w:t>AGENDA FOR [DATE]</w:t>
          </w:r>
        </w:p>
      </w:tc>
      <w:tc>
        <w:tcPr>
          <w:tcW w:w="1200" w:type="dxa"/>
          <w:tcMar>
            <w:left w:w="0" w:type="dxa"/>
            <w:right w:w="0" w:type="dxa"/>
          </w:tcMar>
        </w:tcPr>
        <w:p w:rsidR="001A6C2D" w:rsidRPr="00C50A5C" w:rsidRDefault="001A6C2D" w:rsidP="0022323B">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jc w:val="center"/>
            <w:rPr>
              <w:sz w:val="20"/>
              <w:szCs w:val="20"/>
            </w:rPr>
          </w:pPr>
        </w:p>
        <w:p w:rsidR="001A6C2D" w:rsidRPr="00C50A5C" w:rsidRDefault="001A6C2D" w:rsidP="0022323B">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jc w:val="center"/>
            <w:rPr>
              <w:sz w:val="20"/>
              <w:szCs w:val="20"/>
            </w:rPr>
          </w:pPr>
        </w:p>
      </w:tc>
      <w:tc>
        <w:tcPr>
          <w:tcW w:w="4080" w:type="dxa"/>
          <w:tcMar>
            <w:left w:w="0" w:type="dxa"/>
            <w:right w:w="0" w:type="dxa"/>
          </w:tcMar>
        </w:tcPr>
        <w:p w:rsidR="001A6C2D" w:rsidRPr="00C50A5C" w:rsidRDefault="001A6C2D" w:rsidP="0022323B">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sz w:val="20"/>
              <w:szCs w:val="20"/>
              <w:lang w:val="fr-CA"/>
            </w:rPr>
          </w:pPr>
          <w:r w:rsidRPr="00C50A5C">
            <w:rPr>
              <w:sz w:val="20"/>
              <w:szCs w:val="20"/>
              <w:lang w:val="fr-CA"/>
            </w:rPr>
            <w:t>CALENDRIER DE [DATE]</w:t>
          </w:r>
        </w:p>
      </w:tc>
    </w:tr>
  </w:tbl>
  <w:p w:rsidR="001A6C2D" w:rsidRDefault="001A6C2D" w:rsidP="0022323B">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320"/>
      <w:gridCol w:w="840"/>
      <w:gridCol w:w="4320"/>
    </w:tblGrid>
    <w:tr w:rsidR="001A6C2D" w:rsidRPr="00291AC9" w:rsidTr="00245129">
      <w:tc>
        <w:tcPr>
          <w:tcW w:w="4320" w:type="dxa"/>
        </w:tcPr>
        <w:p w:rsidR="001A6C2D" w:rsidRPr="006B6926" w:rsidRDefault="001A6C2D" w:rsidP="006B6926">
          <w:pPr>
            <w:keepNext/>
            <w:keepLines/>
            <w:rPr>
              <w:bCs/>
              <w:sz w:val="20"/>
              <w:szCs w:val="20"/>
              <w:lang w:val="en-GB"/>
            </w:rPr>
          </w:pPr>
          <w:r w:rsidRPr="006B6926">
            <w:rPr>
              <w:bCs/>
              <w:sz w:val="20"/>
              <w:szCs w:val="20"/>
              <w:lang w:val="en-GB"/>
            </w:rPr>
            <w:t>SUPREME COURT REPORTS</w:t>
          </w:r>
        </w:p>
      </w:tc>
      <w:tc>
        <w:tcPr>
          <w:tcW w:w="840" w:type="dxa"/>
        </w:tcPr>
        <w:p w:rsidR="001A6C2D" w:rsidRDefault="001A6C2D" w:rsidP="006B6926">
          <w:pPr>
            <w:jc w:val="center"/>
            <w:rPr>
              <w:bCs/>
              <w:sz w:val="20"/>
              <w:szCs w:val="20"/>
              <w:lang w:val="en-GB"/>
            </w:rPr>
          </w:pPr>
        </w:p>
        <w:p w:rsidR="001A6C2D" w:rsidRPr="006B6926" w:rsidRDefault="001A6C2D" w:rsidP="006B6926">
          <w:pPr>
            <w:jc w:val="center"/>
            <w:rPr>
              <w:bCs/>
              <w:sz w:val="20"/>
              <w:szCs w:val="20"/>
              <w:lang w:val="en-GB"/>
            </w:rPr>
          </w:pPr>
        </w:p>
      </w:tc>
      <w:tc>
        <w:tcPr>
          <w:tcW w:w="4320" w:type="dxa"/>
        </w:tcPr>
        <w:p w:rsidR="001A6C2D" w:rsidRPr="006B6926" w:rsidRDefault="001A6C2D" w:rsidP="006B6926">
          <w:pPr>
            <w:keepNext/>
            <w:keepLines/>
            <w:rPr>
              <w:bCs/>
              <w:sz w:val="20"/>
              <w:szCs w:val="20"/>
              <w:lang w:val="fr-CA"/>
            </w:rPr>
          </w:pPr>
          <w:r w:rsidRPr="006B6926">
            <w:rPr>
              <w:bCs/>
              <w:sz w:val="20"/>
              <w:szCs w:val="20"/>
              <w:lang w:val="fr-CA"/>
            </w:rPr>
            <w:t>RECUEIL DES ARRÊTS DE LA COUR SUPRÊME</w:t>
          </w:r>
        </w:p>
      </w:tc>
    </w:tr>
  </w:tbl>
  <w:p w:rsidR="001A6C2D" w:rsidRPr="000924F7" w:rsidRDefault="001A6C2D">
    <w:pPr>
      <w:pStyle w:val="Header"/>
      <w:rPr>
        <w:lang w:val="fr-CA"/>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0" w:type="dxa"/>
      <w:tblInd w:w="-90" w:type="dxa"/>
      <w:tblBorders>
        <w:bottom w:val="single" w:sz="8" w:space="0" w:color="auto"/>
      </w:tblBorders>
      <w:tblLayout w:type="fixed"/>
      <w:tblCellMar>
        <w:left w:w="0" w:type="dxa"/>
        <w:right w:w="0" w:type="dxa"/>
      </w:tblCellMar>
      <w:tblLook w:val="0000"/>
    </w:tblPr>
    <w:tblGrid>
      <w:gridCol w:w="4290"/>
      <w:gridCol w:w="1200"/>
      <w:gridCol w:w="4320"/>
    </w:tblGrid>
    <w:tr w:rsidR="001A6C2D" w:rsidRPr="0044776A" w:rsidTr="00245129">
      <w:tc>
        <w:tcPr>
          <w:tcW w:w="4290" w:type="dxa"/>
          <w:tcMar>
            <w:left w:w="0" w:type="dxa"/>
            <w:right w:w="0" w:type="dxa"/>
          </w:tcMar>
        </w:tcPr>
        <w:p w:rsidR="001A6C2D" w:rsidRPr="0044776A" w:rsidRDefault="001A6C2D" w:rsidP="002E2327">
          <w:pPr>
            <w:keepNext/>
            <w:keepLines/>
            <w:rPr>
              <w:sz w:val="20"/>
              <w:szCs w:val="20"/>
            </w:rPr>
          </w:pPr>
          <w:r w:rsidRPr="0044776A">
            <w:rPr>
              <w:sz w:val="20"/>
              <w:szCs w:val="20"/>
            </w:rPr>
            <w:t>APPLICATIONS FOR LEAVE TO APPEAL FILED</w:t>
          </w:r>
        </w:p>
      </w:tc>
      <w:tc>
        <w:tcPr>
          <w:tcW w:w="1200" w:type="dxa"/>
          <w:tcMar>
            <w:left w:w="0" w:type="dxa"/>
            <w:right w:w="0" w:type="dxa"/>
          </w:tcMar>
        </w:tcPr>
        <w:p w:rsidR="001A6C2D" w:rsidRPr="0044776A" w:rsidRDefault="001A6C2D" w:rsidP="002E2327">
          <w:pPr>
            <w:keepNext/>
            <w:keepLines/>
            <w:tabs>
              <w:tab w:val="left" w:pos="-1440"/>
              <w:tab w:val="left" w:pos="-720"/>
            </w:tabs>
            <w:jc w:val="center"/>
            <w:rPr>
              <w:sz w:val="20"/>
              <w:szCs w:val="20"/>
            </w:rPr>
          </w:pPr>
        </w:p>
        <w:p w:rsidR="001A6C2D" w:rsidRPr="0044776A" w:rsidRDefault="001A6C2D" w:rsidP="002E2327">
          <w:pPr>
            <w:keepNext/>
            <w:keepLines/>
            <w:tabs>
              <w:tab w:val="left" w:pos="-1440"/>
              <w:tab w:val="left" w:pos="-720"/>
            </w:tabs>
            <w:jc w:val="center"/>
            <w:rPr>
              <w:sz w:val="20"/>
              <w:szCs w:val="20"/>
            </w:rPr>
          </w:pPr>
        </w:p>
        <w:p w:rsidR="001A6C2D" w:rsidRPr="0044776A" w:rsidRDefault="001A6C2D" w:rsidP="002E2327">
          <w:pPr>
            <w:keepNext/>
            <w:keepLines/>
            <w:tabs>
              <w:tab w:val="left" w:pos="-1440"/>
              <w:tab w:val="left" w:pos="-720"/>
            </w:tabs>
            <w:jc w:val="center"/>
            <w:rPr>
              <w:sz w:val="20"/>
              <w:szCs w:val="20"/>
            </w:rPr>
          </w:pPr>
        </w:p>
      </w:tc>
      <w:tc>
        <w:tcPr>
          <w:tcW w:w="4320" w:type="dxa"/>
          <w:tcMar>
            <w:left w:w="0" w:type="dxa"/>
            <w:right w:w="0" w:type="dxa"/>
          </w:tcMar>
        </w:tcPr>
        <w:p w:rsidR="001A6C2D" w:rsidRPr="0044776A" w:rsidRDefault="001A6C2D" w:rsidP="002E2327">
          <w:pPr>
            <w:keepLines/>
            <w:rPr>
              <w:sz w:val="20"/>
              <w:szCs w:val="20"/>
              <w:lang w:val="fr-CA"/>
            </w:rPr>
          </w:pPr>
          <w:r w:rsidRPr="0044776A">
            <w:rPr>
              <w:sz w:val="20"/>
              <w:szCs w:val="20"/>
              <w:lang w:val="fr-CA"/>
            </w:rPr>
            <w:t>DEMANDES D'AUTORISATION D'APPEL DÉPOSÉES</w:t>
          </w:r>
        </w:p>
      </w:tc>
    </w:tr>
  </w:tbl>
  <w:p w:rsidR="001A6C2D" w:rsidRDefault="001A6C2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1A6C2D" w:rsidRPr="00291AC9" w:rsidTr="00245129">
      <w:tc>
        <w:tcPr>
          <w:tcW w:w="4200" w:type="dxa"/>
          <w:tcMar>
            <w:left w:w="0" w:type="dxa"/>
            <w:right w:w="0" w:type="dxa"/>
          </w:tcMar>
        </w:tcPr>
        <w:p w:rsidR="001A6C2D" w:rsidRPr="0044776A" w:rsidRDefault="001A6C2D" w:rsidP="0044776A">
          <w:pPr>
            <w:keepNext/>
            <w:keepLines/>
            <w:widowControl w:val="0"/>
            <w:rPr>
              <w:sz w:val="20"/>
              <w:szCs w:val="20"/>
            </w:rPr>
          </w:pPr>
          <w:r>
            <w:rPr>
              <w:sz w:val="20"/>
              <w:szCs w:val="20"/>
            </w:rPr>
            <w:t>APPLICATIONS FOR LEAVE</w:t>
          </w:r>
        </w:p>
        <w:p w:rsidR="001A6C2D" w:rsidRPr="0044776A" w:rsidRDefault="001A6C2D" w:rsidP="0044776A">
          <w:pPr>
            <w:keepNext/>
            <w:keepLines/>
            <w:widowControl w:val="0"/>
            <w:rPr>
              <w:sz w:val="20"/>
              <w:szCs w:val="20"/>
            </w:rPr>
          </w:pPr>
          <w:r w:rsidRPr="0044776A">
            <w:rPr>
              <w:sz w:val="20"/>
              <w:szCs w:val="20"/>
            </w:rPr>
            <w:t>SUBMITTED TO COURT SINCE LAST ISSUE</w:t>
          </w:r>
        </w:p>
      </w:tc>
      <w:tc>
        <w:tcPr>
          <w:tcW w:w="1200" w:type="dxa"/>
          <w:tcMar>
            <w:left w:w="0" w:type="dxa"/>
            <w:right w:w="0" w:type="dxa"/>
          </w:tcMar>
        </w:tcPr>
        <w:p w:rsidR="001A6C2D" w:rsidRPr="0044776A" w:rsidRDefault="001A6C2D" w:rsidP="0044776A">
          <w:pPr>
            <w:keepNext/>
            <w:keepLines/>
            <w:widowControl w:val="0"/>
            <w:jc w:val="center"/>
            <w:rPr>
              <w:sz w:val="20"/>
              <w:szCs w:val="20"/>
            </w:rPr>
          </w:pPr>
        </w:p>
        <w:p w:rsidR="001A6C2D" w:rsidRPr="0044776A" w:rsidRDefault="001A6C2D" w:rsidP="0044776A">
          <w:pPr>
            <w:keepNext/>
            <w:keepLines/>
            <w:widowControl w:val="0"/>
            <w:jc w:val="center"/>
            <w:rPr>
              <w:sz w:val="20"/>
              <w:szCs w:val="20"/>
            </w:rPr>
          </w:pPr>
        </w:p>
        <w:p w:rsidR="001A6C2D" w:rsidRPr="0044776A" w:rsidRDefault="001A6C2D" w:rsidP="0044776A">
          <w:pPr>
            <w:keepNext/>
            <w:keepLines/>
            <w:widowControl w:val="0"/>
            <w:jc w:val="center"/>
            <w:rPr>
              <w:sz w:val="20"/>
              <w:szCs w:val="20"/>
            </w:rPr>
          </w:pPr>
        </w:p>
      </w:tc>
      <w:tc>
        <w:tcPr>
          <w:tcW w:w="4080" w:type="dxa"/>
          <w:tcMar>
            <w:left w:w="0" w:type="dxa"/>
            <w:right w:w="0" w:type="dxa"/>
          </w:tcMar>
        </w:tcPr>
        <w:p w:rsidR="001A6C2D" w:rsidRPr="0044776A" w:rsidRDefault="001A6C2D" w:rsidP="0044776A">
          <w:pPr>
            <w:keepLines/>
            <w:widowControl w:val="0"/>
            <w:rPr>
              <w:sz w:val="20"/>
              <w:szCs w:val="20"/>
              <w:lang w:val="fr-CA"/>
            </w:rPr>
          </w:pPr>
          <w:r w:rsidRPr="0044776A">
            <w:rPr>
              <w:sz w:val="20"/>
              <w:szCs w:val="20"/>
              <w:lang w:val="fr-CA"/>
            </w:rPr>
            <w:t>DEMANDES SOUMISES À LA COUR DEPUIS LA DERNIÈRE PARUTION</w:t>
          </w:r>
        </w:p>
        <w:p w:rsidR="001A6C2D" w:rsidRPr="0044776A" w:rsidRDefault="001A6C2D" w:rsidP="0044776A">
          <w:pPr>
            <w:widowControl w:val="0"/>
            <w:rPr>
              <w:sz w:val="20"/>
              <w:szCs w:val="20"/>
              <w:lang w:val="fr-CA"/>
            </w:rPr>
          </w:pPr>
        </w:p>
      </w:tc>
    </w:tr>
  </w:tbl>
  <w:p w:rsidR="001A6C2D" w:rsidRPr="002E2327" w:rsidRDefault="001A6C2D">
    <w:pPr>
      <w:pStyle w:val="Header"/>
      <w:rPr>
        <w:lang w:val="fr-CA"/>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C2D" w:rsidRDefault="001A6C2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1A6C2D" w:rsidRPr="00291AC9">
      <w:tc>
        <w:tcPr>
          <w:tcW w:w="4200" w:type="dxa"/>
          <w:tcMar>
            <w:left w:w="0" w:type="dxa"/>
            <w:right w:w="0" w:type="dxa"/>
          </w:tcMar>
        </w:tcPr>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1A6C2D"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1A6C2D" w:rsidRDefault="001A6C2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1A6C2D" w:rsidRPr="00FF6BA5" w:rsidRDefault="001A6C2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1A6C2D" w:rsidRPr="00FF6BA5"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1A6C2D" w:rsidRPr="00FF6BA5"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1A6C2D" w:rsidRPr="00FF6BA5" w:rsidRDefault="001A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1A6C2D" w:rsidRPr="00291AC9" w:rsidTr="00245129">
      <w:tc>
        <w:tcPr>
          <w:tcW w:w="4200" w:type="dxa"/>
          <w:tcMar>
            <w:left w:w="0" w:type="dxa"/>
            <w:right w:w="0" w:type="dxa"/>
          </w:tcMar>
        </w:tcPr>
        <w:p w:rsidR="001A6C2D" w:rsidRPr="00755F22"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JUDGMENTS ON APPLICATIONS</w:t>
          </w:r>
        </w:p>
        <w:p w:rsidR="001A6C2D" w:rsidRPr="00755F22" w:rsidRDefault="001A6C2D">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FOR LEAVE</w:t>
          </w:r>
        </w:p>
      </w:tc>
      <w:tc>
        <w:tcPr>
          <w:tcW w:w="1200" w:type="dxa"/>
          <w:tcMar>
            <w:left w:w="0" w:type="dxa"/>
            <w:right w:w="0" w:type="dxa"/>
          </w:tcMar>
        </w:tcPr>
        <w:p w:rsidR="001A6C2D" w:rsidRPr="00755F22" w:rsidRDefault="001A6C2D"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1A6C2D" w:rsidRPr="00755F22" w:rsidRDefault="001A6C2D"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1A6C2D" w:rsidRPr="00755F22" w:rsidRDefault="001A6C2D"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1A6C2D" w:rsidRPr="00755F22" w:rsidRDefault="001A6C2D">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755F22">
            <w:rPr>
              <w:sz w:val="20"/>
              <w:szCs w:val="20"/>
              <w:lang w:val="fr-CA"/>
            </w:rPr>
            <w:t>JUGEMENTS RENDUS SUR LES DEMANDES D'AUTORISATION</w:t>
          </w:r>
        </w:p>
      </w:tc>
    </w:tr>
  </w:tbl>
  <w:p w:rsidR="001A6C2D" w:rsidRPr="00FF6BA5" w:rsidRDefault="001A6C2D" w:rsidP="00755F22">
    <w:pPr>
      <w:tabs>
        <w:tab w:val="left" w:pos="-1440"/>
        <w:tab w:val="left" w:pos="-720"/>
      </w:tabs>
      <w:rPr>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37BE5"/>
    <w:multiLevelType w:val="hybridMultilevel"/>
    <w:tmpl w:val="71F431B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E8239A2"/>
    <w:multiLevelType w:val="hybridMultilevel"/>
    <w:tmpl w:val="71F431B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54283EE8"/>
    <w:multiLevelType w:val="multilevel"/>
    <w:tmpl w:val="C9706B8C"/>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defaultTabStop w:val="720"/>
  <w:drawingGridHorizontalSpacing w:val="120"/>
  <w:displayHorizontalDrawingGridEvery w:val="2"/>
  <w:characterSpacingControl w:val="doNotCompress"/>
  <w:hdrShapeDefaults>
    <o:shapedefaults v:ext="edit" spidmax="39959"/>
  </w:hdrShapeDefaults>
  <w:footnotePr>
    <w:footnote w:id="-1"/>
    <w:footnote w:id="0"/>
  </w:footnotePr>
  <w:endnotePr>
    <w:endnote w:id="-1"/>
    <w:endnote w:id="0"/>
  </w:endnotePr>
  <w:compat/>
  <w:rsids>
    <w:rsidRoot w:val="009C22C6"/>
    <w:rsid w:val="00023530"/>
    <w:rsid w:val="0003223B"/>
    <w:rsid w:val="000327B2"/>
    <w:rsid w:val="000778F5"/>
    <w:rsid w:val="00096BD9"/>
    <w:rsid w:val="000A5840"/>
    <w:rsid w:val="000B3C9A"/>
    <w:rsid w:val="000B40A2"/>
    <w:rsid w:val="000C0ACD"/>
    <w:rsid w:val="000C20D4"/>
    <w:rsid w:val="00102926"/>
    <w:rsid w:val="0010587F"/>
    <w:rsid w:val="00111C6B"/>
    <w:rsid w:val="0013369E"/>
    <w:rsid w:val="00164E6D"/>
    <w:rsid w:val="00194276"/>
    <w:rsid w:val="001A6C2D"/>
    <w:rsid w:val="001B5C23"/>
    <w:rsid w:val="001D0D5F"/>
    <w:rsid w:val="001D6B8C"/>
    <w:rsid w:val="001F1F83"/>
    <w:rsid w:val="002021A9"/>
    <w:rsid w:val="002139A7"/>
    <w:rsid w:val="00215F7C"/>
    <w:rsid w:val="0022323B"/>
    <w:rsid w:val="00240B97"/>
    <w:rsid w:val="002410B8"/>
    <w:rsid w:val="00242AEE"/>
    <w:rsid w:val="00245129"/>
    <w:rsid w:val="00245879"/>
    <w:rsid w:val="002554AE"/>
    <w:rsid w:val="00267FD5"/>
    <w:rsid w:val="00284A00"/>
    <w:rsid w:val="002850C7"/>
    <w:rsid w:val="002868D0"/>
    <w:rsid w:val="00291AC9"/>
    <w:rsid w:val="002B516C"/>
    <w:rsid w:val="002D72EB"/>
    <w:rsid w:val="002E2327"/>
    <w:rsid w:val="002E3583"/>
    <w:rsid w:val="002E5576"/>
    <w:rsid w:val="002E724C"/>
    <w:rsid w:val="00322868"/>
    <w:rsid w:val="00331542"/>
    <w:rsid w:val="00331B52"/>
    <w:rsid w:val="003359D3"/>
    <w:rsid w:val="003367E5"/>
    <w:rsid w:val="00340E96"/>
    <w:rsid w:val="00355967"/>
    <w:rsid w:val="00382C47"/>
    <w:rsid w:val="00384384"/>
    <w:rsid w:val="003B3977"/>
    <w:rsid w:val="003E38A0"/>
    <w:rsid w:val="0041655E"/>
    <w:rsid w:val="00432989"/>
    <w:rsid w:val="00440E24"/>
    <w:rsid w:val="0044776A"/>
    <w:rsid w:val="00456E5F"/>
    <w:rsid w:val="00460AFC"/>
    <w:rsid w:val="0047155B"/>
    <w:rsid w:val="0047471F"/>
    <w:rsid w:val="004B3C1E"/>
    <w:rsid w:val="004B66B4"/>
    <w:rsid w:val="004C1AAC"/>
    <w:rsid w:val="004C6089"/>
    <w:rsid w:val="004D20D2"/>
    <w:rsid w:val="004E3031"/>
    <w:rsid w:val="004E695A"/>
    <w:rsid w:val="004F090E"/>
    <w:rsid w:val="00527CC7"/>
    <w:rsid w:val="00561160"/>
    <w:rsid w:val="00571CA4"/>
    <w:rsid w:val="00582136"/>
    <w:rsid w:val="00597BB5"/>
    <w:rsid w:val="005C2770"/>
    <w:rsid w:val="005C6840"/>
    <w:rsid w:val="005E4495"/>
    <w:rsid w:val="005F263E"/>
    <w:rsid w:val="00600252"/>
    <w:rsid w:val="00612A40"/>
    <w:rsid w:val="00635A7A"/>
    <w:rsid w:val="00663B19"/>
    <w:rsid w:val="0066725C"/>
    <w:rsid w:val="00675479"/>
    <w:rsid w:val="00697A14"/>
    <w:rsid w:val="00697C62"/>
    <w:rsid w:val="006A329B"/>
    <w:rsid w:val="006A7EB8"/>
    <w:rsid w:val="006B6926"/>
    <w:rsid w:val="006C3F47"/>
    <w:rsid w:val="006C5F7A"/>
    <w:rsid w:val="006E06AF"/>
    <w:rsid w:val="006E1555"/>
    <w:rsid w:val="006F350F"/>
    <w:rsid w:val="00727217"/>
    <w:rsid w:val="00732DB7"/>
    <w:rsid w:val="00755F22"/>
    <w:rsid w:val="00766E4A"/>
    <w:rsid w:val="00775B4C"/>
    <w:rsid w:val="007820CE"/>
    <w:rsid w:val="00782AE4"/>
    <w:rsid w:val="0079724F"/>
    <w:rsid w:val="007A3EAE"/>
    <w:rsid w:val="007C04FC"/>
    <w:rsid w:val="007D3E0F"/>
    <w:rsid w:val="007F387B"/>
    <w:rsid w:val="007F4537"/>
    <w:rsid w:val="00802863"/>
    <w:rsid w:val="00810038"/>
    <w:rsid w:val="00815B3C"/>
    <w:rsid w:val="0082783A"/>
    <w:rsid w:val="00831CA9"/>
    <w:rsid w:val="00850E1F"/>
    <w:rsid w:val="0085476B"/>
    <w:rsid w:val="00864075"/>
    <w:rsid w:val="00890FEB"/>
    <w:rsid w:val="00892BDF"/>
    <w:rsid w:val="008C4A1F"/>
    <w:rsid w:val="008D292F"/>
    <w:rsid w:val="008E03DC"/>
    <w:rsid w:val="008E3B12"/>
    <w:rsid w:val="008F24E5"/>
    <w:rsid w:val="008F6D3A"/>
    <w:rsid w:val="00902D80"/>
    <w:rsid w:val="00907F0A"/>
    <w:rsid w:val="00924065"/>
    <w:rsid w:val="00930D68"/>
    <w:rsid w:val="00932DB4"/>
    <w:rsid w:val="00946242"/>
    <w:rsid w:val="0095096B"/>
    <w:rsid w:val="00970CD3"/>
    <w:rsid w:val="009723FA"/>
    <w:rsid w:val="00984546"/>
    <w:rsid w:val="009920EA"/>
    <w:rsid w:val="00992FA8"/>
    <w:rsid w:val="00996510"/>
    <w:rsid w:val="009C22C6"/>
    <w:rsid w:val="009D1F15"/>
    <w:rsid w:val="009D555E"/>
    <w:rsid w:val="00A0355E"/>
    <w:rsid w:val="00A065CA"/>
    <w:rsid w:val="00A22E16"/>
    <w:rsid w:val="00A375D1"/>
    <w:rsid w:val="00A51D10"/>
    <w:rsid w:val="00A52A83"/>
    <w:rsid w:val="00A5607E"/>
    <w:rsid w:val="00A62785"/>
    <w:rsid w:val="00A71CD4"/>
    <w:rsid w:val="00A73E83"/>
    <w:rsid w:val="00A82190"/>
    <w:rsid w:val="00A87207"/>
    <w:rsid w:val="00A935AA"/>
    <w:rsid w:val="00A957AC"/>
    <w:rsid w:val="00AB2201"/>
    <w:rsid w:val="00AD4563"/>
    <w:rsid w:val="00AF1715"/>
    <w:rsid w:val="00AF3904"/>
    <w:rsid w:val="00AF4773"/>
    <w:rsid w:val="00AF74B0"/>
    <w:rsid w:val="00AF7D31"/>
    <w:rsid w:val="00B010C0"/>
    <w:rsid w:val="00B1518C"/>
    <w:rsid w:val="00B32062"/>
    <w:rsid w:val="00B40FC4"/>
    <w:rsid w:val="00B4740D"/>
    <w:rsid w:val="00B52EFD"/>
    <w:rsid w:val="00B61263"/>
    <w:rsid w:val="00B61629"/>
    <w:rsid w:val="00B7374B"/>
    <w:rsid w:val="00B90DC0"/>
    <w:rsid w:val="00BA116A"/>
    <w:rsid w:val="00BA4584"/>
    <w:rsid w:val="00BA5582"/>
    <w:rsid w:val="00BA6468"/>
    <w:rsid w:val="00BB204D"/>
    <w:rsid w:val="00BD06DA"/>
    <w:rsid w:val="00BD4217"/>
    <w:rsid w:val="00BF25F3"/>
    <w:rsid w:val="00C16377"/>
    <w:rsid w:val="00C1697B"/>
    <w:rsid w:val="00C50A5C"/>
    <w:rsid w:val="00C50FDF"/>
    <w:rsid w:val="00C73E1B"/>
    <w:rsid w:val="00C759B4"/>
    <w:rsid w:val="00C77713"/>
    <w:rsid w:val="00CB43D5"/>
    <w:rsid w:val="00CC4D84"/>
    <w:rsid w:val="00CE69E6"/>
    <w:rsid w:val="00D03ED3"/>
    <w:rsid w:val="00D04DAE"/>
    <w:rsid w:val="00D12E5D"/>
    <w:rsid w:val="00D16073"/>
    <w:rsid w:val="00D21010"/>
    <w:rsid w:val="00D64901"/>
    <w:rsid w:val="00D76BDF"/>
    <w:rsid w:val="00D80FB5"/>
    <w:rsid w:val="00D862C1"/>
    <w:rsid w:val="00D907A3"/>
    <w:rsid w:val="00D93B50"/>
    <w:rsid w:val="00D94670"/>
    <w:rsid w:val="00DA46F6"/>
    <w:rsid w:val="00DA752E"/>
    <w:rsid w:val="00DC0A0B"/>
    <w:rsid w:val="00DD0B49"/>
    <w:rsid w:val="00E01CF4"/>
    <w:rsid w:val="00E06DFA"/>
    <w:rsid w:val="00E356C7"/>
    <w:rsid w:val="00E6462D"/>
    <w:rsid w:val="00E64FA7"/>
    <w:rsid w:val="00E770CB"/>
    <w:rsid w:val="00E84839"/>
    <w:rsid w:val="00E93B8E"/>
    <w:rsid w:val="00E940EB"/>
    <w:rsid w:val="00E9525C"/>
    <w:rsid w:val="00EB2B90"/>
    <w:rsid w:val="00EB3B4C"/>
    <w:rsid w:val="00EC7093"/>
    <w:rsid w:val="00ED7E83"/>
    <w:rsid w:val="00EF4B63"/>
    <w:rsid w:val="00F0068D"/>
    <w:rsid w:val="00F0576D"/>
    <w:rsid w:val="00F15EA8"/>
    <w:rsid w:val="00F16C8D"/>
    <w:rsid w:val="00F20DFD"/>
    <w:rsid w:val="00F26C61"/>
    <w:rsid w:val="00F33CCE"/>
    <w:rsid w:val="00F40249"/>
    <w:rsid w:val="00F420F7"/>
    <w:rsid w:val="00F526C8"/>
    <w:rsid w:val="00F755C3"/>
    <w:rsid w:val="00F87A56"/>
    <w:rsid w:val="00F909D1"/>
    <w:rsid w:val="00F9518C"/>
    <w:rsid w:val="00FA316E"/>
    <w:rsid w:val="00FA59EF"/>
    <w:rsid w:val="00FB19A2"/>
    <w:rsid w:val="00FC2730"/>
    <w:rsid w:val="00FF6EE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99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8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7207"/>
    <w:pPr>
      <w:tabs>
        <w:tab w:val="center" w:pos="4680"/>
        <w:tab w:val="right" w:pos="9360"/>
      </w:tabs>
    </w:pPr>
  </w:style>
  <w:style w:type="character" w:customStyle="1" w:styleId="HeaderChar">
    <w:name w:val="Header Char"/>
    <w:basedOn w:val="DefaultParagraphFont"/>
    <w:link w:val="Header"/>
    <w:uiPriority w:val="99"/>
    <w:semiHidden/>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755F22"/>
    <w:pPr>
      <w:widowControl w:val="0"/>
      <w:autoSpaceDE w:val="0"/>
      <w:autoSpaceDN w:val="0"/>
      <w:adjustRightInd w:val="0"/>
    </w:pPr>
    <w:rPr>
      <w:rFonts w:eastAsiaTheme="minorEastAsia" w:cs="Times New Roman"/>
      <w:b/>
      <w:szCs w:val="20"/>
      <w:lang w:eastAsia="en-CA"/>
    </w:rPr>
  </w:style>
  <w:style w:type="paragraph" w:customStyle="1" w:styleId="Header1StyleF">
    <w:name w:val="Header 1 Style F"/>
    <w:basedOn w:val="Header1StyleE"/>
    <w:autoRedefine/>
    <w:qFormat/>
    <w:rsid w:val="00755F2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Ind w:w="0" w:type="dxa"/>
      <w:tblCellMar>
        <w:top w:w="0" w:type="dxa"/>
        <w:left w:w="576" w:type="dxa"/>
        <w:bottom w:w="0"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Ind w:w="0" w:type="dxa"/>
      <w:tblCellMar>
        <w:top w:w="0" w:type="dxa"/>
        <w:left w:w="576" w:type="dxa"/>
        <w:bottom w:w="0"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i/>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i/>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lang w:val="fr-CA"/>
    </w:rPr>
  </w:style>
  <w:style w:type="paragraph" w:customStyle="1" w:styleId="SCCLsocParty">
    <w:name w:val="SCC.Lsoc.Party"/>
    <w:basedOn w:val="Normal"/>
    <w:next w:val="Normal"/>
    <w:link w:val="SCCLsocPartyChar"/>
    <w:rsid w:val="00BB204D"/>
    <w:pPr>
      <w:jc w:val="center"/>
    </w:pPr>
    <w:rPr>
      <w:rFonts w:eastAsia="Calibri" w:cs="Times New Roman"/>
      <w:lang w:val="fr-CA"/>
    </w:rPr>
  </w:style>
  <w:style w:type="character" w:customStyle="1" w:styleId="SCCLsocPartyChar">
    <w:name w:val="SCC.Lsoc.Party Char"/>
    <w:basedOn w:val="DefaultParagraphFont"/>
    <w:link w:val="SCCLsocParty"/>
    <w:rsid w:val="00BB204D"/>
    <w:rPr>
      <w:rFonts w:eastAsia="Calibri" w:cs="Times New Roman"/>
      <w:lang w:val="fr-CA"/>
    </w:rPr>
  </w:style>
  <w:style w:type="paragraph" w:customStyle="1" w:styleId="SCCFileNumber">
    <w:name w:val="SCC.FileNumber"/>
    <w:basedOn w:val="Normal"/>
    <w:next w:val="Normal"/>
    <w:link w:val="SCCFileNumberChar"/>
    <w:rsid w:val="00BB204D"/>
    <w:pPr>
      <w:jc w:val="both"/>
    </w:pPr>
    <w:rPr>
      <w:rFonts w:eastAsia="Calibri" w:cs="Times New Roman"/>
      <w:b/>
    </w:rPr>
  </w:style>
  <w:style w:type="character" w:customStyle="1" w:styleId="SCCFileNumberChar">
    <w:name w:val="SCC.FileNumber Char"/>
    <w:basedOn w:val="DefaultParagraphFont"/>
    <w:link w:val="SCCFileNumber"/>
    <w:rsid w:val="00BB204D"/>
    <w:rPr>
      <w:rFonts w:eastAsia="Calibri" w:cs="Times New Roman"/>
      <w:b/>
      <w:lang w:val="en-CA"/>
    </w:rPr>
  </w:style>
  <w:style w:type="paragraph" w:styleId="Quote">
    <w:name w:val="Quote"/>
    <w:basedOn w:val="Normal"/>
    <w:next w:val="Normal"/>
    <w:link w:val="QuoteChar"/>
    <w:uiPriority w:val="29"/>
    <w:qFormat/>
    <w:rsid w:val="00E84839"/>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E84839"/>
    <w:rPr>
      <w:rFonts w:eastAsia="Times New Roman" w:cs="Times New Roman"/>
      <w:i/>
      <w:iCs/>
      <w:color w:val="000000" w:themeColor="text1"/>
      <w:szCs w:val="20"/>
      <w:lang w:val="en-CA" w:eastAsia="en-CA"/>
    </w:rPr>
  </w:style>
  <w:style w:type="paragraph" w:customStyle="1" w:styleId="SCCLowerCourtNameLowercase">
    <w:name w:val="SCC.LowerCourtNameLowercase"/>
    <w:basedOn w:val="SCCNormalDoubleSpacing"/>
    <w:next w:val="SCCNormalDoubleSpacing"/>
    <w:rsid w:val="00E84839"/>
    <w:pPr>
      <w:tabs>
        <w:tab w:val="left" w:pos="1168"/>
      </w:tabs>
    </w:pPr>
    <w:rPr>
      <w:smallCaps/>
    </w:rPr>
  </w:style>
  <w:style w:type="paragraph" w:customStyle="1" w:styleId="ParaNoNdepar-AltN">
    <w:name w:val="Para. No. / Nº de par. - Alt N"/>
    <w:qFormat/>
    <w:rsid w:val="00B40FC4"/>
    <w:pPr>
      <w:numPr>
        <w:numId w:val="2"/>
      </w:numPr>
      <w:spacing w:before="480" w:after="480" w:line="480" w:lineRule="auto"/>
      <w:jc w:val="both"/>
    </w:pPr>
    <w:rPr>
      <w:rFonts w:eastAsiaTheme="minorEastAsia"/>
      <w:lang w:val="fr-CA"/>
    </w:rPr>
  </w:style>
  <w:style w:type="paragraph" w:customStyle="1" w:styleId="SCCLsoc">
    <w:name w:val="SCC.Lsoc"/>
    <w:basedOn w:val="Normal"/>
    <w:next w:val="Normal"/>
    <w:link w:val="SCCLsocChar"/>
    <w:rsid w:val="00B40FC4"/>
    <w:pPr>
      <w:jc w:val="center"/>
    </w:pPr>
    <w:rPr>
      <w:b/>
      <w:szCs w:val="24"/>
      <w:u w:val="single"/>
      <w:lang w:val="fr-CA"/>
    </w:rPr>
  </w:style>
  <w:style w:type="character" w:customStyle="1" w:styleId="SCCLsocChar">
    <w:name w:val="SCC.Lsoc Char"/>
    <w:basedOn w:val="DefaultParagraphFont"/>
    <w:link w:val="SCCLsoc"/>
    <w:rsid w:val="00B40FC4"/>
    <w:rPr>
      <w:b/>
      <w:szCs w:val="24"/>
      <w:u w:val="single"/>
      <w:lang w:val="fr-CA"/>
    </w:rPr>
  </w:style>
  <w:style w:type="paragraph" w:customStyle="1" w:styleId="SCCCoram">
    <w:name w:val="SCC.Coram"/>
    <w:basedOn w:val="Normal"/>
    <w:next w:val="Normal"/>
    <w:link w:val="SCCCoramChar"/>
    <w:rsid w:val="00B40FC4"/>
    <w:pPr>
      <w:jc w:val="center"/>
    </w:pPr>
    <w:rPr>
      <w:szCs w:val="24"/>
      <w:u w:val="single"/>
      <w:lang w:val="fr-CA"/>
    </w:rPr>
  </w:style>
  <w:style w:type="character" w:customStyle="1" w:styleId="SCCCoramChar">
    <w:name w:val="SCC.Coram Char"/>
    <w:basedOn w:val="DefaultParagraphFont"/>
    <w:link w:val="SCCCoram"/>
    <w:rsid w:val="00B40FC4"/>
    <w:rPr>
      <w:szCs w:val="24"/>
      <w:u w:val="single"/>
      <w:lang w:val="fr-CA"/>
    </w:rPr>
  </w:style>
  <w:style w:type="paragraph" w:customStyle="1" w:styleId="SCCShortJudgment">
    <w:name w:val="SCC.ShortJudgment"/>
    <w:basedOn w:val="Normal"/>
    <w:qFormat/>
    <w:rsid w:val="00B40FC4"/>
    <w:pPr>
      <w:ind w:firstLine="720"/>
      <w:jc w:val="both"/>
    </w:pPr>
    <w:rPr>
      <w:sz w:val="20"/>
      <w:szCs w:val="24"/>
    </w:rPr>
  </w:style>
  <w:style w:type="table" w:customStyle="1" w:styleId="TableGrid1">
    <w:name w:val="Table Grid1"/>
    <w:basedOn w:val="TableNormal"/>
    <w:next w:val="TableGrid"/>
    <w:uiPriority w:val="59"/>
    <w:rsid w:val="00992FA8"/>
    <w:rPr>
      <w:rFonts w:eastAsia="Times New Roman" w:cs="Times New Roman"/>
      <w:sz w:val="20"/>
      <w:szCs w:val="20"/>
      <w:lang w:val="en-CA"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body">
    <w:name w:val="documentbody"/>
    <w:basedOn w:val="DefaultParagraphFont"/>
    <w:rsid w:val="00D03E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footer" Target="footer23.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footer" Target="footer34.xml"/><Relationship Id="rId7" Type="http://schemas.openxmlformats.org/officeDocument/2006/relationships/endnotes" Target="endnotes.xml"/><Relationship Id="rId71"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66" Type="http://schemas.openxmlformats.org/officeDocument/2006/relationships/header" Target="header30.xml"/><Relationship Id="rId74" Type="http://schemas.openxmlformats.org/officeDocument/2006/relationships/footer" Target="footer3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header" Target="header25.xml"/><Relationship Id="rId61" Type="http://schemas.openxmlformats.org/officeDocument/2006/relationships/footer" Target="footer2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eader" Target="header21.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header" Target="header31.xml"/><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eader" Target="header22.xml"/><Relationship Id="rId72" Type="http://schemas.openxmlformats.org/officeDocument/2006/relationships/footer" Target="footer3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header" Target="header24.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B078A-F3FA-4717-8174-415A2630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15275</Words>
  <Characters>87073</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2011-07-29T18:15:00Z</dcterms:created>
  <dcterms:modified xsi:type="dcterms:W3CDTF">2011-07-29T18:15:00Z</dcterms:modified>
</cp:coreProperties>
</file>