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F80A4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80A4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80A4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F80A4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80A49" w:rsidTr="002E5576">
        <w:tc>
          <w:tcPr>
            <w:tcW w:w="4518" w:type="dxa"/>
          </w:tcPr>
          <w:p w:rsidR="00BF25F3" w:rsidRPr="002E2327" w:rsidRDefault="004D21E4"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4D21E4"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900D0B" w:rsidP="00F0068D">
      <w:pPr>
        <w:pBdr>
          <w:bottom w:val="single" w:sz="6" w:space="1" w:color="auto"/>
        </w:pBdr>
        <w:tabs>
          <w:tab w:val="center" w:pos="4680"/>
          <w:tab w:val="right" w:pos="9360"/>
        </w:tabs>
        <w:rPr>
          <w:lang w:val="fr-CA"/>
        </w:rPr>
      </w:pPr>
      <w:r>
        <w:rPr>
          <w:lang w:val="fr-CA"/>
        </w:rPr>
        <w:t>October</w:t>
      </w:r>
      <w:r w:rsidR="00440E24" w:rsidRPr="00675479">
        <w:rPr>
          <w:lang w:val="fr-CA"/>
        </w:rPr>
        <w:t xml:space="preserve"> 2</w:t>
      </w:r>
      <w:r w:rsidR="003359D3">
        <w:rPr>
          <w:lang w:val="fr-CA"/>
        </w:rPr>
        <w:t>1</w:t>
      </w:r>
      <w:r w:rsidR="00440E24" w:rsidRPr="00675479">
        <w:rPr>
          <w:lang w:val="fr-CA"/>
        </w:rPr>
        <w:t>, 201</w:t>
      </w:r>
      <w:r w:rsidR="003359D3">
        <w:rPr>
          <w:lang w:val="fr-CA"/>
        </w:rPr>
        <w:t>1</w:t>
      </w:r>
      <w:r w:rsidR="00F0068D" w:rsidRPr="00675479">
        <w:rPr>
          <w:lang w:val="fr-CA"/>
        </w:rPr>
        <w:tab/>
        <w:t>1</w:t>
      </w:r>
      <w:r>
        <w:rPr>
          <w:lang w:val="fr-CA"/>
        </w:rPr>
        <w:t>467</w:t>
      </w:r>
      <w:r w:rsidR="00F0068D" w:rsidRPr="00675479">
        <w:rPr>
          <w:lang w:val="fr-CA"/>
        </w:rPr>
        <w:t xml:space="preserve"> - </w:t>
      </w:r>
      <w:r w:rsidR="00B251E1">
        <w:rPr>
          <w:lang w:val="fr-CA"/>
        </w:rPr>
        <w:t>154</w:t>
      </w:r>
      <w:r w:rsidR="00B90105">
        <w:rPr>
          <w:lang w:val="fr-CA"/>
        </w:rPr>
        <w:t>5</w:t>
      </w:r>
      <w:r w:rsidR="00440E24" w:rsidRPr="00675479">
        <w:rPr>
          <w:lang w:val="fr-CA"/>
        </w:rPr>
        <w:tab/>
      </w:r>
      <w:r w:rsidR="00440E24" w:rsidRPr="002E2327">
        <w:rPr>
          <w:lang w:val="fr-CA"/>
        </w:rPr>
        <w:t>Le 2</w:t>
      </w:r>
      <w:r w:rsidR="003359D3">
        <w:rPr>
          <w:lang w:val="fr-CA"/>
        </w:rPr>
        <w:t>1</w:t>
      </w:r>
      <w:r w:rsidR="00440E24" w:rsidRPr="002E2327">
        <w:rPr>
          <w:lang w:val="fr-CA"/>
        </w:rPr>
        <w:t xml:space="preserve"> </w:t>
      </w:r>
      <w:r>
        <w:rPr>
          <w:lang w:val="fr-CA"/>
        </w:rPr>
        <w:t>octob</w:t>
      </w:r>
      <w:r w:rsidR="00440E24" w:rsidRPr="002E2327">
        <w:rPr>
          <w:lang w:val="fr-CA"/>
        </w:rPr>
        <w:t>r</w:t>
      </w:r>
      <w:r>
        <w:rPr>
          <w:lang w:val="fr-CA"/>
        </w:rPr>
        <w:t>e</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F80A49"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67163F">
            <w:pPr>
              <w:tabs>
                <w:tab w:val="right" w:pos="9360"/>
              </w:tabs>
              <w:rPr>
                <w:rFonts w:cs="Times New Roman"/>
                <w:sz w:val="20"/>
                <w:szCs w:val="20"/>
              </w:rPr>
            </w:pPr>
          </w:p>
        </w:tc>
        <w:tc>
          <w:tcPr>
            <w:tcW w:w="1980" w:type="dxa"/>
          </w:tcPr>
          <w:p w:rsidR="0095096B" w:rsidRPr="002E2327" w:rsidRDefault="0067163F" w:rsidP="0095096B">
            <w:pPr>
              <w:jc w:val="center"/>
              <w:rPr>
                <w:rFonts w:cs="Times New Roman"/>
                <w:sz w:val="20"/>
                <w:szCs w:val="20"/>
              </w:rPr>
            </w:pPr>
            <w:r>
              <w:rPr>
                <w:rFonts w:cs="Times New Roman"/>
                <w:sz w:val="20"/>
                <w:szCs w:val="20"/>
              </w:rPr>
              <w:t xml:space="preserve">1467 </w:t>
            </w:r>
            <w:r w:rsidR="004D21E4" w:rsidRPr="002E2327">
              <w:rPr>
                <w:rFonts w:cs="Times New Roman"/>
                <w:sz w:val="20"/>
                <w:szCs w:val="20"/>
              </w:rPr>
              <w:fldChar w:fldCharType="begin"/>
            </w:r>
            <w:r w:rsidR="0095096B" w:rsidRPr="002E2327">
              <w:rPr>
                <w:rFonts w:cs="Times New Roman"/>
                <w:sz w:val="20"/>
                <w:szCs w:val="20"/>
              </w:rPr>
              <w:instrText xml:space="preserve"> SEQ CHAPTER \h \r 1</w:instrText>
            </w:r>
            <w:r w:rsidR="004D21E4"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1468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7163F" w:rsidP="0095096B">
            <w:pPr>
              <w:jc w:val="center"/>
              <w:rPr>
                <w:rFonts w:cs="Times New Roman"/>
                <w:sz w:val="20"/>
                <w:szCs w:val="20"/>
              </w:rPr>
            </w:pPr>
            <w:r>
              <w:rPr>
                <w:rFonts w:cs="Times New Roman"/>
                <w:sz w:val="20"/>
                <w:szCs w:val="20"/>
              </w:rPr>
              <w:t>1469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B62C5" w:rsidP="0095096B">
            <w:pPr>
              <w:jc w:val="center"/>
              <w:rPr>
                <w:rFonts w:cs="Times New Roman"/>
                <w:sz w:val="20"/>
                <w:szCs w:val="20"/>
              </w:rPr>
            </w:pPr>
            <w:r>
              <w:rPr>
                <w:rFonts w:cs="Times New Roman"/>
                <w:sz w:val="20"/>
                <w:szCs w:val="20"/>
              </w:rPr>
              <w:t xml:space="preserve">1470 </w:t>
            </w:r>
            <w:r w:rsidR="0095096B" w:rsidRPr="002E2327">
              <w:rPr>
                <w:rFonts w:cs="Times New Roman"/>
                <w:sz w:val="20"/>
                <w:szCs w:val="20"/>
              </w:rPr>
              <w:t>-</w:t>
            </w:r>
            <w:r>
              <w:rPr>
                <w:rFonts w:cs="Times New Roman"/>
                <w:sz w:val="20"/>
                <w:szCs w:val="20"/>
              </w:rPr>
              <w:t xml:space="preserve"> 152</w:t>
            </w:r>
            <w:r w:rsidR="00B90105">
              <w:rPr>
                <w:rFonts w:cs="Times New Roman"/>
                <w:sz w:val="20"/>
                <w:szCs w:val="20"/>
              </w:rPr>
              <w:t>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B62C5" w:rsidP="0095096B">
            <w:pPr>
              <w:jc w:val="center"/>
              <w:rPr>
                <w:rFonts w:cs="Times New Roman"/>
                <w:sz w:val="20"/>
                <w:szCs w:val="20"/>
              </w:rPr>
            </w:pPr>
            <w:r>
              <w:rPr>
                <w:rFonts w:cs="Times New Roman"/>
                <w:sz w:val="20"/>
                <w:szCs w:val="20"/>
              </w:rPr>
              <w:t>152</w:t>
            </w:r>
            <w:r w:rsidR="00B90105">
              <w:rPr>
                <w:rFonts w:cs="Times New Roman"/>
                <w:sz w:val="20"/>
                <w:szCs w:val="20"/>
              </w:rPr>
              <w:t>3</w:t>
            </w:r>
            <w:r>
              <w:rPr>
                <w:rFonts w:cs="Times New Roman"/>
                <w:sz w:val="20"/>
                <w:szCs w:val="20"/>
              </w:rPr>
              <w:t xml:space="preserve"> </w:t>
            </w:r>
            <w:r w:rsidR="009B3FFD">
              <w:rPr>
                <w:rFonts w:cs="Times New Roman"/>
                <w:sz w:val="20"/>
                <w:szCs w:val="20"/>
              </w:rPr>
              <w:t>-</w:t>
            </w:r>
            <w:r>
              <w:rPr>
                <w:rFonts w:cs="Times New Roman"/>
                <w:sz w:val="20"/>
                <w:szCs w:val="20"/>
              </w:rPr>
              <w:t xml:space="preserve"> 152</w:t>
            </w:r>
            <w:r w:rsidR="00B90105">
              <w:rPr>
                <w:rFonts w:cs="Times New Roman"/>
                <w:sz w:val="20"/>
                <w:szCs w:val="20"/>
              </w:rPr>
              <w:t>5</w:t>
            </w:r>
          </w:p>
          <w:p w:rsidR="0095096B" w:rsidRPr="002E2327" w:rsidRDefault="0095096B" w:rsidP="0095096B">
            <w:pPr>
              <w:jc w:val="center"/>
              <w:rPr>
                <w:rFonts w:cs="Times New Roman"/>
                <w:sz w:val="20"/>
                <w:szCs w:val="20"/>
              </w:rPr>
            </w:pPr>
          </w:p>
          <w:p w:rsidR="0095096B" w:rsidRPr="002E2327" w:rsidRDefault="0067163F" w:rsidP="0095096B">
            <w:pPr>
              <w:jc w:val="center"/>
              <w:rPr>
                <w:rFonts w:cs="Times New Roman"/>
                <w:sz w:val="20"/>
                <w:szCs w:val="20"/>
              </w:rPr>
            </w:pPr>
            <w:r>
              <w:rPr>
                <w:rFonts w:cs="Times New Roman"/>
                <w:sz w:val="20"/>
                <w:szCs w:val="20"/>
              </w:rPr>
              <w:t>1</w:t>
            </w:r>
            <w:r w:rsidR="001B62C5">
              <w:rPr>
                <w:rFonts w:cs="Times New Roman"/>
                <w:sz w:val="20"/>
                <w:szCs w:val="20"/>
              </w:rPr>
              <w:t>52</w:t>
            </w:r>
            <w:r w:rsidR="00B90105">
              <w:rPr>
                <w:rFonts w:cs="Times New Roman"/>
                <w:sz w:val="20"/>
                <w:szCs w:val="20"/>
              </w:rPr>
              <w:t>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B62C5" w:rsidP="0095096B">
            <w:pPr>
              <w:jc w:val="center"/>
              <w:rPr>
                <w:rFonts w:cs="Times New Roman"/>
                <w:sz w:val="20"/>
                <w:szCs w:val="20"/>
              </w:rPr>
            </w:pPr>
            <w:r>
              <w:rPr>
                <w:rFonts w:cs="Times New Roman"/>
                <w:sz w:val="20"/>
                <w:szCs w:val="20"/>
              </w:rPr>
              <w:t>152</w:t>
            </w:r>
            <w:r w:rsidR="00B90105">
              <w:rPr>
                <w:rFonts w:cs="Times New Roman"/>
                <w:sz w:val="20"/>
                <w:szCs w:val="20"/>
              </w:rPr>
              <w:t>7</w:t>
            </w:r>
            <w:r>
              <w:rPr>
                <w:rFonts w:cs="Times New Roman"/>
                <w:sz w:val="20"/>
                <w:szCs w:val="20"/>
              </w:rPr>
              <w:t xml:space="preserve"> </w:t>
            </w:r>
            <w:r w:rsidR="0095096B" w:rsidRPr="002E2327">
              <w:rPr>
                <w:rFonts w:cs="Times New Roman"/>
                <w:sz w:val="20"/>
                <w:szCs w:val="20"/>
              </w:rPr>
              <w:t>-</w:t>
            </w:r>
            <w:r w:rsidR="008903D0">
              <w:rPr>
                <w:rFonts w:cs="Times New Roman"/>
                <w:sz w:val="20"/>
                <w:szCs w:val="20"/>
              </w:rPr>
              <w:t xml:space="preserve"> 153</w:t>
            </w:r>
            <w:r w:rsidR="00B90105">
              <w:rPr>
                <w:rFonts w:cs="Times New Roman"/>
                <w:sz w:val="20"/>
                <w:szCs w:val="20"/>
              </w:rPr>
              <w:t>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903D0" w:rsidP="0095096B">
            <w:pPr>
              <w:jc w:val="center"/>
              <w:rPr>
                <w:rFonts w:cs="Times New Roman"/>
                <w:sz w:val="20"/>
                <w:szCs w:val="20"/>
              </w:rPr>
            </w:pPr>
            <w:r>
              <w:rPr>
                <w:rFonts w:cs="Times New Roman"/>
                <w:sz w:val="20"/>
                <w:szCs w:val="20"/>
              </w:rPr>
              <w:t>153</w:t>
            </w:r>
            <w:r w:rsidR="00B90105">
              <w:rPr>
                <w:rFonts w:cs="Times New Roman"/>
                <w:sz w:val="20"/>
                <w:szCs w:val="20"/>
              </w:rPr>
              <w:t>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903D0" w:rsidP="0095096B">
            <w:pPr>
              <w:jc w:val="center"/>
              <w:rPr>
                <w:rFonts w:cs="Times New Roman"/>
                <w:sz w:val="20"/>
                <w:szCs w:val="20"/>
              </w:rPr>
            </w:pPr>
            <w:r>
              <w:rPr>
                <w:rFonts w:cs="Times New Roman"/>
                <w:sz w:val="20"/>
                <w:szCs w:val="20"/>
              </w:rPr>
              <w:t>153</w:t>
            </w:r>
            <w:r w:rsidR="00B90105">
              <w:rPr>
                <w:rFonts w:cs="Times New Roman"/>
                <w:sz w:val="20"/>
                <w:szCs w:val="20"/>
              </w:rPr>
              <w:t>4</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154</w:t>
            </w:r>
            <w:r w:rsidR="00B90105">
              <w:rPr>
                <w:rFonts w:cs="Times New Roman"/>
                <w:sz w:val="20"/>
                <w:szCs w:val="20"/>
              </w:rPr>
              <w:t>4</w:t>
            </w:r>
          </w:p>
          <w:p w:rsidR="0095096B" w:rsidRPr="002E2327" w:rsidRDefault="0095096B" w:rsidP="0095096B">
            <w:pPr>
              <w:jc w:val="center"/>
              <w:rPr>
                <w:rFonts w:cs="Times New Roman"/>
                <w:sz w:val="20"/>
                <w:szCs w:val="20"/>
              </w:rPr>
            </w:pPr>
          </w:p>
          <w:p w:rsidR="0095096B" w:rsidRPr="002E2327" w:rsidRDefault="008903D0" w:rsidP="0095096B">
            <w:pPr>
              <w:jc w:val="center"/>
              <w:rPr>
                <w:rFonts w:cs="Times New Roman"/>
                <w:sz w:val="20"/>
                <w:szCs w:val="20"/>
              </w:rPr>
            </w:pPr>
            <w:r>
              <w:rPr>
                <w:rFonts w:cs="Times New Roman"/>
                <w:sz w:val="20"/>
                <w:szCs w:val="20"/>
              </w:rPr>
              <w:t>154</w:t>
            </w:r>
            <w:r w:rsidR="00B90105">
              <w:rPr>
                <w:rFonts w:cs="Times New Roman"/>
                <w:sz w:val="20"/>
                <w:szCs w:val="20"/>
              </w:rPr>
              <w:t>5</w:t>
            </w:r>
          </w:p>
          <w:p w:rsidR="00A87207" w:rsidRPr="002E2327" w:rsidRDefault="00A87207" w:rsidP="0099184B">
            <w:pPr>
              <w:jc w:val="center"/>
              <w:rPr>
                <w:rFonts w:cs="Times New Roman"/>
                <w:sz w:val="20"/>
                <w:szCs w:val="20"/>
              </w:rPr>
            </w:pPr>
          </w:p>
        </w:tc>
        <w:tc>
          <w:tcPr>
            <w:tcW w:w="3888" w:type="dxa"/>
          </w:tcPr>
          <w:p w:rsidR="0095096B" w:rsidRPr="002E2327" w:rsidRDefault="004D21E4"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67163F">
            <w:pPr>
              <w:tabs>
                <w:tab w:val="right" w:pos="9360"/>
              </w:tabs>
              <w:rPr>
                <w:rFonts w:cs="Times New Roman"/>
                <w:sz w:val="20"/>
                <w:szCs w:val="20"/>
                <w:lang w:val="fr-CA"/>
              </w:rPr>
            </w:pPr>
          </w:p>
        </w:tc>
      </w:tr>
    </w:tbl>
    <w:p w:rsidR="0095096B" w:rsidRPr="00A91E44" w:rsidRDefault="0095096B" w:rsidP="0095096B">
      <w:pPr>
        <w:tabs>
          <w:tab w:val="right" w:pos="9360"/>
        </w:tabs>
        <w:rPr>
          <w:lang w:val="fr-CA"/>
        </w:rPr>
      </w:pPr>
    </w:p>
    <w:p w:rsidR="0067163F" w:rsidRPr="00A91E44" w:rsidRDefault="0067163F" w:rsidP="0095096B">
      <w:pPr>
        <w:tabs>
          <w:tab w:val="right" w:pos="9360"/>
        </w:tabs>
        <w:rPr>
          <w:lang w:val="fr-CA"/>
        </w:rPr>
      </w:pPr>
    </w:p>
    <w:p w:rsidR="0067163F" w:rsidRPr="00A91E44" w:rsidRDefault="0067163F" w:rsidP="0095096B">
      <w:pPr>
        <w:tabs>
          <w:tab w:val="right" w:pos="9360"/>
        </w:tabs>
        <w:rPr>
          <w:lang w:val="fr-CA"/>
        </w:rPr>
      </w:pPr>
    </w:p>
    <w:p w:rsidR="00EB42FB" w:rsidRPr="00A91E44" w:rsidRDefault="00EB42FB" w:rsidP="0095096B">
      <w:pPr>
        <w:tabs>
          <w:tab w:val="right" w:pos="9360"/>
        </w:tabs>
        <w:rPr>
          <w:lang w:val="fr-CA"/>
        </w:rPr>
      </w:pPr>
    </w:p>
    <w:p w:rsidR="0067163F" w:rsidRPr="00A91E44" w:rsidRDefault="0067163F" w:rsidP="0095096B">
      <w:pPr>
        <w:tabs>
          <w:tab w:val="right" w:pos="9360"/>
        </w:tabs>
        <w:rPr>
          <w:lang w:val="fr-CA"/>
        </w:rPr>
      </w:pPr>
    </w:p>
    <w:p w:rsidR="0067163F" w:rsidRPr="00A91E44" w:rsidRDefault="0067163F" w:rsidP="0095096B">
      <w:pPr>
        <w:tabs>
          <w:tab w:val="right" w:pos="9360"/>
        </w:tabs>
        <w:rPr>
          <w:lang w:val="fr-CA"/>
        </w:rPr>
      </w:pPr>
    </w:p>
    <w:tbl>
      <w:tblPr>
        <w:tblStyle w:val="TableGrid"/>
        <w:tblW w:w="0" w:type="auto"/>
        <w:tblLook w:val="04A0"/>
      </w:tblPr>
      <w:tblGrid>
        <w:gridCol w:w="9576"/>
      </w:tblGrid>
      <w:tr w:rsidR="0079724F" w:rsidRPr="00F80A4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D86051" w:rsidTr="003B3977">
        <w:tc>
          <w:tcPr>
            <w:tcW w:w="4320" w:type="dxa"/>
            <w:shd w:val="clear" w:color="auto" w:fill="auto"/>
          </w:tcPr>
          <w:p w:rsidR="00242AEE" w:rsidRPr="00A935AA" w:rsidRDefault="007F5F8F" w:rsidP="003B3977">
            <w:pPr>
              <w:rPr>
                <w:b/>
                <w:sz w:val="20"/>
                <w:szCs w:val="20"/>
              </w:rPr>
            </w:pPr>
            <w:r>
              <w:rPr>
                <w:b/>
                <w:sz w:val="20"/>
                <w:szCs w:val="20"/>
              </w:rPr>
              <w:t>D</w:t>
            </w:r>
            <w:r w:rsidR="00A71F32">
              <w:rPr>
                <w:b/>
                <w:sz w:val="20"/>
                <w:szCs w:val="20"/>
              </w:rPr>
              <w:t>on</w:t>
            </w:r>
            <w:r>
              <w:rPr>
                <w:b/>
                <w:sz w:val="20"/>
                <w:szCs w:val="20"/>
              </w:rPr>
              <w:t>ald Lebl</w:t>
            </w:r>
            <w:r w:rsidR="00A71F32">
              <w:rPr>
                <w:b/>
                <w:sz w:val="20"/>
                <w:szCs w:val="20"/>
              </w:rPr>
              <w:t>an</w:t>
            </w:r>
            <w:r>
              <w:rPr>
                <w:b/>
                <w:sz w:val="20"/>
                <w:szCs w:val="20"/>
              </w:rPr>
              <w:t>c</w:t>
            </w:r>
          </w:p>
          <w:p w:rsidR="00242AEE" w:rsidRPr="00A935AA" w:rsidRDefault="00242AEE" w:rsidP="003B3977">
            <w:pPr>
              <w:tabs>
                <w:tab w:val="left" w:pos="-1440"/>
                <w:tab w:val="left" w:pos="-720"/>
              </w:tabs>
              <w:rPr>
                <w:sz w:val="20"/>
                <w:szCs w:val="20"/>
              </w:rPr>
            </w:pPr>
            <w:r w:rsidRPr="00A935AA">
              <w:rPr>
                <w:sz w:val="20"/>
                <w:szCs w:val="20"/>
              </w:rPr>
              <w:tab/>
            </w:r>
            <w:r w:rsidR="007F5F8F">
              <w:rPr>
                <w:sz w:val="20"/>
                <w:szCs w:val="20"/>
              </w:rPr>
              <w:t>Donald Le</w:t>
            </w:r>
            <w:r w:rsidR="00B96E1B">
              <w:rPr>
                <w:sz w:val="20"/>
                <w:szCs w:val="20"/>
              </w:rPr>
              <w:t>B</w:t>
            </w:r>
            <w:r w:rsidR="007F5F8F">
              <w:rPr>
                <w:sz w:val="20"/>
                <w:szCs w:val="20"/>
              </w:rPr>
              <w:t>lanc</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900D0B">
              <w:rPr>
                <w:sz w:val="20"/>
                <w:szCs w:val="20"/>
              </w:rPr>
              <w:t>4</w:t>
            </w:r>
            <w:r w:rsidR="00D86051">
              <w:rPr>
                <w:sz w:val="20"/>
                <w:szCs w:val="20"/>
              </w:rPr>
              <w:t>4</w:t>
            </w:r>
            <w:r w:rsidR="007F5F8F">
              <w:rPr>
                <w:sz w:val="20"/>
                <w:szCs w:val="20"/>
              </w:rPr>
              <w:t>42</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D86051"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w:t>
            </w:r>
            <w:r w:rsidR="006523EC">
              <w:rPr>
                <w:b/>
                <w:sz w:val="20"/>
                <w:szCs w:val="20"/>
              </w:rPr>
              <w:t>N</w:t>
            </w:r>
            <w:r w:rsidR="00242AEE" w:rsidRPr="00A935AA">
              <w:rPr>
                <w:b/>
                <w:sz w:val="20"/>
                <w:szCs w:val="20"/>
              </w:rPr>
              <w:t>.</w:t>
            </w:r>
            <w:r w:rsidR="006523EC">
              <w:rPr>
                <w:b/>
                <w:sz w:val="20"/>
                <w:szCs w:val="20"/>
              </w:rPr>
              <w:t>B.</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7F5F8F">
              <w:rPr>
                <w:sz w:val="20"/>
                <w:szCs w:val="20"/>
              </w:rPr>
              <w:t xml:space="preserve">Stephen </w:t>
            </w:r>
            <w:r w:rsidR="00B96E1B">
              <w:rPr>
                <w:sz w:val="20"/>
                <w:szCs w:val="20"/>
              </w:rPr>
              <w:t xml:space="preserve">J. </w:t>
            </w:r>
            <w:r w:rsidR="007F5F8F">
              <w:rPr>
                <w:sz w:val="20"/>
                <w:szCs w:val="20"/>
              </w:rPr>
              <w:t>Holt</w:t>
            </w:r>
          </w:p>
          <w:p w:rsidR="00242AEE" w:rsidRPr="00A935AA" w:rsidRDefault="00242AEE" w:rsidP="003B3977">
            <w:pPr>
              <w:tabs>
                <w:tab w:val="left" w:pos="-1440"/>
                <w:tab w:val="left" w:pos="-720"/>
              </w:tabs>
              <w:rPr>
                <w:sz w:val="20"/>
                <w:szCs w:val="20"/>
              </w:rPr>
            </w:pPr>
            <w:r w:rsidRPr="00A935AA">
              <w:rPr>
                <w:sz w:val="20"/>
                <w:szCs w:val="20"/>
              </w:rPr>
              <w:tab/>
            </w:r>
            <w:r w:rsidR="00D86051">
              <w:rPr>
                <w:sz w:val="20"/>
                <w:szCs w:val="20"/>
              </w:rPr>
              <w:t xml:space="preserve">A.G. of </w:t>
            </w:r>
            <w:r w:rsidR="007F5F8F">
              <w:rPr>
                <w:sz w:val="20"/>
                <w:szCs w:val="20"/>
              </w:rPr>
              <w:t>New Brunswick</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1513D6">
              <w:rPr>
                <w:sz w:val="20"/>
                <w:szCs w:val="20"/>
              </w:rPr>
              <w:t>19</w:t>
            </w:r>
            <w:r w:rsidRPr="00A935AA">
              <w:rPr>
                <w:sz w:val="20"/>
                <w:szCs w:val="20"/>
              </w:rPr>
              <w:t>.0</w:t>
            </w:r>
            <w:r w:rsidR="00D86051">
              <w:rPr>
                <w:sz w:val="20"/>
                <w:szCs w:val="20"/>
              </w:rPr>
              <w:t>9</w:t>
            </w:r>
            <w:r w:rsidRPr="00A935AA">
              <w:rPr>
                <w:sz w:val="20"/>
                <w:szCs w:val="20"/>
              </w:rPr>
              <w:t>.201</w:t>
            </w:r>
            <w:r w:rsidR="007313A7">
              <w:rPr>
                <w:sz w:val="20"/>
                <w:szCs w:val="20"/>
              </w:rPr>
              <w:t>1</w:t>
            </w:r>
          </w:p>
          <w:p w:rsidR="00242AEE" w:rsidRPr="00A935AA" w:rsidRDefault="004D21E4" w:rsidP="003B3977">
            <w:pPr>
              <w:rPr>
                <w:sz w:val="20"/>
                <w:szCs w:val="20"/>
              </w:rPr>
            </w:pPr>
            <w:r w:rsidRPr="004D21E4">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6B174D" w:rsidRDefault="00D86051" w:rsidP="003B3977">
            <w:pPr>
              <w:keepNext/>
              <w:keepLines/>
              <w:tabs>
                <w:tab w:val="left" w:pos="-1440"/>
                <w:tab w:val="left" w:pos="-720"/>
              </w:tabs>
              <w:rPr>
                <w:b/>
                <w:sz w:val="20"/>
                <w:szCs w:val="20"/>
                <w:lang w:val="fr-CA"/>
              </w:rPr>
            </w:pPr>
            <w:r w:rsidRPr="006B174D">
              <w:rPr>
                <w:b/>
                <w:sz w:val="20"/>
                <w:szCs w:val="20"/>
                <w:lang w:val="fr-CA"/>
              </w:rPr>
              <w:t>Jacynthe Deschênes</w:t>
            </w:r>
          </w:p>
          <w:p w:rsidR="00242AEE" w:rsidRPr="006B174D" w:rsidRDefault="00242AEE" w:rsidP="003B3977">
            <w:pPr>
              <w:keepNext/>
              <w:keepLines/>
              <w:tabs>
                <w:tab w:val="left" w:pos="-1440"/>
                <w:tab w:val="left" w:pos="-720"/>
              </w:tabs>
              <w:rPr>
                <w:sz w:val="20"/>
                <w:szCs w:val="20"/>
                <w:lang w:val="fr-CA"/>
              </w:rPr>
            </w:pPr>
            <w:r w:rsidRPr="006B174D">
              <w:rPr>
                <w:sz w:val="20"/>
                <w:szCs w:val="20"/>
                <w:lang w:val="fr-CA"/>
              </w:rPr>
              <w:tab/>
            </w:r>
            <w:r w:rsidR="00D86051" w:rsidRPr="006B174D">
              <w:rPr>
                <w:sz w:val="20"/>
                <w:szCs w:val="20"/>
                <w:lang w:val="fr-CA"/>
              </w:rPr>
              <w:t>Jacynthe Deschênes</w:t>
            </w:r>
          </w:p>
          <w:p w:rsidR="00242AEE" w:rsidRPr="006B174D" w:rsidRDefault="00242AEE" w:rsidP="003B3977">
            <w:pPr>
              <w:keepNext/>
              <w:keepLines/>
              <w:tabs>
                <w:tab w:val="left" w:pos="-1440"/>
                <w:tab w:val="left" w:pos="-720"/>
              </w:tabs>
              <w:rPr>
                <w:sz w:val="20"/>
                <w:szCs w:val="20"/>
                <w:lang w:val="fr-CA"/>
              </w:rPr>
            </w:pPr>
          </w:p>
          <w:p w:rsidR="00242AEE" w:rsidRPr="00A935AA" w:rsidRDefault="00242AEE" w:rsidP="003B3977">
            <w:pPr>
              <w:keepNext/>
              <w:keepLines/>
              <w:tabs>
                <w:tab w:val="left" w:pos="-1440"/>
                <w:tab w:val="left" w:pos="-720"/>
              </w:tabs>
              <w:rPr>
                <w:sz w:val="20"/>
                <w:szCs w:val="20"/>
                <w:lang w:val="fr-CA"/>
              </w:rPr>
            </w:pPr>
            <w:r w:rsidRPr="006B174D">
              <w:rPr>
                <w:sz w:val="20"/>
                <w:szCs w:val="20"/>
                <w:lang w:val="fr-CA"/>
              </w:rPr>
              <w:tab/>
            </w:r>
            <w:r w:rsidR="00D86051" w:rsidRPr="006B174D">
              <w:rPr>
                <w:sz w:val="20"/>
                <w:szCs w:val="20"/>
                <w:lang w:val="fr-CA"/>
              </w:rPr>
              <w:t>c</w:t>
            </w:r>
            <w:r w:rsidRPr="00A935AA">
              <w:rPr>
                <w:sz w:val="20"/>
                <w:szCs w:val="20"/>
                <w:lang w:val="fr-CA"/>
              </w:rPr>
              <w:t>. (3</w:t>
            </w:r>
            <w:r w:rsidR="007313A7">
              <w:rPr>
                <w:sz w:val="20"/>
                <w:szCs w:val="20"/>
                <w:lang w:val="fr-CA"/>
              </w:rPr>
              <w:t>4</w:t>
            </w:r>
            <w:r w:rsidR="00D86051">
              <w:rPr>
                <w:sz w:val="20"/>
                <w:szCs w:val="20"/>
                <w:lang w:val="fr-CA"/>
              </w:rPr>
              <w:t>453</w:t>
            </w:r>
            <w:r w:rsidRPr="00A935AA">
              <w:rPr>
                <w:sz w:val="20"/>
                <w:szCs w:val="20"/>
                <w:lang w:val="fr-CA"/>
              </w:rPr>
              <w:t>)</w:t>
            </w:r>
          </w:p>
          <w:p w:rsidR="00242AEE" w:rsidRPr="00A935AA" w:rsidRDefault="00242AEE" w:rsidP="003B3977">
            <w:pPr>
              <w:keepNext/>
              <w:keepLines/>
              <w:tabs>
                <w:tab w:val="left" w:pos="-1440"/>
                <w:tab w:val="left" w:pos="-720"/>
              </w:tabs>
              <w:rPr>
                <w:sz w:val="20"/>
                <w:szCs w:val="20"/>
                <w:lang w:val="fr-CA"/>
              </w:rPr>
            </w:pPr>
          </w:p>
          <w:p w:rsidR="00242AEE" w:rsidRPr="00A935AA" w:rsidRDefault="00D86051" w:rsidP="003B3977">
            <w:pPr>
              <w:keepNext/>
              <w:keepLines/>
              <w:tabs>
                <w:tab w:val="left" w:pos="-1440"/>
                <w:tab w:val="left" w:pos="-720"/>
              </w:tabs>
              <w:rPr>
                <w:b/>
                <w:sz w:val="20"/>
                <w:szCs w:val="20"/>
                <w:lang w:val="fr-CA"/>
              </w:rPr>
            </w:pPr>
            <w:r>
              <w:rPr>
                <w:b/>
                <w:sz w:val="20"/>
                <w:szCs w:val="20"/>
                <w:lang w:val="fr-CA"/>
              </w:rPr>
              <w:t xml:space="preserve">Banque Canadienne Impériale de Commerce </w:t>
            </w:r>
            <w:r w:rsidR="00242AEE" w:rsidRPr="00A935AA">
              <w:rPr>
                <w:b/>
                <w:sz w:val="20"/>
                <w:szCs w:val="20"/>
                <w:lang w:val="fr-CA"/>
              </w:rPr>
              <w:t>(</w:t>
            </w:r>
            <w:r>
              <w:rPr>
                <w:b/>
                <w:sz w:val="20"/>
                <w:szCs w:val="20"/>
                <w:lang w:val="fr-CA"/>
              </w:rPr>
              <w:t>C.F</w:t>
            </w:r>
            <w:r w:rsidR="00242AEE" w:rsidRPr="00A935AA">
              <w:rPr>
                <w:b/>
                <w:sz w:val="20"/>
                <w:szCs w:val="20"/>
                <w:lang w:val="fr-CA"/>
              </w:rPr>
              <w:t>.)</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D86051">
              <w:rPr>
                <w:sz w:val="20"/>
                <w:szCs w:val="20"/>
                <w:lang w:val="fr-CA"/>
              </w:rPr>
              <w:t>Jacques Rousse</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D86051">
              <w:rPr>
                <w:sz w:val="20"/>
                <w:szCs w:val="20"/>
                <w:lang w:val="fr-CA"/>
              </w:rPr>
              <w:t xml:space="preserve">McCarthy Tétrault, </w:t>
            </w:r>
            <w:proofErr w:type="gramStart"/>
            <w:r w:rsidR="00D86051">
              <w:rPr>
                <w:sz w:val="20"/>
                <w:szCs w:val="20"/>
                <w:lang w:val="fr-CA"/>
              </w:rPr>
              <w:t>s.e.n.c.r.l.,</w:t>
            </w:r>
            <w:proofErr w:type="gramEnd"/>
            <w:r w:rsidR="00D86051">
              <w:rPr>
                <w:sz w:val="20"/>
                <w:szCs w:val="20"/>
                <w:lang w:val="fr-CA"/>
              </w:rPr>
              <w:t xml:space="preserve"> s.r.l.</w:t>
            </w:r>
          </w:p>
          <w:p w:rsidR="00242AEE" w:rsidRPr="00A935AA" w:rsidRDefault="00242AEE" w:rsidP="003B3977">
            <w:pPr>
              <w:keepNext/>
              <w:keepLines/>
              <w:tabs>
                <w:tab w:val="left" w:pos="-1440"/>
                <w:tab w:val="left" w:pos="-720"/>
              </w:tabs>
              <w:rPr>
                <w:sz w:val="20"/>
                <w:szCs w:val="20"/>
                <w:lang w:val="fr-CA"/>
              </w:rPr>
            </w:pPr>
          </w:p>
          <w:p w:rsidR="00242AEE" w:rsidRPr="00D86051" w:rsidRDefault="00242AEE" w:rsidP="00D86051">
            <w:pPr>
              <w:rPr>
                <w:sz w:val="20"/>
                <w:szCs w:val="20"/>
                <w:lang w:val="fr-CA"/>
              </w:rPr>
            </w:pPr>
            <w:r w:rsidRPr="00D86051">
              <w:rPr>
                <w:sz w:val="20"/>
                <w:szCs w:val="20"/>
                <w:lang w:val="fr-CA"/>
              </w:rPr>
              <w:t>DATE</w:t>
            </w:r>
            <w:r w:rsidR="00D86051">
              <w:rPr>
                <w:sz w:val="20"/>
                <w:szCs w:val="20"/>
                <w:lang w:val="fr-CA"/>
              </w:rPr>
              <w:t xml:space="preserve"> DE PRODUCTION </w:t>
            </w:r>
            <w:r w:rsidRPr="00D86051">
              <w:rPr>
                <w:sz w:val="20"/>
                <w:szCs w:val="20"/>
                <w:lang w:val="fr-CA"/>
              </w:rPr>
              <w:t>: 2</w:t>
            </w:r>
            <w:r w:rsidR="00D86051">
              <w:rPr>
                <w:sz w:val="20"/>
                <w:szCs w:val="20"/>
                <w:lang w:val="fr-CA"/>
              </w:rPr>
              <w:t>7</w:t>
            </w:r>
            <w:r w:rsidRPr="00D86051">
              <w:rPr>
                <w:sz w:val="20"/>
                <w:szCs w:val="20"/>
                <w:lang w:val="fr-CA"/>
              </w:rPr>
              <w:t>.0</w:t>
            </w:r>
            <w:r w:rsidR="00D86051">
              <w:rPr>
                <w:sz w:val="20"/>
                <w:szCs w:val="20"/>
                <w:lang w:val="fr-CA"/>
              </w:rPr>
              <w:t>9</w:t>
            </w:r>
            <w:r w:rsidRPr="00D86051">
              <w:rPr>
                <w:sz w:val="20"/>
                <w:szCs w:val="20"/>
                <w:lang w:val="fr-CA"/>
              </w:rPr>
              <w:t>.201</w:t>
            </w:r>
            <w:r w:rsidR="007313A7" w:rsidRPr="00D86051">
              <w:rPr>
                <w:sz w:val="20"/>
                <w:szCs w:val="20"/>
                <w:lang w:val="fr-CA"/>
              </w:rPr>
              <w:t>1</w:t>
            </w:r>
            <w:r w:rsidR="004D21E4" w:rsidRPr="004D21E4">
              <w:rPr>
                <w:sz w:val="20"/>
                <w:szCs w:val="20"/>
                <w:lang w:val="fr-CA"/>
              </w:rPr>
              <w:pict>
                <v:rect id="_x0000_i1026" style="width:108pt;height:1pt" o:hrpct="0" o:hralign="center" o:hrstd="t" o:hrnoshade="t" o:hr="t" fillcolor="black [3213]" stroked="f"/>
              </w:pict>
            </w:r>
          </w:p>
        </w:tc>
      </w:tr>
      <w:tr w:rsidR="00DC7264" w:rsidRPr="00D86051" w:rsidTr="003B3977">
        <w:tc>
          <w:tcPr>
            <w:tcW w:w="4320" w:type="dxa"/>
            <w:shd w:val="clear" w:color="auto" w:fill="auto"/>
          </w:tcPr>
          <w:p w:rsidR="00DC7264" w:rsidRDefault="006B174D" w:rsidP="003B3977">
            <w:pPr>
              <w:rPr>
                <w:sz w:val="20"/>
                <w:szCs w:val="20"/>
              </w:rPr>
            </w:pPr>
            <w:r>
              <w:rPr>
                <w:b/>
                <w:sz w:val="20"/>
                <w:szCs w:val="20"/>
              </w:rPr>
              <w:t>Rohan Ranger</w:t>
            </w:r>
          </w:p>
          <w:p w:rsidR="006B174D" w:rsidRPr="00A935AA" w:rsidRDefault="006B174D" w:rsidP="006B174D">
            <w:pPr>
              <w:tabs>
                <w:tab w:val="left" w:pos="-1440"/>
                <w:tab w:val="left" w:pos="-720"/>
              </w:tabs>
              <w:rPr>
                <w:sz w:val="20"/>
                <w:szCs w:val="20"/>
              </w:rPr>
            </w:pPr>
            <w:r w:rsidRPr="00A935AA">
              <w:rPr>
                <w:sz w:val="20"/>
                <w:szCs w:val="20"/>
              </w:rPr>
              <w:tab/>
            </w:r>
            <w:r>
              <w:rPr>
                <w:sz w:val="20"/>
                <w:szCs w:val="20"/>
              </w:rPr>
              <w:t>James Lockyer</w:t>
            </w:r>
          </w:p>
          <w:p w:rsidR="006B174D" w:rsidRPr="00A935AA" w:rsidRDefault="006B174D" w:rsidP="006B174D">
            <w:pPr>
              <w:tabs>
                <w:tab w:val="left" w:pos="-1440"/>
                <w:tab w:val="left" w:pos="-720"/>
              </w:tabs>
              <w:rPr>
                <w:sz w:val="20"/>
                <w:szCs w:val="20"/>
              </w:rPr>
            </w:pPr>
            <w:r w:rsidRPr="00A935AA">
              <w:rPr>
                <w:sz w:val="20"/>
                <w:szCs w:val="20"/>
              </w:rPr>
              <w:tab/>
            </w:r>
            <w:r>
              <w:rPr>
                <w:sz w:val="20"/>
                <w:szCs w:val="20"/>
              </w:rPr>
              <w:t>Lockyer Campbell Posner</w:t>
            </w:r>
          </w:p>
          <w:p w:rsidR="006B174D" w:rsidRPr="00A935AA" w:rsidRDefault="006B174D" w:rsidP="006B174D">
            <w:pPr>
              <w:tabs>
                <w:tab w:val="left" w:pos="-1440"/>
                <w:tab w:val="left" w:pos="-720"/>
              </w:tabs>
              <w:rPr>
                <w:sz w:val="20"/>
                <w:szCs w:val="20"/>
              </w:rPr>
            </w:pPr>
          </w:p>
          <w:p w:rsidR="006B174D" w:rsidRPr="00A935AA" w:rsidRDefault="006B174D" w:rsidP="006B174D">
            <w:pPr>
              <w:tabs>
                <w:tab w:val="left" w:pos="-1440"/>
                <w:tab w:val="left" w:pos="-720"/>
              </w:tabs>
              <w:rPr>
                <w:sz w:val="20"/>
                <w:szCs w:val="20"/>
              </w:rPr>
            </w:pPr>
            <w:r w:rsidRPr="00A935AA">
              <w:rPr>
                <w:sz w:val="20"/>
                <w:szCs w:val="20"/>
              </w:rPr>
              <w:tab/>
              <w:t>v. (3</w:t>
            </w:r>
            <w:r>
              <w:rPr>
                <w:sz w:val="20"/>
                <w:szCs w:val="20"/>
              </w:rPr>
              <w:t>4450</w:t>
            </w:r>
            <w:r w:rsidRPr="00A935AA">
              <w:rPr>
                <w:sz w:val="20"/>
                <w:szCs w:val="20"/>
              </w:rPr>
              <w:t>)</w:t>
            </w:r>
          </w:p>
          <w:p w:rsidR="006B174D" w:rsidRPr="00A935AA" w:rsidRDefault="006B174D" w:rsidP="006B174D">
            <w:pPr>
              <w:tabs>
                <w:tab w:val="left" w:pos="-1440"/>
                <w:tab w:val="left" w:pos="-720"/>
              </w:tabs>
              <w:rPr>
                <w:sz w:val="20"/>
                <w:szCs w:val="20"/>
              </w:rPr>
            </w:pPr>
          </w:p>
          <w:p w:rsidR="006B174D" w:rsidRPr="00A935AA" w:rsidRDefault="006B174D" w:rsidP="006B174D">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6B174D" w:rsidRPr="00A935AA" w:rsidRDefault="006B174D" w:rsidP="006B174D">
            <w:pPr>
              <w:tabs>
                <w:tab w:val="left" w:pos="-1440"/>
                <w:tab w:val="left" w:pos="-720"/>
              </w:tabs>
              <w:rPr>
                <w:sz w:val="20"/>
                <w:szCs w:val="20"/>
              </w:rPr>
            </w:pPr>
            <w:r w:rsidRPr="00A935AA">
              <w:rPr>
                <w:sz w:val="20"/>
                <w:szCs w:val="20"/>
              </w:rPr>
              <w:tab/>
            </w:r>
            <w:r>
              <w:rPr>
                <w:sz w:val="20"/>
                <w:szCs w:val="20"/>
              </w:rPr>
              <w:t>Brian McNeely</w:t>
            </w:r>
          </w:p>
          <w:p w:rsidR="006B174D" w:rsidRPr="00A935AA" w:rsidRDefault="006B174D" w:rsidP="006B174D">
            <w:pPr>
              <w:tabs>
                <w:tab w:val="left" w:pos="-1440"/>
                <w:tab w:val="left" w:pos="-720"/>
              </w:tabs>
              <w:rPr>
                <w:sz w:val="20"/>
                <w:szCs w:val="20"/>
              </w:rPr>
            </w:pPr>
            <w:r w:rsidRPr="00A935AA">
              <w:rPr>
                <w:sz w:val="20"/>
                <w:szCs w:val="20"/>
              </w:rPr>
              <w:tab/>
            </w:r>
            <w:r>
              <w:rPr>
                <w:sz w:val="20"/>
                <w:szCs w:val="20"/>
              </w:rPr>
              <w:t>A.G. of Ontario</w:t>
            </w:r>
          </w:p>
          <w:p w:rsidR="006B174D" w:rsidRPr="00A935AA" w:rsidRDefault="006B174D" w:rsidP="006B174D">
            <w:pPr>
              <w:tabs>
                <w:tab w:val="left" w:pos="-1440"/>
                <w:tab w:val="left" w:pos="-720"/>
              </w:tabs>
              <w:rPr>
                <w:sz w:val="20"/>
                <w:szCs w:val="20"/>
              </w:rPr>
            </w:pPr>
          </w:p>
          <w:p w:rsidR="006B174D" w:rsidRPr="00A935AA" w:rsidRDefault="006B174D" w:rsidP="006B174D">
            <w:pPr>
              <w:rPr>
                <w:sz w:val="20"/>
                <w:szCs w:val="20"/>
              </w:rPr>
            </w:pPr>
            <w:r w:rsidRPr="00A935AA">
              <w:rPr>
                <w:sz w:val="20"/>
                <w:szCs w:val="20"/>
              </w:rPr>
              <w:t>FILING DATE: 27.0</w:t>
            </w:r>
            <w:r>
              <w:rPr>
                <w:sz w:val="20"/>
                <w:szCs w:val="20"/>
              </w:rPr>
              <w:t>9</w:t>
            </w:r>
            <w:r w:rsidRPr="00A935AA">
              <w:rPr>
                <w:sz w:val="20"/>
                <w:szCs w:val="20"/>
              </w:rPr>
              <w:t>.201</w:t>
            </w:r>
            <w:r>
              <w:rPr>
                <w:sz w:val="20"/>
                <w:szCs w:val="20"/>
              </w:rPr>
              <w:t>1</w:t>
            </w:r>
          </w:p>
          <w:p w:rsidR="006B174D" w:rsidRPr="006B174D" w:rsidRDefault="004D21E4" w:rsidP="006B174D">
            <w:pPr>
              <w:rPr>
                <w:sz w:val="20"/>
                <w:szCs w:val="20"/>
              </w:rPr>
            </w:pPr>
            <w:r w:rsidRPr="004D21E4">
              <w:rPr>
                <w:sz w:val="20"/>
                <w:szCs w:val="20"/>
                <w:lang w:val="fr-CA"/>
              </w:rPr>
              <w:pict>
                <v:rect id="_x0000_i1027" style="width:108pt;height:1pt" o:hrpct="0" o:hralign="center" o:hrstd="t" o:hrnoshade="t" o:hr="t" fillcolor="black [3213]" stroked="f"/>
              </w:pict>
            </w:r>
          </w:p>
        </w:tc>
        <w:tc>
          <w:tcPr>
            <w:tcW w:w="1181" w:type="dxa"/>
            <w:shd w:val="clear" w:color="auto" w:fill="auto"/>
          </w:tcPr>
          <w:p w:rsidR="00DC7264" w:rsidRDefault="00DC7264" w:rsidP="00242AEE">
            <w:pPr>
              <w:jc w:val="center"/>
              <w:rPr>
                <w:sz w:val="20"/>
                <w:szCs w:val="20"/>
              </w:rPr>
            </w:pPr>
          </w:p>
          <w:p w:rsidR="006B174D" w:rsidRDefault="006B174D" w:rsidP="00242AEE">
            <w:pPr>
              <w:jc w:val="center"/>
              <w:rPr>
                <w:sz w:val="20"/>
                <w:szCs w:val="20"/>
              </w:rPr>
            </w:pPr>
          </w:p>
          <w:p w:rsidR="006B174D" w:rsidRDefault="006B174D" w:rsidP="00242AEE">
            <w:pPr>
              <w:jc w:val="center"/>
              <w:rPr>
                <w:sz w:val="20"/>
                <w:szCs w:val="20"/>
              </w:rPr>
            </w:pPr>
          </w:p>
          <w:p w:rsidR="006B174D" w:rsidRDefault="006B174D" w:rsidP="00242AEE">
            <w:pPr>
              <w:jc w:val="center"/>
              <w:rPr>
                <w:sz w:val="20"/>
                <w:szCs w:val="20"/>
              </w:rPr>
            </w:pPr>
          </w:p>
          <w:p w:rsidR="006B174D" w:rsidRDefault="006B174D" w:rsidP="00242AEE">
            <w:pPr>
              <w:jc w:val="center"/>
              <w:rPr>
                <w:sz w:val="20"/>
                <w:szCs w:val="20"/>
              </w:rPr>
            </w:pPr>
          </w:p>
          <w:p w:rsidR="006B174D" w:rsidRDefault="006B174D" w:rsidP="00242AEE">
            <w:pPr>
              <w:jc w:val="center"/>
              <w:rPr>
                <w:sz w:val="20"/>
                <w:szCs w:val="20"/>
              </w:rPr>
            </w:pPr>
          </w:p>
          <w:p w:rsidR="006B174D" w:rsidRDefault="006B174D" w:rsidP="00242AEE">
            <w:pPr>
              <w:jc w:val="center"/>
              <w:rPr>
                <w:sz w:val="20"/>
                <w:szCs w:val="20"/>
              </w:rPr>
            </w:pPr>
          </w:p>
          <w:p w:rsidR="006B174D" w:rsidRDefault="006B174D" w:rsidP="00242AEE">
            <w:pPr>
              <w:jc w:val="center"/>
              <w:rPr>
                <w:sz w:val="20"/>
                <w:szCs w:val="20"/>
              </w:rPr>
            </w:pPr>
          </w:p>
          <w:p w:rsidR="006B174D" w:rsidRDefault="006B174D" w:rsidP="00242AEE">
            <w:pPr>
              <w:jc w:val="center"/>
              <w:rPr>
                <w:sz w:val="20"/>
                <w:szCs w:val="20"/>
              </w:rPr>
            </w:pPr>
          </w:p>
          <w:p w:rsidR="006B174D" w:rsidRDefault="006B174D" w:rsidP="00242AEE">
            <w:pPr>
              <w:jc w:val="center"/>
              <w:rPr>
                <w:sz w:val="20"/>
                <w:szCs w:val="20"/>
              </w:rPr>
            </w:pPr>
          </w:p>
          <w:p w:rsidR="006B174D" w:rsidRDefault="006B174D" w:rsidP="00242AEE">
            <w:pPr>
              <w:jc w:val="center"/>
              <w:rPr>
                <w:sz w:val="20"/>
                <w:szCs w:val="20"/>
              </w:rPr>
            </w:pPr>
          </w:p>
          <w:p w:rsidR="006B174D" w:rsidRPr="00A935AA" w:rsidRDefault="006B174D" w:rsidP="00242AEE">
            <w:pPr>
              <w:jc w:val="center"/>
              <w:rPr>
                <w:sz w:val="20"/>
                <w:szCs w:val="20"/>
              </w:rPr>
            </w:pPr>
          </w:p>
        </w:tc>
        <w:tc>
          <w:tcPr>
            <w:tcW w:w="4320" w:type="dxa"/>
            <w:shd w:val="clear" w:color="auto" w:fill="auto"/>
          </w:tcPr>
          <w:p w:rsidR="006B174D" w:rsidRDefault="006B174D" w:rsidP="003B3977">
            <w:pPr>
              <w:keepNext/>
              <w:keepLines/>
              <w:tabs>
                <w:tab w:val="left" w:pos="-1440"/>
                <w:tab w:val="left" w:pos="-720"/>
              </w:tabs>
              <w:rPr>
                <w:b/>
                <w:sz w:val="20"/>
                <w:szCs w:val="20"/>
              </w:rPr>
            </w:pPr>
          </w:p>
          <w:p w:rsidR="00DC7264" w:rsidRPr="007654AC" w:rsidRDefault="006B174D" w:rsidP="003B3977">
            <w:pPr>
              <w:keepNext/>
              <w:keepLines/>
              <w:tabs>
                <w:tab w:val="left" w:pos="-1440"/>
                <w:tab w:val="left" w:pos="-720"/>
              </w:tabs>
              <w:rPr>
                <w:sz w:val="20"/>
                <w:szCs w:val="20"/>
                <w:lang w:val="fr-CA"/>
              </w:rPr>
            </w:pPr>
            <w:r w:rsidRPr="007654AC">
              <w:rPr>
                <w:b/>
                <w:sz w:val="20"/>
                <w:szCs w:val="20"/>
                <w:lang w:val="fr-CA"/>
              </w:rPr>
              <w:t>D.L.</w:t>
            </w:r>
          </w:p>
          <w:p w:rsidR="006B174D" w:rsidRPr="006B174D" w:rsidRDefault="006B174D" w:rsidP="006B174D">
            <w:pPr>
              <w:tabs>
                <w:tab w:val="left" w:pos="-1440"/>
                <w:tab w:val="left" w:pos="-720"/>
              </w:tabs>
              <w:rPr>
                <w:sz w:val="20"/>
                <w:szCs w:val="20"/>
                <w:lang w:val="fr-CA"/>
              </w:rPr>
            </w:pPr>
            <w:r w:rsidRPr="006B174D">
              <w:rPr>
                <w:sz w:val="20"/>
                <w:szCs w:val="20"/>
                <w:lang w:val="fr-CA"/>
              </w:rPr>
              <w:tab/>
              <w:t>D.L.</w:t>
            </w:r>
          </w:p>
          <w:p w:rsidR="006B174D" w:rsidRPr="006B174D" w:rsidRDefault="006B174D" w:rsidP="006B174D">
            <w:pPr>
              <w:tabs>
                <w:tab w:val="left" w:pos="-1440"/>
                <w:tab w:val="left" w:pos="-720"/>
              </w:tabs>
              <w:rPr>
                <w:sz w:val="20"/>
                <w:szCs w:val="20"/>
                <w:lang w:val="fr-CA"/>
              </w:rPr>
            </w:pPr>
          </w:p>
          <w:p w:rsidR="006B174D" w:rsidRPr="006B174D" w:rsidRDefault="006B174D" w:rsidP="006B174D">
            <w:pPr>
              <w:tabs>
                <w:tab w:val="left" w:pos="-1440"/>
                <w:tab w:val="left" w:pos="-720"/>
              </w:tabs>
              <w:rPr>
                <w:sz w:val="20"/>
                <w:szCs w:val="20"/>
                <w:lang w:val="fr-CA"/>
              </w:rPr>
            </w:pPr>
            <w:r w:rsidRPr="006B174D">
              <w:rPr>
                <w:sz w:val="20"/>
                <w:szCs w:val="20"/>
                <w:lang w:val="fr-CA"/>
              </w:rPr>
              <w:tab/>
              <w:t>c. (34474)</w:t>
            </w:r>
          </w:p>
          <w:p w:rsidR="006B174D" w:rsidRPr="006B174D" w:rsidRDefault="006B174D" w:rsidP="006B174D">
            <w:pPr>
              <w:tabs>
                <w:tab w:val="left" w:pos="-1440"/>
                <w:tab w:val="left" w:pos="-720"/>
              </w:tabs>
              <w:rPr>
                <w:sz w:val="20"/>
                <w:szCs w:val="20"/>
                <w:lang w:val="fr-CA"/>
              </w:rPr>
            </w:pPr>
          </w:p>
          <w:p w:rsidR="006B174D" w:rsidRPr="006B174D" w:rsidRDefault="006B174D" w:rsidP="006B174D">
            <w:pPr>
              <w:tabs>
                <w:tab w:val="left" w:pos="-1440"/>
                <w:tab w:val="left" w:pos="-720"/>
              </w:tabs>
              <w:rPr>
                <w:b/>
                <w:sz w:val="20"/>
                <w:szCs w:val="20"/>
                <w:lang w:val="fr-CA"/>
              </w:rPr>
            </w:pPr>
            <w:r w:rsidRPr="006B174D">
              <w:rPr>
                <w:b/>
                <w:sz w:val="20"/>
                <w:szCs w:val="20"/>
                <w:lang w:val="fr-CA"/>
              </w:rPr>
              <w:t>P.M. (Qc)</w:t>
            </w:r>
          </w:p>
          <w:p w:rsidR="006B174D" w:rsidRPr="006B174D" w:rsidRDefault="006B174D" w:rsidP="006B174D">
            <w:pPr>
              <w:tabs>
                <w:tab w:val="left" w:pos="-1440"/>
                <w:tab w:val="left" w:pos="-720"/>
              </w:tabs>
              <w:rPr>
                <w:sz w:val="20"/>
                <w:szCs w:val="20"/>
                <w:lang w:val="fr-CA"/>
              </w:rPr>
            </w:pPr>
            <w:r w:rsidRPr="006B174D">
              <w:rPr>
                <w:sz w:val="20"/>
                <w:szCs w:val="20"/>
                <w:lang w:val="fr-CA"/>
              </w:rPr>
              <w:tab/>
              <w:t>Violaine Belzile</w:t>
            </w:r>
          </w:p>
          <w:p w:rsidR="006B174D" w:rsidRPr="006B174D" w:rsidRDefault="006B174D" w:rsidP="006B174D">
            <w:pPr>
              <w:tabs>
                <w:tab w:val="left" w:pos="-1440"/>
                <w:tab w:val="left" w:pos="-720"/>
              </w:tabs>
              <w:rPr>
                <w:sz w:val="20"/>
                <w:szCs w:val="20"/>
                <w:lang w:val="fr-CA"/>
              </w:rPr>
            </w:pPr>
          </w:p>
          <w:p w:rsidR="006B174D" w:rsidRPr="006B174D" w:rsidRDefault="006B174D" w:rsidP="006B174D">
            <w:pPr>
              <w:rPr>
                <w:sz w:val="20"/>
                <w:szCs w:val="20"/>
                <w:lang w:val="fr-CA"/>
              </w:rPr>
            </w:pPr>
            <w:r w:rsidRPr="006B174D">
              <w:rPr>
                <w:sz w:val="20"/>
                <w:szCs w:val="20"/>
                <w:lang w:val="fr-CA"/>
              </w:rPr>
              <w:t>DATE DE PRODUCTION : 27.09.2011</w:t>
            </w:r>
          </w:p>
          <w:p w:rsidR="00DC7264" w:rsidRPr="00DC7264" w:rsidRDefault="004D21E4" w:rsidP="00DC7264">
            <w:pPr>
              <w:keepNext/>
              <w:keepLines/>
              <w:tabs>
                <w:tab w:val="left" w:pos="-1440"/>
                <w:tab w:val="left" w:pos="-720"/>
              </w:tabs>
              <w:rPr>
                <w:sz w:val="20"/>
                <w:szCs w:val="20"/>
              </w:rPr>
            </w:pPr>
            <w:r w:rsidRPr="004D21E4">
              <w:rPr>
                <w:sz w:val="20"/>
                <w:szCs w:val="20"/>
                <w:lang w:val="fr-CA"/>
              </w:rPr>
              <w:pict>
                <v:rect id="_x0000_i1028" style="width:108pt;height:1pt" o:hrpct="0" o:hralign="center" o:hrstd="t" o:hrnoshade="t" o:hr="t" fillcolor="black [3213]" stroked="f"/>
              </w:pict>
            </w:r>
          </w:p>
        </w:tc>
      </w:tr>
      <w:tr w:rsidR="006F482D" w:rsidRPr="00A935AA" w:rsidTr="003B3977">
        <w:tc>
          <w:tcPr>
            <w:tcW w:w="4320" w:type="dxa"/>
            <w:shd w:val="clear" w:color="auto" w:fill="auto"/>
          </w:tcPr>
          <w:p w:rsidR="006F482D" w:rsidRDefault="006F482D" w:rsidP="006856B2">
            <w:pPr>
              <w:rPr>
                <w:b/>
                <w:sz w:val="20"/>
                <w:szCs w:val="20"/>
              </w:rPr>
            </w:pPr>
          </w:p>
          <w:p w:rsidR="006F482D" w:rsidRPr="007654AC" w:rsidRDefault="006F482D" w:rsidP="006856B2">
            <w:pPr>
              <w:rPr>
                <w:b/>
                <w:sz w:val="20"/>
                <w:szCs w:val="20"/>
                <w:lang w:val="fr-CA"/>
              </w:rPr>
            </w:pPr>
            <w:r w:rsidRPr="007654AC">
              <w:rPr>
                <w:b/>
                <w:sz w:val="20"/>
                <w:szCs w:val="20"/>
                <w:lang w:val="fr-CA"/>
              </w:rPr>
              <w:t>Corlac Inc. et al.</w:t>
            </w:r>
          </w:p>
          <w:p w:rsidR="006F482D" w:rsidRPr="007654AC" w:rsidRDefault="006F482D" w:rsidP="006B174D">
            <w:pPr>
              <w:tabs>
                <w:tab w:val="left" w:pos="-1440"/>
                <w:tab w:val="left" w:pos="-720"/>
              </w:tabs>
              <w:rPr>
                <w:sz w:val="20"/>
                <w:szCs w:val="20"/>
                <w:lang w:val="fr-CA"/>
              </w:rPr>
            </w:pPr>
            <w:r w:rsidRPr="007654AC">
              <w:rPr>
                <w:sz w:val="20"/>
                <w:szCs w:val="20"/>
                <w:lang w:val="fr-CA"/>
              </w:rPr>
              <w:tab/>
              <w:t>Christopher J. Kvas</w:t>
            </w:r>
          </w:p>
          <w:p w:rsidR="006F482D" w:rsidRPr="00A935AA" w:rsidRDefault="006F482D" w:rsidP="006B174D">
            <w:pPr>
              <w:tabs>
                <w:tab w:val="left" w:pos="-1440"/>
                <w:tab w:val="left" w:pos="-720"/>
              </w:tabs>
              <w:rPr>
                <w:sz w:val="20"/>
                <w:szCs w:val="20"/>
              </w:rPr>
            </w:pPr>
            <w:r w:rsidRPr="007654AC">
              <w:rPr>
                <w:sz w:val="20"/>
                <w:szCs w:val="20"/>
                <w:lang w:val="fr-CA"/>
              </w:rPr>
              <w:tab/>
            </w:r>
            <w:r>
              <w:rPr>
                <w:sz w:val="20"/>
                <w:szCs w:val="20"/>
              </w:rPr>
              <w:t>Piasetzki Nenniger Kvas LLP</w:t>
            </w:r>
          </w:p>
          <w:p w:rsidR="006F482D" w:rsidRPr="00A935AA" w:rsidRDefault="006F482D" w:rsidP="006B174D">
            <w:pPr>
              <w:tabs>
                <w:tab w:val="left" w:pos="-1440"/>
                <w:tab w:val="left" w:pos="-720"/>
              </w:tabs>
              <w:rPr>
                <w:sz w:val="20"/>
                <w:szCs w:val="20"/>
              </w:rPr>
            </w:pPr>
          </w:p>
          <w:p w:rsidR="006F482D" w:rsidRPr="00A935AA" w:rsidRDefault="006F482D" w:rsidP="006B174D">
            <w:pPr>
              <w:tabs>
                <w:tab w:val="left" w:pos="-1440"/>
                <w:tab w:val="left" w:pos="-720"/>
              </w:tabs>
              <w:rPr>
                <w:sz w:val="20"/>
                <w:szCs w:val="20"/>
              </w:rPr>
            </w:pPr>
            <w:r w:rsidRPr="00A935AA">
              <w:rPr>
                <w:sz w:val="20"/>
                <w:szCs w:val="20"/>
              </w:rPr>
              <w:tab/>
              <w:t>v. (3</w:t>
            </w:r>
            <w:r>
              <w:rPr>
                <w:sz w:val="20"/>
                <w:szCs w:val="20"/>
              </w:rPr>
              <w:t>4459</w:t>
            </w:r>
            <w:r w:rsidRPr="00A935AA">
              <w:rPr>
                <w:sz w:val="20"/>
                <w:szCs w:val="20"/>
              </w:rPr>
              <w:t>)</w:t>
            </w:r>
          </w:p>
          <w:p w:rsidR="006F482D" w:rsidRPr="00A935AA" w:rsidRDefault="006F482D" w:rsidP="006B174D">
            <w:pPr>
              <w:tabs>
                <w:tab w:val="left" w:pos="-1440"/>
                <w:tab w:val="left" w:pos="-720"/>
              </w:tabs>
              <w:rPr>
                <w:sz w:val="20"/>
                <w:szCs w:val="20"/>
              </w:rPr>
            </w:pPr>
          </w:p>
          <w:p w:rsidR="006F482D" w:rsidRPr="00A935AA" w:rsidRDefault="006F482D" w:rsidP="006B174D">
            <w:pPr>
              <w:tabs>
                <w:tab w:val="left" w:pos="-1440"/>
                <w:tab w:val="left" w:pos="-720"/>
              </w:tabs>
              <w:rPr>
                <w:b/>
                <w:sz w:val="20"/>
                <w:szCs w:val="20"/>
              </w:rPr>
            </w:pPr>
            <w:r>
              <w:rPr>
                <w:b/>
                <w:sz w:val="20"/>
                <w:szCs w:val="20"/>
              </w:rPr>
              <w:t xml:space="preserve">Weatherford Canada Ltd. et al. </w:t>
            </w:r>
            <w:r w:rsidRPr="00A935AA">
              <w:rPr>
                <w:b/>
                <w:sz w:val="20"/>
                <w:szCs w:val="20"/>
              </w:rPr>
              <w:t>(</w:t>
            </w:r>
            <w:r>
              <w:rPr>
                <w:b/>
                <w:sz w:val="20"/>
                <w:szCs w:val="20"/>
              </w:rPr>
              <w:t>F</w:t>
            </w:r>
            <w:r w:rsidRPr="00A935AA">
              <w:rPr>
                <w:b/>
                <w:sz w:val="20"/>
                <w:szCs w:val="20"/>
              </w:rPr>
              <w:t>.C.)</w:t>
            </w:r>
          </w:p>
          <w:p w:rsidR="006F482D" w:rsidRPr="00A935AA" w:rsidRDefault="006F482D" w:rsidP="006B174D">
            <w:pPr>
              <w:tabs>
                <w:tab w:val="left" w:pos="-1440"/>
                <w:tab w:val="left" w:pos="-720"/>
              </w:tabs>
              <w:rPr>
                <w:sz w:val="20"/>
                <w:szCs w:val="20"/>
              </w:rPr>
            </w:pPr>
            <w:r w:rsidRPr="00A935AA">
              <w:rPr>
                <w:sz w:val="20"/>
                <w:szCs w:val="20"/>
              </w:rPr>
              <w:tab/>
            </w:r>
            <w:r>
              <w:rPr>
                <w:sz w:val="20"/>
                <w:szCs w:val="20"/>
              </w:rPr>
              <w:t>Robert H.C. MacFarlane</w:t>
            </w:r>
          </w:p>
          <w:p w:rsidR="006F482D" w:rsidRPr="00A935AA" w:rsidRDefault="006F482D" w:rsidP="006B174D">
            <w:pPr>
              <w:tabs>
                <w:tab w:val="left" w:pos="-1440"/>
                <w:tab w:val="left" w:pos="-720"/>
              </w:tabs>
              <w:rPr>
                <w:sz w:val="20"/>
                <w:szCs w:val="20"/>
              </w:rPr>
            </w:pPr>
            <w:r w:rsidRPr="00A935AA">
              <w:rPr>
                <w:sz w:val="20"/>
                <w:szCs w:val="20"/>
              </w:rPr>
              <w:tab/>
            </w:r>
            <w:r>
              <w:rPr>
                <w:sz w:val="20"/>
                <w:szCs w:val="20"/>
              </w:rPr>
              <w:t>Bereskin &amp; Parr</w:t>
            </w:r>
          </w:p>
          <w:p w:rsidR="006F482D" w:rsidRPr="00A935AA" w:rsidRDefault="006F482D" w:rsidP="006B174D">
            <w:pPr>
              <w:tabs>
                <w:tab w:val="left" w:pos="-1440"/>
                <w:tab w:val="left" w:pos="-720"/>
              </w:tabs>
              <w:rPr>
                <w:sz w:val="20"/>
                <w:szCs w:val="20"/>
              </w:rPr>
            </w:pPr>
          </w:p>
          <w:p w:rsidR="006F482D" w:rsidRPr="00A935AA" w:rsidRDefault="006F482D" w:rsidP="006B174D">
            <w:pPr>
              <w:rPr>
                <w:sz w:val="20"/>
                <w:szCs w:val="20"/>
              </w:rPr>
            </w:pPr>
            <w:r w:rsidRPr="00A935AA">
              <w:rPr>
                <w:sz w:val="20"/>
                <w:szCs w:val="20"/>
              </w:rPr>
              <w:t>FILING DATE: 2</w:t>
            </w:r>
            <w:r>
              <w:rPr>
                <w:sz w:val="20"/>
                <w:szCs w:val="20"/>
              </w:rPr>
              <w:t>8</w:t>
            </w:r>
            <w:r w:rsidRPr="00A935AA">
              <w:rPr>
                <w:sz w:val="20"/>
                <w:szCs w:val="20"/>
              </w:rPr>
              <w:t>.0</w:t>
            </w:r>
            <w:r>
              <w:rPr>
                <w:sz w:val="20"/>
                <w:szCs w:val="20"/>
              </w:rPr>
              <w:t>9</w:t>
            </w:r>
            <w:r w:rsidRPr="00A935AA">
              <w:rPr>
                <w:sz w:val="20"/>
                <w:szCs w:val="20"/>
              </w:rPr>
              <w:t>.201</w:t>
            </w:r>
            <w:r>
              <w:rPr>
                <w:sz w:val="20"/>
                <w:szCs w:val="20"/>
              </w:rPr>
              <w:t>1</w:t>
            </w:r>
          </w:p>
          <w:p w:rsidR="006F482D" w:rsidRPr="006B174D" w:rsidRDefault="004D21E4" w:rsidP="006B174D">
            <w:pPr>
              <w:rPr>
                <w:sz w:val="20"/>
                <w:szCs w:val="20"/>
              </w:rPr>
            </w:pPr>
            <w:r w:rsidRPr="004D21E4">
              <w:rPr>
                <w:sz w:val="20"/>
                <w:szCs w:val="20"/>
                <w:lang w:val="fr-CA"/>
              </w:rPr>
              <w:pict>
                <v:rect id="_x0000_i1029" style="width:108pt;height:1pt" o:hrpct="0" o:hralign="center" o:hrstd="t" o:hrnoshade="t" o:hr="t" fillcolor="black [3213]" stroked="f"/>
              </w:pict>
            </w:r>
          </w:p>
        </w:tc>
        <w:tc>
          <w:tcPr>
            <w:tcW w:w="1181" w:type="dxa"/>
            <w:shd w:val="clear" w:color="auto" w:fill="auto"/>
          </w:tcPr>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tc>
        <w:tc>
          <w:tcPr>
            <w:tcW w:w="4320" w:type="dxa"/>
            <w:shd w:val="clear" w:color="auto" w:fill="auto"/>
          </w:tcPr>
          <w:p w:rsidR="006F482D" w:rsidRPr="006F482D" w:rsidRDefault="006F482D" w:rsidP="006F482D">
            <w:pPr>
              <w:keepNext/>
              <w:keepLines/>
              <w:tabs>
                <w:tab w:val="left" w:pos="-1440"/>
                <w:tab w:val="left" w:pos="-720"/>
              </w:tabs>
              <w:rPr>
                <w:b/>
                <w:sz w:val="20"/>
                <w:szCs w:val="20"/>
                <w:lang w:val="fr-CA"/>
              </w:rPr>
            </w:pPr>
            <w:r w:rsidRPr="006F482D">
              <w:rPr>
                <w:b/>
                <w:sz w:val="20"/>
                <w:szCs w:val="20"/>
                <w:lang w:val="fr-CA"/>
              </w:rPr>
              <w:t>Louise St-Hilaire et autres</w:t>
            </w:r>
          </w:p>
          <w:p w:rsidR="006F482D" w:rsidRPr="006F482D" w:rsidRDefault="006F482D" w:rsidP="006F482D">
            <w:pPr>
              <w:keepNext/>
              <w:keepLines/>
              <w:tabs>
                <w:tab w:val="left" w:pos="-1440"/>
                <w:tab w:val="left" w:pos="-720"/>
              </w:tabs>
              <w:rPr>
                <w:sz w:val="20"/>
                <w:szCs w:val="20"/>
                <w:lang w:val="fr-CA"/>
              </w:rPr>
            </w:pPr>
            <w:r w:rsidRPr="006F482D">
              <w:rPr>
                <w:sz w:val="20"/>
                <w:szCs w:val="20"/>
                <w:lang w:val="fr-CA"/>
              </w:rPr>
              <w:tab/>
              <w:t>Marc Boulanger</w:t>
            </w:r>
          </w:p>
          <w:p w:rsidR="006F482D" w:rsidRPr="007654AC" w:rsidRDefault="006F482D" w:rsidP="006F482D">
            <w:pPr>
              <w:keepNext/>
              <w:keepLines/>
              <w:tabs>
                <w:tab w:val="left" w:pos="-1440"/>
                <w:tab w:val="left" w:pos="-720"/>
              </w:tabs>
              <w:rPr>
                <w:sz w:val="20"/>
                <w:szCs w:val="20"/>
                <w:lang w:val="fr-CA"/>
              </w:rPr>
            </w:pPr>
            <w:r w:rsidRPr="006F482D">
              <w:rPr>
                <w:sz w:val="20"/>
                <w:szCs w:val="20"/>
                <w:lang w:val="fr-CA"/>
              </w:rPr>
              <w:tab/>
            </w:r>
            <w:r w:rsidRPr="007654AC">
              <w:rPr>
                <w:sz w:val="20"/>
                <w:szCs w:val="20"/>
                <w:lang w:val="fr-CA"/>
              </w:rPr>
              <w:t>Tremblay Bois Mignault Lemay</w:t>
            </w:r>
          </w:p>
          <w:p w:rsidR="006F482D" w:rsidRPr="007654AC" w:rsidRDefault="006F482D" w:rsidP="006F482D">
            <w:pPr>
              <w:keepNext/>
              <w:keepLines/>
              <w:tabs>
                <w:tab w:val="left" w:pos="-1440"/>
                <w:tab w:val="left" w:pos="-720"/>
              </w:tabs>
              <w:rPr>
                <w:sz w:val="20"/>
                <w:szCs w:val="20"/>
                <w:lang w:val="fr-CA"/>
              </w:rPr>
            </w:pPr>
          </w:p>
          <w:p w:rsidR="006F482D" w:rsidRPr="006F482D" w:rsidRDefault="006F482D" w:rsidP="006F482D">
            <w:pPr>
              <w:keepNext/>
              <w:keepLines/>
              <w:tabs>
                <w:tab w:val="left" w:pos="-1440"/>
                <w:tab w:val="left" w:pos="-720"/>
              </w:tabs>
              <w:rPr>
                <w:sz w:val="20"/>
                <w:szCs w:val="20"/>
                <w:lang w:val="fr-CA"/>
              </w:rPr>
            </w:pPr>
            <w:r w:rsidRPr="007654AC">
              <w:rPr>
                <w:sz w:val="20"/>
                <w:szCs w:val="20"/>
                <w:lang w:val="fr-CA"/>
              </w:rPr>
              <w:tab/>
            </w:r>
            <w:r w:rsidRPr="006F482D">
              <w:rPr>
                <w:sz w:val="20"/>
                <w:szCs w:val="20"/>
                <w:lang w:val="fr-CA"/>
              </w:rPr>
              <w:t>c. (34460)</w:t>
            </w:r>
          </w:p>
          <w:p w:rsidR="006F482D" w:rsidRPr="006F482D" w:rsidRDefault="006F482D" w:rsidP="006F482D">
            <w:pPr>
              <w:keepNext/>
              <w:keepLines/>
              <w:tabs>
                <w:tab w:val="left" w:pos="-1440"/>
                <w:tab w:val="left" w:pos="-720"/>
              </w:tabs>
              <w:rPr>
                <w:sz w:val="20"/>
                <w:szCs w:val="20"/>
                <w:lang w:val="fr-CA"/>
              </w:rPr>
            </w:pPr>
          </w:p>
          <w:p w:rsidR="006F482D" w:rsidRPr="006F482D" w:rsidRDefault="006F482D" w:rsidP="006F482D">
            <w:pPr>
              <w:keepNext/>
              <w:keepLines/>
              <w:tabs>
                <w:tab w:val="left" w:pos="-1440"/>
                <w:tab w:val="left" w:pos="-720"/>
              </w:tabs>
              <w:rPr>
                <w:b/>
                <w:sz w:val="20"/>
                <w:szCs w:val="20"/>
                <w:lang w:val="fr-CA"/>
              </w:rPr>
            </w:pPr>
            <w:r w:rsidRPr="006F482D">
              <w:rPr>
                <w:b/>
                <w:sz w:val="20"/>
                <w:szCs w:val="20"/>
                <w:lang w:val="fr-CA"/>
              </w:rPr>
              <w:t>Mario Hébert et autres (Qc)</w:t>
            </w:r>
          </w:p>
          <w:p w:rsidR="006F482D" w:rsidRPr="007654AC" w:rsidRDefault="006F482D" w:rsidP="006F482D">
            <w:pPr>
              <w:keepNext/>
              <w:keepLines/>
              <w:tabs>
                <w:tab w:val="left" w:pos="-1440"/>
                <w:tab w:val="left" w:pos="-720"/>
              </w:tabs>
              <w:rPr>
                <w:sz w:val="20"/>
                <w:szCs w:val="20"/>
                <w:lang w:val="fr-CA"/>
              </w:rPr>
            </w:pPr>
            <w:r w:rsidRPr="006F482D">
              <w:rPr>
                <w:sz w:val="20"/>
                <w:szCs w:val="20"/>
                <w:lang w:val="fr-CA"/>
              </w:rPr>
              <w:tab/>
            </w:r>
            <w:r w:rsidRPr="007654AC">
              <w:rPr>
                <w:sz w:val="20"/>
                <w:szCs w:val="20"/>
                <w:lang w:val="fr-CA"/>
              </w:rPr>
              <w:t>Claude Jarry</w:t>
            </w:r>
          </w:p>
          <w:p w:rsidR="006F482D" w:rsidRPr="007654AC" w:rsidRDefault="006F482D" w:rsidP="006F482D">
            <w:pPr>
              <w:keepNext/>
              <w:keepLines/>
              <w:tabs>
                <w:tab w:val="left" w:pos="-1440"/>
                <w:tab w:val="left" w:pos="-720"/>
              </w:tabs>
              <w:rPr>
                <w:sz w:val="20"/>
                <w:szCs w:val="20"/>
                <w:lang w:val="fr-CA"/>
              </w:rPr>
            </w:pPr>
            <w:r w:rsidRPr="007654AC">
              <w:rPr>
                <w:sz w:val="20"/>
                <w:szCs w:val="20"/>
                <w:lang w:val="fr-CA"/>
              </w:rPr>
              <w:tab/>
              <w:t xml:space="preserve">McCarthy Tétrault, </w:t>
            </w:r>
            <w:proofErr w:type="gramStart"/>
            <w:r w:rsidRPr="007654AC">
              <w:rPr>
                <w:sz w:val="20"/>
                <w:szCs w:val="20"/>
                <w:lang w:val="fr-CA"/>
              </w:rPr>
              <w:t>s.e.n.c.r.l.,</w:t>
            </w:r>
            <w:proofErr w:type="gramEnd"/>
            <w:r w:rsidRPr="007654AC">
              <w:rPr>
                <w:sz w:val="20"/>
                <w:szCs w:val="20"/>
                <w:lang w:val="fr-CA"/>
              </w:rPr>
              <w:t xml:space="preserve"> s.r.l.</w:t>
            </w:r>
          </w:p>
          <w:p w:rsidR="006F482D" w:rsidRPr="007654AC" w:rsidRDefault="006F482D" w:rsidP="006F482D">
            <w:pPr>
              <w:keepNext/>
              <w:keepLines/>
              <w:tabs>
                <w:tab w:val="left" w:pos="-1440"/>
                <w:tab w:val="left" w:pos="-720"/>
              </w:tabs>
              <w:rPr>
                <w:sz w:val="20"/>
                <w:szCs w:val="20"/>
                <w:lang w:val="fr-CA"/>
              </w:rPr>
            </w:pPr>
          </w:p>
          <w:p w:rsidR="006F482D" w:rsidRPr="00A935AA" w:rsidRDefault="006F482D" w:rsidP="006F482D">
            <w:pPr>
              <w:rPr>
                <w:sz w:val="20"/>
                <w:szCs w:val="20"/>
              </w:rPr>
            </w:pPr>
            <w:r w:rsidRPr="00A935AA">
              <w:rPr>
                <w:sz w:val="20"/>
                <w:szCs w:val="20"/>
              </w:rPr>
              <w:t>DATE</w:t>
            </w:r>
            <w:r>
              <w:rPr>
                <w:sz w:val="20"/>
                <w:szCs w:val="20"/>
              </w:rPr>
              <w:t xml:space="preserve"> DE PRODUCTION </w:t>
            </w:r>
            <w:r w:rsidRPr="00A935AA">
              <w:rPr>
                <w:sz w:val="20"/>
                <w:szCs w:val="20"/>
              </w:rPr>
              <w:t>: 2</w:t>
            </w:r>
            <w:r>
              <w:rPr>
                <w:sz w:val="20"/>
                <w:szCs w:val="20"/>
              </w:rPr>
              <w:t>9</w:t>
            </w:r>
            <w:r w:rsidRPr="00A935AA">
              <w:rPr>
                <w:sz w:val="20"/>
                <w:szCs w:val="20"/>
              </w:rPr>
              <w:t>.0</w:t>
            </w:r>
            <w:r>
              <w:rPr>
                <w:sz w:val="20"/>
                <w:szCs w:val="20"/>
              </w:rPr>
              <w:t>9</w:t>
            </w:r>
            <w:r w:rsidRPr="00A935AA">
              <w:rPr>
                <w:sz w:val="20"/>
                <w:szCs w:val="20"/>
              </w:rPr>
              <w:t>.201</w:t>
            </w:r>
            <w:r>
              <w:rPr>
                <w:sz w:val="20"/>
                <w:szCs w:val="20"/>
              </w:rPr>
              <w:t>1</w:t>
            </w:r>
            <w:r w:rsidR="004D21E4" w:rsidRPr="004D21E4">
              <w:rPr>
                <w:sz w:val="20"/>
                <w:szCs w:val="20"/>
                <w:lang w:val="fr-CA"/>
              </w:rPr>
              <w:pict>
                <v:rect id="_x0000_i1030" style="width:108pt;height:1pt" o:hrpct="0" o:hralign="center" o:hrstd="t" o:hrnoshade="t" o:hr="t" fillcolor="black [3213]" stroked="f"/>
              </w:pict>
            </w:r>
          </w:p>
        </w:tc>
      </w:tr>
      <w:tr w:rsidR="006F482D" w:rsidRPr="00A935AA" w:rsidTr="003B3977">
        <w:tc>
          <w:tcPr>
            <w:tcW w:w="4320" w:type="dxa"/>
            <w:shd w:val="clear" w:color="auto" w:fill="auto"/>
          </w:tcPr>
          <w:p w:rsidR="006F482D" w:rsidRDefault="006F482D" w:rsidP="006856B2">
            <w:pPr>
              <w:rPr>
                <w:b/>
                <w:sz w:val="20"/>
                <w:szCs w:val="20"/>
              </w:rPr>
            </w:pPr>
          </w:p>
          <w:p w:rsidR="006F482D" w:rsidRPr="00A935AA" w:rsidRDefault="006F482D" w:rsidP="006856B2">
            <w:pPr>
              <w:rPr>
                <w:b/>
                <w:sz w:val="20"/>
                <w:szCs w:val="20"/>
              </w:rPr>
            </w:pPr>
            <w:r>
              <w:rPr>
                <w:b/>
                <w:sz w:val="20"/>
                <w:szCs w:val="20"/>
              </w:rPr>
              <w:t>Cinar Corporation et al.</w:t>
            </w:r>
          </w:p>
          <w:p w:rsidR="006F482D" w:rsidRPr="00A935AA" w:rsidRDefault="006F482D" w:rsidP="006856B2">
            <w:pPr>
              <w:tabs>
                <w:tab w:val="left" w:pos="-1440"/>
                <w:tab w:val="left" w:pos="-720"/>
              </w:tabs>
              <w:rPr>
                <w:sz w:val="20"/>
                <w:szCs w:val="20"/>
              </w:rPr>
            </w:pPr>
            <w:r w:rsidRPr="00A935AA">
              <w:rPr>
                <w:sz w:val="20"/>
                <w:szCs w:val="20"/>
              </w:rPr>
              <w:tab/>
            </w:r>
            <w:r>
              <w:rPr>
                <w:sz w:val="20"/>
                <w:szCs w:val="20"/>
              </w:rPr>
              <w:t>William Brock</w:t>
            </w:r>
          </w:p>
          <w:p w:rsidR="006F482D" w:rsidRPr="00A935AA" w:rsidRDefault="006F482D" w:rsidP="006856B2">
            <w:pPr>
              <w:tabs>
                <w:tab w:val="left" w:pos="-1440"/>
                <w:tab w:val="left" w:pos="-720"/>
              </w:tabs>
              <w:rPr>
                <w:sz w:val="20"/>
                <w:szCs w:val="20"/>
              </w:rPr>
            </w:pPr>
            <w:r w:rsidRPr="00A935AA">
              <w:rPr>
                <w:sz w:val="20"/>
                <w:szCs w:val="20"/>
              </w:rPr>
              <w:tab/>
            </w:r>
            <w:r>
              <w:rPr>
                <w:sz w:val="20"/>
                <w:szCs w:val="20"/>
              </w:rPr>
              <w:t>Davies Ward Phillips &amp; Vineberg LLP</w:t>
            </w:r>
          </w:p>
          <w:p w:rsidR="006F482D" w:rsidRPr="00A935AA" w:rsidRDefault="006F482D" w:rsidP="006856B2">
            <w:pPr>
              <w:tabs>
                <w:tab w:val="left" w:pos="-1440"/>
                <w:tab w:val="left" w:pos="-720"/>
              </w:tabs>
              <w:rPr>
                <w:sz w:val="20"/>
                <w:szCs w:val="20"/>
              </w:rPr>
            </w:pPr>
          </w:p>
          <w:p w:rsidR="006F482D" w:rsidRPr="00A935AA" w:rsidRDefault="006F482D" w:rsidP="006856B2">
            <w:pPr>
              <w:tabs>
                <w:tab w:val="left" w:pos="-1440"/>
                <w:tab w:val="left" w:pos="-720"/>
              </w:tabs>
              <w:rPr>
                <w:sz w:val="20"/>
                <w:szCs w:val="20"/>
              </w:rPr>
            </w:pPr>
            <w:r w:rsidRPr="00A935AA">
              <w:rPr>
                <w:sz w:val="20"/>
                <w:szCs w:val="20"/>
              </w:rPr>
              <w:tab/>
              <w:t>v. (3</w:t>
            </w:r>
            <w:r>
              <w:rPr>
                <w:sz w:val="20"/>
                <w:szCs w:val="20"/>
              </w:rPr>
              <w:t>4466</w:t>
            </w:r>
            <w:r w:rsidRPr="00A935AA">
              <w:rPr>
                <w:sz w:val="20"/>
                <w:szCs w:val="20"/>
              </w:rPr>
              <w:t>)</w:t>
            </w:r>
          </w:p>
          <w:p w:rsidR="006F482D" w:rsidRPr="00A935AA" w:rsidRDefault="006F482D" w:rsidP="006856B2">
            <w:pPr>
              <w:tabs>
                <w:tab w:val="left" w:pos="-1440"/>
                <w:tab w:val="left" w:pos="-720"/>
              </w:tabs>
              <w:rPr>
                <w:sz w:val="20"/>
                <w:szCs w:val="20"/>
              </w:rPr>
            </w:pPr>
          </w:p>
          <w:p w:rsidR="006F482D" w:rsidRPr="006F482D" w:rsidRDefault="006F482D" w:rsidP="006856B2">
            <w:pPr>
              <w:tabs>
                <w:tab w:val="left" w:pos="-1440"/>
                <w:tab w:val="left" w:pos="-720"/>
              </w:tabs>
              <w:rPr>
                <w:b/>
                <w:sz w:val="20"/>
                <w:szCs w:val="20"/>
                <w:lang w:val="fr-CA"/>
              </w:rPr>
            </w:pPr>
            <w:r w:rsidRPr="006F482D">
              <w:rPr>
                <w:b/>
                <w:sz w:val="20"/>
                <w:szCs w:val="20"/>
                <w:lang w:val="fr-CA"/>
              </w:rPr>
              <w:t>Claude Robinson et al.</w:t>
            </w:r>
            <w:r>
              <w:rPr>
                <w:b/>
                <w:sz w:val="20"/>
                <w:szCs w:val="20"/>
                <w:lang w:val="fr-CA"/>
              </w:rPr>
              <w:t xml:space="preserve"> </w:t>
            </w:r>
            <w:r w:rsidRPr="006F482D">
              <w:rPr>
                <w:b/>
                <w:sz w:val="20"/>
                <w:szCs w:val="20"/>
                <w:lang w:val="fr-CA"/>
              </w:rPr>
              <w:t>(</w:t>
            </w:r>
            <w:r>
              <w:rPr>
                <w:b/>
                <w:sz w:val="20"/>
                <w:szCs w:val="20"/>
                <w:lang w:val="fr-CA"/>
              </w:rPr>
              <w:t>Que</w:t>
            </w:r>
            <w:r w:rsidRPr="006F482D">
              <w:rPr>
                <w:b/>
                <w:sz w:val="20"/>
                <w:szCs w:val="20"/>
                <w:lang w:val="fr-CA"/>
              </w:rPr>
              <w:t>.)</w:t>
            </w:r>
          </w:p>
          <w:p w:rsidR="006F482D" w:rsidRPr="007654AC" w:rsidRDefault="006F482D" w:rsidP="006856B2">
            <w:pPr>
              <w:tabs>
                <w:tab w:val="left" w:pos="-1440"/>
                <w:tab w:val="left" w:pos="-720"/>
              </w:tabs>
              <w:rPr>
                <w:sz w:val="20"/>
                <w:szCs w:val="20"/>
              </w:rPr>
            </w:pPr>
            <w:r w:rsidRPr="006F482D">
              <w:rPr>
                <w:sz w:val="20"/>
                <w:szCs w:val="20"/>
                <w:lang w:val="fr-CA"/>
              </w:rPr>
              <w:tab/>
            </w:r>
            <w:r w:rsidRPr="007654AC">
              <w:rPr>
                <w:sz w:val="20"/>
                <w:szCs w:val="20"/>
              </w:rPr>
              <w:t>Florence Lucas</w:t>
            </w:r>
          </w:p>
          <w:p w:rsidR="006F482D" w:rsidRPr="007654AC" w:rsidRDefault="006F482D" w:rsidP="006856B2">
            <w:pPr>
              <w:tabs>
                <w:tab w:val="left" w:pos="-1440"/>
                <w:tab w:val="left" w:pos="-720"/>
              </w:tabs>
              <w:rPr>
                <w:sz w:val="20"/>
                <w:szCs w:val="20"/>
              </w:rPr>
            </w:pPr>
            <w:r w:rsidRPr="007654AC">
              <w:rPr>
                <w:sz w:val="20"/>
                <w:szCs w:val="20"/>
              </w:rPr>
              <w:tab/>
              <w:t>Gowling Lafleur Henderson LLP</w:t>
            </w:r>
          </w:p>
          <w:p w:rsidR="006F482D" w:rsidRPr="007654AC" w:rsidRDefault="006F482D" w:rsidP="006856B2">
            <w:pPr>
              <w:tabs>
                <w:tab w:val="left" w:pos="-1440"/>
                <w:tab w:val="left" w:pos="-720"/>
              </w:tabs>
              <w:rPr>
                <w:sz w:val="20"/>
                <w:szCs w:val="20"/>
              </w:rPr>
            </w:pPr>
          </w:p>
          <w:p w:rsidR="006F482D" w:rsidRPr="00A935AA" w:rsidRDefault="006F482D" w:rsidP="006856B2">
            <w:pPr>
              <w:rPr>
                <w:sz w:val="20"/>
                <w:szCs w:val="20"/>
              </w:rPr>
            </w:pPr>
            <w:r w:rsidRPr="00A935AA">
              <w:rPr>
                <w:sz w:val="20"/>
                <w:szCs w:val="20"/>
              </w:rPr>
              <w:t>FILING DATE: 2</w:t>
            </w:r>
            <w:r>
              <w:rPr>
                <w:sz w:val="20"/>
                <w:szCs w:val="20"/>
              </w:rPr>
              <w:t>9</w:t>
            </w:r>
            <w:r w:rsidRPr="00A935AA">
              <w:rPr>
                <w:sz w:val="20"/>
                <w:szCs w:val="20"/>
              </w:rPr>
              <w:t>.0</w:t>
            </w:r>
            <w:r>
              <w:rPr>
                <w:sz w:val="20"/>
                <w:szCs w:val="20"/>
              </w:rPr>
              <w:t>9</w:t>
            </w:r>
            <w:r w:rsidRPr="00A935AA">
              <w:rPr>
                <w:sz w:val="20"/>
                <w:szCs w:val="20"/>
              </w:rPr>
              <w:t>.201</w:t>
            </w:r>
            <w:r>
              <w:rPr>
                <w:sz w:val="20"/>
                <w:szCs w:val="20"/>
              </w:rPr>
              <w:t>1</w:t>
            </w:r>
          </w:p>
          <w:p w:rsidR="006F482D" w:rsidRPr="00A935AA" w:rsidRDefault="004D21E4" w:rsidP="006856B2">
            <w:pPr>
              <w:rPr>
                <w:sz w:val="20"/>
                <w:szCs w:val="20"/>
              </w:rPr>
            </w:pPr>
            <w:r w:rsidRPr="004D21E4">
              <w:rPr>
                <w:sz w:val="20"/>
                <w:szCs w:val="20"/>
                <w:lang w:val="fr-CA"/>
              </w:rPr>
              <w:pict>
                <v:rect id="_x0000_i1031" style="width:108pt;height:1pt" o:hrpct="0" o:hralign="center" o:hrstd="t" o:hrnoshade="t" o:hr="t" fillcolor="black [3213]" stroked="f"/>
              </w:pict>
            </w:r>
          </w:p>
        </w:tc>
        <w:tc>
          <w:tcPr>
            <w:tcW w:w="1181" w:type="dxa"/>
            <w:shd w:val="clear" w:color="auto" w:fill="auto"/>
          </w:tcPr>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Default="006F482D" w:rsidP="00242AEE">
            <w:pPr>
              <w:jc w:val="center"/>
              <w:rPr>
                <w:sz w:val="20"/>
                <w:szCs w:val="20"/>
              </w:rPr>
            </w:pPr>
          </w:p>
          <w:p w:rsidR="006F482D" w:rsidRDefault="006F482D" w:rsidP="00242AEE">
            <w:pPr>
              <w:jc w:val="center"/>
              <w:rPr>
                <w:sz w:val="20"/>
                <w:szCs w:val="20"/>
              </w:rPr>
            </w:pPr>
          </w:p>
          <w:p w:rsidR="006F482D" w:rsidRPr="00A935AA" w:rsidRDefault="006F482D" w:rsidP="00242AEE">
            <w:pPr>
              <w:jc w:val="center"/>
              <w:rPr>
                <w:sz w:val="20"/>
                <w:szCs w:val="20"/>
              </w:rPr>
            </w:pPr>
          </w:p>
        </w:tc>
        <w:tc>
          <w:tcPr>
            <w:tcW w:w="4320" w:type="dxa"/>
            <w:shd w:val="clear" w:color="auto" w:fill="auto"/>
          </w:tcPr>
          <w:p w:rsidR="006F482D" w:rsidRPr="00A935AA" w:rsidRDefault="006F482D" w:rsidP="006856B2">
            <w:pPr>
              <w:keepNext/>
              <w:keepLines/>
              <w:tabs>
                <w:tab w:val="left" w:pos="-1440"/>
                <w:tab w:val="left" w:pos="-720"/>
              </w:tabs>
              <w:rPr>
                <w:b/>
                <w:sz w:val="20"/>
                <w:szCs w:val="20"/>
              </w:rPr>
            </w:pPr>
            <w:r>
              <w:rPr>
                <w:b/>
                <w:sz w:val="20"/>
                <w:szCs w:val="20"/>
              </w:rPr>
              <w:t>Rachidi Ekanza Ezokola</w:t>
            </w:r>
          </w:p>
          <w:p w:rsidR="006F482D" w:rsidRPr="00A935AA" w:rsidRDefault="006F482D" w:rsidP="006856B2">
            <w:pPr>
              <w:keepNext/>
              <w:keepLines/>
              <w:tabs>
                <w:tab w:val="left" w:pos="-1440"/>
                <w:tab w:val="left" w:pos="-720"/>
              </w:tabs>
              <w:rPr>
                <w:sz w:val="20"/>
                <w:szCs w:val="20"/>
              </w:rPr>
            </w:pPr>
            <w:r w:rsidRPr="00A935AA">
              <w:rPr>
                <w:sz w:val="20"/>
                <w:szCs w:val="20"/>
              </w:rPr>
              <w:tab/>
            </w:r>
            <w:r>
              <w:rPr>
                <w:sz w:val="20"/>
                <w:szCs w:val="20"/>
              </w:rPr>
              <w:t>Annick Legault</w:t>
            </w:r>
          </w:p>
          <w:p w:rsidR="006F482D" w:rsidRPr="00A935AA" w:rsidRDefault="006F482D" w:rsidP="006856B2">
            <w:pPr>
              <w:keepNext/>
              <w:keepLines/>
              <w:tabs>
                <w:tab w:val="left" w:pos="-1440"/>
                <w:tab w:val="left" w:pos="-720"/>
              </w:tabs>
              <w:rPr>
                <w:sz w:val="20"/>
                <w:szCs w:val="20"/>
              </w:rPr>
            </w:pPr>
            <w:r w:rsidRPr="00A935AA">
              <w:rPr>
                <w:sz w:val="20"/>
                <w:szCs w:val="20"/>
              </w:rPr>
              <w:tab/>
            </w:r>
            <w:r>
              <w:rPr>
                <w:sz w:val="20"/>
                <w:szCs w:val="20"/>
              </w:rPr>
              <w:t>Boisclair &amp; Legault</w:t>
            </w:r>
          </w:p>
          <w:p w:rsidR="006F482D" w:rsidRPr="00A935AA" w:rsidRDefault="006F482D" w:rsidP="006856B2">
            <w:pPr>
              <w:keepNext/>
              <w:keepLines/>
              <w:tabs>
                <w:tab w:val="left" w:pos="-1440"/>
                <w:tab w:val="left" w:pos="-720"/>
              </w:tabs>
              <w:rPr>
                <w:sz w:val="20"/>
                <w:szCs w:val="20"/>
              </w:rPr>
            </w:pPr>
          </w:p>
          <w:p w:rsidR="006F482D" w:rsidRPr="006F482D" w:rsidRDefault="006F482D" w:rsidP="006856B2">
            <w:pPr>
              <w:keepNext/>
              <w:keepLines/>
              <w:tabs>
                <w:tab w:val="left" w:pos="-1440"/>
                <w:tab w:val="left" w:pos="-720"/>
              </w:tabs>
              <w:rPr>
                <w:sz w:val="20"/>
                <w:szCs w:val="20"/>
              </w:rPr>
            </w:pPr>
            <w:r w:rsidRPr="00A935AA">
              <w:rPr>
                <w:sz w:val="20"/>
                <w:szCs w:val="20"/>
              </w:rPr>
              <w:tab/>
            </w:r>
            <w:r w:rsidRPr="006F482D">
              <w:rPr>
                <w:sz w:val="20"/>
                <w:szCs w:val="20"/>
              </w:rPr>
              <w:t>v. (34</w:t>
            </w:r>
            <w:r>
              <w:rPr>
                <w:sz w:val="20"/>
                <w:szCs w:val="20"/>
              </w:rPr>
              <w:t>470</w:t>
            </w:r>
            <w:r w:rsidRPr="006F482D">
              <w:rPr>
                <w:sz w:val="20"/>
                <w:szCs w:val="20"/>
              </w:rPr>
              <w:t>)</w:t>
            </w:r>
          </w:p>
          <w:p w:rsidR="006F482D" w:rsidRPr="006F482D" w:rsidRDefault="006F482D" w:rsidP="006856B2">
            <w:pPr>
              <w:keepNext/>
              <w:keepLines/>
              <w:tabs>
                <w:tab w:val="left" w:pos="-1440"/>
                <w:tab w:val="left" w:pos="-720"/>
              </w:tabs>
              <w:rPr>
                <w:sz w:val="20"/>
                <w:szCs w:val="20"/>
              </w:rPr>
            </w:pPr>
          </w:p>
          <w:p w:rsidR="006F482D" w:rsidRPr="006F482D" w:rsidRDefault="006F482D" w:rsidP="006856B2">
            <w:pPr>
              <w:keepNext/>
              <w:keepLines/>
              <w:tabs>
                <w:tab w:val="left" w:pos="-1440"/>
                <w:tab w:val="left" w:pos="-720"/>
              </w:tabs>
              <w:rPr>
                <w:b/>
                <w:sz w:val="20"/>
                <w:szCs w:val="20"/>
              </w:rPr>
            </w:pPr>
            <w:r>
              <w:rPr>
                <w:b/>
                <w:sz w:val="20"/>
                <w:szCs w:val="20"/>
              </w:rPr>
              <w:t xml:space="preserve">Minister of Citizenship and Immigration </w:t>
            </w:r>
            <w:r w:rsidRPr="006F482D">
              <w:rPr>
                <w:b/>
                <w:sz w:val="20"/>
                <w:szCs w:val="20"/>
              </w:rPr>
              <w:t>(</w:t>
            </w:r>
            <w:r>
              <w:rPr>
                <w:b/>
                <w:sz w:val="20"/>
                <w:szCs w:val="20"/>
              </w:rPr>
              <w:t>F</w:t>
            </w:r>
            <w:r w:rsidRPr="006F482D">
              <w:rPr>
                <w:b/>
                <w:sz w:val="20"/>
                <w:szCs w:val="20"/>
              </w:rPr>
              <w:t>.</w:t>
            </w:r>
            <w:r>
              <w:rPr>
                <w:b/>
                <w:sz w:val="20"/>
                <w:szCs w:val="20"/>
              </w:rPr>
              <w:t>C.</w:t>
            </w:r>
            <w:r w:rsidRPr="006F482D">
              <w:rPr>
                <w:b/>
                <w:sz w:val="20"/>
                <w:szCs w:val="20"/>
              </w:rPr>
              <w:t>)</w:t>
            </w:r>
          </w:p>
          <w:p w:rsidR="006F482D" w:rsidRPr="006F482D" w:rsidRDefault="006F482D" w:rsidP="006856B2">
            <w:pPr>
              <w:keepNext/>
              <w:keepLines/>
              <w:tabs>
                <w:tab w:val="left" w:pos="-1440"/>
                <w:tab w:val="left" w:pos="-720"/>
              </w:tabs>
              <w:rPr>
                <w:sz w:val="20"/>
                <w:szCs w:val="20"/>
              </w:rPr>
            </w:pPr>
            <w:r w:rsidRPr="006F482D">
              <w:rPr>
                <w:sz w:val="20"/>
                <w:szCs w:val="20"/>
              </w:rPr>
              <w:tab/>
            </w:r>
            <w:r>
              <w:rPr>
                <w:sz w:val="20"/>
                <w:szCs w:val="20"/>
              </w:rPr>
              <w:t>Daniel Latulippe</w:t>
            </w:r>
          </w:p>
          <w:p w:rsidR="006F482D" w:rsidRPr="006F482D" w:rsidRDefault="006F482D" w:rsidP="006856B2">
            <w:pPr>
              <w:keepNext/>
              <w:keepLines/>
              <w:tabs>
                <w:tab w:val="left" w:pos="-1440"/>
                <w:tab w:val="left" w:pos="-720"/>
              </w:tabs>
              <w:rPr>
                <w:sz w:val="20"/>
                <w:szCs w:val="20"/>
              </w:rPr>
            </w:pPr>
            <w:r w:rsidRPr="006F482D">
              <w:rPr>
                <w:sz w:val="20"/>
                <w:szCs w:val="20"/>
              </w:rPr>
              <w:tab/>
            </w:r>
            <w:r>
              <w:rPr>
                <w:sz w:val="20"/>
                <w:szCs w:val="20"/>
              </w:rPr>
              <w:t>A.G. of Canada</w:t>
            </w:r>
          </w:p>
          <w:p w:rsidR="006F482D" w:rsidRPr="006F482D" w:rsidRDefault="006F482D" w:rsidP="006856B2">
            <w:pPr>
              <w:keepNext/>
              <w:keepLines/>
              <w:tabs>
                <w:tab w:val="left" w:pos="-1440"/>
                <w:tab w:val="left" w:pos="-720"/>
              </w:tabs>
              <w:rPr>
                <w:sz w:val="20"/>
                <w:szCs w:val="20"/>
              </w:rPr>
            </w:pPr>
          </w:p>
          <w:p w:rsidR="006F482D" w:rsidRPr="00A935AA" w:rsidRDefault="006F482D" w:rsidP="006F482D">
            <w:pPr>
              <w:rPr>
                <w:sz w:val="20"/>
                <w:szCs w:val="20"/>
              </w:rPr>
            </w:pPr>
            <w:r w:rsidRPr="00A935AA">
              <w:rPr>
                <w:sz w:val="20"/>
                <w:szCs w:val="20"/>
              </w:rPr>
              <w:t>FILING DATE: 2</w:t>
            </w:r>
            <w:r>
              <w:rPr>
                <w:sz w:val="20"/>
                <w:szCs w:val="20"/>
              </w:rPr>
              <w:t>9</w:t>
            </w:r>
            <w:r w:rsidRPr="00A935AA">
              <w:rPr>
                <w:sz w:val="20"/>
                <w:szCs w:val="20"/>
              </w:rPr>
              <w:t>.0</w:t>
            </w:r>
            <w:r>
              <w:rPr>
                <w:sz w:val="20"/>
                <w:szCs w:val="20"/>
              </w:rPr>
              <w:t>9</w:t>
            </w:r>
            <w:r w:rsidRPr="00A935AA">
              <w:rPr>
                <w:sz w:val="20"/>
                <w:szCs w:val="20"/>
              </w:rPr>
              <w:t>.201</w:t>
            </w:r>
            <w:r>
              <w:rPr>
                <w:sz w:val="20"/>
                <w:szCs w:val="20"/>
              </w:rPr>
              <w:t>1</w:t>
            </w:r>
            <w:r w:rsidR="004D21E4" w:rsidRPr="004D21E4">
              <w:rPr>
                <w:sz w:val="20"/>
                <w:szCs w:val="20"/>
                <w:lang w:val="fr-CA"/>
              </w:rPr>
              <w:pict>
                <v:rect id="_x0000_i1032" style="width:108pt;height:1pt" o:hrpct="0" o:hralign="center" o:hrstd="t" o:hrnoshade="t" o:hr="t" fillcolor="black [3213]" stroked="f"/>
              </w:pict>
            </w:r>
          </w:p>
        </w:tc>
      </w:tr>
      <w:tr w:rsidR="006F482D" w:rsidRPr="00A935AA" w:rsidTr="003B3977">
        <w:trPr>
          <w:cantSplit/>
        </w:trPr>
        <w:tc>
          <w:tcPr>
            <w:tcW w:w="4320" w:type="dxa"/>
            <w:shd w:val="clear" w:color="auto" w:fill="auto"/>
          </w:tcPr>
          <w:p w:rsidR="006F482D" w:rsidRPr="00A935AA" w:rsidRDefault="006F482D" w:rsidP="006856B2">
            <w:pPr>
              <w:rPr>
                <w:b/>
                <w:sz w:val="20"/>
                <w:szCs w:val="20"/>
              </w:rPr>
            </w:pPr>
            <w:r>
              <w:rPr>
                <w:b/>
                <w:sz w:val="20"/>
                <w:szCs w:val="20"/>
              </w:rPr>
              <w:lastRenderedPageBreak/>
              <w:t>Hal Neumann</w:t>
            </w:r>
          </w:p>
          <w:p w:rsidR="006F482D" w:rsidRPr="00A935AA" w:rsidRDefault="006F482D" w:rsidP="006856B2">
            <w:pPr>
              <w:tabs>
                <w:tab w:val="left" w:pos="-1440"/>
                <w:tab w:val="left" w:pos="-720"/>
              </w:tabs>
              <w:rPr>
                <w:sz w:val="20"/>
                <w:szCs w:val="20"/>
              </w:rPr>
            </w:pPr>
            <w:r w:rsidRPr="00A935AA">
              <w:rPr>
                <w:sz w:val="20"/>
                <w:szCs w:val="20"/>
              </w:rPr>
              <w:tab/>
            </w:r>
            <w:r>
              <w:rPr>
                <w:sz w:val="20"/>
                <w:szCs w:val="20"/>
              </w:rPr>
              <w:t>Chris W. Sanderson, Q.C.</w:t>
            </w:r>
          </w:p>
          <w:p w:rsidR="006F482D" w:rsidRPr="00A935AA" w:rsidRDefault="006F482D" w:rsidP="006856B2">
            <w:pPr>
              <w:tabs>
                <w:tab w:val="left" w:pos="-1440"/>
                <w:tab w:val="left" w:pos="-720"/>
              </w:tabs>
              <w:rPr>
                <w:sz w:val="20"/>
                <w:szCs w:val="20"/>
              </w:rPr>
            </w:pPr>
            <w:r w:rsidRPr="00A935AA">
              <w:rPr>
                <w:sz w:val="20"/>
                <w:szCs w:val="20"/>
              </w:rPr>
              <w:tab/>
            </w:r>
            <w:r>
              <w:rPr>
                <w:sz w:val="20"/>
                <w:szCs w:val="20"/>
              </w:rPr>
              <w:t>Lawson Lundell LLP</w:t>
            </w:r>
          </w:p>
          <w:p w:rsidR="006F482D" w:rsidRPr="00A935AA" w:rsidRDefault="006F482D" w:rsidP="006856B2">
            <w:pPr>
              <w:tabs>
                <w:tab w:val="left" w:pos="-1440"/>
                <w:tab w:val="left" w:pos="-720"/>
              </w:tabs>
              <w:rPr>
                <w:sz w:val="20"/>
                <w:szCs w:val="20"/>
              </w:rPr>
            </w:pPr>
          </w:p>
          <w:p w:rsidR="006F482D" w:rsidRPr="00A935AA" w:rsidRDefault="006F482D" w:rsidP="006856B2">
            <w:pPr>
              <w:tabs>
                <w:tab w:val="left" w:pos="-1440"/>
                <w:tab w:val="left" w:pos="-720"/>
              </w:tabs>
              <w:rPr>
                <w:sz w:val="20"/>
                <w:szCs w:val="20"/>
              </w:rPr>
            </w:pPr>
            <w:r w:rsidRPr="00A935AA">
              <w:rPr>
                <w:sz w:val="20"/>
                <w:szCs w:val="20"/>
              </w:rPr>
              <w:tab/>
              <w:t>v. (3</w:t>
            </w:r>
            <w:r>
              <w:rPr>
                <w:sz w:val="20"/>
                <w:szCs w:val="20"/>
              </w:rPr>
              <w:t>4475</w:t>
            </w:r>
            <w:r w:rsidRPr="00A935AA">
              <w:rPr>
                <w:sz w:val="20"/>
                <w:szCs w:val="20"/>
              </w:rPr>
              <w:t>)</w:t>
            </w:r>
          </w:p>
          <w:p w:rsidR="006F482D" w:rsidRPr="00A935AA" w:rsidRDefault="006F482D" w:rsidP="006856B2">
            <w:pPr>
              <w:tabs>
                <w:tab w:val="left" w:pos="-1440"/>
                <w:tab w:val="left" w:pos="-720"/>
              </w:tabs>
              <w:rPr>
                <w:sz w:val="20"/>
                <w:szCs w:val="20"/>
              </w:rPr>
            </w:pPr>
          </w:p>
          <w:p w:rsidR="006F482D" w:rsidRPr="00A935AA" w:rsidRDefault="006F482D" w:rsidP="006856B2">
            <w:pPr>
              <w:tabs>
                <w:tab w:val="left" w:pos="-1440"/>
                <w:tab w:val="left" w:pos="-720"/>
              </w:tabs>
              <w:rPr>
                <w:b/>
                <w:sz w:val="20"/>
                <w:szCs w:val="20"/>
              </w:rPr>
            </w:pPr>
            <w:r>
              <w:rPr>
                <w:b/>
                <w:sz w:val="20"/>
                <w:szCs w:val="20"/>
              </w:rPr>
              <w:t xml:space="preserve">Attorney General of Canada et al. </w:t>
            </w:r>
            <w:r w:rsidRPr="00A935AA">
              <w:rPr>
                <w:b/>
                <w:sz w:val="20"/>
                <w:szCs w:val="20"/>
              </w:rPr>
              <w:t>(B.C.)</w:t>
            </w:r>
          </w:p>
          <w:p w:rsidR="006F482D" w:rsidRPr="00A935AA" w:rsidRDefault="006F482D" w:rsidP="006856B2">
            <w:pPr>
              <w:tabs>
                <w:tab w:val="left" w:pos="-1440"/>
                <w:tab w:val="left" w:pos="-720"/>
              </w:tabs>
              <w:rPr>
                <w:sz w:val="20"/>
                <w:szCs w:val="20"/>
              </w:rPr>
            </w:pPr>
            <w:r w:rsidRPr="00A935AA">
              <w:rPr>
                <w:sz w:val="20"/>
                <w:szCs w:val="20"/>
              </w:rPr>
              <w:tab/>
            </w:r>
            <w:r>
              <w:rPr>
                <w:sz w:val="20"/>
                <w:szCs w:val="20"/>
              </w:rPr>
              <w:t>Deborah J. Strachan</w:t>
            </w:r>
          </w:p>
          <w:p w:rsidR="006F482D" w:rsidRPr="00A935AA" w:rsidRDefault="006F482D" w:rsidP="006856B2">
            <w:pPr>
              <w:tabs>
                <w:tab w:val="left" w:pos="-1440"/>
                <w:tab w:val="left" w:pos="-720"/>
              </w:tabs>
              <w:rPr>
                <w:sz w:val="20"/>
                <w:szCs w:val="20"/>
              </w:rPr>
            </w:pPr>
            <w:r w:rsidRPr="00A935AA">
              <w:rPr>
                <w:sz w:val="20"/>
                <w:szCs w:val="20"/>
              </w:rPr>
              <w:tab/>
            </w:r>
            <w:r>
              <w:rPr>
                <w:sz w:val="20"/>
                <w:szCs w:val="20"/>
              </w:rPr>
              <w:t>A.G. of Canada</w:t>
            </w:r>
          </w:p>
          <w:p w:rsidR="006F482D" w:rsidRPr="00A935AA" w:rsidRDefault="006F482D" w:rsidP="006856B2">
            <w:pPr>
              <w:tabs>
                <w:tab w:val="left" w:pos="-1440"/>
                <w:tab w:val="left" w:pos="-720"/>
              </w:tabs>
              <w:rPr>
                <w:sz w:val="20"/>
                <w:szCs w:val="20"/>
              </w:rPr>
            </w:pPr>
          </w:p>
          <w:p w:rsidR="006F482D" w:rsidRPr="00A935AA" w:rsidRDefault="006F482D" w:rsidP="006856B2">
            <w:pPr>
              <w:rPr>
                <w:sz w:val="20"/>
                <w:szCs w:val="20"/>
              </w:rPr>
            </w:pPr>
            <w:r w:rsidRPr="00A935AA">
              <w:rPr>
                <w:sz w:val="20"/>
                <w:szCs w:val="20"/>
              </w:rPr>
              <w:t>FILING DATE: 2</w:t>
            </w:r>
            <w:r>
              <w:rPr>
                <w:sz w:val="20"/>
                <w:szCs w:val="20"/>
              </w:rPr>
              <w:t>9</w:t>
            </w:r>
            <w:r w:rsidRPr="00A935AA">
              <w:rPr>
                <w:sz w:val="20"/>
                <w:szCs w:val="20"/>
              </w:rPr>
              <w:t>.0</w:t>
            </w:r>
            <w:r>
              <w:rPr>
                <w:sz w:val="20"/>
                <w:szCs w:val="20"/>
              </w:rPr>
              <w:t>9</w:t>
            </w:r>
            <w:r w:rsidRPr="00A935AA">
              <w:rPr>
                <w:sz w:val="20"/>
                <w:szCs w:val="20"/>
              </w:rPr>
              <w:t>.201</w:t>
            </w:r>
            <w:r>
              <w:rPr>
                <w:sz w:val="20"/>
                <w:szCs w:val="20"/>
              </w:rPr>
              <w:t>1</w:t>
            </w:r>
          </w:p>
          <w:p w:rsidR="006F482D" w:rsidRPr="00A935AA" w:rsidRDefault="004D21E4" w:rsidP="006856B2">
            <w:pPr>
              <w:rPr>
                <w:sz w:val="20"/>
                <w:szCs w:val="20"/>
              </w:rPr>
            </w:pPr>
            <w:r w:rsidRPr="004D21E4">
              <w:rPr>
                <w:sz w:val="20"/>
                <w:szCs w:val="20"/>
                <w:lang w:val="fr-CA"/>
              </w:rPr>
              <w:pict>
                <v:rect id="_x0000_i1033" style="width:108pt;height:1pt" o:hrpct="0" o:hralign="center" o:hrstd="t" o:hrnoshade="t" o:hr="t" fillcolor="black [3213]" stroked="f"/>
              </w:pict>
            </w:r>
          </w:p>
        </w:tc>
        <w:tc>
          <w:tcPr>
            <w:tcW w:w="1181" w:type="dxa"/>
            <w:shd w:val="clear" w:color="auto" w:fill="auto"/>
          </w:tcPr>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tc>
        <w:tc>
          <w:tcPr>
            <w:tcW w:w="4320" w:type="dxa"/>
            <w:shd w:val="clear" w:color="auto" w:fill="auto"/>
          </w:tcPr>
          <w:p w:rsidR="006F482D" w:rsidRPr="008B74F0" w:rsidRDefault="008B74F0" w:rsidP="006856B2">
            <w:pPr>
              <w:keepNext/>
              <w:keepLines/>
              <w:tabs>
                <w:tab w:val="left" w:pos="-1440"/>
                <w:tab w:val="left" w:pos="-720"/>
              </w:tabs>
              <w:rPr>
                <w:b/>
                <w:sz w:val="20"/>
                <w:szCs w:val="20"/>
                <w:lang w:val="fr-CA"/>
              </w:rPr>
            </w:pPr>
            <w:r w:rsidRPr="008B74F0">
              <w:rPr>
                <w:b/>
                <w:sz w:val="20"/>
                <w:szCs w:val="20"/>
                <w:lang w:val="fr-CA"/>
              </w:rPr>
              <w:t>Kenneth E. Nelson et al.</w:t>
            </w:r>
          </w:p>
          <w:p w:rsidR="006F482D" w:rsidRPr="008B74F0" w:rsidRDefault="006F482D" w:rsidP="006856B2">
            <w:pPr>
              <w:keepNext/>
              <w:keepLines/>
              <w:tabs>
                <w:tab w:val="left" w:pos="-1440"/>
                <w:tab w:val="left" w:pos="-720"/>
              </w:tabs>
              <w:rPr>
                <w:sz w:val="20"/>
                <w:szCs w:val="20"/>
              </w:rPr>
            </w:pPr>
            <w:r w:rsidRPr="008B74F0">
              <w:rPr>
                <w:sz w:val="20"/>
                <w:szCs w:val="20"/>
                <w:lang w:val="fr-CA"/>
              </w:rPr>
              <w:tab/>
            </w:r>
            <w:r w:rsidR="008B74F0" w:rsidRPr="008B74F0">
              <w:rPr>
                <w:sz w:val="20"/>
                <w:szCs w:val="20"/>
              </w:rPr>
              <w:t>J. Cameron Prowse</w:t>
            </w:r>
          </w:p>
          <w:p w:rsidR="006F482D" w:rsidRPr="008B74F0" w:rsidRDefault="006F482D" w:rsidP="006856B2">
            <w:pPr>
              <w:keepNext/>
              <w:keepLines/>
              <w:tabs>
                <w:tab w:val="left" w:pos="-1440"/>
                <w:tab w:val="left" w:pos="-720"/>
              </w:tabs>
              <w:rPr>
                <w:sz w:val="20"/>
                <w:szCs w:val="20"/>
              </w:rPr>
            </w:pPr>
            <w:r w:rsidRPr="008B74F0">
              <w:rPr>
                <w:sz w:val="20"/>
                <w:szCs w:val="20"/>
              </w:rPr>
              <w:tab/>
            </w:r>
            <w:r w:rsidR="008B74F0" w:rsidRPr="008B74F0">
              <w:rPr>
                <w:sz w:val="20"/>
                <w:szCs w:val="20"/>
              </w:rPr>
              <w:t>Prowse Chowne LLP</w:t>
            </w:r>
          </w:p>
          <w:p w:rsidR="006F482D" w:rsidRPr="008B74F0" w:rsidRDefault="006F482D" w:rsidP="006856B2">
            <w:pPr>
              <w:keepNext/>
              <w:keepLines/>
              <w:tabs>
                <w:tab w:val="left" w:pos="-1440"/>
                <w:tab w:val="left" w:pos="-720"/>
              </w:tabs>
              <w:rPr>
                <w:sz w:val="20"/>
                <w:szCs w:val="20"/>
              </w:rPr>
            </w:pPr>
          </w:p>
          <w:p w:rsidR="006F482D" w:rsidRPr="006F482D" w:rsidRDefault="006F482D" w:rsidP="006856B2">
            <w:pPr>
              <w:keepNext/>
              <w:keepLines/>
              <w:tabs>
                <w:tab w:val="left" w:pos="-1440"/>
                <w:tab w:val="left" w:pos="-720"/>
              </w:tabs>
              <w:rPr>
                <w:sz w:val="20"/>
                <w:szCs w:val="20"/>
              </w:rPr>
            </w:pPr>
            <w:r w:rsidRPr="008B74F0">
              <w:rPr>
                <w:sz w:val="20"/>
                <w:szCs w:val="20"/>
              </w:rPr>
              <w:tab/>
            </w:r>
            <w:r w:rsidRPr="006F482D">
              <w:rPr>
                <w:sz w:val="20"/>
                <w:szCs w:val="20"/>
              </w:rPr>
              <w:t>v. (34</w:t>
            </w:r>
            <w:r w:rsidR="008B74F0">
              <w:rPr>
                <w:sz w:val="20"/>
                <w:szCs w:val="20"/>
              </w:rPr>
              <w:t>477</w:t>
            </w:r>
            <w:r w:rsidRPr="006F482D">
              <w:rPr>
                <w:sz w:val="20"/>
                <w:szCs w:val="20"/>
              </w:rPr>
              <w:t>)</w:t>
            </w:r>
          </w:p>
          <w:p w:rsidR="006F482D" w:rsidRPr="006F482D" w:rsidRDefault="006F482D" w:rsidP="006856B2">
            <w:pPr>
              <w:keepNext/>
              <w:keepLines/>
              <w:tabs>
                <w:tab w:val="left" w:pos="-1440"/>
                <w:tab w:val="left" w:pos="-720"/>
              </w:tabs>
              <w:rPr>
                <w:sz w:val="20"/>
                <w:szCs w:val="20"/>
              </w:rPr>
            </w:pPr>
          </w:p>
          <w:p w:rsidR="006F482D" w:rsidRPr="006F482D" w:rsidRDefault="008B74F0" w:rsidP="006856B2">
            <w:pPr>
              <w:keepNext/>
              <w:keepLines/>
              <w:tabs>
                <w:tab w:val="left" w:pos="-1440"/>
                <w:tab w:val="left" w:pos="-720"/>
              </w:tabs>
              <w:rPr>
                <w:b/>
                <w:sz w:val="20"/>
                <w:szCs w:val="20"/>
              </w:rPr>
            </w:pPr>
            <w:r>
              <w:rPr>
                <w:b/>
                <w:sz w:val="20"/>
                <w:szCs w:val="20"/>
              </w:rPr>
              <w:t xml:space="preserve">Inter-Pro Property (#2) Corporation (formerly known as 1153696 Alberta Ltd.) </w:t>
            </w:r>
            <w:r w:rsidR="006F482D" w:rsidRPr="006F482D">
              <w:rPr>
                <w:b/>
                <w:sz w:val="20"/>
                <w:szCs w:val="20"/>
              </w:rPr>
              <w:t>(</w:t>
            </w:r>
            <w:r>
              <w:rPr>
                <w:b/>
                <w:sz w:val="20"/>
                <w:szCs w:val="20"/>
              </w:rPr>
              <w:t>Al</w:t>
            </w:r>
            <w:r w:rsidR="006F482D" w:rsidRPr="006F482D">
              <w:rPr>
                <w:b/>
                <w:sz w:val="20"/>
                <w:szCs w:val="20"/>
              </w:rPr>
              <w:t>t</w:t>
            </w:r>
            <w:r>
              <w:rPr>
                <w:b/>
                <w:sz w:val="20"/>
                <w:szCs w:val="20"/>
              </w:rPr>
              <w:t>a</w:t>
            </w:r>
            <w:r w:rsidR="006F482D" w:rsidRPr="006F482D">
              <w:rPr>
                <w:b/>
                <w:sz w:val="20"/>
                <w:szCs w:val="20"/>
              </w:rPr>
              <w:t>.)</w:t>
            </w:r>
          </w:p>
          <w:p w:rsidR="006F482D" w:rsidRPr="006F482D" w:rsidRDefault="006F482D" w:rsidP="006856B2">
            <w:pPr>
              <w:keepNext/>
              <w:keepLines/>
              <w:tabs>
                <w:tab w:val="left" w:pos="-1440"/>
                <w:tab w:val="left" w:pos="-720"/>
              </w:tabs>
              <w:rPr>
                <w:sz w:val="20"/>
                <w:szCs w:val="20"/>
              </w:rPr>
            </w:pPr>
            <w:r w:rsidRPr="006F482D">
              <w:rPr>
                <w:sz w:val="20"/>
                <w:szCs w:val="20"/>
              </w:rPr>
              <w:tab/>
            </w:r>
            <w:r w:rsidR="008B74F0">
              <w:rPr>
                <w:sz w:val="20"/>
                <w:szCs w:val="20"/>
              </w:rPr>
              <w:t>James W. Murphy</w:t>
            </w:r>
            <w:r w:rsidR="00F817E3">
              <w:rPr>
                <w:sz w:val="20"/>
                <w:szCs w:val="20"/>
              </w:rPr>
              <w:t>, Q.C.</w:t>
            </w:r>
          </w:p>
          <w:p w:rsidR="006F482D" w:rsidRPr="006F482D" w:rsidRDefault="006F482D" w:rsidP="006856B2">
            <w:pPr>
              <w:keepNext/>
              <w:keepLines/>
              <w:tabs>
                <w:tab w:val="left" w:pos="-1440"/>
                <w:tab w:val="left" w:pos="-720"/>
              </w:tabs>
              <w:rPr>
                <w:sz w:val="20"/>
                <w:szCs w:val="20"/>
              </w:rPr>
            </w:pPr>
            <w:r w:rsidRPr="006F482D">
              <w:rPr>
                <w:sz w:val="20"/>
                <w:szCs w:val="20"/>
              </w:rPr>
              <w:tab/>
            </w:r>
            <w:r w:rsidR="008B74F0">
              <w:rPr>
                <w:sz w:val="20"/>
                <w:szCs w:val="20"/>
              </w:rPr>
              <w:t>Ogilvie LLP</w:t>
            </w:r>
          </w:p>
          <w:p w:rsidR="006F482D" w:rsidRPr="006F482D" w:rsidRDefault="006F482D" w:rsidP="006856B2">
            <w:pPr>
              <w:keepNext/>
              <w:keepLines/>
              <w:tabs>
                <w:tab w:val="left" w:pos="-1440"/>
                <w:tab w:val="left" w:pos="-720"/>
              </w:tabs>
              <w:rPr>
                <w:sz w:val="20"/>
                <w:szCs w:val="20"/>
              </w:rPr>
            </w:pPr>
          </w:p>
          <w:p w:rsidR="006F482D" w:rsidRPr="00A935AA" w:rsidRDefault="006F482D" w:rsidP="008B74F0">
            <w:pPr>
              <w:rPr>
                <w:sz w:val="20"/>
                <w:szCs w:val="20"/>
              </w:rPr>
            </w:pPr>
            <w:r w:rsidRPr="00A935AA">
              <w:rPr>
                <w:sz w:val="20"/>
                <w:szCs w:val="20"/>
              </w:rPr>
              <w:t>FILING DATE: 2</w:t>
            </w:r>
            <w:r w:rsidR="008B74F0">
              <w:rPr>
                <w:sz w:val="20"/>
                <w:szCs w:val="20"/>
              </w:rPr>
              <w:t>9</w:t>
            </w:r>
            <w:r w:rsidRPr="00A935AA">
              <w:rPr>
                <w:sz w:val="20"/>
                <w:szCs w:val="20"/>
              </w:rPr>
              <w:t>.0</w:t>
            </w:r>
            <w:r w:rsidR="008B74F0">
              <w:rPr>
                <w:sz w:val="20"/>
                <w:szCs w:val="20"/>
              </w:rPr>
              <w:t>9</w:t>
            </w:r>
            <w:r w:rsidRPr="00A935AA">
              <w:rPr>
                <w:sz w:val="20"/>
                <w:szCs w:val="20"/>
              </w:rPr>
              <w:t>.201</w:t>
            </w:r>
            <w:r>
              <w:rPr>
                <w:sz w:val="20"/>
                <w:szCs w:val="20"/>
              </w:rPr>
              <w:t>1</w:t>
            </w:r>
            <w:r w:rsidR="004D21E4" w:rsidRPr="004D21E4">
              <w:rPr>
                <w:sz w:val="20"/>
                <w:szCs w:val="20"/>
                <w:lang w:val="fr-CA"/>
              </w:rPr>
              <w:pict>
                <v:rect id="_x0000_i1034" style="width:108pt;height:1pt" o:hrpct="0" o:hralign="center" o:hrstd="t" o:hrnoshade="t" o:hr="t" fillcolor="black [3213]" stroked="f"/>
              </w:pict>
            </w:r>
          </w:p>
        </w:tc>
      </w:tr>
      <w:tr w:rsidR="006F482D" w:rsidRPr="00A935AA" w:rsidTr="003B3977">
        <w:trPr>
          <w:cantSplit/>
        </w:trPr>
        <w:tc>
          <w:tcPr>
            <w:tcW w:w="4320" w:type="dxa"/>
            <w:shd w:val="clear" w:color="auto" w:fill="auto"/>
          </w:tcPr>
          <w:p w:rsidR="006F482D" w:rsidRPr="008B74F0" w:rsidRDefault="008B74F0" w:rsidP="006856B2">
            <w:pPr>
              <w:rPr>
                <w:b/>
                <w:sz w:val="20"/>
                <w:szCs w:val="20"/>
                <w:lang w:val="fr-CA"/>
              </w:rPr>
            </w:pPr>
            <w:r w:rsidRPr="008B74F0">
              <w:rPr>
                <w:b/>
                <w:sz w:val="20"/>
                <w:szCs w:val="20"/>
                <w:lang w:val="fr-CA"/>
              </w:rPr>
              <w:t>Confédération des Syndicats Nationaux (CSN) et autres</w:t>
            </w:r>
          </w:p>
          <w:p w:rsidR="006F482D" w:rsidRPr="008B74F0" w:rsidRDefault="006F482D" w:rsidP="006856B2">
            <w:pPr>
              <w:tabs>
                <w:tab w:val="left" w:pos="-1440"/>
                <w:tab w:val="left" w:pos="-720"/>
              </w:tabs>
              <w:rPr>
                <w:sz w:val="20"/>
                <w:szCs w:val="20"/>
                <w:lang w:val="fr-CA"/>
              </w:rPr>
            </w:pPr>
            <w:r w:rsidRPr="008B74F0">
              <w:rPr>
                <w:sz w:val="20"/>
                <w:szCs w:val="20"/>
                <w:lang w:val="fr-CA"/>
              </w:rPr>
              <w:tab/>
            </w:r>
            <w:r w:rsidR="008B74F0">
              <w:rPr>
                <w:sz w:val="20"/>
                <w:szCs w:val="20"/>
                <w:lang w:val="fr-CA"/>
              </w:rPr>
              <w:t>Gérard Notebaert</w:t>
            </w:r>
          </w:p>
          <w:p w:rsidR="006F482D" w:rsidRPr="008B74F0" w:rsidRDefault="006F482D" w:rsidP="006856B2">
            <w:pPr>
              <w:tabs>
                <w:tab w:val="left" w:pos="-1440"/>
                <w:tab w:val="left" w:pos="-720"/>
              </w:tabs>
              <w:rPr>
                <w:sz w:val="20"/>
                <w:szCs w:val="20"/>
                <w:lang w:val="fr-CA"/>
              </w:rPr>
            </w:pPr>
            <w:r w:rsidRPr="008B74F0">
              <w:rPr>
                <w:sz w:val="20"/>
                <w:szCs w:val="20"/>
                <w:lang w:val="fr-CA"/>
              </w:rPr>
              <w:tab/>
            </w:r>
            <w:r w:rsidR="008B74F0">
              <w:rPr>
                <w:sz w:val="20"/>
                <w:szCs w:val="20"/>
                <w:lang w:val="fr-CA"/>
              </w:rPr>
              <w:t xml:space="preserve">Roy Évangéliste avocats </w:t>
            </w:r>
          </w:p>
          <w:p w:rsidR="006F482D" w:rsidRPr="008B74F0" w:rsidRDefault="006F482D" w:rsidP="006856B2">
            <w:pPr>
              <w:tabs>
                <w:tab w:val="left" w:pos="-1440"/>
                <w:tab w:val="left" w:pos="-720"/>
              </w:tabs>
              <w:rPr>
                <w:sz w:val="20"/>
                <w:szCs w:val="20"/>
                <w:lang w:val="fr-CA"/>
              </w:rPr>
            </w:pPr>
          </w:p>
          <w:p w:rsidR="006F482D" w:rsidRPr="008B74F0" w:rsidRDefault="006F482D" w:rsidP="006856B2">
            <w:pPr>
              <w:tabs>
                <w:tab w:val="left" w:pos="-1440"/>
                <w:tab w:val="left" w:pos="-720"/>
              </w:tabs>
              <w:rPr>
                <w:sz w:val="20"/>
                <w:szCs w:val="20"/>
                <w:lang w:val="fr-CA"/>
              </w:rPr>
            </w:pPr>
            <w:r w:rsidRPr="008B74F0">
              <w:rPr>
                <w:sz w:val="20"/>
                <w:szCs w:val="20"/>
                <w:lang w:val="fr-CA"/>
              </w:rPr>
              <w:tab/>
            </w:r>
            <w:r w:rsidR="008B74F0">
              <w:rPr>
                <w:sz w:val="20"/>
                <w:szCs w:val="20"/>
                <w:lang w:val="fr-CA"/>
              </w:rPr>
              <w:t>c</w:t>
            </w:r>
            <w:r w:rsidRPr="008B74F0">
              <w:rPr>
                <w:sz w:val="20"/>
                <w:szCs w:val="20"/>
                <w:lang w:val="fr-CA"/>
              </w:rPr>
              <w:t>. (34</w:t>
            </w:r>
            <w:r w:rsidR="008B74F0">
              <w:rPr>
                <w:sz w:val="20"/>
                <w:szCs w:val="20"/>
                <w:lang w:val="fr-CA"/>
              </w:rPr>
              <w:t>479</w:t>
            </w:r>
            <w:r w:rsidRPr="008B74F0">
              <w:rPr>
                <w:sz w:val="20"/>
                <w:szCs w:val="20"/>
                <w:lang w:val="fr-CA"/>
              </w:rPr>
              <w:t>)</w:t>
            </w:r>
          </w:p>
          <w:p w:rsidR="006F482D" w:rsidRPr="008B74F0" w:rsidRDefault="006F482D" w:rsidP="006856B2">
            <w:pPr>
              <w:tabs>
                <w:tab w:val="left" w:pos="-1440"/>
                <w:tab w:val="left" w:pos="-720"/>
              </w:tabs>
              <w:rPr>
                <w:sz w:val="20"/>
                <w:szCs w:val="20"/>
                <w:lang w:val="fr-CA"/>
              </w:rPr>
            </w:pPr>
          </w:p>
          <w:p w:rsidR="006F482D" w:rsidRPr="008B74F0" w:rsidRDefault="008B74F0" w:rsidP="006856B2">
            <w:pPr>
              <w:tabs>
                <w:tab w:val="left" w:pos="-1440"/>
                <w:tab w:val="left" w:pos="-720"/>
              </w:tabs>
              <w:rPr>
                <w:b/>
                <w:sz w:val="20"/>
                <w:szCs w:val="20"/>
                <w:lang w:val="fr-CA"/>
              </w:rPr>
            </w:pPr>
            <w:r w:rsidRPr="008B74F0">
              <w:rPr>
                <w:b/>
                <w:sz w:val="20"/>
                <w:szCs w:val="20"/>
                <w:lang w:val="fr-CA"/>
              </w:rPr>
              <w:t xml:space="preserve">Procureur général du Québec </w:t>
            </w:r>
            <w:r w:rsidR="006F482D" w:rsidRPr="008B74F0">
              <w:rPr>
                <w:b/>
                <w:sz w:val="20"/>
                <w:szCs w:val="20"/>
                <w:lang w:val="fr-CA"/>
              </w:rPr>
              <w:t>(</w:t>
            </w:r>
            <w:r w:rsidRPr="008B74F0">
              <w:rPr>
                <w:b/>
                <w:sz w:val="20"/>
                <w:szCs w:val="20"/>
                <w:lang w:val="fr-CA"/>
              </w:rPr>
              <w:t>Qc</w:t>
            </w:r>
            <w:r w:rsidR="006F482D" w:rsidRPr="008B74F0">
              <w:rPr>
                <w:b/>
                <w:sz w:val="20"/>
                <w:szCs w:val="20"/>
                <w:lang w:val="fr-CA"/>
              </w:rPr>
              <w:t>)</w:t>
            </w:r>
          </w:p>
          <w:p w:rsidR="006F482D" w:rsidRPr="008B74F0" w:rsidRDefault="006F482D" w:rsidP="006856B2">
            <w:pPr>
              <w:tabs>
                <w:tab w:val="left" w:pos="-1440"/>
                <w:tab w:val="left" w:pos="-720"/>
              </w:tabs>
              <w:rPr>
                <w:sz w:val="20"/>
                <w:szCs w:val="20"/>
                <w:lang w:val="fr-CA"/>
              </w:rPr>
            </w:pPr>
            <w:r w:rsidRPr="008B74F0">
              <w:rPr>
                <w:sz w:val="20"/>
                <w:szCs w:val="20"/>
                <w:lang w:val="fr-CA"/>
              </w:rPr>
              <w:tab/>
            </w:r>
            <w:r w:rsidR="008B74F0">
              <w:rPr>
                <w:sz w:val="20"/>
                <w:szCs w:val="20"/>
                <w:lang w:val="fr-CA"/>
              </w:rPr>
              <w:t>Michel Déom</w:t>
            </w:r>
          </w:p>
          <w:p w:rsidR="006F482D" w:rsidRPr="008B74F0" w:rsidRDefault="006F482D" w:rsidP="006856B2">
            <w:pPr>
              <w:tabs>
                <w:tab w:val="left" w:pos="-1440"/>
                <w:tab w:val="left" w:pos="-720"/>
              </w:tabs>
              <w:rPr>
                <w:sz w:val="20"/>
                <w:szCs w:val="20"/>
                <w:lang w:val="fr-CA"/>
              </w:rPr>
            </w:pPr>
            <w:r w:rsidRPr="008B74F0">
              <w:rPr>
                <w:sz w:val="20"/>
                <w:szCs w:val="20"/>
                <w:lang w:val="fr-CA"/>
              </w:rPr>
              <w:tab/>
            </w:r>
            <w:r w:rsidR="008B74F0">
              <w:rPr>
                <w:sz w:val="20"/>
                <w:szCs w:val="20"/>
                <w:lang w:val="fr-CA"/>
              </w:rPr>
              <w:t>P.G. du Québec</w:t>
            </w:r>
          </w:p>
          <w:p w:rsidR="006F482D" w:rsidRPr="008B74F0" w:rsidRDefault="006F482D" w:rsidP="006856B2">
            <w:pPr>
              <w:tabs>
                <w:tab w:val="left" w:pos="-1440"/>
                <w:tab w:val="left" w:pos="-720"/>
              </w:tabs>
              <w:rPr>
                <w:sz w:val="20"/>
                <w:szCs w:val="20"/>
                <w:lang w:val="fr-CA"/>
              </w:rPr>
            </w:pPr>
          </w:p>
          <w:p w:rsidR="006F482D" w:rsidRPr="00A935AA" w:rsidRDefault="006F482D" w:rsidP="006856B2">
            <w:pPr>
              <w:rPr>
                <w:sz w:val="20"/>
                <w:szCs w:val="20"/>
              </w:rPr>
            </w:pPr>
            <w:r w:rsidRPr="00A935AA">
              <w:rPr>
                <w:sz w:val="20"/>
                <w:szCs w:val="20"/>
              </w:rPr>
              <w:t>DATE</w:t>
            </w:r>
            <w:r w:rsidR="008B74F0">
              <w:rPr>
                <w:sz w:val="20"/>
                <w:szCs w:val="20"/>
              </w:rPr>
              <w:t xml:space="preserve"> DE PRODUCTION </w:t>
            </w:r>
            <w:r w:rsidRPr="00A935AA">
              <w:rPr>
                <w:sz w:val="20"/>
                <w:szCs w:val="20"/>
              </w:rPr>
              <w:t>: 2</w:t>
            </w:r>
            <w:r w:rsidR="008B74F0">
              <w:rPr>
                <w:sz w:val="20"/>
                <w:szCs w:val="20"/>
              </w:rPr>
              <w:t>9</w:t>
            </w:r>
            <w:r w:rsidRPr="00A935AA">
              <w:rPr>
                <w:sz w:val="20"/>
                <w:szCs w:val="20"/>
              </w:rPr>
              <w:t>.0</w:t>
            </w:r>
            <w:r w:rsidR="008B74F0">
              <w:rPr>
                <w:sz w:val="20"/>
                <w:szCs w:val="20"/>
              </w:rPr>
              <w:t>9</w:t>
            </w:r>
            <w:r w:rsidRPr="00A935AA">
              <w:rPr>
                <w:sz w:val="20"/>
                <w:szCs w:val="20"/>
              </w:rPr>
              <w:t>.201</w:t>
            </w:r>
            <w:r>
              <w:rPr>
                <w:sz w:val="20"/>
                <w:szCs w:val="20"/>
              </w:rPr>
              <w:t>1</w:t>
            </w:r>
          </w:p>
          <w:p w:rsidR="006F482D" w:rsidRPr="00A935AA" w:rsidRDefault="004D21E4" w:rsidP="006856B2">
            <w:pPr>
              <w:rPr>
                <w:sz w:val="20"/>
                <w:szCs w:val="20"/>
              </w:rPr>
            </w:pPr>
            <w:r w:rsidRPr="004D21E4">
              <w:rPr>
                <w:sz w:val="20"/>
                <w:szCs w:val="20"/>
                <w:lang w:val="fr-CA"/>
              </w:rPr>
              <w:pict>
                <v:rect id="_x0000_i1035" style="width:108pt;height:1pt" o:hrpct="0" o:hralign="center" o:hrstd="t" o:hrnoshade="t" o:hr="t" fillcolor="black [3213]" stroked="f"/>
              </w:pict>
            </w:r>
          </w:p>
        </w:tc>
        <w:tc>
          <w:tcPr>
            <w:tcW w:w="1181" w:type="dxa"/>
            <w:shd w:val="clear" w:color="auto" w:fill="auto"/>
          </w:tcPr>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tc>
        <w:tc>
          <w:tcPr>
            <w:tcW w:w="4320" w:type="dxa"/>
            <w:shd w:val="clear" w:color="auto" w:fill="auto"/>
          </w:tcPr>
          <w:p w:rsidR="006F482D" w:rsidRDefault="006F482D" w:rsidP="006856B2">
            <w:pPr>
              <w:keepNext/>
              <w:keepLines/>
              <w:tabs>
                <w:tab w:val="left" w:pos="-1440"/>
                <w:tab w:val="left" w:pos="-720"/>
              </w:tabs>
              <w:rPr>
                <w:b/>
                <w:sz w:val="20"/>
                <w:szCs w:val="20"/>
              </w:rPr>
            </w:pPr>
          </w:p>
          <w:p w:rsidR="008B74F0" w:rsidRPr="00A935AA" w:rsidRDefault="0051524F" w:rsidP="006856B2">
            <w:pPr>
              <w:keepNext/>
              <w:keepLines/>
              <w:tabs>
                <w:tab w:val="left" w:pos="-1440"/>
                <w:tab w:val="left" w:pos="-720"/>
              </w:tabs>
              <w:rPr>
                <w:b/>
                <w:sz w:val="20"/>
                <w:szCs w:val="20"/>
              </w:rPr>
            </w:pPr>
            <w:r>
              <w:rPr>
                <w:b/>
                <w:sz w:val="20"/>
                <w:szCs w:val="20"/>
              </w:rPr>
              <w:t>John C. Turmel</w:t>
            </w:r>
          </w:p>
          <w:p w:rsidR="006F482D" w:rsidRPr="00A935AA" w:rsidRDefault="006F482D" w:rsidP="006856B2">
            <w:pPr>
              <w:keepNext/>
              <w:keepLines/>
              <w:tabs>
                <w:tab w:val="left" w:pos="-1440"/>
                <w:tab w:val="left" w:pos="-720"/>
              </w:tabs>
              <w:rPr>
                <w:sz w:val="20"/>
                <w:szCs w:val="20"/>
              </w:rPr>
            </w:pPr>
            <w:r w:rsidRPr="00A935AA">
              <w:rPr>
                <w:sz w:val="20"/>
                <w:szCs w:val="20"/>
              </w:rPr>
              <w:tab/>
            </w:r>
            <w:r w:rsidR="0051524F">
              <w:rPr>
                <w:sz w:val="20"/>
                <w:szCs w:val="20"/>
              </w:rPr>
              <w:t>John C. Turmel</w:t>
            </w:r>
          </w:p>
          <w:p w:rsidR="006F482D" w:rsidRPr="00A935AA" w:rsidRDefault="006F482D" w:rsidP="006856B2">
            <w:pPr>
              <w:keepNext/>
              <w:keepLines/>
              <w:tabs>
                <w:tab w:val="left" w:pos="-1440"/>
                <w:tab w:val="left" w:pos="-720"/>
              </w:tabs>
              <w:rPr>
                <w:sz w:val="20"/>
                <w:szCs w:val="20"/>
              </w:rPr>
            </w:pPr>
          </w:p>
          <w:p w:rsidR="006F482D" w:rsidRPr="0051524F" w:rsidRDefault="006F482D" w:rsidP="006856B2">
            <w:pPr>
              <w:keepNext/>
              <w:keepLines/>
              <w:tabs>
                <w:tab w:val="left" w:pos="-1440"/>
                <w:tab w:val="left" w:pos="-720"/>
              </w:tabs>
              <w:rPr>
                <w:sz w:val="20"/>
                <w:szCs w:val="20"/>
                <w:lang w:val="fr-CA"/>
              </w:rPr>
            </w:pPr>
            <w:r w:rsidRPr="00A935AA">
              <w:rPr>
                <w:sz w:val="20"/>
                <w:szCs w:val="20"/>
              </w:rPr>
              <w:tab/>
            </w:r>
            <w:r w:rsidRPr="0051524F">
              <w:rPr>
                <w:sz w:val="20"/>
                <w:szCs w:val="20"/>
                <w:lang w:val="fr-CA"/>
              </w:rPr>
              <w:t>v. (34</w:t>
            </w:r>
            <w:r w:rsidR="0051524F" w:rsidRPr="0051524F">
              <w:rPr>
                <w:sz w:val="20"/>
                <w:szCs w:val="20"/>
                <w:lang w:val="fr-CA"/>
              </w:rPr>
              <w:t>482</w:t>
            </w:r>
            <w:r w:rsidRPr="0051524F">
              <w:rPr>
                <w:sz w:val="20"/>
                <w:szCs w:val="20"/>
                <w:lang w:val="fr-CA"/>
              </w:rPr>
              <w:t>)</w:t>
            </w:r>
          </w:p>
          <w:p w:rsidR="006F482D" w:rsidRPr="0051524F" w:rsidRDefault="006F482D" w:rsidP="006856B2">
            <w:pPr>
              <w:keepNext/>
              <w:keepLines/>
              <w:tabs>
                <w:tab w:val="left" w:pos="-1440"/>
                <w:tab w:val="left" w:pos="-720"/>
              </w:tabs>
              <w:rPr>
                <w:sz w:val="20"/>
                <w:szCs w:val="20"/>
                <w:lang w:val="fr-CA"/>
              </w:rPr>
            </w:pPr>
          </w:p>
          <w:p w:rsidR="006F482D" w:rsidRPr="0051524F" w:rsidRDefault="0051524F" w:rsidP="006856B2">
            <w:pPr>
              <w:keepNext/>
              <w:keepLines/>
              <w:tabs>
                <w:tab w:val="left" w:pos="-1440"/>
                <w:tab w:val="left" w:pos="-720"/>
              </w:tabs>
              <w:rPr>
                <w:b/>
                <w:sz w:val="20"/>
                <w:szCs w:val="20"/>
                <w:lang w:val="fr-CA"/>
              </w:rPr>
            </w:pPr>
            <w:r w:rsidRPr="0051524F">
              <w:rPr>
                <w:b/>
                <w:sz w:val="20"/>
                <w:szCs w:val="20"/>
                <w:lang w:val="fr-CA"/>
              </w:rPr>
              <w:t xml:space="preserve">CBC (Dragons’ Den) </w:t>
            </w:r>
            <w:r w:rsidR="006F482D" w:rsidRPr="0051524F">
              <w:rPr>
                <w:b/>
                <w:sz w:val="20"/>
                <w:szCs w:val="20"/>
                <w:lang w:val="fr-CA"/>
              </w:rPr>
              <w:t>(Ont.)</w:t>
            </w:r>
          </w:p>
          <w:p w:rsidR="006F482D" w:rsidRPr="0051524F" w:rsidRDefault="006F482D" w:rsidP="006856B2">
            <w:pPr>
              <w:keepNext/>
              <w:keepLines/>
              <w:tabs>
                <w:tab w:val="left" w:pos="-1440"/>
                <w:tab w:val="left" w:pos="-720"/>
              </w:tabs>
              <w:rPr>
                <w:sz w:val="20"/>
                <w:szCs w:val="20"/>
              </w:rPr>
            </w:pPr>
            <w:r w:rsidRPr="0051524F">
              <w:rPr>
                <w:sz w:val="20"/>
                <w:szCs w:val="20"/>
                <w:lang w:val="fr-CA"/>
              </w:rPr>
              <w:tab/>
            </w:r>
            <w:r w:rsidR="0051524F" w:rsidRPr="0051524F">
              <w:rPr>
                <w:sz w:val="20"/>
                <w:szCs w:val="20"/>
              </w:rPr>
              <w:t>Philip Tunley</w:t>
            </w:r>
          </w:p>
          <w:p w:rsidR="006F482D" w:rsidRPr="0051524F" w:rsidRDefault="006F482D" w:rsidP="006856B2">
            <w:pPr>
              <w:keepNext/>
              <w:keepLines/>
              <w:tabs>
                <w:tab w:val="left" w:pos="-1440"/>
                <w:tab w:val="left" w:pos="-720"/>
              </w:tabs>
              <w:rPr>
                <w:sz w:val="20"/>
                <w:szCs w:val="20"/>
              </w:rPr>
            </w:pPr>
            <w:r w:rsidRPr="0051524F">
              <w:rPr>
                <w:sz w:val="20"/>
                <w:szCs w:val="20"/>
              </w:rPr>
              <w:tab/>
            </w:r>
            <w:r w:rsidR="0051524F" w:rsidRPr="0051524F">
              <w:rPr>
                <w:sz w:val="20"/>
                <w:szCs w:val="20"/>
              </w:rPr>
              <w:t>Stockwoods LLP</w:t>
            </w:r>
          </w:p>
          <w:p w:rsidR="006F482D" w:rsidRPr="0051524F" w:rsidRDefault="006F482D" w:rsidP="006856B2">
            <w:pPr>
              <w:keepNext/>
              <w:keepLines/>
              <w:tabs>
                <w:tab w:val="left" w:pos="-1440"/>
                <w:tab w:val="left" w:pos="-720"/>
              </w:tabs>
              <w:rPr>
                <w:sz w:val="20"/>
                <w:szCs w:val="20"/>
              </w:rPr>
            </w:pPr>
          </w:p>
          <w:p w:rsidR="006F482D" w:rsidRPr="00A935AA" w:rsidRDefault="006F482D" w:rsidP="0051524F">
            <w:pPr>
              <w:rPr>
                <w:sz w:val="20"/>
                <w:szCs w:val="20"/>
              </w:rPr>
            </w:pPr>
            <w:r w:rsidRPr="00A935AA">
              <w:rPr>
                <w:sz w:val="20"/>
                <w:szCs w:val="20"/>
              </w:rPr>
              <w:t>FILING DATE: 2</w:t>
            </w:r>
            <w:r w:rsidR="0051524F">
              <w:rPr>
                <w:sz w:val="20"/>
                <w:szCs w:val="20"/>
              </w:rPr>
              <w:t>9</w:t>
            </w:r>
            <w:r w:rsidRPr="00A935AA">
              <w:rPr>
                <w:sz w:val="20"/>
                <w:szCs w:val="20"/>
              </w:rPr>
              <w:t>.0</w:t>
            </w:r>
            <w:r w:rsidR="0051524F">
              <w:rPr>
                <w:sz w:val="20"/>
                <w:szCs w:val="20"/>
              </w:rPr>
              <w:t>9</w:t>
            </w:r>
            <w:r w:rsidRPr="00A935AA">
              <w:rPr>
                <w:sz w:val="20"/>
                <w:szCs w:val="20"/>
              </w:rPr>
              <w:t>.201</w:t>
            </w:r>
            <w:r>
              <w:rPr>
                <w:sz w:val="20"/>
                <w:szCs w:val="20"/>
              </w:rPr>
              <w:t>1</w:t>
            </w:r>
            <w:r w:rsidR="004D21E4" w:rsidRPr="004D21E4">
              <w:rPr>
                <w:sz w:val="20"/>
                <w:szCs w:val="20"/>
                <w:lang w:val="fr-CA"/>
              </w:rPr>
              <w:pict>
                <v:rect id="_x0000_i1036" style="width:108pt;height:1pt" o:hrpct="0" o:hralign="center" o:hrstd="t" o:hrnoshade="t" o:hr="t" fillcolor="black [3213]" stroked="f"/>
              </w:pict>
            </w:r>
          </w:p>
        </w:tc>
      </w:tr>
      <w:tr w:rsidR="006F482D" w:rsidRPr="00A935AA" w:rsidTr="003B3977">
        <w:trPr>
          <w:cantSplit/>
        </w:trPr>
        <w:tc>
          <w:tcPr>
            <w:tcW w:w="4320" w:type="dxa"/>
            <w:shd w:val="clear" w:color="auto" w:fill="auto"/>
          </w:tcPr>
          <w:p w:rsidR="006F482D" w:rsidRDefault="006F482D" w:rsidP="006856B2">
            <w:pPr>
              <w:rPr>
                <w:b/>
                <w:sz w:val="20"/>
                <w:szCs w:val="20"/>
              </w:rPr>
            </w:pPr>
          </w:p>
          <w:p w:rsidR="0051524F" w:rsidRPr="00A935AA" w:rsidRDefault="0051524F" w:rsidP="006856B2">
            <w:pPr>
              <w:rPr>
                <w:b/>
                <w:sz w:val="20"/>
                <w:szCs w:val="20"/>
              </w:rPr>
            </w:pPr>
            <w:r>
              <w:rPr>
                <w:b/>
                <w:sz w:val="20"/>
                <w:szCs w:val="20"/>
              </w:rPr>
              <w:t>Estate of Geoffrey Grenville-Wood</w:t>
            </w:r>
          </w:p>
          <w:p w:rsidR="006F482D" w:rsidRPr="00A935AA" w:rsidRDefault="006F482D" w:rsidP="006856B2">
            <w:pPr>
              <w:tabs>
                <w:tab w:val="left" w:pos="-1440"/>
                <w:tab w:val="left" w:pos="-720"/>
              </w:tabs>
              <w:rPr>
                <w:sz w:val="20"/>
                <w:szCs w:val="20"/>
              </w:rPr>
            </w:pPr>
            <w:r w:rsidRPr="00A935AA">
              <w:rPr>
                <w:sz w:val="20"/>
                <w:szCs w:val="20"/>
              </w:rPr>
              <w:tab/>
            </w:r>
            <w:r w:rsidR="0051524F">
              <w:rPr>
                <w:sz w:val="20"/>
                <w:szCs w:val="20"/>
              </w:rPr>
              <w:t>Paul Champ</w:t>
            </w:r>
          </w:p>
          <w:p w:rsidR="006F482D" w:rsidRPr="00A935AA" w:rsidRDefault="006F482D" w:rsidP="006856B2">
            <w:pPr>
              <w:tabs>
                <w:tab w:val="left" w:pos="-1440"/>
                <w:tab w:val="left" w:pos="-720"/>
              </w:tabs>
              <w:rPr>
                <w:sz w:val="20"/>
                <w:szCs w:val="20"/>
              </w:rPr>
            </w:pPr>
            <w:r w:rsidRPr="00A935AA">
              <w:rPr>
                <w:sz w:val="20"/>
                <w:szCs w:val="20"/>
              </w:rPr>
              <w:tab/>
            </w:r>
            <w:r w:rsidR="0051524F">
              <w:rPr>
                <w:sz w:val="20"/>
                <w:szCs w:val="20"/>
              </w:rPr>
              <w:t>Champ &amp; Associates</w:t>
            </w:r>
          </w:p>
          <w:p w:rsidR="006F482D" w:rsidRPr="00A935AA" w:rsidRDefault="006F482D" w:rsidP="006856B2">
            <w:pPr>
              <w:tabs>
                <w:tab w:val="left" w:pos="-1440"/>
                <w:tab w:val="left" w:pos="-720"/>
              </w:tabs>
              <w:rPr>
                <w:sz w:val="20"/>
                <w:szCs w:val="20"/>
              </w:rPr>
            </w:pPr>
          </w:p>
          <w:p w:rsidR="006F482D" w:rsidRPr="00A935AA" w:rsidRDefault="006F482D" w:rsidP="006856B2">
            <w:pPr>
              <w:tabs>
                <w:tab w:val="left" w:pos="-1440"/>
                <w:tab w:val="left" w:pos="-720"/>
              </w:tabs>
              <w:rPr>
                <w:sz w:val="20"/>
                <w:szCs w:val="20"/>
              </w:rPr>
            </w:pPr>
            <w:r w:rsidRPr="00A935AA">
              <w:rPr>
                <w:sz w:val="20"/>
                <w:szCs w:val="20"/>
              </w:rPr>
              <w:tab/>
              <w:t>v. (3</w:t>
            </w:r>
            <w:r>
              <w:rPr>
                <w:sz w:val="20"/>
                <w:szCs w:val="20"/>
              </w:rPr>
              <w:t>4</w:t>
            </w:r>
            <w:r w:rsidR="0051524F">
              <w:rPr>
                <w:sz w:val="20"/>
                <w:szCs w:val="20"/>
              </w:rPr>
              <w:t>471</w:t>
            </w:r>
            <w:r w:rsidRPr="00A935AA">
              <w:rPr>
                <w:sz w:val="20"/>
                <w:szCs w:val="20"/>
              </w:rPr>
              <w:t>)</w:t>
            </w:r>
          </w:p>
          <w:p w:rsidR="006F482D" w:rsidRPr="00A935AA" w:rsidRDefault="006F482D" w:rsidP="006856B2">
            <w:pPr>
              <w:tabs>
                <w:tab w:val="left" w:pos="-1440"/>
                <w:tab w:val="left" w:pos="-720"/>
              </w:tabs>
              <w:rPr>
                <w:sz w:val="20"/>
                <w:szCs w:val="20"/>
              </w:rPr>
            </w:pPr>
          </w:p>
          <w:p w:rsidR="006F482D" w:rsidRPr="00A935AA" w:rsidRDefault="0051524F" w:rsidP="006856B2">
            <w:pPr>
              <w:tabs>
                <w:tab w:val="left" w:pos="-1440"/>
                <w:tab w:val="left" w:pos="-720"/>
              </w:tabs>
              <w:rPr>
                <w:b/>
                <w:sz w:val="20"/>
                <w:szCs w:val="20"/>
              </w:rPr>
            </w:pPr>
            <w:r>
              <w:rPr>
                <w:b/>
                <w:sz w:val="20"/>
                <w:szCs w:val="20"/>
              </w:rPr>
              <w:t xml:space="preserve">Meridian Credit Union </w:t>
            </w:r>
            <w:r w:rsidR="00B96E1B">
              <w:rPr>
                <w:b/>
                <w:sz w:val="20"/>
                <w:szCs w:val="20"/>
              </w:rPr>
              <w:t xml:space="preserve">Ltd. </w:t>
            </w:r>
            <w:r w:rsidR="006F482D" w:rsidRPr="00A935AA">
              <w:rPr>
                <w:b/>
                <w:sz w:val="20"/>
                <w:szCs w:val="20"/>
              </w:rPr>
              <w:t>(B.C.)</w:t>
            </w:r>
          </w:p>
          <w:p w:rsidR="006F482D" w:rsidRPr="00A935AA" w:rsidRDefault="006F482D" w:rsidP="006856B2">
            <w:pPr>
              <w:tabs>
                <w:tab w:val="left" w:pos="-1440"/>
                <w:tab w:val="left" w:pos="-720"/>
              </w:tabs>
              <w:rPr>
                <w:sz w:val="20"/>
                <w:szCs w:val="20"/>
              </w:rPr>
            </w:pPr>
            <w:r w:rsidRPr="00A935AA">
              <w:rPr>
                <w:sz w:val="20"/>
                <w:szCs w:val="20"/>
              </w:rPr>
              <w:tab/>
            </w:r>
            <w:r w:rsidR="00B96E1B">
              <w:rPr>
                <w:sz w:val="20"/>
                <w:szCs w:val="20"/>
              </w:rPr>
              <w:t>Kelly A. Charlebois</w:t>
            </w:r>
          </w:p>
          <w:p w:rsidR="006F482D" w:rsidRPr="00A935AA" w:rsidRDefault="006F482D" w:rsidP="006856B2">
            <w:pPr>
              <w:tabs>
                <w:tab w:val="left" w:pos="-1440"/>
                <w:tab w:val="left" w:pos="-720"/>
              </w:tabs>
              <w:rPr>
                <w:sz w:val="20"/>
                <w:szCs w:val="20"/>
              </w:rPr>
            </w:pPr>
            <w:r w:rsidRPr="00A935AA">
              <w:rPr>
                <w:sz w:val="20"/>
                <w:szCs w:val="20"/>
              </w:rPr>
              <w:tab/>
            </w:r>
            <w:r w:rsidR="00B96E1B">
              <w:rPr>
                <w:sz w:val="20"/>
                <w:szCs w:val="20"/>
              </w:rPr>
              <w:t>Miller Thompson LLP</w:t>
            </w:r>
          </w:p>
          <w:p w:rsidR="006F482D" w:rsidRPr="00A935AA" w:rsidRDefault="006F482D" w:rsidP="006856B2">
            <w:pPr>
              <w:tabs>
                <w:tab w:val="left" w:pos="-1440"/>
                <w:tab w:val="left" w:pos="-720"/>
              </w:tabs>
              <w:rPr>
                <w:sz w:val="20"/>
                <w:szCs w:val="20"/>
              </w:rPr>
            </w:pPr>
          </w:p>
          <w:p w:rsidR="006F482D" w:rsidRPr="00A935AA" w:rsidRDefault="006F482D" w:rsidP="006856B2">
            <w:pPr>
              <w:rPr>
                <w:sz w:val="20"/>
                <w:szCs w:val="20"/>
              </w:rPr>
            </w:pPr>
            <w:r w:rsidRPr="00A935AA">
              <w:rPr>
                <w:sz w:val="20"/>
                <w:szCs w:val="20"/>
              </w:rPr>
              <w:t xml:space="preserve">FILING DATE: </w:t>
            </w:r>
            <w:r w:rsidR="00B96E1B">
              <w:rPr>
                <w:sz w:val="20"/>
                <w:szCs w:val="20"/>
              </w:rPr>
              <w:t>30</w:t>
            </w:r>
            <w:r w:rsidRPr="00A935AA">
              <w:rPr>
                <w:sz w:val="20"/>
                <w:szCs w:val="20"/>
              </w:rPr>
              <w:t>.0</w:t>
            </w:r>
            <w:r w:rsidR="00B96E1B">
              <w:rPr>
                <w:sz w:val="20"/>
                <w:szCs w:val="20"/>
              </w:rPr>
              <w:t>9</w:t>
            </w:r>
            <w:r w:rsidRPr="00A935AA">
              <w:rPr>
                <w:sz w:val="20"/>
                <w:szCs w:val="20"/>
              </w:rPr>
              <w:t>.201</w:t>
            </w:r>
            <w:r>
              <w:rPr>
                <w:sz w:val="20"/>
                <w:szCs w:val="20"/>
              </w:rPr>
              <w:t>1</w:t>
            </w:r>
          </w:p>
          <w:p w:rsidR="006F482D" w:rsidRPr="00A935AA" w:rsidRDefault="004D21E4" w:rsidP="006856B2">
            <w:pPr>
              <w:rPr>
                <w:sz w:val="20"/>
                <w:szCs w:val="20"/>
              </w:rPr>
            </w:pPr>
            <w:r w:rsidRPr="004D21E4">
              <w:rPr>
                <w:sz w:val="20"/>
                <w:szCs w:val="20"/>
                <w:lang w:val="fr-CA"/>
              </w:rPr>
              <w:pict>
                <v:rect id="_x0000_i1037" style="width:108pt;height:1pt" o:hrpct="0" o:hralign="center" o:hrstd="t" o:hrnoshade="t" o:hr="t" fillcolor="black [3213]" stroked="f"/>
              </w:pict>
            </w:r>
          </w:p>
        </w:tc>
        <w:tc>
          <w:tcPr>
            <w:tcW w:w="1181" w:type="dxa"/>
            <w:shd w:val="clear" w:color="auto" w:fill="auto"/>
          </w:tcPr>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p w:rsidR="006F482D" w:rsidRPr="00A935AA" w:rsidRDefault="006F482D" w:rsidP="00242AEE">
            <w:pPr>
              <w:jc w:val="center"/>
              <w:rPr>
                <w:sz w:val="20"/>
                <w:szCs w:val="20"/>
              </w:rPr>
            </w:pPr>
          </w:p>
        </w:tc>
        <w:tc>
          <w:tcPr>
            <w:tcW w:w="4320" w:type="dxa"/>
            <w:shd w:val="clear" w:color="auto" w:fill="auto"/>
          </w:tcPr>
          <w:p w:rsidR="006F482D" w:rsidRPr="00A935AA" w:rsidRDefault="00B96E1B" w:rsidP="006856B2">
            <w:pPr>
              <w:keepNext/>
              <w:keepLines/>
              <w:tabs>
                <w:tab w:val="left" w:pos="-1440"/>
                <w:tab w:val="left" w:pos="-720"/>
              </w:tabs>
              <w:rPr>
                <w:b/>
                <w:sz w:val="20"/>
                <w:szCs w:val="20"/>
              </w:rPr>
            </w:pPr>
            <w:r>
              <w:rPr>
                <w:b/>
                <w:sz w:val="20"/>
                <w:szCs w:val="20"/>
              </w:rPr>
              <w:t>IBM Canada Limited</w:t>
            </w:r>
          </w:p>
          <w:p w:rsidR="006F482D" w:rsidRPr="00A935AA" w:rsidRDefault="006F482D" w:rsidP="006856B2">
            <w:pPr>
              <w:keepNext/>
              <w:keepLines/>
              <w:tabs>
                <w:tab w:val="left" w:pos="-1440"/>
                <w:tab w:val="left" w:pos="-720"/>
              </w:tabs>
              <w:rPr>
                <w:sz w:val="20"/>
                <w:szCs w:val="20"/>
              </w:rPr>
            </w:pPr>
            <w:r w:rsidRPr="00A935AA">
              <w:rPr>
                <w:sz w:val="20"/>
                <w:szCs w:val="20"/>
              </w:rPr>
              <w:tab/>
            </w:r>
            <w:r w:rsidR="00B96E1B">
              <w:rPr>
                <w:sz w:val="20"/>
                <w:szCs w:val="20"/>
              </w:rPr>
              <w:t>D. Geoffrey Cowper, Q.C.</w:t>
            </w:r>
          </w:p>
          <w:p w:rsidR="006F482D" w:rsidRPr="00A935AA" w:rsidRDefault="006F482D" w:rsidP="006856B2">
            <w:pPr>
              <w:keepNext/>
              <w:keepLines/>
              <w:tabs>
                <w:tab w:val="left" w:pos="-1440"/>
                <w:tab w:val="left" w:pos="-720"/>
              </w:tabs>
              <w:rPr>
                <w:sz w:val="20"/>
                <w:szCs w:val="20"/>
              </w:rPr>
            </w:pPr>
            <w:r w:rsidRPr="00A935AA">
              <w:rPr>
                <w:sz w:val="20"/>
                <w:szCs w:val="20"/>
              </w:rPr>
              <w:tab/>
            </w:r>
            <w:r w:rsidR="00B96E1B">
              <w:rPr>
                <w:sz w:val="20"/>
                <w:szCs w:val="20"/>
              </w:rPr>
              <w:t>Fasken Martineau DuMoulin LLP</w:t>
            </w:r>
          </w:p>
          <w:p w:rsidR="006F482D" w:rsidRPr="00A935AA" w:rsidRDefault="006F482D" w:rsidP="006856B2">
            <w:pPr>
              <w:keepNext/>
              <w:keepLines/>
              <w:tabs>
                <w:tab w:val="left" w:pos="-1440"/>
                <w:tab w:val="left" w:pos="-720"/>
              </w:tabs>
              <w:rPr>
                <w:sz w:val="20"/>
                <w:szCs w:val="20"/>
              </w:rPr>
            </w:pPr>
          </w:p>
          <w:p w:rsidR="006F482D" w:rsidRPr="0051524F" w:rsidRDefault="006F482D" w:rsidP="006856B2">
            <w:pPr>
              <w:keepNext/>
              <w:keepLines/>
              <w:tabs>
                <w:tab w:val="left" w:pos="-1440"/>
                <w:tab w:val="left" w:pos="-720"/>
              </w:tabs>
              <w:rPr>
                <w:sz w:val="20"/>
                <w:szCs w:val="20"/>
              </w:rPr>
            </w:pPr>
            <w:r w:rsidRPr="00A935AA">
              <w:rPr>
                <w:sz w:val="20"/>
                <w:szCs w:val="20"/>
              </w:rPr>
              <w:tab/>
            </w:r>
            <w:r w:rsidRPr="0051524F">
              <w:rPr>
                <w:sz w:val="20"/>
                <w:szCs w:val="20"/>
              </w:rPr>
              <w:t>v. (34</w:t>
            </w:r>
            <w:r w:rsidR="00B96E1B">
              <w:rPr>
                <w:sz w:val="20"/>
                <w:szCs w:val="20"/>
              </w:rPr>
              <w:t>472</w:t>
            </w:r>
            <w:r w:rsidRPr="0051524F">
              <w:rPr>
                <w:sz w:val="20"/>
                <w:szCs w:val="20"/>
              </w:rPr>
              <w:t>)</w:t>
            </w:r>
          </w:p>
          <w:p w:rsidR="006F482D" w:rsidRPr="0051524F" w:rsidRDefault="006F482D" w:rsidP="006856B2">
            <w:pPr>
              <w:keepNext/>
              <w:keepLines/>
              <w:tabs>
                <w:tab w:val="left" w:pos="-1440"/>
                <w:tab w:val="left" w:pos="-720"/>
              </w:tabs>
              <w:rPr>
                <w:sz w:val="20"/>
                <w:szCs w:val="20"/>
              </w:rPr>
            </w:pPr>
          </w:p>
          <w:p w:rsidR="006F482D" w:rsidRPr="0051524F" w:rsidRDefault="00B96E1B" w:rsidP="006856B2">
            <w:pPr>
              <w:keepNext/>
              <w:keepLines/>
              <w:tabs>
                <w:tab w:val="left" w:pos="-1440"/>
                <w:tab w:val="left" w:pos="-720"/>
              </w:tabs>
              <w:rPr>
                <w:b/>
                <w:sz w:val="20"/>
                <w:szCs w:val="20"/>
              </w:rPr>
            </w:pPr>
            <w:r>
              <w:rPr>
                <w:b/>
                <w:sz w:val="20"/>
                <w:szCs w:val="20"/>
              </w:rPr>
              <w:t xml:space="preserve">Richard Waterman </w:t>
            </w:r>
            <w:r w:rsidR="006F482D" w:rsidRPr="0051524F">
              <w:rPr>
                <w:b/>
                <w:sz w:val="20"/>
                <w:szCs w:val="20"/>
              </w:rPr>
              <w:t>(</w:t>
            </w:r>
            <w:r>
              <w:rPr>
                <w:b/>
                <w:sz w:val="20"/>
                <w:szCs w:val="20"/>
              </w:rPr>
              <w:t>B</w:t>
            </w:r>
            <w:r w:rsidR="006F482D" w:rsidRPr="0051524F">
              <w:rPr>
                <w:b/>
                <w:sz w:val="20"/>
                <w:szCs w:val="20"/>
              </w:rPr>
              <w:t>.</w:t>
            </w:r>
            <w:r>
              <w:rPr>
                <w:b/>
                <w:sz w:val="20"/>
                <w:szCs w:val="20"/>
              </w:rPr>
              <w:t>C.</w:t>
            </w:r>
            <w:r w:rsidR="006F482D" w:rsidRPr="0051524F">
              <w:rPr>
                <w:b/>
                <w:sz w:val="20"/>
                <w:szCs w:val="20"/>
              </w:rPr>
              <w:t>)</w:t>
            </w:r>
          </w:p>
          <w:p w:rsidR="006F482D" w:rsidRPr="0051524F" w:rsidRDefault="006F482D" w:rsidP="006856B2">
            <w:pPr>
              <w:keepNext/>
              <w:keepLines/>
              <w:tabs>
                <w:tab w:val="left" w:pos="-1440"/>
                <w:tab w:val="left" w:pos="-720"/>
              </w:tabs>
              <w:rPr>
                <w:sz w:val="20"/>
                <w:szCs w:val="20"/>
              </w:rPr>
            </w:pPr>
            <w:r w:rsidRPr="0051524F">
              <w:rPr>
                <w:sz w:val="20"/>
                <w:szCs w:val="20"/>
              </w:rPr>
              <w:tab/>
            </w:r>
            <w:r w:rsidR="00B96E1B">
              <w:rPr>
                <w:sz w:val="20"/>
                <w:szCs w:val="20"/>
              </w:rPr>
              <w:t>Christopher J. Watson</w:t>
            </w:r>
          </w:p>
          <w:p w:rsidR="006F482D" w:rsidRPr="0051524F" w:rsidRDefault="006F482D" w:rsidP="006856B2">
            <w:pPr>
              <w:keepNext/>
              <w:keepLines/>
              <w:tabs>
                <w:tab w:val="left" w:pos="-1440"/>
                <w:tab w:val="left" w:pos="-720"/>
              </w:tabs>
              <w:rPr>
                <w:sz w:val="20"/>
                <w:szCs w:val="20"/>
              </w:rPr>
            </w:pPr>
            <w:r w:rsidRPr="0051524F">
              <w:rPr>
                <w:sz w:val="20"/>
                <w:szCs w:val="20"/>
              </w:rPr>
              <w:tab/>
            </w:r>
            <w:r w:rsidR="00B96E1B">
              <w:rPr>
                <w:sz w:val="20"/>
                <w:szCs w:val="20"/>
              </w:rPr>
              <w:t>MacKenzie Fujisawa</w:t>
            </w:r>
          </w:p>
          <w:p w:rsidR="006F482D" w:rsidRPr="0051524F" w:rsidRDefault="006F482D" w:rsidP="006856B2">
            <w:pPr>
              <w:keepNext/>
              <w:keepLines/>
              <w:tabs>
                <w:tab w:val="left" w:pos="-1440"/>
                <w:tab w:val="left" w:pos="-720"/>
              </w:tabs>
              <w:rPr>
                <w:sz w:val="20"/>
                <w:szCs w:val="20"/>
              </w:rPr>
            </w:pPr>
          </w:p>
          <w:p w:rsidR="006F482D" w:rsidRPr="00A935AA" w:rsidRDefault="006F482D" w:rsidP="00B96E1B">
            <w:pPr>
              <w:rPr>
                <w:sz w:val="20"/>
                <w:szCs w:val="20"/>
              </w:rPr>
            </w:pPr>
            <w:r w:rsidRPr="00A935AA">
              <w:rPr>
                <w:sz w:val="20"/>
                <w:szCs w:val="20"/>
              </w:rPr>
              <w:t xml:space="preserve">FILING DATE: </w:t>
            </w:r>
            <w:r w:rsidR="00B96E1B">
              <w:rPr>
                <w:sz w:val="20"/>
                <w:szCs w:val="20"/>
              </w:rPr>
              <w:t>03</w:t>
            </w:r>
            <w:r w:rsidRPr="00A935AA">
              <w:rPr>
                <w:sz w:val="20"/>
                <w:szCs w:val="20"/>
              </w:rPr>
              <w:t>.</w:t>
            </w:r>
            <w:r>
              <w:rPr>
                <w:sz w:val="20"/>
                <w:szCs w:val="20"/>
              </w:rPr>
              <w:t>1</w:t>
            </w:r>
            <w:r w:rsidRPr="00A935AA">
              <w:rPr>
                <w:sz w:val="20"/>
                <w:szCs w:val="20"/>
              </w:rPr>
              <w:t>0.201</w:t>
            </w:r>
            <w:r>
              <w:rPr>
                <w:sz w:val="20"/>
                <w:szCs w:val="20"/>
              </w:rPr>
              <w:t>1</w:t>
            </w:r>
            <w:r w:rsidR="004D21E4" w:rsidRPr="004D21E4">
              <w:rPr>
                <w:sz w:val="20"/>
                <w:szCs w:val="20"/>
                <w:lang w:val="fr-CA"/>
              </w:rPr>
              <w:pict>
                <v:rect id="_x0000_i1038"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900D0B">
          <w:headerReference w:type="default" r:id="rId15"/>
          <w:footerReference w:type="default" r:id="rId16"/>
          <w:headerReference w:type="first" r:id="rId17"/>
          <w:footerReference w:type="first" r:id="rId18"/>
          <w:pgSz w:w="12240" w:h="15840"/>
          <w:pgMar w:top="720" w:right="965" w:bottom="1080" w:left="1656" w:header="706" w:footer="706" w:gutter="0"/>
          <w:pgNumType w:start="1467"/>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682661"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359D3" w:rsidRPr="00D51469" w:rsidRDefault="006856B2" w:rsidP="003359D3">
      <w:pPr>
        <w:widowControl w:val="0"/>
        <w:rPr>
          <w:b/>
          <w:sz w:val="20"/>
          <w:szCs w:val="20"/>
          <w:lang w:val="fr-CA"/>
        </w:rPr>
      </w:pPr>
      <w:r w:rsidRPr="00D51469">
        <w:rPr>
          <w:b/>
          <w:sz w:val="20"/>
          <w:szCs w:val="20"/>
          <w:lang w:val="fr-CA"/>
        </w:rPr>
        <w:t>OCTOBER</w:t>
      </w:r>
      <w:r w:rsidR="003359D3" w:rsidRPr="00D51469">
        <w:rPr>
          <w:b/>
          <w:sz w:val="20"/>
          <w:szCs w:val="20"/>
          <w:lang w:val="fr-CA"/>
        </w:rPr>
        <w:t xml:space="preserve"> 1</w:t>
      </w:r>
      <w:r w:rsidRPr="00D51469">
        <w:rPr>
          <w:b/>
          <w:sz w:val="20"/>
          <w:szCs w:val="20"/>
          <w:lang w:val="fr-CA"/>
        </w:rPr>
        <w:t>7</w:t>
      </w:r>
      <w:r w:rsidR="003359D3" w:rsidRPr="00D51469">
        <w:rPr>
          <w:b/>
          <w:sz w:val="20"/>
          <w:szCs w:val="20"/>
          <w:lang w:val="fr-CA"/>
        </w:rPr>
        <w:t>, 2011 / LE 1</w:t>
      </w:r>
      <w:r w:rsidRPr="00D51469">
        <w:rPr>
          <w:b/>
          <w:sz w:val="20"/>
          <w:szCs w:val="20"/>
          <w:lang w:val="fr-CA"/>
        </w:rPr>
        <w:t>7 OCTOBRE</w:t>
      </w:r>
      <w:r w:rsidR="003359D3" w:rsidRPr="00D51469">
        <w:rPr>
          <w:b/>
          <w:sz w:val="20"/>
          <w:szCs w:val="20"/>
          <w:lang w:val="fr-CA"/>
        </w:rPr>
        <w:t xml:space="preserve"> 2011</w:t>
      </w:r>
    </w:p>
    <w:p w:rsidR="003359D3" w:rsidRPr="00D51469" w:rsidRDefault="003359D3" w:rsidP="003359D3">
      <w:pPr>
        <w:widowControl w:val="0"/>
        <w:rPr>
          <w:b/>
          <w:sz w:val="20"/>
          <w:szCs w:val="20"/>
          <w:lang w:val="fr-CA"/>
        </w:rPr>
      </w:pPr>
    </w:p>
    <w:p w:rsidR="003359D3" w:rsidRPr="00682661" w:rsidRDefault="003359D3" w:rsidP="003359D3">
      <w:pPr>
        <w:widowControl w:val="0"/>
        <w:jc w:val="center"/>
        <w:rPr>
          <w:b/>
          <w:sz w:val="20"/>
          <w:szCs w:val="20"/>
        </w:rPr>
      </w:pPr>
      <w:r w:rsidRPr="00682661">
        <w:rPr>
          <w:b/>
          <w:sz w:val="20"/>
          <w:szCs w:val="20"/>
        </w:rPr>
        <w:t xml:space="preserve">CORAM:  Chief Justice McLachlin and Deschamps and </w:t>
      </w:r>
      <w:r w:rsidR="00D51469" w:rsidRPr="00682661">
        <w:rPr>
          <w:b/>
          <w:sz w:val="20"/>
          <w:szCs w:val="20"/>
        </w:rPr>
        <w:t>Abella</w:t>
      </w:r>
      <w:r w:rsidRPr="00682661">
        <w:rPr>
          <w:b/>
          <w:sz w:val="20"/>
          <w:szCs w:val="20"/>
        </w:rPr>
        <w:t xml:space="preserve"> JJ.</w:t>
      </w:r>
    </w:p>
    <w:p w:rsidR="003359D3" w:rsidRPr="00C50A5C" w:rsidRDefault="003359D3" w:rsidP="003359D3">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w:t>
      </w:r>
      <w:r w:rsidR="00D51469">
        <w:rPr>
          <w:b/>
          <w:sz w:val="20"/>
          <w:szCs w:val="20"/>
          <w:lang w:val="fr-CA"/>
        </w:rPr>
        <w:t>Abella</w:t>
      </w:r>
    </w:p>
    <w:p w:rsidR="003359D3" w:rsidRPr="00D51469" w:rsidRDefault="003359D3" w:rsidP="003359D3">
      <w:pPr>
        <w:widowControl w:val="0"/>
        <w:rPr>
          <w:i/>
          <w:sz w:val="20"/>
          <w:szCs w:val="20"/>
          <w:lang w:val="fr-CA"/>
        </w:rPr>
      </w:pPr>
    </w:p>
    <w:p w:rsidR="003359D3" w:rsidRPr="00D51469" w:rsidRDefault="00D51469" w:rsidP="003359D3">
      <w:pPr>
        <w:pStyle w:val="ListParagraph"/>
        <w:widowControl w:val="0"/>
        <w:numPr>
          <w:ilvl w:val="0"/>
          <w:numId w:val="1"/>
        </w:numPr>
        <w:ind w:hanging="720"/>
        <w:jc w:val="both"/>
        <w:rPr>
          <w:sz w:val="20"/>
          <w:szCs w:val="20"/>
        </w:rPr>
      </w:pPr>
      <w:r w:rsidRPr="00D51469">
        <w:rPr>
          <w:i/>
          <w:sz w:val="20"/>
          <w:szCs w:val="20"/>
        </w:rPr>
        <w:t>Michael Evans v. Her Majesty the Queen</w:t>
      </w:r>
      <w:r w:rsidRPr="00D51469">
        <w:rPr>
          <w:sz w:val="20"/>
          <w:szCs w:val="20"/>
        </w:rPr>
        <w:t xml:space="preserve"> (Ont.) (Crim</w:t>
      </w:r>
      <w:r>
        <w:rPr>
          <w:sz w:val="20"/>
          <w:szCs w:val="20"/>
        </w:rPr>
        <w:t>.</w:t>
      </w:r>
      <w:r w:rsidRPr="00D51469">
        <w:rPr>
          <w:sz w:val="20"/>
          <w:szCs w:val="20"/>
        </w:rPr>
        <w:t xml:space="preserve">) (By Leave) </w:t>
      </w:r>
      <w:r w:rsidR="003359D3" w:rsidRPr="00D51469">
        <w:rPr>
          <w:sz w:val="20"/>
          <w:szCs w:val="20"/>
        </w:rPr>
        <w:t>(34</w:t>
      </w:r>
      <w:r w:rsidRPr="00D51469">
        <w:rPr>
          <w:sz w:val="20"/>
          <w:szCs w:val="20"/>
        </w:rPr>
        <w:t>3</w:t>
      </w:r>
      <w:r w:rsidR="003359D3" w:rsidRPr="00D51469">
        <w:rPr>
          <w:sz w:val="20"/>
          <w:szCs w:val="20"/>
        </w:rPr>
        <w:t>1</w:t>
      </w:r>
      <w:r w:rsidRPr="00D51469">
        <w:rPr>
          <w:sz w:val="20"/>
          <w:szCs w:val="20"/>
        </w:rPr>
        <w:t>4</w:t>
      </w:r>
      <w:r w:rsidR="003359D3" w:rsidRPr="00D51469">
        <w:rPr>
          <w:sz w:val="20"/>
          <w:szCs w:val="20"/>
        </w:rPr>
        <w:t>)</w:t>
      </w:r>
    </w:p>
    <w:p w:rsidR="003359D3" w:rsidRPr="00D51469" w:rsidRDefault="003359D3" w:rsidP="003359D3">
      <w:pPr>
        <w:widowControl w:val="0"/>
        <w:jc w:val="both"/>
        <w:rPr>
          <w:sz w:val="20"/>
          <w:szCs w:val="20"/>
        </w:rPr>
      </w:pPr>
    </w:p>
    <w:p w:rsidR="003359D3" w:rsidRPr="00D51469" w:rsidRDefault="00D51469" w:rsidP="003359D3">
      <w:pPr>
        <w:pStyle w:val="ListParagraph"/>
        <w:widowControl w:val="0"/>
        <w:numPr>
          <w:ilvl w:val="0"/>
          <w:numId w:val="1"/>
        </w:numPr>
        <w:ind w:hanging="720"/>
        <w:jc w:val="both"/>
        <w:rPr>
          <w:sz w:val="20"/>
          <w:szCs w:val="20"/>
        </w:rPr>
      </w:pPr>
      <w:r w:rsidRPr="00D51469">
        <w:rPr>
          <w:i/>
          <w:sz w:val="20"/>
          <w:szCs w:val="20"/>
        </w:rPr>
        <w:t>Barbara Bisaga v. Canada Trust Company as trustee for the self-directed RRSP retirement savings plan no. 36622-S et al.</w:t>
      </w:r>
      <w:r w:rsidRPr="00D51469">
        <w:rPr>
          <w:sz w:val="20"/>
          <w:szCs w:val="20"/>
        </w:rPr>
        <w:t xml:space="preserve"> (Ont.) (Civil) (By Leave) </w:t>
      </w:r>
      <w:r w:rsidR="003359D3" w:rsidRPr="00D51469">
        <w:rPr>
          <w:sz w:val="20"/>
          <w:szCs w:val="20"/>
        </w:rPr>
        <w:t>(34</w:t>
      </w:r>
      <w:r w:rsidRPr="00D51469">
        <w:rPr>
          <w:sz w:val="20"/>
          <w:szCs w:val="20"/>
        </w:rPr>
        <w:t>4</w:t>
      </w:r>
      <w:r w:rsidR="003359D3" w:rsidRPr="00D51469">
        <w:rPr>
          <w:sz w:val="20"/>
          <w:szCs w:val="20"/>
        </w:rPr>
        <w:t>1</w:t>
      </w:r>
      <w:r w:rsidRPr="00D51469">
        <w:rPr>
          <w:sz w:val="20"/>
          <w:szCs w:val="20"/>
        </w:rPr>
        <w:t>4</w:t>
      </w:r>
      <w:r w:rsidR="003359D3" w:rsidRPr="00D51469">
        <w:rPr>
          <w:sz w:val="20"/>
          <w:szCs w:val="20"/>
        </w:rPr>
        <w:t>)</w:t>
      </w:r>
    </w:p>
    <w:p w:rsidR="003359D3" w:rsidRPr="00D51469" w:rsidRDefault="003359D3" w:rsidP="003359D3">
      <w:pPr>
        <w:widowControl w:val="0"/>
        <w:jc w:val="both"/>
        <w:rPr>
          <w:sz w:val="20"/>
          <w:szCs w:val="20"/>
        </w:rPr>
      </w:pPr>
    </w:p>
    <w:p w:rsidR="003359D3" w:rsidRPr="00DD6E75" w:rsidRDefault="00DD6E75" w:rsidP="003359D3">
      <w:pPr>
        <w:pStyle w:val="ListParagraph"/>
        <w:widowControl w:val="0"/>
        <w:numPr>
          <w:ilvl w:val="0"/>
          <w:numId w:val="1"/>
        </w:numPr>
        <w:ind w:hanging="720"/>
        <w:jc w:val="both"/>
        <w:rPr>
          <w:sz w:val="20"/>
          <w:szCs w:val="20"/>
        </w:rPr>
      </w:pPr>
      <w:r w:rsidRPr="00DD6E75">
        <w:rPr>
          <w:i/>
          <w:sz w:val="20"/>
          <w:szCs w:val="20"/>
        </w:rPr>
        <w:t>Orest Rusnak v. Her Majesty the Queen in Right of the Minister of National Revenue for Canada et al.</w:t>
      </w:r>
      <w:r w:rsidRPr="00D51469">
        <w:rPr>
          <w:sz w:val="20"/>
          <w:szCs w:val="20"/>
        </w:rPr>
        <w:t xml:space="preserve"> (F</w:t>
      </w:r>
      <w:r>
        <w:rPr>
          <w:sz w:val="20"/>
          <w:szCs w:val="20"/>
        </w:rPr>
        <w:t>.</w:t>
      </w:r>
      <w:r w:rsidRPr="00D51469">
        <w:rPr>
          <w:sz w:val="20"/>
          <w:szCs w:val="20"/>
        </w:rPr>
        <w:t>C</w:t>
      </w:r>
      <w:r>
        <w:rPr>
          <w:sz w:val="20"/>
          <w:szCs w:val="20"/>
        </w:rPr>
        <w:t>.</w:t>
      </w:r>
      <w:r w:rsidRPr="00D51469">
        <w:rPr>
          <w:sz w:val="20"/>
          <w:szCs w:val="20"/>
        </w:rPr>
        <w:t>) (Civil) (By Leave)</w:t>
      </w:r>
      <w:r w:rsidRPr="00DD6E75">
        <w:rPr>
          <w:sz w:val="20"/>
          <w:szCs w:val="20"/>
        </w:rPr>
        <w:t xml:space="preserve"> </w:t>
      </w:r>
      <w:r w:rsidR="003359D3" w:rsidRPr="00DD6E75">
        <w:rPr>
          <w:sz w:val="20"/>
          <w:szCs w:val="20"/>
        </w:rPr>
        <w:t>(34</w:t>
      </w:r>
      <w:r w:rsidR="00D51469" w:rsidRPr="00DD6E75">
        <w:rPr>
          <w:sz w:val="20"/>
          <w:szCs w:val="20"/>
        </w:rPr>
        <w:t>353</w:t>
      </w:r>
      <w:r w:rsidR="003359D3" w:rsidRPr="00DD6E75">
        <w:rPr>
          <w:sz w:val="20"/>
          <w:szCs w:val="20"/>
        </w:rPr>
        <w:t>)</w:t>
      </w:r>
    </w:p>
    <w:p w:rsidR="003359D3" w:rsidRPr="00DD6E75" w:rsidRDefault="003359D3" w:rsidP="003359D3">
      <w:pPr>
        <w:widowControl w:val="0"/>
        <w:rPr>
          <w:sz w:val="20"/>
          <w:szCs w:val="20"/>
        </w:rPr>
      </w:pPr>
    </w:p>
    <w:p w:rsidR="00D51469" w:rsidRPr="00DD6E75" w:rsidRDefault="00D51469" w:rsidP="003359D3">
      <w:pPr>
        <w:widowControl w:val="0"/>
        <w:rPr>
          <w:sz w:val="20"/>
          <w:szCs w:val="20"/>
        </w:rPr>
      </w:pPr>
    </w:p>
    <w:p w:rsidR="00D51469" w:rsidRPr="00C50A5C" w:rsidRDefault="00D51469" w:rsidP="00D51469">
      <w:pPr>
        <w:widowControl w:val="0"/>
        <w:jc w:val="center"/>
        <w:rPr>
          <w:b/>
          <w:sz w:val="20"/>
          <w:szCs w:val="20"/>
        </w:rPr>
      </w:pPr>
      <w:r w:rsidRPr="00A71F32">
        <w:rPr>
          <w:b/>
          <w:sz w:val="20"/>
          <w:szCs w:val="20"/>
        </w:rPr>
        <w:t>C</w:t>
      </w:r>
      <w:r w:rsidRPr="00C50A5C">
        <w:rPr>
          <w:b/>
          <w:sz w:val="20"/>
          <w:szCs w:val="20"/>
        </w:rPr>
        <w:t xml:space="preserve">ORAM: Binnie, </w:t>
      </w:r>
      <w:r>
        <w:rPr>
          <w:b/>
          <w:sz w:val="20"/>
          <w:szCs w:val="20"/>
        </w:rPr>
        <w:t>Abella</w:t>
      </w:r>
      <w:r w:rsidRPr="00C50A5C">
        <w:rPr>
          <w:b/>
          <w:sz w:val="20"/>
          <w:szCs w:val="20"/>
        </w:rPr>
        <w:t xml:space="preserve"> and Rothstein JJ.</w:t>
      </w:r>
    </w:p>
    <w:p w:rsidR="00D51469" w:rsidRPr="00C50A5C" w:rsidRDefault="00D51469" w:rsidP="00D51469">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D51469" w:rsidRPr="007B50F9" w:rsidRDefault="00D51469" w:rsidP="003359D3">
      <w:pPr>
        <w:widowControl w:val="0"/>
        <w:rPr>
          <w:sz w:val="20"/>
          <w:szCs w:val="20"/>
          <w:lang w:val="fr-CA"/>
        </w:rPr>
      </w:pPr>
    </w:p>
    <w:p w:rsidR="003359D3" w:rsidRPr="00DD6E75" w:rsidRDefault="00DD6E75" w:rsidP="003359D3">
      <w:pPr>
        <w:pStyle w:val="ListParagraph"/>
        <w:widowControl w:val="0"/>
        <w:numPr>
          <w:ilvl w:val="0"/>
          <w:numId w:val="1"/>
        </w:numPr>
        <w:ind w:hanging="720"/>
        <w:jc w:val="both"/>
        <w:rPr>
          <w:sz w:val="20"/>
          <w:szCs w:val="20"/>
        </w:rPr>
      </w:pPr>
      <w:r w:rsidRPr="00DD6E75">
        <w:rPr>
          <w:i/>
          <w:sz w:val="20"/>
          <w:szCs w:val="20"/>
        </w:rPr>
        <w:t>Saputo Inc. et al. v. Attorney General of Canada et al.</w:t>
      </w:r>
      <w:r w:rsidRPr="00D51469">
        <w:rPr>
          <w:sz w:val="20"/>
          <w:szCs w:val="20"/>
        </w:rPr>
        <w:t xml:space="preserve"> (F</w:t>
      </w:r>
      <w:r>
        <w:rPr>
          <w:sz w:val="20"/>
          <w:szCs w:val="20"/>
        </w:rPr>
        <w:t>.</w:t>
      </w:r>
      <w:r w:rsidRPr="00D51469">
        <w:rPr>
          <w:sz w:val="20"/>
          <w:szCs w:val="20"/>
        </w:rPr>
        <w:t>C</w:t>
      </w:r>
      <w:r>
        <w:rPr>
          <w:sz w:val="20"/>
          <w:szCs w:val="20"/>
        </w:rPr>
        <w:t>.</w:t>
      </w:r>
      <w:r w:rsidRPr="00D51469">
        <w:rPr>
          <w:sz w:val="20"/>
          <w:szCs w:val="20"/>
        </w:rPr>
        <w:t>) (Civil) (By Leave)</w:t>
      </w:r>
      <w:r w:rsidRPr="00DD6E75">
        <w:rPr>
          <w:sz w:val="20"/>
          <w:szCs w:val="20"/>
        </w:rPr>
        <w:t xml:space="preserve"> </w:t>
      </w:r>
      <w:r w:rsidR="003359D3" w:rsidRPr="00DD6E75">
        <w:rPr>
          <w:sz w:val="20"/>
          <w:szCs w:val="20"/>
        </w:rPr>
        <w:t>(34</w:t>
      </w:r>
      <w:r w:rsidR="00D51469" w:rsidRPr="00DD6E75">
        <w:rPr>
          <w:sz w:val="20"/>
          <w:szCs w:val="20"/>
        </w:rPr>
        <w:t>222</w:t>
      </w:r>
      <w:r w:rsidR="003359D3" w:rsidRPr="00DD6E75">
        <w:rPr>
          <w:sz w:val="20"/>
          <w:szCs w:val="20"/>
        </w:rPr>
        <w:t>)</w:t>
      </w:r>
    </w:p>
    <w:p w:rsidR="003359D3" w:rsidRPr="00DD6E75" w:rsidRDefault="003359D3" w:rsidP="003359D3">
      <w:pPr>
        <w:widowControl w:val="0"/>
        <w:jc w:val="both"/>
        <w:rPr>
          <w:sz w:val="20"/>
          <w:szCs w:val="20"/>
        </w:rPr>
      </w:pPr>
    </w:p>
    <w:p w:rsidR="003359D3" w:rsidRPr="00C50A5C" w:rsidRDefault="00DD6E75" w:rsidP="003359D3">
      <w:pPr>
        <w:pStyle w:val="ListParagraph"/>
        <w:widowControl w:val="0"/>
        <w:numPr>
          <w:ilvl w:val="0"/>
          <w:numId w:val="1"/>
        </w:numPr>
        <w:ind w:hanging="720"/>
        <w:jc w:val="both"/>
        <w:rPr>
          <w:sz w:val="20"/>
          <w:szCs w:val="20"/>
        </w:rPr>
      </w:pPr>
      <w:r w:rsidRPr="00DD6E75">
        <w:rPr>
          <w:i/>
          <w:sz w:val="20"/>
          <w:szCs w:val="20"/>
        </w:rPr>
        <w:t>Claude Frederick Elgner v. Carol Ann Elgner</w:t>
      </w:r>
      <w:r w:rsidRPr="00D51469">
        <w:rPr>
          <w:sz w:val="20"/>
          <w:szCs w:val="20"/>
        </w:rPr>
        <w:t xml:space="preserve"> (Ont.) (Civil) (By Leave)</w:t>
      </w:r>
      <w:r w:rsidRPr="00C50A5C">
        <w:rPr>
          <w:sz w:val="20"/>
          <w:szCs w:val="20"/>
        </w:rPr>
        <w:t xml:space="preserve"> </w:t>
      </w:r>
      <w:r w:rsidR="003359D3" w:rsidRPr="00C50A5C">
        <w:rPr>
          <w:sz w:val="20"/>
          <w:szCs w:val="20"/>
        </w:rPr>
        <w:t>(34</w:t>
      </w:r>
      <w:r w:rsidR="00D51469">
        <w:rPr>
          <w:sz w:val="20"/>
          <w:szCs w:val="20"/>
        </w:rPr>
        <w:t>372</w:t>
      </w:r>
      <w:r w:rsidR="003359D3" w:rsidRPr="00C50A5C">
        <w:rPr>
          <w:sz w:val="20"/>
          <w:szCs w:val="20"/>
        </w:rPr>
        <w:t>)</w:t>
      </w:r>
    </w:p>
    <w:p w:rsidR="003359D3" w:rsidRPr="00C50A5C" w:rsidRDefault="003359D3" w:rsidP="003359D3">
      <w:pPr>
        <w:widowControl w:val="0"/>
        <w:rPr>
          <w:sz w:val="20"/>
          <w:szCs w:val="20"/>
        </w:rPr>
      </w:pPr>
    </w:p>
    <w:p w:rsidR="003359D3" w:rsidRPr="000D3B6E" w:rsidRDefault="00DD6E75" w:rsidP="003359D3">
      <w:pPr>
        <w:pStyle w:val="ListParagraph"/>
        <w:widowControl w:val="0"/>
        <w:numPr>
          <w:ilvl w:val="0"/>
          <w:numId w:val="1"/>
        </w:numPr>
        <w:ind w:hanging="720"/>
        <w:jc w:val="both"/>
        <w:rPr>
          <w:sz w:val="20"/>
          <w:szCs w:val="20"/>
        </w:rPr>
      </w:pPr>
      <w:r w:rsidRPr="00DD6E75">
        <w:rPr>
          <w:i/>
          <w:sz w:val="20"/>
          <w:szCs w:val="20"/>
        </w:rPr>
        <w:t>Gerald Ballard et al. v. Her Majesty the Queen</w:t>
      </w:r>
      <w:r w:rsidRPr="00D51469">
        <w:rPr>
          <w:sz w:val="20"/>
          <w:szCs w:val="20"/>
        </w:rPr>
        <w:t xml:space="preserve"> (F</w:t>
      </w:r>
      <w:r>
        <w:rPr>
          <w:sz w:val="20"/>
          <w:szCs w:val="20"/>
        </w:rPr>
        <w:t>.</w:t>
      </w:r>
      <w:r w:rsidRPr="00D51469">
        <w:rPr>
          <w:sz w:val="20"/>
          <w:szCs w:val="20"/>
        </w:rPr>
        <w:t>C</w:t>
      </w:r>
      <w:r>
        <w:rPr>
          <w:sz w:val="20"/>
          <w:szCs w:val="20"/>
        </w:rPr>
        <w:t>.</w:t>
      </w:r>
      <w:r w:rsidRPr="00D51469">
        <w:rPr>
          <w:sz w:val="20"/>
          <w:szCs w:val="20"/>
        </w:rPr>
        <w:t>) (Civil) (By Leave)</w:t>
      </w:r>
      <w:r>
        <w:rPr>
          <w:sz w:val="20"/>
          <w:szCs w:val="20"/>
        </w:rPr>
        <w:t xml:space="preserve"> </w:t>
      </w:r>
      <w:r w:rsidR="003359D3" w:rsidRPr="000D3B6E">
        <w:rPr>
          <w:sz w:val="20"/>
          <w:szCs w:val="20"/>
        </w:rPr>
        <w:t>(34</w:t>
      </w:r>
      <w:r w:rsidR="00D51469">
        <w:rPr>
          <w:sz w:val="20"/>
          <w:szCs w:val="20"/>
        </w:rPr>
        <w:t>237</w:t>
      </w:r>
      <w:r w:rsidR="003359D3" w:rsidRPr="000D3B6E">
        <w:rPr>
          <w:sz w:val="20"/>
          <w:szCs w:val="20"/>
        </w:rPr>
        <w:t>)</w:t>
      </w:r>
    </w:p>
    <w:p w:rsidR="003359D3" w:rsidRPr="000D3B6E" w:rsidRDefault="003359D3" w:rsidP="003359D3">
      <w:pPr>
        <w:widowControl w:val="0"/>
        <w:jc w:val="both"/>
        <w:rPr>
          <w:sz w:val="20"/>
          <w:szCs w:val="20"/>
        </w:rPr>
      </w:pPr>
    </w:p>
    <w:p w:rsidR="003359D3" w:rsidRPr="000D3B6E" w:rsidRDefault="00DD6E75" w:rsidP="003359D3">
      <w:pPr>
        <w:pStyle w:val="ListParagraph"/>
        <w:widowControl w:val="0"/>
        <w:numPr>
          <w:ilvl w:val="0"/>
          <w:numId w:val="1"/>
        </w:numPr>
        <w:ind w:hanging="720"/>
        <w:jc w:val="both"/>
        <w:rPr>
          <w:sz w:val="20"/>
          <w:szCs w:val="20"/>
        </w:rPr>
      </w:pPr>
      <w:r w:rsidRPr="00DD6E75">
        <w:rPr>
          <w:i/>
          <w:sz w:val="20"/>
          <w:szCs w:val="20"/>
        </w:rPr>
        <w:t>Salma Jiwani et al. v. Royal and Sunalliance Canada</w:t>
      </w:r>
      <w:r w:rsidRPr="00DD6E75">
        <w:rPr>
          <w:sz w:val="20"/>
          <w:szCs w:val="20"/>
        </w:rPr>
        <w:t xml:space="preserve"> (Alta.) </w:t>
      </w:r>
      <w:r w:rsidRPr="00D51469">
        <w:rPr>
          <w:sz w:val="20"/>
          <w:szCs w:val="20"/>
        </w:rPr>
        <w:t>(Civil) (By Leave)</w:t>
      </w:r>
      <w:r w:rsidRPr="000D3B6E">
        <w:rPr>
          <w:sz w:val="20"/>
          <w:szCs w:val="20"/>
        </w:rPr>
        <w:t xml:space="preserve"> </w:t>
      </w:r>
      <w:r w:rsidR="003359D3" w:rsidRPr="000D3B6E">
        <w:rPr>
          <w:sz w:val="20"/>
          <w:szCs w:val="20"/>
        </w:rPr>
        <w:t>(34</w:t>
      </w:r>
      <w:r w:rsidR="00D51469">
        <w:rPr>
          <w:sz w:val="20"/>
          <w:szCs w:val="20"/>
        </w:rPr>
        <w:t>416</w:t>
      </w:r>
      <w:r w:rsidR="003359D3" w:rsidRPr="000D3B6E">
        <w:rPr>
          <w:sz w:val="20"/>
          <w:szCs w:val="20"/>
        </w:rPr>
        <w:t>)</w:t>
      </w:r>
    </w:p>
    <w:p w:rsidR="003359D3" w:rsidRPr="000D3B6E" w:rsidRDefault="003359D3" w:rsidP="003359D3">
      <w:pPr>
        <w:widowControl w:val="0"/>
        <w:jc w:val="both"/>
        <w:rPr>
          <w:sz w:val="20"/>
          <w:szCs w:val="20"/>
        </w:rPr>
      </w:pPr>
    </w:p>
    <w:p w:rsidR="003359D3" w:rsidRPr="000D3B6E" w:rsidRDefault="003359D3" w:rsidP="003359D3">
      <w:pPr>
        <w:widowControl w:val="0"/>
        <w:jc w:val="both"/>
        <w:rPr>
          <w:sz w:val="20"/>
          <w:szCs w:val="20"/>
        </w:rPr>
      </w:pPr>
    </w:p>
    <w:p w:rsidR="003359D3" w:rsidRPr="00C50A5C" w:rsidRDefault="003359D3" w:rsidP="003359D3">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3359D3" w:rsidRPr="00C50A5C" w:rsidRDefault="003359D3" w:rsidP="003359D3">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3359D3" w:rsidRPr="00C50A5C" w:rsidRDefault="003359D3" w:rsidP="003359D3">
      <w:pPr>
        <w:widowControl w:val="0"/>
        <w:jc w:val="both"/>
        <w:rPr>
          <w:sz w:val="20"/>
          <w:szCs w:val="20"/>
          <w:lang w:val="fr-CA"/>
        </w:rPr>
      </w:pPr>
    </w:p>
    <w:p w:rsidR="003359D3" w:rsidRPr="00C50A5C" w:rsidRDefault="00DD6E75" w:rsidP="003359D3">
      <w:pPr>
        <w:pStyle w:val="ListParagraph"/>
        <w:widowControl w:val="0"/>
        <w:numPr>
          <w:ilvl w:val="0"/>
          <w:numId w:val="1"/>
        </w:numPr>
        <w:ind w:hanging="720"/>
        <w:jc w:val="both"/>
        <w:rPr>
          <w:sz w:val="20"/>
          <w:szCs w:val="20"/>
          <w:lang w:val="fr-CA"/>
        </w:rPr>
      </w:pPr>
      <w:r w:rsidRPr="00DD6E75">
        <w:rPr>
          <w:i/>
          <w:sz w:val="20"/>
          <w:szCs w:val="20"/>
          <w:lang w:val="fr-CA"/>
        </w:rPr>
        <w:t>Robin Rivest c. Sa Majesté la Reine</w:t>
      </w:r>
      <w:r w:rsidRPr="00D51469">
        <w:rPr>
          <w:sz w:val="20"/>
          <w:szCs w:val="20"/>
          <w:lang w:val="fr-CA"/>
        </w:rPr>
        <w:t xml:space="preserve"> (Qc) (Crim</w:t>
      </w:r>
      <w:r>
        <w:rPr>
          <w:sz w:val="20"/>
          <w:szCs w:val="20"/>
          <w:lang w:val="fr-CA"/>
        </w:rPr>
        <w:t>.</w:t>
      </w:r>
      <w:r w:rsidRPr="00D51469">
        <w:rPr>
          <w:sz w:val="20"/>
          <w:szCs w:val="20"/>
          <w:lang w:val="fr-CA"/>
        </w:rPr>
        <w:t>) (Autorisation)</w:t>
      </w:r>
      <w:r w:rsidRPr="00C50A5C">
        <w:rPr>
          <w:sz w:val="20"/>
          <w:szCs w:val="20"/>
          <w:lang w:val="fr-CA"/>
        </w:rPr>
        <w:t xml:space="preserve"> </w:t>
      </w:r>
      <w:r w:rsidR="003359D3" w:rsidRPr="00C50A5C">
        <w:rPr>
          <w:sz w:val="20"/>
          <w:szCs w:val="20"/>
          <w:lang w:val="fr-CA"/>
        </w:rPr>
        <w:t>(3</w:t>
      </w:r>
      <w:r w:rsidR="003359D3">
        <w:rPr>
          <w:sz w:val="20"/>
          <w:szCs w:val="20"/>
          <w:lang w:val="fr-CA"/>
        </w:rPr>
        <w:t>4</w:t>
      </w:r>
      <w:r w:rsidR="00D51469">
        <w:rPr>
          <w:sz w:val="20"/>
          <w:szCs w:val="20"/>
          <w:lang w:val="fr-CA"/>
        </w:rPr>
        <w:t>395</w:t>
      </w:r>
      <w:r w:rsidR="003359D3" w:rsidRPr="00C50A5C">
        <w:rPr>
          <w:sz w:val="20"/>
          <w:szCs w:val="20"/>
          <w:lang w:val="fr-CA"/>
        </w:rPr>
        <w:t>)</w:t>
      </w:r>
    </w:p>
    <w:p w:rsidR="003359D3" w:rsidRPr="00C50A5C" w:rsidRDefault="003359D3" w:rsidP="003359D3">
      <w:pPr>
        <w:widowControl w:val="0"/>
        <w:rPr>
          <w:sz w:val="20"/>
          <w:szCs w:val="20"/>
          <w:lang w:val="fr-CA"/>
        </w:rPr>
      </w:pPr>
    </w:p>
    <w:p w:rsidR="003359D3" w:rsidRPr="00C50A5C" w:rsidRDefault="00DD6E75" w:rsidP="003359D3">
      <w:pPr>
        <w:pStyle w:val="ListParagraph"/>
        <w:widowControl w:val="0"/>
        <w:numPr>
          <w:ilvl w:val="0"/>
          <w:numId w:val="1"/>
        </w:numPr>
        <w:ind w:hanging="720"/>
        <w:jc w:val="both"/>
        <w:rPr>
          <w:sz w:val="20"/>
          <w:szCs w:val="20"/>
          <w:lang w:val="fr-CA"/>
        </w:rPr>
      </w:pPr>
      <w:r w:rsidRPr="00DD6E75">
        <w:rPr>
          <w:i/>
          <w:sz w:val="20"/>
          <w:szCs w:val="20"/>
        </w:rPr>
        <w:t>Attorney General of Canada v. Robert Kane</w:t>
      </w:r>
      <w:r w:rsidRPr="00D51469">
        <w:rPr>
          <w:sz w:val="20"/>
          <w:szCs w:val="20"/>
        </w:rPr>
        <w:t xml:space="preserve"> (F</w:t>
      </w:r>
      <w:r>
        <w:rPr>
          <w:sz w:val="20"/>
          <w:szCs w:val="20"/>
        </w:rPr>
        <w:t>.</w:t>
      </w:r>
      <w:r w:rsidRPr="00D51469">
        <w:rPr>
          <w:sz w:val="20"/>
          <w:szCs w:val="20"/>
        </w:rPr>
        <w:t>C</w:t>
      </w:r>
      <w:r>
        <w:rPr>
          <w:sz w:val="20"/>
          <w:szCs w:val="20"/>
        </w:rPr>
        <w:t>.</w:t>
      </w:r>
      <w:r w:rsidRPr="00D51469">
        <w:rPr>
          <w:sz w:val="20"/>
          <w:szCs w:val="20"/>
        </w:rPr>
        <w:t>) (Civil) (By Leave)</w:t>
      </w:r>
      <w:r w:rsidRPr="00C50A5C">
        <w:rPr>
          <w:sz w:val="20"/>
          <w:szCs w:val="20"/>
          <w:lang w:val="fr-CA"/>
        </w:rPr>
        <w:t xml:space="preserve"> </w:t>
      </w:r>
      <w:r w:rsidR="003359D3" w:rsidRPr="00C50A5C">
        <w:rPr>
          <w:sz w:val="20"/>
          <w:szCs w:val="20"/>
          <w:lang w:val="fr-CA"/>
        </w:rPr>
        <w:t>(3</w:t>
      </w:r>
      <w:r w:rsidR="003359D3">
        <w:rPr>
          <w:sz w:val="20"/>
          <w:szCs w:val="20"/>
          <w:lang w:val="fr-CA"/>
        </w:rPr>
        <w:t>4</w:t>
      </w:r>
      <w:r w:rsidR="003359D3" w:rsidRPr="00C50A5C">
        <w:rPr>
          <w:sz w:val="20"/>
          <w:szCs w:val="20"/>
          <w:lang w:val="fr-CA"/>
        </w:rPr>
        <w:t>1</w:t>
      </w:r>
      <w:r w:rsidR="00D51469">
        <w:rPr>
          <w:sz w:val="20"/>
          <w:szCs w:val="20"/>
          <w:lang w:val="fr-CA"/>
        </w:rPr>
        <w:t>47</w:t>
      </w:r>
      <w:r w:rsidR="003359D3" w:rsidRPr="00C50A5C">
        <w:rPr>
          <w:sz w:val="20"/>
          <w:szCs w:val="20"/>
          <w:lang w:val="fr-CA"/>
        </w:rPr>
        <w:t>)</w:t>
      </w:r>
    </w:p>
    <w:p w:rsidR="002E2327" w:rsidRDefault="002E2327" w:rsidP="002E2327">
      <w:pPr>
        <w:widowControl w:val="0"/>
        <w:rPr>
          <w:sz w:val="20"/>
          <w:szCs w:val="20"/>
          <w:lang w:val="fr-CA"/>
        </w:rPr>
      </w:pPr>
    </w:p>
    <w:p w:rsidR="00F73561" w:rsidRDefault="004D21E4" w:rsidP="002E2327">
      <w:pPr>
        <w:widowControl w:val="0"/>
        <w:rPr>
          <w:sz w:val="20"/>
          <w:szCs w:val="20"/>
        </w:rPr>
      </w:pPr>
      <w:r w:rsidRPr="004D21E4">
        <w:rPr>
          <w:sz w:val="20"/>
          <w:szCs w:val="20"/>
        </w:rPr>
        <w:pict>
          <v:rect id="_x0000_i1041" style="width:2in;height:1pt" o:hrpct="0" o:hralign="center" o:hrstd="t" o:hrnoshade="t" o:hr="t" fillcolor="black [3213]" stroked="f"/>
        </w:pict>
      </w:r>
    </w:p>
    <w:p w:rsidR="00F73561" w:rsidRDefault="00F73561" w:rsidP="002E2327">
      <w:pPr>
        <w:widowControl w:val="0"/>
        <w:rPr>
          <w:sz w:val="20"/>
          <w:szCs w:val="20"/>
          <w:lang w:val="fr-CA"/>
        </w:rPr>
      </w:pPr>
    </w:p>
    <w:p w:rsidR="00DD6E75" w:rsidRDefault="00DD6E75" w:rsidP="002E2327">
      <w:pPr>
        <w:widowControl w:val="0"/>
        <w:rPr>
          <w:sz w:val="20"/>
          <w:szCs w:val="20"/>
          <w:lang w:val="fr-CA"/>
        </w:rPr>
      </w:pPr>
    </w:p>
    <w:p w:rsidR="00C73BED" w:rsidRPr="006A7445" w:rsidRDefault="00C73BED" w:rsidP="00C73BED">
      <w:pPr>
        <w:widowControl w:val="0"/>
        <w:rPr>
          <w:b/>
          <w:sz w:val="20"/>
          <w:szCs w:val="20"/>
          <w:lang w:val="fr-CA"/>
        </w:rPr>
      </w:pPr>
      <w:r w:rsidRPr="006A7445">
        <w:rPr>
          <w:b/>
          <w:sz w:val="20"/>
          <w:szCs w:val="20"/>
          <w:lang w:val="fr-CA"/>
        </w:rPr>
        <w:t>OCTOBER 1</w:t>
      </w:r>
      <w:r w:rsidR="00F73561" w:rsidRPr="006A7445">
        <w:rPr>
          <w:b/>
          <w:sz w:val="20"/>
          <w:szCs w:val="20"/>
          <w:lang w:val="fr-CA"/>
        </w:rPr>
        <w:t>1</w:t>
      </w:r>
      <w:r w:rsidRPr="006A7445">
        <w:rPr>
          <w:b/>
          <w:sz w:val="20"/>
          <w:szCs w:val="20"/>
          <w:lang w:val="fr-CA"/>
        </w:rPr>
        <w:t>, 2011 / LE 1</w:t>
      </w:r>
      <w:r w:rsidR="00F73561" w:rsidRPr="006A7445">
        <w:rPr>
          <w:b/>
          <w:sz w:val="20"/>
          <w:szCs w:val="20"/>
          <w:lang w:val="fr-CA"/>
        </w:rPr>
        <w:t>1</w:t>
      </w:r>
      <w:r w:rsidRPr="006A7445">
        <w:rPr>
          <w:b/>
          <w:sz w:val="20"/>
          <w:szCs w:val="20"/>
          <w:lang w:val="fr-CA"/>
        </w:rPr>
        <w:t xml:space="preserve"> OCTOBRE 2011</w:t>
      </w:r>
    </w:p>
    <w:p w:rsidR="00F73561" w:rsidRPr="006A7445" w:rsidRDefault="00F73561" w:rsidP="00C73BED">
      <w:pPr>
        <w:widowControl w:val="0"/>
        <w:rPr>
          <w:b/>
          <w:sz w:val="20"/>
          <w:szCs w:val="20"/>
          <w:lang w:val="fr-CA"/>
        </w:rPr>
      </w:pPr>
    </w:p>
    <w:p w:rsidR="00F73561" w:rsidRPr="00F73561" w:rsidRDefault="00F73561" w:rsidP="00C73BED">
      <w:pPr>
        <w:widowControl w:val="0"/>
        <w:rPr>
          <w:b/>
          <w:sz w:val="20"/>
          <w:szCs w:val="20"/>
          <w:lang w:val="fr-CA"/>
        </w:rPr>
      </w:pPr>
      <w:r w:rsidRPr="00F73561">
        <w:rPr>
          <w:b/>
          <w:sz w:val="20"/>
          <w:szCs w:val="20"/>
          <w:lang w:val="fr-CA"/>
        </w:rPr>
        <w:t>Revised OCTOBER 17, 2011 / Révisé LE 17 OCTOBRE 2011</w:t>
      </w:r>
    </w:p>
    <w:p w:rsidR="00C73BED" w:rsidRPr="00F73561" w:rsidRDefault="00C73BED" w:rsidP="00C73BED">
      <w:pPr>
        <w:widowControl w:val="0"/>
        <w:rPr>
          <w:sz w:val="20"/>
          <w:szCs w:val="20"/>
          <w:lang w:val="fr-CA"/>
        </w:rPr>
      </w:pPr>
    </w:p>
    <w:p w:rsidR="00C73BED" w:rsidRPr="00C50A5C" w:rsidRDefault="00C73BED" w:rsidP="00C73BED">
      <w:pPr>
        <w:widowControl w:val="0"/>
        <w:jc w:val="center"/>
        <w:rPr>
          <w:b/>
          <w:sz w:val="20"/>
          <w:szCs w:val="20"/>
        </w:rPr>
      </w:pPr>
      <w:r w:rsidRPr="00A71F32">
        <w:rPr>
          <w:b/>
          <w:sz w:val="20"/>
          <w:szCs w:val="20"/>
        </w:rPr>
        <w:t>C</w:t>
      </w:r>
      <w:r w:rsidRPr="00C50A5C">
        <w:rPr>
          <w:b/>
          <w:sz w:val="20"/>
          <w:szCs w:val="20"/>
        </w:rPr>
        <w:t xml:space="preserve">ORAM: Binnie, </w:t>
      </w:r>
      <w:r>
        <w:rPr>
          <w:b/>
          <w:sz w:val="20"/>
          <w:szCs w:val="20"/>
        </w:rPr>
        <w:t>Deschamps</w:t>
      </w:r>
      <w:r w:rsidRPr="00C50A5C">
        <w:rPr>
          <w:b/>
          <w:sz w:val="20"/>
          <w:szCs w:val="20"/>
        </w:rPr>
        <w:t xml:space="preserve"> and Rothstein JJ.</w:t>
      </w:r>
    </w:p>
    <w:p w:rsidR="00C73BED" w:rsidRPr="00C73BED" w:rsidRDefault="00C73BED" w:rsidP="00C73BED">
      <w:pPr>
        <w:widowControl w:val="0"/>
        <w:jc w:val="center"/>
        <w:rPr>
          <w:sz w:val="20"/>
          <w:szCs w:val="20"/>
          <w:lang w:val="fr-CA"/>
        </w:rPr>
      </w:pPr>
      <w:r w:rsidRPr="00C50A5C">
        <w:rPr>
          <w:b/>
          <w:sz w:val="20"/>
          <w:szCs w:val="20"/>
          <w:lang w:val="fr-CA"/>
        </w:rPr>
        <w:t xml:space="preserve">Les juges Binnie, </w:t>
      </w:r>
      <w:r>
        <w:rPr>
          <w:b/>
          <w:sz w:val="20"/>
          <w:szCs w:val="20"/>
          <w:lang w:val="fr-CA"/>
        </w:rPr>
        <w:t>Deschamps</w:t>
      </w:r>
      <w:r w:rsidRPr="00C50A5C">
        <w:rPr>
          <w:b/>
          <w:sz w:val="20"/>
          <w:szCs w:val="20"/>
          <w:lang w:val="fr-CA"/>
        </w:rPr>
        <w:t xml:space="preserve"> et Rothstein</w:t>
      </w:r>
    </w:p>
    <w:p w:rsidR="00C73BED" w:rsidRPr="00C50A5C" w:rsidRDefault="00C73BED" w:rsidP="00C73BED">
      <w:pPr>
        <w:widowControl w:val="0"/>
        <w:rPr>
          <w:sz w:val="20"/>
          <w:szCs w:val="20"/>
          <w:lang w:val="fr-CA"/>
        </w:rPr>
      </w:pPr>
    </w:p>
    <w:p w:rsidR="00C73BED" w:rsidRPr="00C73BED" w:rsidRDefault="00C73BED" w:rsidP="00C73BED">
      <w:pPr>
        <w:pStyle w:val="ListParagraph"/>
        <w:widowControl w:val="0"/>
        <w:numPr>
          <w:ilvl w:val="0"/>
          <w:numId w:val="2"/>
        </w:numPr>
        <w:ind w:hanging="720"/>
        <w:jc w:val="both"/>
        <w:rPr>
          <w:sz w:val="20"/>
          <w:szCs w:val="20"/>
        </w:rPr>
      </w:pPr>
      <w:r w:rsidRPr="00F73561">
        <w:rPr>
          <w:i/>
          <w:sz w:val="20"/>
          <w:szCs w:val="20"/>
        </w:rPr>
        <w:t>Attorney General of Canada on behalf of the United States of America v. Abdullah Khadr</w:t>
      </w:r>
      <w:r>
        <w:rPr>
          <w:sz w:val="20"/>
          <w:szCs w:val="20"/>
        </w:rPr>
        <w:t xml:space="preserve"> (Ont.) (Crim.) (By</w:t>
      </w:r>
      <w:r w:rsidR="00F73561">
        <w:rPr>
          <w:sz w:val="20"/>
          <w:szCs w:val="20"/>
        </w:rPr>
        <w:t> </w:t>
      </w:r>
      <w:r>
        <w:rPr>
          <w:sz w:val="20"/>
          <w:szCs w:val="20"/>
        </w:rPr>
        <w:t xml:space="preserve">Leave) </w:t>
      </w:r>
      <w:r w:rsidRPr="00C73BED">
        <w:rPr>
          <w:sz w:val="20"/>
          <w:szCs w:val="20"/>
        </w:rPr>
        <w:t>(34</w:t>
      </w:r>
      <w:r>
        <w:rPr>
          <w:sz w:val="20"/>
          <w:szCs w:val="20"/>
        </w:rPr>
        <w:t>357</w:t>
      </w:r>
      <w:r w:rsidRPr="00C73BED">
        <w:rPr>
          <w:sz w:val="20"/>
          <w:szCs w:val="20"/>
        </w:rPr>
        <w:t>)</w:t>
      </w:r>
    </w:p>
    <w:p w:rsidR="00C73BED" w:rsidRPr="00C73BED" w:rsidRDefault="00C73BED" w:rsidP="002E2327">
      <w:pPr>
        <w:widowControl w:val="0"/>
        <w:rPr>
          <w:sz w:val="20"/>
          <w:szCs w:val="20"/>
        </w:rPr>
      </w:pPr>
    </w:p>
    <w:p w:rsidR="002E2327" w:rsidRPr="00C50A5C" w:rsidRDefault="004D21E4" w:rsidP="002E2327">
      <w:pPr>
        <w:widowControl w:val="0"/>
        <w:rPr>
          <w:sz w:val="20"/>
          <w:szCs w:val="20"/>
        </w:rPr>
      </w:pPr>
      <w:r w:rsidRPr="004D21E4">
        <w:rPr>
          <w:sz w:val="20"/>
          <w:szCs w:val="20"/>
        </w:rPr>
        <w:pict>
          <v:rect id="_x0000_i1042"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682661"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7B50F9" w:rsidP="008D292F">
      <w:pPr>
        <w:rPr>
          <w:b/>
          <w:sz w:val="20"/>
          <w:szCs w:val="20"/>
        </w:rPr>
      </w:pPr>
      <w:r>
        <w:rPr>
          <w:b/>
          <w:sz w:val="20"/>
          <w:szCs w:val="20"/>
        </w:rPr>
        <w:t>OCTOBER 20</w:t>
      </w:r>
      <w:r w:rsidR="008D292F" w:rsidRPr="00C50A5C">
        <w:rPr>
          <w:b/>
          <w:sz w:val="20"/>
          <w:szCs w:val="20"/>
        </w:rPr>
        <w:t>, 201</w:t>
      </w:r>
      <w:r>
        <w:rPr>
          <w:b/>
          <w:sz w:val="20"/>
          <w:szCs w:val="20"/>
        </w:rPr>
        <w:t>1</w:t>
      </w:r>
      <w:r w:rsidR="008D292F" w:rsidRPr="00C50A5C">
        <w:rPr>
          <w:b/>
          <w:sz w:val="20"/>
          <w:szCs w:val="20"/>
        </w:rPr>
        <w:t xml:space="preserve"> / LE 2</w:t>
      </w:r>
      <w:r>
        <w:rPr>
          <w:b/>
          <w:sz w:val="20"/>
          <w:szCs w:val="20"/>
        </w:rPr>
        <w:t>0 OCTOB</w:t>
      </w:r>
      <w:r w:rsidR="008D292F" w:rsidRPr="00C50A5C">
        <w:rPr>
          <w:b/>
          <w:sz w:val="20"/>
          <w:szCs w:val="20"/>
        </w:rPr>
        <w:t>R</w:t>
      </w:r>
      <w:r>
        <w:rPr>
          <w:b/>
          <w:sz w:val="20"/>
          <w:szCs w:val="20"/>
        </w:rPr>
        <w:t>E</w:t>
      </w:r>
      <w:r w:rsidR="008D292F" w:rsidRPr="00C50A5C">
        <w:rPr>
          <w:b/>
          <w:sz w:val="20"/>
          <w:szCs w:val="20"/>
        </w:rPr>
        <w:t xml:space="preserve"> 201</w:t>
      </w:r>
      <w:r>
        <w:rPr>
          <w:b/>
          <w:sz w:val="20"/>
          <w:szCs w:val="20"/>
        </w:rPr>
        <w:t>1</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5198A" w:rsidRPr="0025198A" w:rsidTr="002E3508">
        <w:trPr>
          <w:cantSplit/>
        </w:trPr>
        <w:tc>
          <w:tcPr>
            <w:tcW w:w="1458" w:type="dxa"/>
          </w:tcPr>
          <w:p w:rsidR="0025198A" w:rsidRPr="0025198A" w:rsidRDefault="0025198A" w:rsidP="002E3508">
            <w:pPr>
              <w:rPr>
                <w:sz w:val="20"/>
                <w:szCs w:val="20"/>
              </w:rPr>
            </w:pPr>
            <w:r w:rsidRPr="0025198A">
              <w:rPr>
                <w:rStyle w:val="SCCFileNumberChar"/>
                <w:sz w:val="20"/>
                <w:szCs w:val="20"/>
              </w:rPr>
              <w:t>34092</w:t>
            </w:r>
          </w:p>
          <w:p w:rsidR="0025198A" w:rsidRPr="0025198A" w:rsidRDefault="0025198A" w:rsidP="002E3508">
            <w:pPr>
              <w:rPr>
                <w:b/>
                <w:sz w:val="20"/>
                <w:szCs w:val="20"/>
                <w:lang w:val="fr-CA"/>
              </w:rPr>
            </w:pPr>
          </w:p>
        </w:tc>
        <w:tc>
          <w:tcPr>
            <w:tcW w:w="8118" w:type="dxa"/>
          </w:tcPr>
          <w:p w:rsidR="0025198A" w:rsidRPr="0025198A" w:rsidRDefault="0025198A" w:rsidP="002E3508">
            <w:pPr>
              <w:jc w:val="both"/>
              <w:rPr>
                <w:sz w:val="20"/>
                <w:szCs w:val="20"/>
              </w:rPr>
            </w:pPr>
            <w:r w:rsidRPr="0025198A">
              <w:rPr>
                <w:rStyle w:val="SCCLsocChar"/>
                <w:sz w:val="20"/>
                <w:szCs w:val="20"/>
                <w:lang w:val="en-CA"/>
              </w:rPr>
              <w:t>CMRRA-SODRAC Inc. (CSI) v. Canadian Satellite Radio Inc., Sirius Canada Inc., Society of Composers, Authors and Music Publishers of Canada (SOCAN)</w:t>
            </w:r>
            <w:r w:rsidR="0045028E">
              <w:rPr>
                <w:rStyle w:val="SCCLsocChar"/>
                <w:sz w:val="20"/>
                <w:szCs w:val="20"/>
                <w:lang w:val="en-CA"/>
              </w:rPr>
              <w:t xml:space="preserve"> and</w:t>
            </w:r>
            <w:r w:rsidRPr="0025198A">
              <w:rPr>
                <w:rStyle w:val="SCCLsocChar"/>
                <w:sz w:val="20"/>
                <w:szCs w:val="20"/>
                <w:lang w:val="en-CA"/>
              </w:rPr>
              <w:t xml:space="preserve"> Neighbouring Rights Collective of Canada (NRCC)</w:t>
            </w:r>
            <w:r w:rsidRPr="0025198A">
              <w:rPr>
                <w:sz w:val="20"/>
                <w:szCs w:val="20"/>
              </w:rPr>
              <w:t xml:space="preserve"> (F.C.) (Civil) (By Leave)</w:t>
            </w:r>
          </w:p>
          <w:p w:rsidR="0025198A" w:rsidRPr="0025198A" w:rsidRDefault="0025198A" w:rsidP="002E3508">
            <w:pPr>
              <w:rPr>
                <w:sz w:val="20"/>
                <w:szCs w:val="20"/>
              </w:rPr>
            </w:pPr>
          </w:p>
        </w:tc>
      </w:tr>
      <w:tr w:rsidR="0025198A" w:rsidRPr="0025198A" w:rsidTr="002E3508">
        <w:trPr>
          <w:cantSplit/>
        </w:trPr>
        <w:tc>
          <w:tcPr>
            <w:tcW w:w="1458" w:type="dxa"/>
          </w:tcPr>
          <w:p w:rsidR="0025198A" w:rsidRPr="0025198A" w:rsidRDefault="0025198A" w:rsidP="002E3508">
            <w:pPr>
              <w:rPr>
                <w:sz w:val="20"/>
                <w:szCs w:val="20"/>
              </w:rPr>
            </w:pPr>
            <w:r w:rsidRPr="0025198A">
              <w:rPr>
                <w:sz w:val="20"/>
                <w:szCs w:val="20"/>
              </w:rPr>
              <w:t>Coram :</w:t>
            </w:r>
          </w:p>
        </w:tc>
        <w:tc>
          <w:tcPr>
            <w:tcW w:w="8118" w:type="dxa"/>
          </w:tcPr>
          <w:p w:rsidR="0025198A" w:rsidRPr="0025198A" w:rsidRDefault="0025198A" w:rsidP="002E3508">
            <w:pPr>
              <w:rPr>
                <w:sz w:val="20"/>
                <w:szCs w:val="20"/>
              </w:rPr>
            </w:pPr>
            <w:r w:rsidRPr="0025198A">
              <w:rPr>
                <w:rStyle w:val="SCCCoramChar"/>
                <w:sz w:val="20"/>
                <w:szCs w:val="20"/>
              </w:rPr>
              <w:t>McLachlin C.J. and Deschamps and Charron JJ.</w:t>
            </w:r>
          </w:p>
          <w:p w:rsidR="0025198A" w:rsidRPr="0025198A" w:rsidRDefault="0025198A" w:rsidP="002E3508">
            <w:pPr>
              <w:rPr>
                <w:sz w:val="20"/>
                <w:szCs w:val="20"/>
                <w:u w:val="single"/>
              </w:rPr>
            </w:pPr>
          </w:p>
        </w:tc>
      </w:tr>
      <w:tr w:rsidR="0025198A" w:rsidRPr="00682661" w:rsidTr="002E3508">
        <w:trPr>
          <w:cantSplit/>
        </w:trPr>
        <w:tc>
          <w:tcPr>
            <w:tcW w:w="9576" w:type="dxa"/>
            <w:gridSpan w:val="2"/>
          </w:tcPr>
          <w:p w:rsidR="0025198A" w:rsidRPr="0025198A" w:rsidRDefault="0025198A" w:rsidP="002E3508">
            <w:pPr>
              <w:pStyle w:val="SCCShortJudgment"/>
              <w:rPr>
                <w:szCs w:val="20"/>
              </w:rPr>
            </w:pPr>
            <w:r w:rsidRPr="0025198A">
              <w:rPr>
                <w:szCs w:val="20"/>
              </w:rPr>
              <w:t>The application for leave to appeal from the judgment of the Federal Court of Appeal, Number A-210-09, 2010 FCA 348, dated December 16, 2010, is dismissed with costs to the respondents Canadian Satellite Radio Inc. and Sirius Canada Inc. The request by Sirius Canada Inc. for special costs award is denied.</w:t>
            </w:r>
          </w:p>
          <w:p w:rsidR="0025198A" w:rsidRPr="0025198A" w:rsidRDefault="0025198A" w:rsidP="002E3508">
            <w:pPr>
              <w:pStyle w:val="SCCShortJudgment"/>
              <w:ind w:firstLine="0"/>
              <w:rPr>
                <w:szCs w:val="20"/>
              </w:rPr>
            </w:pPr>
          </w:p>
          <w:p w:rsidR="0025198A" w:rsidRPr="0025198A" w:rsidRDefault="0025198A" w:rsidP="002E3508">
            <w:pPr>
              <w:pStyle w:val="SCCShortJudgment"/>
              <w:rPr>
                <w:szCs w:val="20"/>
                <w:lang w:val="fr-CA"/>
              </w:rPr>
            </w:pPr>
            <w:r w:rsidRPr="0025198A">
              <w:rPr>
                <w:szCs w:val="20"/>
                <w:lang w:val="fr-CA"/>
              </w:rPr>
              <w:t>La demande d’autorisation d’appel de l’arrêt de la Cour d’appel fédérale, numéro A-210-09, 2010 CAF 348, daté du 16 décembre 2010, est rejetée avec dépens en faveur des intimées Canadian Satellite Radio Inc. et Sirius Canada Inc.  La demande de Sirius Canada Inc. en vue d’obtenir des dépens spéciaux est refusée.</w:t>
            </w:r>
          </w:p>
        </w:tc>
      </w:tr>
    </w:tbl>
    <w:p w:rsidR="007B50F9" w:rsidRPr="0025198A" w:rsidRDefault="007B50F9" w:rsidP="008D292F">
      <w:pPr>
        <w:rPr>
          <w:sz w:val="20"/>
          <w:szCs w:val="20"/>
          <w:lang w:val="fr-CA"/>
        </w:rPr>
      </w:pPr>
    </w:p>
    <w:p w:rsidR="007B50F9" w:rsidRPr="007B50F9" w:rsidRDefault="007B50F9" w:rsidP="008D292F">
      <w:pPr>
        <w:rPr>
          <w:sz w:val="20"/>
          <w:szCs w:val="20"/>
        </w:rPr>
      </w:pPr>
      <w:r>
        <w:rPr>
          <w:sz w:val="20"/>
          <w:szCs w:val="20"/>
          <w:u w:val="single"/>
        </w:rPr>
        <w:t>CASE SUMMARY</w:t>
      </w:r>
    </w:p>
    <w:p w:rsidR="007B50F9" w:rsidRDefault="007B50F9"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80C89" w:rsidRPr="00BE6616" w:rsidTr="00E12E48">
        <w:tc>
          <w:tcPr>
            <w:tcW w:w="5000" w:type="pct"/>
            <w:gridSpan w:val="3"/>
          </w:tcPr>
          <w:p w:rsidR="00380C89" w:rsidRPr="00BE6616" w:rsidRDefault="00380C89" w:rsidP="00E12E48">
            <w:pPr>
              <w:jc w:val="both"/>
              <w:rPr>
                <w:rFonts w:eastAsia="Calibri"/>
                <w:sz w:val="20"/>
              </w:rPr>
            </w:pPr>
            <w:r w:rsidRPr="00BE6616">
              <w:rPr>
                <w:rFonts w:eastAsia="Calibri"/>
                <w:sz w:val="20"/>
              </w:rPr>
              <w:t xml:space="preserve">Intellectual Property — Copyright — Infringement — Musical works — Copying — Authorization — Whether the Copyright Board has the jurisdiction to impose a royalty tariff in respect of a copy of a work made in the United States as a direct result of an act taken by a person in Canada — Whether the Copyright Board has jurisdiction to impose a royalty tariff in respect of a person’s authorization, within the meaning of s. 3(1) of the </w:t>
            </w:r>
            <w:r w:rsidRPr="00BE6616">
              <w:rPr>
                <w:rFonts w:eastAsia="Calibri"/>
                <w:i/>
                <w:sz w:val="20"/>
              </w:rPr>
              <w:t>Copyright Act</w:t>
            </w:r>
            <w:r w:rsidRPr="00BE6616">
              <w:rPr>
                <w:rFonts w:eastAsia="Calibri"/>
                <w:sz w:val="20"/>
              </w:rPr>
              <w:t>, R.S.C. 1985, c. C-42, in Canada of the making in the United States of a copy of a work — Whether a work is copied when 4 to 10 second segments of the work are copied in the buffer memory of a satellite radio receiver or a personal computer — Whether that 4 to 10 second segment of a work constitutes a substantial part of that work.</w:t>
            </w:r>
          </w:p>
        </w:tc>
      </w:tr>
      <w:tr w:rsidR="00380C89" w:rsidRPr="00BE6616" w:rsidTr="00E12E48">
        <w:tc>
          <w:tcPr>
            <w:tcW w:w="5000" w:type="pct"/>
            <w:gridSpan w:val="3"/>
          </w:tcPr>
          <w:p w:rsidR="00380C89" w:rsidRPr="00BE6616" w:rsidRDefault="00380C89" w:rsidP="00E12E48">
            <w:pPr>
              <w:jc w:val="both"/>
              <w:rPr>
                <w:rFonts w:eastAsia="Calibri"/>
                <w:sz w:val="20"/>
              </w:rPr>
            </w:pPr>
          </w:p>
        </w:tc>
      </w:tr>
      <w:tr w:rsidR="00380C89" w:rsidRPr="00BE6616" w:rsidTr="00E12E48">
        <w:tc>
          <w:tcPr>
            <w:tcW w:w="5000" w:type="pct"/>
            <w:gridSpan w:val="3"/>
          </w:tcPr>
          <w:p w:rsidR="00380C89" w:rsidRPr="00BE6616" w:rsidRDefault="00380C89" w:rsidP="00E12E48">
            <w:pPr>
              <w:jc w:val="both"/>
              <w:rPr>
                <w:rFonts w:eastAsia="Calibri"/>
                <w:sz w:val="20"/>
              </w:rPr>
            </w:pPr>
            <w:r w:rsidRPr="00BE6616">
              <w:rPr>
                <w:rFonts w:eastAsia="Calibri"/>
                <w:sz w:val="20"/>
              </w:rPr>
              <w:t>The applicant CMRRA-SODRAC Inc. (“CSI”) administers reproduction rights in Canada on behalf of authors and publishers of musical works.  The respondents Canadian Satellite Radio Inc. and Sirius Canada Inc. are satellite radio service providers. After the arrival in Canada of those service providers, CSI sought royalties in connection with some of their activities. Specifically, CSI sought royalties for copies of works made in the U.S. by their American counterparts, as well as for acts posed by them in Canada when they prompt their American counterparts to reproduce those works.  CSI also sought royalties for the 4 to 10 seconds of content stored in the buffer memories of the satellite receivers supplied by the service providers to their subscribers.  The Copyright Board held that it had no jurisdiction to impose a royalty tariff in respect of a copy of a work made in the U.S. as a direct result of an act taken by the Canadian service providers in Canada.  It also concluded that it had no jurisdiction to impose a royalty tariff in respect of the service providers’ alleged “authorization” in Canada of the making in the U.S. of those copies.  Finally, the Board held that the 4 to 10 seconds of content stored in the buffer memory does not constitute a copy of a work, nor is it a substantial part of a work.  The Federal Court of Appeal dismissed the application for judicial review.</w:t>
            </w:r>
          </w:p>
          <w:p w:rsidR="00380C89" w:rsidRPr="00BE6616" w:rsidRDefault="00380C89" w:rsidP="00E12E48">
            <w:pPr>
              <w:jc w:val="both"/>
              <w:rPr>
                <w:rFonts w:eastAsia="Calibri"/>
                <w:sz w:val="20"/>
              </w:rPr>
            </w:pPr>
          </w:p>
        </w:tc>
      </w:tr>
      <w:tr w:rsidR="00380C89" w:rsidRPr="00BE6616" w:rsidTr="00E12E48">
        <w:tc>
          <w:tcPr>
            <w:tcW w:w="2427" w:type="pct"/>
          </w:tcPr>
          <w:p w:rsidR="00380C89" w:rsidRPr="00BE6616" w:rsidRDefault="00380C89" w:rsidP="00E12E48">
            <w:pPr>
              <w:jc w:val="both"/>
              <w:rPr>
                <w:rFonts w:eastAsia="Calibri"/>
                <w:sz w:val="20"/>
              </w:rPr>
            </w:pPr>
            <w:r w:rsidRPr="00BE6616">
              <w:rPr>
                <w:rFonts w:eastAsia="Calibri"/>
                <w:sz w:val="20"/>
              </w:rPr>
              <w:t>April 8, 2009</w:t>
            </w:r>
          </w:p>
          <w:p w:rsidR="00380C89" w:rsidRPr="00BE6616" w:rsidRDefault="00380C89" w:rsidP="00E12E48">
            <w:pPr>
              <w:jc w:val="both"/>
              <w:rPr>
                <w:rFonts w:eastAsia="Calibri"/>
                <w:sz w:val="20"/>
              </w:rPr>
            </w:pPr>
            <w:r w:rsidRPr="00BE6616">
              <w:rPr>
                <w:rFonts w:eastAsia="Calibri"/>
                <w:sz w:val="20"/>
              </w:rPr>
              <w:t>Copyright Board of Canada</w:t>
            </w:r>
          </w:p>
          <w:p w:rsidR="00380C89" w:rsidRPr="00BE6616" w:rsidRDefault="00380C89" w:rsidP="00E12E48">
            <w:pPr>
              <w:jc w:val="both"/>
              <w:rPr>
                <w:rFonts w:eastAsia="Calibri"/>
                <w:sz w:val="20"/>
              </w:rPr>
            </w:pPr>
            <w:r w:rsidRPr="00BE6616">
              <w:rPr>
                <w:rFonts w:eastAsia="Calibri"/>
                <w:sz w:val="20"/>
              </w:rPr>
              <w:t>(Board members Vancise, Callary and Théberge)</w:t>
            </w:r>
          </w:p>
          <w:p w:rsidR="00380C89" w:rsidRPr="00BE6616" w:rsidRDefault="00380C89" w:rsidP="00E12E48">
            <w:pPr>
              <w:jc w:val="both"/>
              <w:rPr>
                <w:rFonts w:eastAsia="Calibri"/>
                <w:sz w:val="20"/>
              </w:rPr>
            </w:pPr>
          </w:p>
        </w:tc>
        <w:tc>
          <w:tcPr>
            <w:tcW w:w="243" w:type="pct"/>
          </w:tcPr>
          <w:p w:rsidR="00380C89" w:rsidRPr="00BE6616" w:rsidRDefault="00380C89" w:rsidP="00E12E48">
            <w:pPr>
              <w:jc w:val="both"/>
              <w:rPr>
                <w:rFonts w:eastAsia="Calibri"/>
                <w:sz w:val="20"/>
              </w:rPr>
            </w:pPr>
          </w:p>
        </w:tc>
        <w:tc>
          <w:tcPr>
            <w:tcW w:w="2330" w:type="pct"/>
          </w:tcPr>
          <w:p w:rsidR="00380C89" w:rsidRPr="00BE6616" w:rsidRDefault="00380C89" w:rsidP="00E12E48">
            <w:pPr>
              <w:jc w:val="both"/>
              <w:rPr>
                <w:rFonts w:eastAsia="Calibri"/>
                <w:sz w:val="20"/>
              </w:rPr>
            </w:pPr>
            <w:r w:rsidRPr="00BE6616">
              <w:rPr>
                <w:rFonts w:eastAsia="Calibri"/>
                <w:sz w:val="20"/>
              </w:rPr>
              <w:t xml:space="preserve">Certification of certain royalty tariffs pursuant to s. 70.15 of the </w:t>
            </w:r>
            <w:r w:rsidRPr="00BE6616">
              <w:rPr>
                <w:rFonts w:eastAsia="Calibri"/>
                <w:i/>
                <w:sz w:val="20"/>
              </w:rPr>
              <w:t>Copyright Act</w:t>
            </w:r>
            <w:r w:rsidRPr="00BE6616">
              <w:rPr>
                <w:rFonts w:eastAsia="Calibri"/>
                <w:sz w:val="20"/>
              </w:rPr>
              <w:t>, R.S.C. 1985, c. C-42</w:t>
            </w:r>
          </w:p>
          <w:p w:rsidR="00380C89" w:rsidRPr="00BE6616" w:rsidRDefault="00380C89" w:rsidP="00E12E48">
            <w:pPr>
              <w:jc w:val="both"/>
              <w:rPr>
                <w:rFonts w:eastAsia="Calibri"/>
                <w:sz w:val="20"/>
              </w:rPr>
            </w:pPr>
          </w:p>
        </w:tc>
      </w:tr>
      <w:tr w:rsidR="00380C89" w:rsidRPr="00BE6616" w:rsidTr="00E12E48">
        <w:tc>
          <w:tcPr>
            <w:tcW w:w="2427" w:type="pct"/>
          </w:tcPr>
          <w:p w:rsidR="00380C89" w:rsidRPr="00BE6616" w:rsidRDefault="00380C89" w:rsidP="00E12E48">
            <w:pPr>
              <w:jc w:val="both"/>
              <w:rPr>
                <w:rFonts w:eastAsia="Calibri"/>
                <w:sz w:val="20"/>
              </w:rPr>
            </w:pPr>
            <w:r w:rsidRPr="00BE6616">
              <w:rPr>
                <w:rFonts w:eastAsia="Calibri"/>
                <w:sz w:val="20"/>
              </w:rPr>
              <w:t>December 16, 2010</w:t>
            </w:r>
          </w:p>
          <w:p w:rsidR="00380C89" w:rsidRPr="00BE6616" w:rsidRDefault="00380C89" w:rsidP="00E12E48">
            <w:pPr>
              <w:jc w:val="both"/>
              <w:rPr>
                <w:rFonts w:eastAsia="Calibri"/>
                <w:sz w:val="20"/>
              </w:rPr>
            </w:pPr>
            <w:r w:rsidRPr="00BE6616">
              <w:rPr>
                <w:rFonts w:eastAsia="Calibri"/>
                <w:sz w:val="20"/>
              </w:rPr>
              <w:t>Federal Court of Appeal</w:t>
            </w:r>
          </w:p>
          <w:p w:rsidR="00380C89" w:rsidRPr="00BE6616" w:rsidRDefault="00380C89" w:rsidP="00E12E48">
            <w:pPr>
              <w:jc w:val="both"/>
              <w:rPr>
                <w:rFonts w:eastAsia="Calibri"/>
                <w:sz w:val="20"/>
              </w:rPr>
            </w:pPr>
            <w:r w:rsidRPr="00BE6616">
              <w:rPr>
                <w:rFonts w:eastAsia="Calibri"/>
                <w:sz w:val="20"/>
              </w:rPr>
              <w:t>(Sharlow, Dawson and Stratas JJ.A.)</w:t>
            </w:r>
          </w:p>
          <w:p w:rsidR="00380C89" w:rsidRPr="00BE6616" w:rsidRDefault="00380C89" w:rsidP="00E12E48">
            <w:pPr>
              <w:jc w:val="both"/>
              <w:rPr>
                <w:rFonts w:eastAsia="Calibri"/>
                <w:sz w:val="20"/>
              </w:rPr>
            </w:pPr>
            <w:r w:rsidRPr="00BE6616">
              <w:rPr>
                <w:rFonts w:eastAsia="Calibri"/>
                <w:sz w:val="20"/>
              </w:rPr>
              <w:t>2010 FCA 348</w:t>
            </w:r>
          </w:p>
          <w:p w:rsidR="00380C89" w:rsidRPr="00BE6616" w:rsidRDefault="00380C89" w:rsidP="00E12E48">
            <w:pPr>
              <w:jc w:val="both"/>
              <w:rPr>
                <w:rFonts w:eastAsia="Calibri"/>
                <w:sz w:val="20"/>
              </w:rPr>
            </w:pPr>
          </w:p>
        </w:tc>
        <w:tc>
          <w:tcPr>
            <w:tcW w:w="243" w:type="pct"/>
          </w:tcPr>
          <w:p w:rsidR="00380C89" w:rsidRPr="00BE6616" w:rsidRDefault="00380C89" w:rsidP="00E12E48">
            <w:pPr>
              <w:jc w:val="both"/>
              <w:rPr>
                <w:rFonts w:eastAsia="Calibri"/>
                <w:sz w:val="20"/>
              </w:rPr>
            </w:pPr>
          </w:p>
        </w:tc>
        <w:tc>
          <w:tcPr>
            <w:tcW w:w="2330" w:type="pct"/>
          </w:tcPr>
          <w:p w:rsidR="00380C89" w:rsidRPr="00BE6616" w:rsidRDefault="00380C89" w:rsidP="00E12E48">
            <w:pPr>
              <w:jc w:val="both"/>
              <w:rPr>
                <w:rFonts w:eastAsia="Calibri"/>
                <w:sz w:val="20"/>
              </w:rPr>
            </w:pPr>
            <w:r w:rsidRPr="00BE6616">
              <w:rPr>
                <w:rFonts w:eastAsia="Calibri"/>
                <w:sz w:val="20"/>
              </w:rPr>
              <w:t>Application for judicial review dismissed</w:t>
            </w:r>
          </w:p>
        </w:tc>
      </w:tr>
      <w:tr w:rsidR="00380C89" w:rsidRPr="00BE6616" w:rsidTr="0025198A">
        <w:trPr>
          <w:cantSplit/>
        </w:trPr>
        <w:tc>
          <w:tcPr>
            <w:tcW w:w="2427" w:type="pct"/>
          </w:tcPr>
          <w:p w:rsidR="00380C89" w:rsidRPr="00BE6616" w:rsidRDefault="00380C89" w:rsidP="00E12E48">
            <w:pPr>
              <w:jc w:val="both"/>
              <w:rPr>
                <w:rFonts w:eastAsia="Calibri"/>
                <w:sz w:val="20"/>
              </w:rPr>
            </w:pPr>
            <w:r w:rsidRPr="00BE6616">
              <w:rPr>
                <w:rFonts w:eastAsia="Calibri"/>
                <w:sz w:val="20"/>
              </w:rPr>
              <w:lastRenderedPageBreak/>
              <w:t>February 11, 2011</w:t>
            </w:r>
          </w:p>
          <w:p w:rsidR="00380C89" w:rsidRPr="00BE6616" w:rsidRDefault="00380C89" w:rsidP="00E12E48">
            <w:pPr>
              <w:jc w:val="both"/>
              <w:rPr>
                <w:rFonts w:eastAsia="Calibri"/>
                <w:sz w:val="20"/>
              </w:rPr>
            </w:pPr>
            <w:r w:rsidRPr="00BE6616">
              <w:rPr>
                <w:rFonts w:eastAsia="Calibri"/>
                <w:sz w:val="20"/>
              </w:rPr>
              <w:t>Supreme Court of Canada</w:t>
            </w:r>
          </w:p>
        </w:tc>
        <w:tc>
          <w:tcPr>
            <w:tcW w:w="243" w:type="pct"/>
          </w:tcPr>
          <w:p w:rsidR="00380C89" w:rsidRPr="00BE6616" w:rsidRDefault="00380C89" w:rsidP="00E12E48">
            <w:pPr>
              <w:jc w:val="both"/>
              <w:rPr>
                <w:rFonts w:eastAsia="Calibri"/>
                <w:sz w:val="20"/>
              </w:rPr>
            </w:pPr>
          </w:p>
        </w:tc>
        <w:tc>
          <w:tcPr>
            <w:tcW w:w="2330" w:type="pct"/>
          </w:tcPr>
          <w:p w:rsidR="00380C89" w:rsidRPr="00BE6616" w:rsidRDefault="00380C89" w:rsidP="00E12E48">
            <w:pPr>
              <w:jc w:val="both"/>
              <w:rPr>
                <w:rFonts w:eastAsia="Calibri"/>
                <w:sz w:val="20"/>
              </w:rPr>
            </w:pPr>
            <w:r w:rsidRPr="00BE6616">
              <w:rPr>
                <w:rFonts w:eastAsia="Calibri"/>
                <w:sz w:val="20"/>
              </w:rPr>
              <w:t>Application for leave to appeal filed</w:t>
            </w:r>
          </w:p>
        </w:tc>
      </w:tr>
    </w:tbl>
    <w:p w:rsidR="007B50F9" w:rsidRDefault="007B50F9" w:rsidP="008D292F">
      <w:pPr>
        <w:rPr>
          <w:sz w:val="20"/>
          <w:szCs w:val="20"/>
        </w:rPr>
      </w:pPr>
    </w:p>
    <w:p w:rsidR="007B50F9" w:rsidRDefault="004D21E4" w:rsidP="008D292F">
      <w:pPr>
        <w:rPr>
          <w:sz w:val="20"/>
          <w:szCs w:val="20"/>
          <w:lang w:val="fr-CA"/>
        </w:rPr>
      </w:pPr>
      <w:r w:rsidRPr="004D21E4">
        <w:rPr>
          <w:sz w:val="20"/>
          <w:szCs w:val="20"/>
          <w:lang w:val="fr-CA"/>
        </w:rPr>
        <w:pict>
          <v:rect id="_x0000_i1045" style="width:2in;height:1pt" o:hrpct="0" o:hralign="center" o:hrstd="t" o:hrnoshade="t" o:hr="t" fillcolor="black [3213]" stroked="f"/>
        </w:pict>
      </w:r>
    </w:p>
    <w:p w:rsidR="007B50F9" w:rsidRDefault="007B50F9" w:rsidP="008D292F">
      <w:pPr>
        <w:rPr>
          <w:sz w:val="20"/>
          <w:szCs w:val="20"/>
          <w:lang w:val="fr-CA"/>
        </w:rPr>
      </w:pPr>
    </w:p>
    <w:p w:rsidR="007B50F9" w:rsidRPr="007B50F9" w:rsidRDefault="007B50F9" w:rsidP="008D292F">
      <w:pPr>
        <w:rPr>
          <w:sz w:val="20"/>
          <w:szCs w:val="20"/>
          <w:u w:val="single"/>
          <w:lang w:val="fr-CA"/>
        </w:rPr>
      </w:pPr>
      <w:r>
        <w:rPr>
          <w:sz w:val="20"/>
          <w:szCs w:val="20"/>
          <w:u w:val="single"/>
          <w:lang w:val="fr-CA"/>
        </w:rPr>
        <w:t>RÉSUMÉ DE L’AFFAIRE</w:t>
      </w:r>
    </w:p>
    <w:p w:rsidR="007B50F9" w:rsidRDefault="007B50F9" w:rsidP="008D292F">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380C89" w:rsidRPr="00682661" w:rsidTr="00E12E48">
        <w:tc>
          <w:tcPr>
            <w:tcW w:w="5000" w:type="pct"/>
            <w:gridSpan w:val="3"/>
          </w:tcPr>
          <w:p w:rsidR="00380C89" w:rsidRPr="00BE6616" w:rsidRDefault="00380C89" w:rsidP="00E12E48">
            <w:pPr>
              <w:jc w:val="both"/>
              <w:rPr>
                <w:rFonts w:eastAsia="Calibri"/>
                <w:sz w:val="20"/>
                <w:lang w:val="fr-CA"/>
              </w:rPr>
            </w:pPr>
            <w:r w:rsidRPr="00BE6616">
              <w:rPr>
                <w:rFonts w:eastAsia="Calibri"/>
                <w:sz w:val="20"/>
                <w:lang w:val="fr-CA"/>
              </w:rPr>
              <w:t>Propriété intellectuelle — Droit d’auteur — Contrefaçon — Œuvres musicales — Copie — Autorisation — La Commission du droit d’auteur a-t-elle compétence pour imposer un tarif de redevances à l’égard de la copie d’une œuvre effectuée aux États-Unis par suite d’un acte accompli par une personne au Canada? – La Commission du droit d'auteur a-t-elle compétence pour imposer un tarif de redevances à l'égard de l’autorisation, au sens du par. 3(1) de la</w:t>
            </w:r>
            <w:r w:rsidRPr="00BE6616">
              <w:rPr>
                <w:rFonts w:eastAsia="Calibri"/>
                <w:i/>
                <w:sz w:val="20"/>
                <w:lang w:val="fr-CA"/>
              </w:rPr>
              <w:t xml:space="preserve"> Loi sur le droit d’auteur</w:t>
            </w:r>
            <w:r w:rsidRPr="00BE6616">
              <w:rPr>
                <w:rFonts w:eastAsia="Calibri"/>
                <w:sz w:val="20"/>
                <w:lang w:val="fr-CA"/>
              </w:rPr>
              <w:t>, L.R.C. 1985, ch. C-42, par une personne au Canada de la copie d’une œuvre effectuée aux États-Unis? — Une œuvre est-elle copiée lorsque des segments de 4 à 10 secondes de l’œuvre sont copiés dans la mémoire tampon d’un récepteur de radio par satellite ou d’un ordinateur personnel? — Ce segment de 4 à 10 secondes constitue-t-il une partie importante de l’œuvre?</w:t>
            </w:r>
          </w:p>
        </w:tc>
      </w:tr>
      <w:tr w:rsidR="00380C89" w:rsidRPr="00682661" w:rsidTr="00E12E48">
        <w:tc>
          <w:tcPr>
            <w:tcW w:w="5000" w:type="pct"/>
            <w:gridSpan w:val="3"/>
          </w:tcPr>
          <w:p w:rsidR="00380C89" w:rsidRPr="00BE6616" w:rsidRDefault="00380C89" w:rsidP="00E12E48">
            <w:pPr>
              <w:jc w:val="both"/>
              <w:rPr>
                <w:rFonts w:eastAsia="Calibri"/>
                <w:sz w:val="20"/>
                <w:lang w:val="fr-CA"/>
              </w:rPr>
            </w:pPr>
          </w:p>
        </w:tc>
      </w:tr>
      <w:tr w:rsidR="00380C89" w:rsidRPr="00682661" w:rsidTr="00E12E48">
        <w:tc>
          <w:tcPr>
            <w:tcW w:w="5000" w:type="pct"/>
            <w:gridSpan w:val="3"/>
          </w:tcPr>
          <w:p w:rsidR="00380C89" w:rsidRPr="00BE6616" w:rsidRDefault="00380C89" w:rsidP="00E12E48">
            <w:pPr>
              <w:jc w:val="both"/>
              <w:rPr>
                <w:rFonts w:eastAsia="Calibri"/>
                <w:sz w:val="20"/>
                <w:lang w:val="fr-CA"/>
              </w:rPr>
            </w:pPr>
            <w:r w:rsidRPr="00BE6616">
              <w:rPr>
                <w:rFonts w:eastAsia="Calibri"/>
                <w:sz w:val="20"/>
                <w:lang w:val="fr-CA"/>
              </w:rPr>
              <w:t>La demanderesse CMRRA-SODRAC Inc. (« CSI ») administre les droits de reproduction au Canada au nom des auteurs et éditeurs d’œuvres musicales.  Les intimées Canadian Satellite Radio Inc. et Sirius Canada Inc. sont des fournisseurs de service de radio par satellite.  Après l’arrivée au Canada de ces fournisseurs de services, CSI a demandé des redevances en rapport avec certaines de leurs activités.  Plus particulièrement, CSI a demandé des redevances pour les copies d’œuvres effectuées aux États-Unis par leurs homologues américains, ainsi que pour les actes posés par eux au Canada lorsqu’ils demandent à leurs homologues américains de reproduire ces œuvres.  CSI a également demandé des redevances pour les segments de contenu d’une durée de 4 à 10 secondes stockées dans la mémoire tampon des récepteurs de signaux de satellite.  La Commission du droit d’auteur a statué qu'elle n’avait pas compétence pour imposer un tarif de redevances à l’égard de la copie d’une œuvre effectuée aux États</w:t>
            </w:r>
            <w:r w:rsidRPr="00BE6616">
              <w:rPr>
                <w:rFonts w:eastAsia="Calibri"/>
                <w:sz w:val="20"/>
                <w:lang w:val="fr-CA"/>
              </w:rPr>
              <w:noBreakHyphen/>
              <w:t>Unis par suite d’un acte accompli par les fournisseurs de services canadiens au Canada.  Elle a également conclu qu'elle n’avait pas compétence pour imposer un tarif de redevances à l’égard de l’« autorisation » qui aurait été censément donnée par les fournisseurs de services au Canada de faire ces copies aux États</w:t>
            </w:r>
            <w:r w:rsidRPr="00BE6616">
              <w:rPr>
                <w:rFonts w:eastAsia="Calibri"/>
                <w:sz w:val="20"/>
                <w:lang w:val="fr-CA"/>
              </w:rPr>
              <w:noBreakHyphen/>
              <w:t>Unis.  Enfin, la Commission a statué que les segments de contenu d’une durée de 4 à 10 secondes stockées dans la mémoire tampon ne constituent pas une copie de l’œuvre ni une partie importante de celle-ci.  La Cour d’appel fédérale a rejeté la demande de contrôle judiciaire.</w:t>
            </w:r>
          </w:p>
          <w:p w:rsidR="00380C89" w:rsidRPr="00BE6616" w:rsidRDefault="00380C89" w:rsidP="00E12E48">
            <w:pPr>
              <w:jc w:val="both"/>
              <w:rPr>
                <w:rFonts w:eastAsia="Calibri"/>
                <w:sz w:val="20"/>
                <w:lang w:val="fr-CA"/>
              </w:rPr>
            </w:pPr>
          </w:p>
        </w:tc>
      </w:tr>
      <w:tr w:rsidR="00380C89" w:rsidRPr="00BE6616" w:rsidTr="00E12E48">
        <w:tc>
          <w:tcPr>
            <w:tcW w:w="2427" w:type="pct"/>
          </w:tcPr>
          <w:p w:rsidR="00380C89" w:rsidRPr="00BE6616" w:rsidRDefault="00380C89" w:rsidP="00E12E48">
            <w:pPr>
              <w:jc w:val="both"/>
              <w:rPr>
                <w:rFonts w:eastAsia="Calibri"/>
                <w:sz w:val="20"/>
                <w:lang w:val="fr-CA"/>
              </w:rPr>
            </w:pPr>
            <w:r w:rsidRPr="00BE6616">
              <w:rPr>
                <w:rFonts w:eastAsia="Calibri"/>
                <w:sz w:val="20"/>
                <w:lang w:val="fr-CA"/>
              </w:rPr>
              <w:t>8 avril 2009</w:t>
            </w:r>
          </w:p>
          <w:p w:rsidR="00380C89" w:rsidRPr="00BE6616" w:rsidRDefault="00380C89" w:rsidP="00E12E48">
            <w:pPr>
              <w:jc w:val="both"/>
              <w:rPr>
                <w:rFonts w:eastAsia="Calibri"/>
                <w:sz w:val="20"/>
                <w:lang w:val="fr-CA"/>
              </w:rPr>
            </w:pPr>
            <w:r w:rsidRPr="00BE6616">
              <w:rPr>
                <w:rFonts w:eastAsia="Calibri"/>
                <w:sz w:val="20"/>
                <w:lang w:val="fr-CA"/>
              </w:rPr>
              <w:t xml:space="preserve">Commission du droit d'auteur du Canada </w:t>
            </w:r>
          </w:p>
          <w:p w:rsidR="00380C89" w:rsidRPr="00BE6616" w:rsidRDefault="00380C89" w:rsidP="00E12E48">
            <w:pPr>
              <w:jc w:val="both"/>
              <w:rPr>
                <w:rFonts w:eastAsia="Calibri"/>
                <w:sz w:val="20"/>
                <w:lang w:val="fr-CA"/>
              </w:rPr>
            </w:pPr>
            <w:r w:rsidRPr="00BE6616">
              <w:rPr>
                <w:rFonts w:eastAsia="Calibri"/>
                <w:sz w:val="20"/>
                <w:lang w:val="fr-CA"/>
              </w:rPr>
              <w:t>(Commissaires Vancise, Callary et Théberge)</w:t>
            </w:r>
          </w:p>
          <w:p w:rsidR="00380C89" w:rsidRPr="00BE6616" w:rsidRDefault="00380C89" w:rsidP="00E12E48">
            <w:pPr>
              <w:jc w:val="both"/>
              <w:rPr>
                <w:rFonts w:eastAsia="Calibri"/>
                <w:sz w:val="20"/>
                <w:lang w:val="fr-CA"/>
              </w:rPr>
            </w:pPr>
          </w:p>
        </w:tc>
        <w:tc>
          <w:tcPr>
            <w:tcW w:w="243" w:type="pct"/>
          </w:tcPr>
          <w:p w:rsidR="00380C89" w:rsidRPr="00BE6616" w:rsidRDefault="00380C89" w:rsidP="00E12E48">
            <w:pPr>
              <w:jc w:val="both"/>
              <w:rPr>
                <w:rFonts w:eastAsia="Calibri"/>
                <w:sz w:val="20"/>
                <w:lang w:val="fr-CA"/>
              </w:rPr>
            </w:pPr>
          </w:p>
        </w:tc>
        <w:tc>
          <w:tcPr>
            <w:tcW w:w="2330" w:type="pct"/>
          </w:tcPr>
          <w:p w:rsidR="00380C89" w:rsidRPr="00BE6616" w:rsidRDefault="00380C89" w:rsidP="00E12E48">
            <w:pPr>
              <w:jc w:val="both"/>
              <w:rPr>
                <w:rFonts w:eastAsia="Calibri"/>
                <w:sz w:val="20"/>
                <w:lang w:val="fr-CA"/>
              </w:rPr>
            </w:pPr>
            <w:r w:rsidRPr="00BE6616">
              <w:rPr>
                <w:rFonts w:eastAsia="Calibri"/>
                <w:sz w:val="20"/>
                <w:lang w:val="fr-CA"/>
              </w:rPr>
              <w:t>Homologation de certains tarifs de redevances en vertu de l’art. 70.15 de la</w:t>
            </w:r>
            <w:r w:rsidRPr="00BE6616">
              <w:rPr>
                <w:rFonts w:eastAsia="Calibri"/>
                <w:i/>
                <w:sz w:val="20"/>
                <w:lang w:val="fr-CA"/>
              </w:rPr>
              <w:t xml:space="preserve"> Loi sur le droit d'auteur</w:t>
            </w:r>
            <w:r w:rsidRPr="00BE6616">
              <w:rPr>
                <w:rFonts w:eastAsia="Calibri"/>
                <w:sz w:val="20"/>
                <w:lang w:val="fr-CA"/>
              </w:rPr>
              <w:t>, L.R.C. 1985, ch. C-42</w:t>
            </w:r>
          </w:p>
          <w:p w:rsidR="00380C89" w:rsidRPr="00BE6616" w:rsidRDefault="00380C89" w:rsidP="00E12E48">
            <w:pPr>
              <w:jc w:val="both"/>
              <w:rPr>
                <w:rFonts w:eastAsia="Calibri"/>
                <w:sz w:val="20"/>
                <w:lang w:val="fr-CA"/>
              </w:rPr>
            </w:pPr>
          </w:p>
        </w:tc>
      </w:tr>
      <w:tr w:rsidR="00380C89" w:rsidRPr="00682661" w:rsidTr="00E12E48">
        <w:tc>
          <w:tcPr>
            <w:tcW w:w="2427" w:type="pct"/>
          </w:tcPr>
          <w:p w:rsidR="00380C89" w:rsidRPr="00BE6616" w:rsidRDefault="00380C89" w:rsidP="00E12E48">
            <w:pPr>
              <w:jc w:val="both"/>
              <w:rPr>
                <w:rFonts w:eastAsia="Calibri"/>
                <w:sz w:val="20"/>
                <w:lang w:val="fr-CA"/>
              </w:rPr>
            </w:pPr>
            <w:r w:rsidRPr="00BE6616">
              <w:rPr>
                <w:rFonts w:eastAsia="Calibri"/>
                <w:sz w:val="20"/>
                <w:lang w:val="fr-CA"/>
              </w:rPr>
              <w:t>16 décembre 2010</w:t>
            </w:r>
          </w:p>
          <w:p w:rsidR="00380C89" w:rsidRPr="00BE6616" w:rsidRDefault="00380C89" w:rsidP="00E12E48">
            <w:pPr>
              <w:jc w:val="both"/>
              <w:rPr>
                <w:rFonts w:eastAsia="Calibri"/>
                <w:sz w:val="20"/>
                <w:lang w:val="fr-CA"/>
              </w:rPr>
            </w:pPr>
            <w:r w:rsidRPr="00BE6616">
              <w:rPr>
                <w:rFonts w:eastAsia="Calibri"/>
                <w:sz w:val="20"/>
                <w:lang w:val="fr-CA"/>
              </w:rPr>
              <w:t xml:space="preserve">Cour d'appel fédérale </w:t>
            </w:r>
          </w:p>
          <w:p w:rsidR="00380C89" w:rsidRPr="00BE6616" w:rsidRDefault="00380C89" w:rsidP="00E12E48">
            <w:pPr>
              <w:jc w:val="both"/>
              <w:rPr>
                <w:rFonts w:eastAsia="Calibri"/>
                <w:sz w:val="20"/>
                <w:lang w:val="fr-CA"/>
              </w:rPr>
            </w:pPr>
            <w:r w:rsidRPr="00BE6616">
              <w:rPr>
                <w:rFonts w:eastAsia="Calibri"/>
                <w:sz w:val="20"/>
                <w:lang w:val="fr-CA"/>
              </w:rPr>
              <w:t>(Juges Sharlow, Dawson et Stratas)</w:t>
            </w:r>
          </w:p>
          <w:p w:rsidR="00380C89" w:rsidRPr="00BE6616" w:rsidRDefault="00380C89" w:rsidP="00E12E48">
            <w:pPr>
              <w:jc w:val="both"/>
              <w:rPr>
                <w:rFonts w:eastAsia="Calibri"/>
                <w:sz w:val="20"/>
                <w:lang w:val="fr-CA"/>
              </w:rPr>
            </w:pPr>
            <w:r w:rsidRPr="00BE6616">
              <w:rPr>
                <w:rFonts w:eastAsia="Calibri"/>
                <w:sz w:val="20"/>
                <w:lang w:val="fr-CA"/>
              </w:rPr>
              <w:t>2010 FCA 348</w:t>
            </w:r>
          </w:p>
          <w:p w:rsidR="00380C89" w:rsidRPr="00BE6616" w:rsidRDefault="00380C89" w:rsidP="00E12E48">
            <w:pPr>
              <w:jc w:val="both"/>
              <w:rPr>
                <w:rFonts w:eastAsia="Calibri"/>
                <w:sz w:val="20"/>
                <w:lang w:val="fr-CA"/>
              </w:rPr>
            </w:pPr>
          </w:p>
        </w:tc>
        <w:tc>
          <w:tcPr>
            <w:tcW w:w="243" w:type="pct"/>
          </w:tcPr>
          <w:p w:rsidR="00380C89" w:rsidRPr="00BE6616" w:rsidRDefault="00380C89" w:rsidP="00E12E48">
            <w:pPr>
              <w:jc w:val="both"/>
              <w:rPr>
                <w:rFonts w:eastAsia="Calibri"/>
                <w:sz w:val="20"/>
                <w:lang w:val="fr-CA"/>
              </w:rPr>
            </w:pPr>
          </w:p>
        </w:tc>
        <w:tc>
          <w:tcPr>
            <w:tcW w:w="2330" w:type="pct"/>
          </w:tcPr>
          <w:p w:rsidR="00380C89" w:rsidRPr="00BE6616" w:rsidRDefault="00380C89" w:rsidP="00E12E48">
            <w:pPr>
              <w:jc w:val="both"/>
              <w:rPr>
                <w:rFonts w:eastAsia="Calibri"/>
                <w:sz w:val="20"/>
                <w:lang w:val="fr-CA"/>
              </w:rPr>
            </w:pPr>
            <w:r w:rsidRPr="00BE6616">
              <w:rPr>
                <w:rFonts w:eastAsia="Calibri"/>
                <w:sz w:val="20"/>
                <w:lang w:val="fr-CA"/>
              </w:rPr>
              <w:t>Demande de contrôle judiciaire, rejetée</w:t>
            </w:r>
          </w:p>
        </w:tc>
      </w:tr>
      <w:tr w:rsidR="00380C89" w:rsidRPr="00BE6616" w:rsidTr="00E12E48">
        <w:tc>
          <w:tcPr>
            <w:tcW w:w="2427" w:type="pct"/>
          </w:tcPr>
          <w:p w:rsidR="00380C89" w:rsidRPr="00BE6616" w:rsidRDefault="00380C89" w:rsidP="00E12E48">
            <w:pPr>
              <w:jc w:val="both"/>
              <w:rPr>
                <w:rFonts w:eastAsia="Calibri"/>
                <w:sz w:val="20"/>
                <w:lang w:val="fr-CA"/>
              </w:rPr>
            </w:pPr>
            <w:r w:rsidRPr="00BE6616">
              <w:rPr>
                <w:rFonts w:eastAsia="Calibri"/>
                <w:sz w:val="20"/>
                <w:lang w:val="fr-CA"/>
              </w:rPr>
              <w:t>11 février 2011</w:t>
            </w:r>
          </w:p>
          <w:p w:rsidR="00380C89" w:rsidRPr="00BE6616" w:rsidRDefault="00380C89" w:rsidP="00E12E48">
            <w:pPr>
              <w:jc w:val="both"/>
              <w:rPr>
                <w:rFonts w:eastAsia="Calibri"/>
                <w:sz w:val="20"/>
                <w:lang w:val="fr-CA"/>
              </w:rPr>
            </w:pPr>
            <w:r w:rsidRPr="00BE6616">
              <w:rPr>
                <w:rFonts w:eastAsia="Calibri"/>
                <w:sz w:val="20"/>
                <w:lang w:val="fr-CA"/>
              </w:rPr>
              <w:t>Cour suprême du Canada</w:t>
            </w:r>
          </w:p>
        </w:tc>
        <w:tc>
          <w:tcPr>
            <w:tcW w:w="243" w:type="pct"/>
          </w:tcPr>
          <w:p w:rsidR="00380C89" w:rsidRPr="00BE6616" w:rsidRDefault="00380C89" w:rsidP="00E12E48">
            <w:pPr>
              <w:jc w:val="both"/>
              <w:rPr>
                <w:rFonts w:eastAsia="Calibri"/>
                <w:sz w:val="20"/>
                <w:lang w:val="fr-CA"/>
              </w:rPr>
            </w:pPr>
          </w:p>
        </w:tc>
        <w:tc>
          <w:tcPr>
            <w:tcW w:w="2330" w:type="pct"/>
          </w:tcPr>
          <w:p w:rsidR="00380C89" w:rsidRPr="00BE6616" w:rsidRDefault="00380C89" w:rsidP="00E12E48">
            <w:pPr>
              <w:jc w:val="both"/>
              <w:rPr>
                <w:rFonts w:eastAsia="Calibri"/>
                <w:sz w:val="20"/>
                <w:lang w:val="fr-CA"/>
              </w:rPr>
            </w:pPr>
            <w:r w:rsidRPr="00BE6616">
              <w:rPr>
                <w:rFonts w:eastAsia="Calibri"/>
                <w:sz w:val="20"/>
                <w:lang w:val="fr-CA"/>
              </w:rPr>
              <w:t>Demande d'autorisation d'appel, déposée</w:t>
            </w:r>
          </w:p>
        </w:tc>
      </w:tr>
    </w:tbl>
    <w:p w:rsidR="007B50F9" w:rsidRDefault="007B50F9" w:rsidP="008D292F">
      <w:pPr>
        <w:rPr>
          <w:sz w:val="20"/>
          <w:szCs w:val="20"/>
          <w:lang w:val="fr-CA"/>
        </w:rPr>
      </w:pPr>
    </w:p>
    <w:p w:rsidR="007B50F9" w:rsidRDefault="004D21E4" w:rsidP="008D292F">
      <w:pPr>
        <w:rPr>
          <w:sz w:val="20"/>
          <w:szCs w:val="20"/>
          <w:lang w:val="fr-CA"/>
        </w:rPr>
      </w:pPr>
      <w:r w:rsidRPr="004D21E4">
        <w:rPr>
          <w:sz w:val="20"/>
          <w:szCs w:val="20"/>
          <w:lang w:val="fr-CA"/>
        </w:rPr>
        <w:pict>
          <v:rect id="_x0000_i1046" style="width:2in;height:1pt" o:hrpct="0" o:hralign="center" o:hrstd="t" o:hrnoshade="t" o:hr="t" fillcolor="black [3213]" stroked="f"/>
        </w:pict>
      </w:r>
    </w:p>
    <w:p w:rsidR="007B50F9" w:rsidRDefault="007B50F9"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16FC5" w:rsidRPr="00E16FC5" w:rsidTr="002E3508">
        <w:trPr>
          <w:cantSplit/>
        </w:trPr>
        <w:tc>
          <w:tcPr>
            <w:tcW w:w="1458" w:type="dxa"/>
          </w:tcPr>
          <w:p w:rsidR="00E16FC5" w:rsidRPr="00E16FC5" w:rsidRDefault="00E16FC5" w:rsidP="002E3508">
            <w:pPr>
              <w:rPr>
                <w:sz w:val="20"/>
                <w:szCs w:val="20"/>
              </w:rPr>
            </w:pPr>
            <w:r w:rsidRPr="00E16FC5">
              <w:rPr>
                <w:rStyle w:val="SCCFileNumberChar"/>
                <w:sz w:val="20"/>
                <w:szCs w:val="20"/>
              </w:rPr>
              <w:t>34132</w:t>
            </w:r>
          </w:p>
          <w:p w:rsidR="00E16FC5" w:rsidRPr="00E16FC5" w:rsidRDefault="00E16FC5" w:rsidP="002E3508">
            <w:pPr>
              <w:rPr>
                <w:b/>
                <w:sz w:val="20"/>
                <w:szCs w:val="20"/>
                <w:lang w:val="fr-CA"/>
              </w:rPr>
            </w:pPr>
          </w:p>
        </w:tc>
        <w:tc>
          <w:tcPr>
            <w:tcW w:w="8118" w:type="dxa"/>
          </w:tcPr>
          <w:p w:rsidR="00E16FC5" w:rsidRPr="00E16FC5" w:rsidRDefault="00E16FC5" w:rsidP="002E3508">
            <w:pPr>
              <w:rPr>
                <w:sz w:val="20"/>
                <w:szCs w:val="20"/>
              </w:rPr>
            </w:pPr>
            <w:r w:rsidRPr="00E16FC5">
              <w:rPr>
                <w:rStyle w:val="SCCLsocChar"/>
                <w:sz w:val="20"/>
                <w:szCs w:val="20"/>
                <w:lang w:val="en-CA"/>
              </w:rPr>
              <w:t>Her Majesty the Queen v. A.D.H.</w:t>
            </w:r>
            <w:r w:rsidRPr="00E16FC5">
              <w:rPr>
                <w:sz w:val="20"/>
                <w:szCs w:val="20"/>
              </w:rPr>
              <w:t xml:space="preserve"> (Sask.) (Criminal) (By Leave)</w:t>
            </w:r>
          </w:p>
          <w:p w:rsidR="00E16FC5" w:rsidRPr="00E16FC5" w:rsidRDefault="00E16FC5" w:rsidP="002E3508">
            <w:pPr>
              <w:rPr>
                <w:sz w:val="20"/>
                <w:szCs w:val="20"/>
              </w:rPr>
            </w:pPr>
          </w:p>
        </w:tc>
      </w:tr>
      <w:tr w:rsidR="00E16FC5" w:rsidRPr="00E16FC5" w:rsidTr="002E3508">
        <w:trPr>
          <w:cantSplit/>
        </w:trPr>
        <w:tc>
          <w:tcPr>
            <w:tcW w:w="1458" w:type="dxa"/>
          </w:tcPr>
          <w:p w:rsidR="00E16FC5" w:rsidRPr="00E16FC5" w:rsidRDefault="00E16FC5" w:rsidP="002E3508">
            <w:pPr>
              <w:rPr>
                <w:sz w:val="20"/>
                <w:szCs w:val="20"/>
              </w:rPr>
            </w:pPr>
            <w:r w:rsidRPr="00E16FC5">
              <w:rPr>
                <w:sz w:val="20"/>
                <w:szCs w:val="20"/>
              </w:rPr>
              <w:t>Coram :</w:t>
            </w:r>
          </w:p>
        </w:tc>
        <w:tc>
          <w:tcPr>
            <w:tcW w:w="8118" w:type="dxa"/>
          </w:tcPr>
          <w:p w:rsidR="00E16FC5" w:rsidRPr="00E16FC5" w:rsidRDefault="00E16FC5" w:rsidP="002E3508">
            <w:pPr>
              <w:rPr>
                <w:sz w:val="20"/>
                <w:szCs w:val="20"/>
              </w:rPr>
            </w:pPr>
            <w:r w:rsidRPr="00E16FC5">
              <w:rPr>
                <w:rStyle w:val="SCCCoramChar"/>
                <w:sz w:val="20"/>
                <w:szCs w:val="20"/>
              </w:rPr>
              <w:t>McLachlin C.J. and Deschamps and Rothstein JJ.</w:t>
            </w:r>
          </w:p>
          <w:p w:rsidR="00E16FC5" w:rsidRPr="00E16FC5" w:rsidRDefault="00E16FC5" w:rsidP="002E3508">
            <w:pPr>
              <w:rPr>
                <w:sz w:val="20"/>
                <w:szCs w:val="20"/>
                <w:u w:val="single"/>
              </w:rPr>
            </w:pPr>
          </w:p>
        </w:tc>
      </w:tr>
      <w:tr w:rsidR="00E16FC5" w:rsidRPr="00682661" w:rsidTr="002E3508">
        <w:trPr>
          <w:cantSplit/>
        </w:trPr>
        <w:tc>
          <w:tcPr>
            <w:tcW w:w="9576" w:type="dxa"/>
            <w:gridSpan w:val="2"/>
          </w:tcPr>
          <w:p w:rsidR="00E16FC5" w:rsidRPr="00E16FC5" w:rsidRDefault="00E16FC5" w:rsidP="002E3508">
            <w:pPr>
              <w:pStyle w:val="SCCShortJudgment"/>
              <w:rPr>
                <w:szCs w:val="20"/>
              </w:rPr>
            </w:pPr>
            <w:r w:rsidRPr="00E16FC5">
              <w:rPr>
                <w:szCs w:val="20"/>
              </w:rPr>
              <w:lastRenderedPageBreak/>
              <w:t>The motion for an extension of time to serve and file the respondent’s response is granted. The application for leave to appeal from the judgment of the Court of Appeal for Saskatchewan, Number 1715-CR, 2011 SKCA 6, dated January 12, 2011, is granted without costs.</w:t>
            </w:r>
          </w:p>
          <w:p w:rsidR="00E16FC5" w:rsidRPr="00E16FC5" w:rsidRDefault="00E16FC5" w:rsidP="002E3508">
            <w:pPr>
              <w:pStyle w:val="SCCShortJudgment"/>
              <w:ind w:firstLine="0"/>
              <w:rPr>
                <w:szCs w:val="20"/>
              </w:rPr>
            </w:pPr>
          </w:p>
          <w:p w:rsidR="00E16FC5" w:rsidRPr="00E16FC5" w:rsidRDefault="00E16FC5" w:rsidP="002E3508">
            <w:pPr>
              <w:pStyle w:val="SCCShortJudgment"/>
              <w:rPr>
                <w:szCs w:val="20"/>
                <w:lang w:val="fr-CA"/>
              </w:rPr>
            </w:pPr>
            <w:r w:rsidRPr="00E16FC5">
              <w:rPr>
                <w:szCs w:val="20"/>
                <w:lang w:val="fr-CA"/>
              </w:rPr>
              <w:t>La requête en prorogation du délai de signification et de dépôt de la réponse de l’intimée est accordée. La demande d’autorisation d’appel de l’arrêt de la Cour d’appel de la Saskatchewan, numéro 1715-CR, 2011 SKCA 6, daté du 12 janvier 2011, est accordée sans dépens.</w:t>
            </w:r>
          </w:p>
        </w:tc>
      </w:tr>
    </w:tbl>
    <w:p w:rsidR="007B50F9" w:rsidRPr="00E16FC5" w:rsidRDefault="007B50F9" w:rsidP="007B50F9">
      <w:pPr>
        <w:rPr>
          <w:sz w:val="20"/>
          <w:szCs w:val="20"/>
          <w:lang w:val="fr-CA"/>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0302A" w:rsidRPr="00BE6616" w:rsidTr="00E12E48">
        <w:tc>
          <w:tcPr>
            <w:tcW w:w="5000" w:type="pct"/>
            <w:gridSpan w:val="3"/>
          </w:tcPr>
          <w:p w:rsidR="00B0302A" w:rsidRPr="00BE6616" w:rsidRDefault="00B0302A" w:rsidP="00E12E48">
            <w:pPr>
              <w:jc w:val="both"/>
              <w:rPr>
                <w:rFonts w:eastAsia="Calibri"/>
                <w:smallCaps/>
                <w:sz w:val="20"/>
              </w:rPr>
            </w:pPr>
            <w:r w:rsidRPr="00BE6616">
              <w:rPr>
                <w:rFonts w:eastAsia="Calibri"/>
                <w:smallCaps/>
                <w:sz w:val="20"/>
              </w:rPr>
              <w:t>(Publication ban in case) (Publication ban on party)</w:t>
            </w:r>
          </w:p>
          <w:p w:rsidR="00B0302A" w:rsidRPr="00BE6616" w:rsidRDefault="00B0302A" w:rsidP="00E12E48">
            <w:pPr>
              <w:jc w:val="both"/>
              <w:rPr>
                <w:rFonts w:eastAsia="Calibri"/>
                <w:sz w:val="20"/>
              </w:rPr>
            </w:pPr>
          </w:p>
          <w:p w:rsidR="00B0302A" w:rsidRPr="00BE6616" w:rsidRDefault="00B0302A" w:rsidP="00E12E48">
            <w:pPr>
              <w:jc w:val="both"/>
              <w:rPr>
                <w:rFonts w:eastAsia="Calibri"/>
                <w:sz w:val="20"/>
              </w:rPr>
            </w:pPr>
            <w:r w:rsidRPr="00BE6616">
              <w:rPr>
                <w:rFonts w:eastAsia="Calibri"/>
                <w:sz w:val="20"/>
              </w:rPr>
              <w:t xml:space="preserve">Criminal law — Appeal — Charge of unlawfully abandoning a child so that the child’s life was likely to be endangered contrary to s. 218 of the </w:t>
            </w:r>
            <w:r w:rsidRPr="00BE6616">
              <w:rPr>
                <w:rFonts w:eastAsia="Calibri"/>
                <w:i/>
                <w:sz w:val="20"/>
              </w:rPr>
              <w:t xml:space="preserve">Criminal Code </w:t>
            </w:r>
            <w:r w:rsidRPr="00BE6616">
              <w:rPr>
                <w:rFonts w:eastAsia="Calibri"/>
                <w:sz w:val="20"/>
              </w:rPr>
              <w:t xml:space="preserve">— Acquittal entered — Appeal dismissed — What is the appropriate </w:t>
            </w:r>
            <w:r w:rsidRPr="00BE6616">
              <w:rPr>
                <w:rFonts w:eastAsia="Calibri"/>
                <w:i/>
                <w:sz w:val="20"/>
              </w:rPr>
              <w:t>mens rea</w:t>
            </w:r>
            <w:r w:rsidRPr="00BE6616">
              <w:rPr>
                <w:rFonts w:eastAsia="Calibri"/>
                <w:sz w:val="20"/>
              </w:rPr>
              <w:t xml:space="preserve"> for an offence pursuant to s. 218 of the </w:t>
            </w:r>
            <w:r w:rsidRPr="00BE6616">
              <w:rPr>
                <w:rFonts w:eastAsia="Calibri"/>
                <w:i/>
                <w:sz w:val="20"/>
              </w:rPr>
              <w:t>Code</w:t>
            </w:r>
            <w:r w:rsidRPr="00BE6616">
              <w:rPr>
                <w:rFonts w:eastAsia="Calibri"/>
                <w:sz w:val="20"/>
              </w:rPr>
              <w:t xml:space="preserve"> — Whether the </w:t>
            </w:r>
            <w:r w:rsidRPr="00BE6616">
              <w:rPr>
                <w:rFonts w:eastAsia="Calibri"/>
                <w:i/>
                <w:sz w:val="20"/>
              </w:rPr>
              <w:t>mens rea</w:t>
            </w:r>
            <w:r w:rsidRPr="00BE6616">
              <w:rPr>
                <w:rFonts w:eastAsia="Calibri"/>
                <w:sz w:val="20"/>
              </w:rPr>
              <w:t xml:space="preserve"> for an offence under s. 218 of the </w:t>
            </w:r>
            <w:r w:rsidRPr="00BE6616">
              <w:rPr>
                <w:rFonts w:eastAsia="Calibri"/>
                <w:i/>
                <w:sz w:val="20"/>
              </w:rPr>
              <w:t>Code</w:t>
            </w:r>
            <w:r w:rsidRPr="00BE6616">
              <w:rPr>
                <w:rFonts w:eastAsia="Calibri"/>
                <w:sz w:val="20"/>
              </w:rPr>
              <w:t xml:space="preserve"> is subjective or a modified objective standard — If the </w:t>
            </w:r>
            <w:r w:rsidRPr="00BE6616">
              <w:rPr>
                <w:rFonts w:eastAsia="Calibri"/>
                <w:i/>
                <w:sz w:val="20"/>
              </w:rPr>
              <w:t xml:space="preserve">mens rea </w:t>
            </w:r>
            <w:r w:rsidRPr="00BE6616">
              <w:rPr>
                <w:rFonts w:eastAsia="Calibri"/>
                <w:sz w:val="20"/>
              </w:rPr>
              <w:t>is a modified objective basis, then must a mistake of fact be objectively reasonable or can it be subjectively reasonable? — Whether there are issues of public importance raised.</w:t>
            </w:r>
          </w:p>
        </w:tc>
      </w:tr>
      <w:tr w:rsidR="00B0302A" w:rsidRPr="00BE6616" w:rsidTr="00E12E48">
        <w:tc>
          <w:tcPr>
            <w:tcW w:w="5000" w:type="pct"/>
            <w:gridSpan w:val="3"/>
          </w:tcPr>
          <w:p w:rsidR="00B0302A" w:rsidRPr="00BE6616" w:rsidRDefault="00B0302A" w:rsidP="00E12E48">
            <w:pPr>
              <w:jc w:val="both"/>
              <w:rPr>
                <w:rFonts w:eastAsia="Calibri"/>
                <w:sz w:val="20"/>
              </w:rPr>
            </w:pPr>
          </w:p>
        </w:tc>
      </w:tr>
      <w:tr w:rsidR="00B0302A" w:rsidRPr="00BE6616" w:rsidTr="00E12E48">
        <w:tc>
          <w:tcPr>
            <w:tcW w:w="5000" w:type="pct"/>
            <w:gridSpan w:val="3"/>
          </w:tcPr>
          <w:p w:rsidR="00B0302A" w:rsidRPr="00BE6616" w:rsidRDefault="00B0302A" w:rsidP="00E12E48">
            <w:pPr>
              <w:jc w:val="both"/>
              <w:rPr>
                <w:rFonts w:eastAsia="Calibri"/>
                <w:sz w:val="20"/>
              </w:rPr>
            </w:pPr>
            <w:r w:rsidRPr="00BE6616">
              <w:rPr>
                <w:rFonts w:eastAsia="Calibri"/>
                <w:sz w:val="20"/>
              </w:rPr>
              <w:t xml:space="preserve">The respondent, A.D.H., was charged with unlawfully abandoning a child so that the child’s life was likely to be endangered contrary to s. 218 of the </w:t>
            </w:r>
            <w:r w:rsidRPr="00BE6616">
              <w:rPr>
                <w:rFonts w:eastAsia="Calibri"/>
                <w:i/>
                <w:sz w:val="20"/>
              </w:rPr>
              <w:t>Criminal Code</w:t>
            </w:r>
            <w:r w:rsidRPr="00BE6616">
              <w:rPr>
                <w:rFonts w:eastAsia="Calibri"/>
                <w:sz w:val="20"/>
              </w:rPr>
              <w:t>.  The baby was born in a washroom at a Wal</w:t>
            </w:r>
            <w:r w:rsidRPr="00BE6616">
              <w:rPr>
                <w:rFonts w:eastAsia="Calibri"/>
                <w:sz w:val="20"/>
              </w:rPr>
              <w:noBreakHyphen/>
              <w:t>Mart store.  A.D.H. did not know she was pregnant.  She did not think that the baby was alive when she quickly delivered it in the washroom toilet and then left the store.  Management at the store called the emergency response team and the baby was transported to hospital where it was successfully resuscitated.  By all reports the child is a normal and healthy child.  The trial judge found, based on the expert evidence, that the birth was a precipitous birth, that A.D.H. did not know she was pregnant and that the baby was born at least a month premature.  A.D.H. cooperated fully with the police and confirmed that she was the mother of the child.  A.D.H. was acquitted and the appeal was dismissed.</w:t>
            </w:r>
          </w:p>
          <w:p w:rsidR="00B0302A" w:rsidRPr="00BE6616" w:rsidRDefault="00B0302A" w:rsidP="00E12E48">
            <w:pPr>
              <w:jc w:val="both"/>
              <w:rPr>
                <w:rFonts w:eastAsia="Calibri"/>
                <w:sz w:val="20"/>
              </w:rPr>
            </w:pPr>
          </w:p>
        </w:tc>
      </w:tr>
      <w:tr w:rsidR="00B0302A" w:rsidRPr="00BE6616" w:rsidTr="00E12E48">
        <w:tc>
          <w:tcPr>
            <w:tcW w:w="2427" w:type="pct"/>
          </w:tcPr>
          <w:p w:rsidR="00B0302A" w:rsidRPr="00BE6616" w:rsidRDefault="00B0302A" w:rsidP="00E12E48">
            <w:pPr>
              <w:jc w:val="both"/>
              <w:rPr>
                <w:rFonts w:eastAsia="Calibri"/>
                <w:sz w:val="20"/>
              </w:rPr>
            </w:pPr>
            <w:r w:rsidRPr="00BE6616">
              <w:rPr>
                <w:rFonts w:eastAsia="Calibri"/>
                <w:sz w:val="20"/>
              </w:rPr>
              <w:t>June 24, 2009</w:t>
            </w:r>
          </w:p>
          <w:p w:rsidR="00B0302A" w:rsidRPr="00BE6616" w:rsidRDefault="00B0302A" w:rsidP="00E12E48">
            <w:pPr>
              <w:jc w:val="both"/>
              <w:rPr>
                <w:rFonts w:eastAsia="Calibri"/>
                <w:sz w:val="20"/>
              </w:rPr>
            </w:pPr>
            <w:r w:rsidRPr="00BE6616">
              <w:rPr>
                <w:rFonts w:eastAsia="Calibri"/>
                <w:sz w:val="20"/>
              </w:rPr>
              <w:t>Court of Queen’s Bench of Saskatchewan</w:t>
            </w:r>
          </w:p>
          <w:p w:rsidR="00B0302A" w:rsidRPr="00BE6616" w:rsidRDefault="00B0302A" w:rsidP="00E12E48">
            <w:pPr>
              <w:jc w:val="both"/>
              <w:rPr>
                <w:rFonts w:eastAsia="Calibri"/>
                <w:sz w:val="20"/>
              </w:rPr>
            </w:pPr>
            <w:r w:rsidRPr="00BE6616">
              <w:rPr>
                <w:rFonts w:eastAsia="Calibri"/>
                <w:sz w:val="20"/>
              </w:rPr>
              <w:t>(Gabrielson J.)</w:t>
            </w:r>
          </w:p>
          <w:p w:rsidR="00B0302A" w:rsidRPr="00BE6616" w:rsidRDefault="00B0302A" w:rsidP="00E12E48">
            <w:pPr>
              <w:jc w:val="both"/>
              <w:rPr>
                <w:rFonts w:eastAsia="Calibri"/>
                <w:sz w:val="20"/>
              </w:rPr>
            </w:pPr>
          </w:p>
        </w:tc>
        <w:tc>
          <w:tcPr>
            <w:tcW w:w="243" w:type="pct"/>
          </w:tcPr>
          <w:p w:rsidR="00B0302A" w:rsidRPr="00BE6616" w:rsidRDefault="00B0302A" w:rsidP="00E12E48">
            <w:pPr>
              <w:jc w:val="both"/>
              <w:rPr>
                <w:rFonts w:eastAsia="Calibri"/>
                <w:sz w:val="20"/>
              </w:rPr>
            </w:pPr>
          </w:p>
        </w:tc>
        <w:tc>
          <w:tcPr>
            <w:tcW w:w="2330" w:type="pct"/>
          </w:tcPr>
          <w:p w:rsidR="00B0302A" w:rsidRPr="00BE6616" w:rsidRDefault="00B0302A" w:rsidP="00E12E48">
            <w:pPr>
              <w:jc w:val="both"/>
              <w:rPr>
                <w:rFonts w:eastAsia="Calibri"/>
                <w:sz w:val="20"/>
              </w:rPr>
            </w:pPr>
            <w:r w:rsidRPr="00BE6616">
              <w:rPr>
                <w:rFonts w:eastAsia="Calibri"/>
                <w:sz w:val="20"/>
              </w:rPr>
              <w:t>Acquittal entered</w:t>
            </w:r>
          </w:p>
          <w:p w:rsidR="00B0302A" w:rsidRPr="00BE6616" w:rsidRDefault="00B0302A" w:rsidP="00E12E48">
            <w:pPr>
              <w:jc w:val="both"/>
              <w:rPr>
                <w:rFonts w:eastAsia="Calibri"/>
                <w:sz w:val="20"/>
              </w:rPr>
            </w:pPr>
          </w:p>
        </w:tc>
      </w:tr>
      <w:tr w:rsidR="00B0302A" w:rsidRPr="00BE6616" w:rsidTr="00E12E48">
        <w:tc>
          <w:tcPr>
            <w:tcW w:w="2427" w:type="pct"/>
          </w:tcPr>
          <w:p w:rsidR="00B0302A" w:rsidRPr="00BE6616" w:rsidRDefault="00B0302A" w:rsidP="00E12E48">
            <w:pPr>
              <w:jc w:val="both"/>
              <w:rPr>
                <w:rFonts w:eastAsia="Calibri"/>
                <w:sz w:val="20"/>
              </w:rPr>
            </w:pPr>
            <w:r w:rsidRPr="00BE6616">
              <w:rPr>
                <w:rFonts w:eastAsia="Calibri"/>
                <w:sz w:val="20"/>
              </w:rPr>
              <w:t>January 12, 2011</w:t>
            </w:r>
          </w:p>
          <w:p w:rsidR="00B0302A" w:rsidRPr="00BE6616" w:rsidRDefault="00B0302A" w:rsidP="00E12E48">
            <w:pPr>
              <w:jc w:val="both"/>
              <w:rPr>
                <w:rFonts w:eastAsia="Calibri"/>
                <w:sz w:val="20"/>
              </w:rPr>
            </w:pPr>
            <w:r w:rsidRPr="00BE6616">
              <w:rPr>
                <w:rFonts w:eastAsia="Calibri"/>
                <w:sz w:val="20"/>
              </w:rPr>
              <w:t>Court of Appeal for Saskatchewan</w:t>
            </w:r>
          </w:p>
          <w:p w:rsidR="00B0302A" w:rsidRPr="00BE6616" w:rsidRDefault="00B0302A" w:rsidP="00E12E48">
            <w:pPr>
              <w:jc w:val="both"/>
              <w:rPr>
                <w:rFonts w:eastAsia="Calibri"/>
                <w:sz w:val="20"/>
              </w:rPr>
            </w:pPr>
            <w:r w:rsidRPr="00BE6616">
              <w:rPr>
                <w:rFonts w:eastAsia="Calibri"/>
                <w:sz w:val="20"/>
              </w:rPr>
              <w:t>(Richards, Smith, Ottenbreit JJ.A.)</w:t>
            </w:r>
          </w:p>
          <w:p w:rsidR="00B0302A" w:rsidRPr="00BE6616" w:rsidRDefault="00B0302A" w:rsidP="00E12E48">
            <w:pPr>
              <w:jc w:val="both"/>
              <w:rPr>
                <w:rFonts w:eastAsia="Calibri"/>
                <w:sz w:val="20"/>
              </w:rPr>
            </w:pPr>
            <w:r w:rsidRPr="00BE6616">
              <w:rPr>
                <w:rFonts w:eastAsia="Calibri"/>
                <w:sz w:val="20"/>
              </w:rPr>
              <w:t>2011 SKCA 6</w:t>
            </w:r>
          </w:p>
          <w:p w:rsidR="00B0302A" w:rsidRPr="00BE6616" w:rsidRDefault="00B0302A" w:rsidP="00E12E48">
            <w:pPr>
              <w:jc w:val="both"/>
              <w:rPr>
                <w:rFonts w:eastAsia="Calibri"/>
                <w:sz w:val="20"/>
              </w:rPr>
            </w:pPr>
          </w:p>
        </w:tc>
        <w:tc>
          <w:tcPr>
            <w:tcW w:w="243" w:type="pct"/>
          </w:tcPr>
          <w:p w:rsidR="00B0302A" w:rsidRPr="00BE6616" w:rsidRDefault="00B0302A" w:rsidP="00E12E48">
            <w:pPr>
              <w:jc w:val="both"/>
              <w:rPr>
                <w:rFonts w:eastAsia="Calibri"/>
                <w:sz w:val="20"/>
              </w:rPr>
            </w:pPr>
          </w:p>
        </w:tc>
        <w:tc>
          <w:tcPr>
            <w:tcW w:w="2330" w:type="pct"/>
          </w:tcPr>
          <w:p w:rsidR="00B0302A" w:rsidRPr="00BE6616" w:rsidRDefault="00B0302A" w:rsidP="00E12E48">
            <w:pPr>
              <w:jc w:val="both"/>
              <w:rPr>
                <w:rFonts w:eastAsia="Calibri"/>
                <w:sz w:val="20"/>
              </w:rPr>
            </w:pPr>
            <w:r w:rsidRPr="00BE6616">
              <w:rPr>
                <w:rFonts w:eastAsia="Calibri"/>
                <w:sz w:val="20"/>
              </w:rPr>
              <w:t>Appeal dismissed</w:t>
            </w:r>
          </w:p>
          <w:p w:rsidR="00B0302A" w:rsidRPr="00BE6616" w:rsidRDefault="00B0302A" w:rsidP="00E12E48">
            <w:pPr>
              <w:jc w:val="both"/>
              <w:rPr>
                <w:rFonts w:eastAsia="Calibri"/>
                <w:sz w:val="20"/>
              </w:rPr>
            </w:pPr>
          </w:p>
        </w:tc>
      </w:tr>
      <w:tr w:rsidR="00B0302A" w:rsidRPr="00BE6616" w:rsidTr="00E12E48">
        <w:tc>
          <w:tcPr>
            <w:tcW w:w="2427" w:type="pct"/>
          </w:tcPr>
          <w:p w:rsidR="00B0302A" w:rsidRPr="00BE6616" w:rsidRDefault="00B0302A" w:rsidP="00E12E48">
            <w:pPr>
              <w:jc w:val="both"/>
              <w:rPr>
                <w:rFonts w:eastAsia="Calibri"/>
                <w:sz w:val="20"/>
              </w:rPr>
            </w:pPr>
            <w:r w:rsidRPr="00BE6616">
              <w:rPr>
                <w:rFonts w:eastAsia="Calibri"/>
                <w:sz w:val="20"/>
              </w:rPr>
              <w:t>March 4, 2011</w:t>
            </w:r>
          </w:p>
          <w:p w:rsidR="00B0302A" w:rsidRPr="00BE6616" w:rsidRDefault="00B0302A" w:rsidP="00E12E48">
            <w:pPr>
              <w:jc w:val="both"/>
              <w:rPr>
                <w:rFonts w:eastAsia="Calibri"/>
                <w:sz w:val="20"/>
              </w:rPr>
            </w:pPr>
            <w:r w:rsidRPr="00BE6616">
              <w:rPr>
                <w:rFonts w:eastAsia="Calibri"/>
                <w:sz w:val="20"/>
              </w:rPr>
              <w:t>Supreme Court of Canada</w:t>
            </w:r>
          </w:p>
        </w:tc>
        <w:tc>
          <w:tcPr>
            <w:tcW w:w="243" w:type="pct"/>
          </w:tcPr>
          <w:p w:rsidR="00B0302A" w:rsidRPr="00BE6616" w:rsidRDefault="00B0302A" w:rsidP="00E12E48">
            <w:pPr>
              <w:jc w:val="both"/>
              <w:rPr>
                <w:rFonts w:eastAsia="Calibri"/>
                <w:sz w:val="20"/>
              </w:rPr>
            </w:pPr>
          </w:p>
        </w:tc>
        <w:tc>
          <w:tcPr>
            <w:tcW w:w="2330" w:type="pct"/>
          </w:tcPr>
          <w:p w:rsidR="00B0302A" w:rsidRPr="00BE6616" w:rsidRDefault="00B0302A" w:rsidP="00E12E48">
            <w:pPr>
              <w:jc w:val="both"/>
              <w:rPr>
                <w:rFonts w:eastAsia="Calibri"/>
                <w:sz w:val="20"/>
              </w:rPr>
            </w:pPr>
            <w:r w:rsidRPr="00BE6616">
              <w:rPr>
                <w:rFonts w:eastAsia="Calibri"/>
                <w:sz w:val="20"/>
              </w:rPr>
              <w:t>Application for leave to appeal filed</w:t>
            </w:r>
          </w:p>
          <w:p w:rsidR="00B0302A" w:rsidRPr="00BE6616" w:rsidRDefault="00B0302A" w:rsidP="00E12E4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47"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B0302A" w:rsidRPr="00682661" w:rsidTr="00E12E48">
        <w:tc>
          <w:tcPr>
            <w:tcW w:w="5000" w:type="pct"/>
            <w:gridSpan w:val="3"/>
          </w:tcPr>
          <w:p w:rsidR="00B0302A" w:rsidRPr="00BE6616" w:rsidRDefault="00B0302A" w:rsidP="00E12E48">
            <w:pPr>
              <w:jc w:val="both"/>
              <w:rPr>
                <w:rFonts w:eastAsia="Calibri"/>
                <w:smallCaps/>
                <w:sz w:val="20"/>
                <w:lang w:val="fr-CA"/>
              </w:rPr>
            </w:pPr>
            <w:r w:rsidRPr="00BE6616">
              <w:rPr>
                <w:rFonts w:eastAsia="Calibri"/>
                <w:smallCaps/>
                <w:sz w:val="20"/>
                <w:lang w:val="fr-CA"/>
              </w:rPr>
              <w:t>(Ordonnance de non</w:t>
            </w:r>
            <w:r w:rsidRPr="00BE6616">
              <w:rPr>
                <w:rFonts w:eastAsia="Calibri"/>
                <w:smallCaps/>
                <w:sz w:val="20"/>
                <w:lang w:val="fr-CA"/>
              </w:rPr>
              <w:noBreakHyphen/>
              <w:t>publication dans le dossier) (ordonnance de non</w:t>
            </w:r>
            <w:r w:rsidRPr="00BE6616">
              <w:rPr>
                <w:rFonts w:eastAsia="Calibri"/>
                <w:smallCaps/>
                <w:sz w:val="20"/>
                <w:lang w:val="fr-CA"/>
              </w:rPr>
              <w:noBreakHyphen/>
              <w:t>publication visant une partie)</w:t>
            </w:r>
          </w:p>
          <w:p w:rsidR="00B0302A" w:rsidRPr="00BE6616" w:rsidRDefault="00B0302A" w:rsidP="00E12E48">
            <w:pPr>
              <w:jc w:val="both"/>
              <w:rPr>
                <w:rFonts w:eastAsia="Calibri"/>
                <w:sz w:val="20"/>
                <w:lang w:val="fr-CA"/>
              </w:rPr>
            </w:pPr>
          </w:p>
          <w:p w:rsidR="00B0302A" w:rsidRPr="00BE6616" w:rsidRDefault="00B0302A" w:rsidP="00E12E48">
            <w:pPr>
              <w:jc w:val="both"/>
              <w:rPr>
                <w:rFonts w:eastAsia="Calibri"/>
                <w:sz w:val="20"/>
                <w:lang w:val="fr-CA"/>
              </w:rPr>
            </w:pPr>
            <w:r w:rsidRPr="00BE6616">
              <w:rPr>
                <w:rFonts w:eastAsia="Calibri"/>
                <w:sz w:val="20"/>
                <w:lang w:val="fr-CA"/>
              </w:rPr>
              <w:t>Droit criminel — Appel — Accusation d’avoir illicitement abandonné un enfant de manière que la vie de cet enfant soit exposée à être mise en danger contrairement à l’art. 218 du</w:t>
            </w:r>
            <w:r w:rsidRPr="00BE6616">
              <w:rPr>
                <w:rFonts w:eastAsia="Calibri"/>
                <w:i/>
                <w:sz w:val="20"/>
                <w:lang w:val="fr-CA"/>
              </w:rPr>
              <w:t xml:space="preserve"> Code criminel </w:t>
            </w:r>
            <w:r w:rsidRPr="00BE6616">
              <w:rPr>
                <w:rFonts w:eastAsia="Calibri"/>
                <w:sz w:val="20"/>
                <w:lang w:val="fr-CA"/>
              </w:rPr>
              <w:t xml:space="preserve">— Verdict d’acquittement — Appel rejeté — Quelle </w:t>
            </w:r>
            <w:r w:rsidRPr="00BE6616">
              <w:rPr>
                <w:rFonts w:eastAsia="Calibri"/>
                <w:i/>
                <w:sz w:val="20"/>
                <w:lang w:val="fr-CA"/>
              </w:rPr>
              <w:t>mens rea</w:t>
            </w:r>
            <w:r w:rsidRPr="00BE6616">
              <w:rPr>
                <w:rFonts w:eastAsia="Calibri"/>
                <w:sz w:val="20"/>
                <w:lang w:val="fr-CA"/>
              </w:rPr>
              <w:t xml:space="preserve"> faut</w:t>
            </w:r>
            <w:r w:rsidRPr="00BE6616">
              <w:rPr>
                <w:rFonts w:eastAsia="Calibri"/>
                <w:sz w:val="20"/>
                <w:lang w:val="fr-CA"/>
              </w:rPr>
              <w:noBreakHyphen/>
              <w:t xml:space="preserve">il avoir pour commettre l’infraction visée à l’art. 218 du </w:t>
            </w:r>
            <w:r w:rsidRPr="00BE6616">
              <w:rPr>
                <w:rFonts w:eastAsia="Calibri"/>
                <w:i/>
                <w:sz w:val="20"/>
                <w:lang w:val="fr-CA"/>
              </w:rPr>
              <w:t>Code</w:t>
            </w:r>
            <w:r w:rsidRPr="00BE6616">
              <w:rPr>
                <w:rFonts w:eastAsia="Calibri"/>
                <w:sz w:val="20"/>
                <w:lang w:val="fr-CA"/>
              </w:rPr>
              <w:t xml:space="preserve">? — La </w:t>
            </w:r>
            <w:r w:rsidRPr="00BE6616">
              <w:rPr>
                <w:rFonts w:eastAsia="Calibri"/>
                <w:i/>
                <w:sz w:val="20"/>
                <w:lang w:val="fr-CA"/>
              </w:rPr>
              <w:t>mens rea</w:t>
            </w:r>
            <w:r w:rsidRPr="00BE6616">
              <w:rPr>
                <w:rFonts w:eastAsia="Calibri"/>
                <w:sz w:val="20"/>
                <w:lang w:val="fr-CA"/>
              </w:rPr>
              <w:t xml:space="preserve"> de l’infraction visée à l’art. 218 du </w:t>
            </w:r>
            <w:r w:rsidRPr="00BE6616">
              <w:rPr>
                <w:rFonts w:eastAsia="Calibri"/>
                <w:i/>
                <w:sz w:val="20"/>
                <w:lang w:val="fr-CA"/>
              </w:rPr>
              <w:t>Code</w:t>
            </w:r>
            <w:r w:rsidRPr="00BE6616">
              <w:rPr>
                <w:rFonts w:eastAsia="Calibri"/>
                <w:sz w:val="20"/>
                <w:lang w:val="fr-CA"/>
              </w:rPr>
              <w:t xml:space="preserve"> est</w:t>
            </w:r>
            <w:r w:rsidRPr="00BE6616">
              <w:rPr>
                <w:rFonts w:eastAsia="Calibri"/>
                <w:sz w:val="20"/>
                <w:lang w:val="fr-CA"/>
              </w:rPr>
              <w:noBreakHyphen/>
              <w:t xml:space="preserve">elle régie par une norme subjective ou une norme objective modifiée? — Si la </w:t>
            </w:r>
            <w:r w:rsidRPr="00BE6616">
              <w:rPr>
                <w:rFonts w:eastAsia="Calibri"/>
                <w:i/>
                <w:sz w:val="20"/>
                <w:lang w:val="fr-CA"/>
              </w:rPr>
              <w:t>mens rea</w:t>
            </w:r>
            <w:r w:rsidRPr="00BE6616">
              <w:rPr>
                <w:rFonts w:eastAsia="Calibri"/>
                <w:sz w:val="20"/>
                <w:lang w:val="fr-CA"/>
              </w:rPr>
              <w:t xml:space="preserve"> est régie par une norme objective modifiée, l’erreur de fait doit</w:t>
            </w:r>
            <w:r w:rsidRPr="00BE6616">
              <w:rPr>
                <w:rFonts w:eastAsia="Calibri"/>
                <w:sz w:val="20"/>
                <w:lang w:val="fr-CA"/>
              </w:rPr>
              <w:noBreakHyphen/>
              <w:t xml:space="preserve">elle être objectivement raisonnable ou </w:t>
            </w:r>
            <w:r w:rsidRPr="00BE6616">
              <w:rPr>
                <w:rFonts w:eastAsia="Calibri"/>
                <w:sz w:val="20"/>
                <w:lang w:val="fr-CA"/>
              </w:rPr>
              <w:lastRenderedPageBreak/>
              <w:t>peut</w:t>
            </w:r>
            <w:r w:rsidRPr="00BE6616">
              <w:rPr>
                <w:rFonts w:eastAsia="Calibri"/>
                <w:sz w:val="20"/>
                <w:lang w:val="fr-CA"/>
              </w:rPr>
              <w:noBreakHyphen/>
              <w:t>elle être subjectivement raisonnable? — L’affaire soulève</w:t>
            </w:r>
            <w:r w:rsidRPr="00BE6616">
              <w:rPr>
                <w:rFonts w:eastAsia="Calibri"/>
                <w:sz w:val="20"/>
                <w:lang w:val="fr-CA"/>
              </w:rPr>
              <w:noBreakHyphen/>
              <w:t>t</w:t>
            </w:r>
            <w:r w:rsidRPr="00BE6616">
              <w:rPr>
                <w:rFonts w:eastAsia="Calibri"/>
                <w:sz w:val="20"/>
                <w:lang w:val="fr-CA"/>
              </w:rPr>
              <w:noBreakHyphen/>
              <w:t>elle des questions d’importance pour le public?</w:t>
            </w:r>
          </w:p>
        </w:tc>
      </w:tr>
      <w:tr w:rsidR="00B0302A" w:rsidRPr="00682661" w:rsidTr="00E12E48">
        <w:tc>
          <w:tcPr>
            <w:tcW w:w="5000" w:type="pct"/>
            <w:gridSpan w:val="3"/>
          </w:tcPr>
          <w:p w:rsidR="00B0302A" w:rsidRPr="00BE6616" w:rsidRDefault="00B0302A" w:rsidP="00E12E48">
            <w:pPr>
              <w:jc w:val="both"/>
              <w:rPr>
                <w:rFonts w:eastAsia="Calibri"/>
                <w:sz w:val="20"/>
                <w:lang w:val="fr-CA"/>
              </w:rPr>
            </w:pPr>
          </w:p>
        </w:tc>
      </w:tr>
      <w:tr w:rsidR="00B0302A" w:rsidRPr="00682661" w:rsidTr="00E12E48">
        <w:tc>
          <w:tcPr>
            <w:tcW w:w="5000" w:type="pct"/>
            <w:gridSpan w:val="3"/>
          </w:tcPr>
          <w:p w:rsidR="00B0302A" w:rsidRPr="00BE6616" w:rsidRDefault="00B0302A" w:rsidP="00E12E48">
            <w:pPr>
              <w:jc w:val="both"/>
              <w:rPr>
                <w:rFonts w:eastAsia="Calibri"/>
                <w:sz w:val="20"/>
                <w:lang w:val="fr-CA"/>
              </w:rPr>
            </w:pPr>
            <w:r w:rsidRPr="00BE6616">
              <w:rPr>
                <w:rFonts w:eastAsia="Calibri"/>
                <w:sz w:val="20"/>
                <w:lang w:val="fr-CA"/>
              </w:rPr>
              <w:t>L’intimée, A.D.H., a été accusée d’avoir illicitement abandonné un enfant de manière que la vie de cet enfant soit exposée à être mise en danger contrairement à l’art. 218 du</w:t>
            </w:r>
            <w:r w:rsidRPr="00BE6616">
              <w:rPr>
                <w:rFonts w:eastAsia="Calibri"/>
                <w:i/>
                <w:sz w:val="20"/>
                <w:lang w:val="fr-CA"/>
              </w:rPr>
              <w:t xml:space="preserve"> Code criminel</w:t>
            </w:r>
            <w:r w:rsidRPr="00BE6616">
              <w:rPr>
                <w:rFonts w:eastAsia="Calibri"/>
                <w:sz w:val="20"/>
                <w:lang w:val="fr-CA"/>
              </w:rPr>
              <w:t>.  Le bébé est né dans les toilettes d’un magasin Wal</w:t>
            </w:r>
            <w:r w:rsidRPr="00BE6616">
              <w:rPr>
                <w:rFonts w:eastAsia="Calibri"/>
                <w:sz w:val="20"/>
                <w:lang w:val="fr-CA"/>
              </w:rPr>
              <w:noBreakHyphen/>
              <w:t>Mart.  A.D.H. ne savait pas qu’elle était enceinte.  Elle ne pensait pas que le bébé était vivant lorsqu’elle a rapidement accouché dans la cuvette des toilettes, puis a quitté le magasin.  La direction du magasin a téléphoné aux services d’urgence et le bébé a été transporté à l’hôpital où on a pu le réanimer.  Selon tous les rapports, l’enfant est normal et en bonne santé.  S’appuyant sur la preuve d’experts, le juge du procès a conclu que la naissance s’était produite de façon abrupte, que A.D.H. ignorait qu’elle était enceinte et que le bébé est né au moins un mois avant terme.  A.D.H. a collaboré pleinement avec la police et a confirmé qu’elle était la mère de l’enfant.  A.D.H. a été acquittée et l’appel a été rejeté.</w:t>
            </w:r>
          </w:p>
          <w:p w:rsidR="00B0302A" w:rsidRPr="00BE6616" w:rsidRDefault="00B0302A" w:rsidP="00E12E48">
            <w:pPr>
              <w:jc w:val="both"/>
              <w:rPr>
                <w:rFonts w:eastAsia="Calibri"/>
                <w:sz w:val="20"/>
                <w:lang w:val="fr-CA"/>
              </w:rPr>
            </w:pPr>
          </w:p>
        </w:tc>
      </w:tr>
      <w:tr w:rsidR="00B0302A" w:rsidRPr="00BE6616" w:rsidTr="00E12E48">
        <w:tc>
          <w:tcPr>
            <w:tcW w:w="2427" w:type="pct"/>
          </w:tcPr>
          <w:p w:rsidR="00B0302A" w:rsidRPr="00BE6616" w:rsidRDefault="00B0302A" w:rsidP="00E12E48">
            <w:pPr>
              <w:jc w:val="both"/>
              <w:rPr>
                <w:rFonts w:eastAsia="Calibri"/>
                <w:sz w:val="20"/>
                <w:lang w:val="fr-CA"/>
              </w:rPr>
            </w:pPr>
            <w:r w:rsidRPr="00BE6616">
              <w:rPr>
                <w:rFonts w:eastAsia="Calibri"/>
                <w:sz w:val="20"/>
                <w:lang w:val="fr-CA"/>
              </w:rPr>
              <w:t>24 juin 2009</w:t>
            </w:r>
          </w:p>
          <w:p w:rsidR="00B0302A" w:rsidRPr="00BE6616" w:rsidRDefault="00B0302A" w:rsidP="00E12E48">
            <w:pPr>
              <w:jc w:val="both"/>
              <w:rPr>
                <w:rFonts w:eastAsia="Calibri"/>
                <w:sz w:val="20"/>
                <w:lang w:val="fr-CA"/>
              </w:rPr>
            </w:pPr>
            <w:r w:rsidRPr="00BE6616">
              <w:rPr>
                <w:rFonts w:eastAsia="Calibri"/>
                <w:sz w:val="20"/>
                <w:lang w:val="fr-CA"/>
              </w:rPr>
              <w:t>Cour du Banc de la Reine de la Saskatchewan</w:t>
            </w:r>
          </w:p>
          <w:p w:rsidR="00B0302A" w:rsidRPr="00BE6616" w:rsidRDefault="00B0302A" w:rsidP="00E12E48">
            <w:pPr>
              <w:jc w:val="both"/>
              <w:rPr>
                <w:rFonts w:eastAsia="Calibri"/>
                <w:sz w:val="20"/>
                <w:lang w:val="fr-CA"/>
              </w:rPr>
            </w:pPr>
            <w:r w:rsidRPr="00BE6616">
              <w:rPr>
                <w:rFonts w:eastAsia="Calibri"/>
                <w:sz w:val="20"/>
                <w:lang w:val="fr-CA"/>
              </w:rPr>
              <w:t>(Juge Gabrielson)</w:t>
            </w:r>
          </w:p>
          <w:p w:rsidR="00B0302A" w:rsidRPr="00BE6616" w:rsidRDefault="00B0302A" w:rsidP="00E12E48">
            <w:pPr>
              <w:jc w:val="both"/>
              <w:rPr>
                <w:rFonts w:eastAsia="Calibri"/>
                <w:sz w:val="20"/>
                <w:lang w:val="fr-CA"/>
              </w:rPr>
            </w:pPr>
          </w:p>
        </w:tc>
        <w:tc>
          <w:tcPr>
            <w:tcW w:w="243" w:type="pct"/>
          </w:tcPr>
          <w:p w:rsidR="00B0302A" w:rsidRPr="00BE6616" w:rsidRDefault="00B0302A" w:rsidP="00E12E48">
            <w:pPr>
              <w:jc w:val="both"/>
              <w:rPr>
                <w:rFonts w:eastAsia="Calibri"/>
                <w:sz w:val="20"/>
                <w:lang w:val="fr-CA"/>
              </w:rPr>
            </w:pPr>
          </w:p>
        </w:tc>
        <w:tc>
          <w:tcPr>
            <w:tcW w:w="2330" w:type="pct"/>
          </w:tcPr>
          <w:p w:rsidR="00B0302A" w:rsidRPr="00BE6616" w:rsidRDefault="00B0302A" w:rsidP="00E12E48">
            <w:pPr>
              <w:jc w:val="both"/>
              <w:rPr>
                <w:rFonts w:eastAsia="Calibri"/>
                <w:sz w:val="20"/>
                <w:lang w:val="fr-CA"/>
              </w:rPr>
            </w:pPr>
            <w:r w:rsidRPr="00BE6616">
              <w:rPr>
                <w:rFonts w:eastAsia="Calibri"/>
                <w:sz w:val="20"/>
                <w:lang w:val="fr-CA"/>
              </w:rPr>
              <w:t>Verdict d’acquittement</w:t>
            </w:r>
          </w:p>
          <w:p w:rsidR="00B0302A" w:rsidRPr="00BE6616" w:rsidRDefault="00B0302A" w:rsidP="00E12E48">
            <w:pPr>
              <w:jc w:val="both"/>
              <w:rPr>
                <w:rFonts w:eastAsia="Calibri"/>
                <w:sz w:val="20"/>
                <w:lang w:val="fr-CA"/>
              </w:rPr>
            </w:pPr>
          </w:p>
        </w:tc>
      </w:tr>
      <w:tr w:rsidR="00B0302A" w:rsidRPr="00BE6616" w:rsidTr="00E12E48">
        <w:tc>
          <w:tcPr>
            <w:tcW w:w="2427" w:type="pct"/>
          </w:tcPr>
          <w:p w:rsidR="00B0302A" w:rsidRPr="00BE6616" w:rsidRDefault="00B0302A" w:rsidP="00E12E48">
            <w:pPr>
              <w:jc w:val="both"/>
              <w:rPr>
                <w:rFonts w:eastAsia="Calibri"/>
                <w:sz w:val="20"/>
                <w:lang w:val="fr-CA"/>
              </w:rPr>
            </w:pPr>
            <w:r w:rsidRPr="00BE6616">
              <w:rPr>
                <w:rFonts w:eastAsia="Calibri"/>
                <w:sz w:val="20"/>
                <w:lang w:val="fr-CA"/>
              </w:rPr>
              <w:t>12 janvier 2011</w:t>
            </w:r>
          </w:p>
          <w:p w:rsidR="00B0302A" w:rsidRPr="00BE6616" w:rsidRDefault="00B0302A" w:rsidP="00E12E48">
            <w:pPr>
              <w:jc w:val="both"/>
              <w:rPr>
                <w:rFonts w:eastAsia="Calibri"/>
                <w:sz w:val="20"/>
                <w:lang w:val="fr-CA"/>
              </w:rPr>
            </w:pPr>
            <w:r w:rsidRPr="00BE6616">
              <w:rPr>
                <w:rFonts w:eastAsia="Calibri"/>
                <w:sz w:val="20"/>
                <w:lang w:val="fr-CA"/>
              </w:rPr>
              <w:t>Cour d’appel de la Saskatchewan</w:t>
            </w:r>
          </w:p>
          <w:p w:rsidR="00B0302A" w:rsidRPr="00BE6616" w:rsidRDefault="00B0302A" w:rsidP="00E12E48">
            <w:pPr>
              <w:jc w:val="both"/>
              <w:rPr>
                <w:rFonts w:eastAsia="Calibri"/>
                <w:sz w:val="20"/>
                <w:lang w:val="fr-CA"/>
              </w:rPr>
            </w:pPr>
            <w:r w:rsidRPr="00BE6616">
              <w:rPr>
                <w:rFonts w:eastAsia="Calibri"/>
                <w:sz w:val="20"/>
                <w:lang w:val="fr-CA"/>
              </w:rPr>
              <w:t>(Juges Richards, Smith et Ottenbreit)</w:t>
            </w:r>
          </w:p>
          <w:p w:rsidR="00B0302A" w:rsidRPr="00BE6616" w:rsidRDefault="00B0302A" w:rsidP="00E12E48">
            <w:pPr>
              <w:jc w:val="both"/>
              <w:rPr>
                <w:rFonts w:eastAsia="Calibri"/>
                <w:sz w:val="20"/>
                <w:lang w:val="fr-CA"/>
              </w:rPr>
            </w:pPr>
            <w:r w:rsidRPr="00BE6616">
              <w:rPr>
                <w:rFonts w:eastAsia="Calibri"/>
                <w:sz w:val="20"/>
                <w:lang w:val="fr-CA"/>
              </w:rPr>
              <w:t>2011 SKCA 6</w:t>
            </w:r>
          </w:p>
          <w:p w:rsidR="00B0302A" w:rsidRPr="00BE6616" w:rsidRDefault="00B0302A" w:rsidP="00E12E48">
            <w:pPr>
              <w:jc w:val="both"/>
              <w:rPr>
                <w:rFonts w:eastAsia="Calibri"/>
                <w:sz w:val="20"/>
                <w:lang w:val="fr-CA"/>
              </w:rPr>
            </w:pPr>
          </w:p>
        </w:tc>
        <w:tc>
          <w:tcPr>
            <w:tcW w:w="243" w:type="pct"/>
          </w:tcPr>
          <w:p w:rsidR="00B0302A" w:rsidRPr="00BE6616" w:rsidRDefault="00B0302A" w:rsidP="00E12E48">
            <w:pPr>
              <w:jc w:val="both"/>
              <w:rPr>
                <w:rFonts w:eastAsia="Calibri"/>
                <w:sz w:val="20"/>
                <w:lang w:val="fr-CA"/>
              </w:rPr>
            </w:pPr>
          </w:p>
        </w:tc>
        <w:tc>
          <w:tcPr>
            <w:tcW w:w="2330" w:type="pct"/>
          </w:tcPr>
          <w:p w:rsidR="00B0302A" w:rsidRPr="00BE6616" w:rsidRDefault="00B0302A" w:rsidP="00E12E48">
            <w:pPr>
              <w:jc w:val="both"/>
              <w:rPr>
                <w:rFonts w:eastAsia="Calibri"/>
                <w:sz w:val="20"/>
                <w:lang w:val="fr-CA"/>
              </w:rPr>
            </w:pPr>
            <w:r w:rsidRPr="00BE6616">
              <w:rPr>
                <w:rFonts w:eastAsia="Calibri"/>
                <w:sz w:val="20"/>
                <w:lang w:val="fr-CA"/>
              </w:rPr>
              <w:t>Appel rejeté</w:t>
            </w:r>
          </w:p>
          <w:p w:rsidR="00B0302A" w:rsidRPr="00BE6616" w:rsidRDefault="00B0302A" w:rsidP="00E12E48">
            <w:pPr>
              <w:jc w:val="both"/>
              <w:rPr>
                <w:rFonts w:eastAsia="Calibri"/>
                <w:sz w:val="20"/>
                <w:lang w:val="fr-CA"/>
              </w:rPr>
            </w:pPr>
          </w:p>
        </w:tc>
      </w:tr>
      <w:tr w:rsidR="00B0302A" w:rsidRPr="00BE6616" w:rsidTr="00E12E48">
        <w:tc>
          <w:tcPr>
            <w:tcW w:w="2427" w:type="pct"/>
          </w:tcPr>
          <w:p w:rsidR="00B0302A" w:rsidRPr="00BE6616" w:rsidRDefault="00B0302A" w:rsidP="00E12E48">
            <w:pPr>
              <w:jc w:val="both"/>
              <w:rPr>
                <w:rFonts w:eastAsia="Calibri"/>
                <w:sz w:val="20"/>
                <w:lang w:val="fr-CA"/>
              </w:rPr>
            </w:pPr>
            <w:r w:rsidRPr="00BE6616">
              <w:rPr>
                <w:rFonts w:eastAsia="Calibri"/>
                <w:sz w:val="20"/>
                <w:lang w:val="fr-CA"/>
              </w:rPr>
              <w:t>4 mars 2011</w:t>
            </w:r>
          </w:p>
          <w:p w:rsidR="00B0302A" w:rsidRPr="00BE6616" w:rsidRDefault="00B0302A" w:rsidP="00E12E48">
            <w:pPr>
              <w:jc w:val="both"/>
              <w:rPr>
                <w:rFonts w:eastAsia="Calibri"/>
                <w:sz w:val="20"/>
                <w:lang w:val="fr-CA"/>
              </w:rPr>
            </w:pPr>
            <w:r w:rsidRPr="00BE6616">
              <w:rPr>
                <w:rFonts w:eastAsia="Calibri"/>
                <w:sz w:val="20"/>
                <w:lang w:val="fr-CA"/>
              </w:rPr>
              <w:t>Cour suprême du Canada</w:t>
            </w:r>
          </w:p>
        </w:tc>
        <w:tc>
          <w:tcPr>
            <w:tcW w:w="243" w:type="pct"/>
          </w:tcPr>
          <w:p w:rsidR="00B0302A" w:rsidRPr="00BE6616" w:rsidRDefault="00B0302A" w:rsidP="00E12E48">
            <w:pPr>
              <w:jc w:val="both"/>
              <w:rPr>
                <w:rFonts w:eastAsia="Calibri"/>
                <w:sz w:val="20"/>
                <w:lang w:val="fr-CA"/>
              </w:rPr>
            </w:pPr>
          </w:p>
        </w:tc>
        <w:tc>
          <w:tcPr>
            <w:tcW w:w="2330" w:type="pct"/>
          </w:tcPr>
          <w:p w:rsidR="00B0302A" w:rsidRPr="00BE6616" w:rsidRDefault="00B0302A" w:rsidP="00E12E48">
            <w:pPr>
              <w:jc w:val="both"/>
              <w:rPr>
                <w:rFonts w:eastAsia="Calibri"/>
                <w:sz w:val="20"/>
                <w:lang w:val="fr-CA"/>
              </w:rPr>
            </w:pPr>
            <w:r w:rsidRPr="00BE6616">
              <w:rPr>
                <w:rFonts w:eastAsia="Calibri"/>
                <w:sz w:val="20"/>
                <w:lang w:val="fr-CA"/>
              </w:rPr>
              <w:t>Demande d’autorisation d’appel, déposée</w:t>
            </w:r>
          </w:p>
          <w:p w:rsidR="00B0302A" w:rsidRPr="00BE6616" w:rsidRDefault="00B0302A" w:rsidP="00E12E4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48"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16FC5" w:rsidRPr="00682661" w:rsidTr="002E3508">
        <w:trPr>
          <w:cantSplit/>
        </w:trPr>
        <w:tc>
          <w:tcPr>
            <w:tcW w:w="1458" w:type="dxa"/>
          </w:tcPr>
          <w:p w:rsidR="00E16FC5" w:rsidRPr="00E16FC5" w:rsidRDefault="00E16FC5" w:rsidP="002E3508">
            <w:pPr>
              <w:rPr>
                <w:sz w:val="20"/>
                <w:szCs w:val="20"/>
              </w:rPr>
            </w:pPr>
            <w:r w:rsidRPr="00E16FC5">
              <w:rPr>
                <w:rStyle w:val="SCCFileNumberChar"/>
                <w:sz w:val="20"/>
                <w:szCs w:val="20"/>
              </w:rPr>
              <w:t>34201</w:t>
            </w:r>
          </w:p>
          <w:p w:rsidR="00E16FC5" w:rsidRPr="00E16FC5" w:rsidRDefault="00E16FC5" w:rsidP="002E3508">
            <w:pPr>
              <w:rPr>
                <w:b/>
                <w:sz w:val="20"/>
                <w:szCs w:val="20"/>
                <w:lang w:val="fr-CA"/>
              </w:rPr>
            </w:pPr>
          </w:p>
        </w:tc>
        <w:tc>
          <w:tcPr>
            <w:tcW w:w="8118" w:type="dxa"/>
          </w:tcPr>
          <w:p w:rsidR="00E16FC5" w:rsidRPr="00E16FC5" w:rsidRDefault="00E16FC5" w:rsidP="002E3508">
            <w:pPr>
              <w:rPr>
                <w:sz w:val="20"/>
                <w:szCs w:val="20"/>
                <w:lang w:val="fr-CA"/>
              </w:rPr>
            </w:pPr>
            <w:r w:rsidRPr="00E16FC5">
              <w:rPr>
                <w:rStyle w:val="SCCLsocChar"/>
                <w:sz w:val="20"/>
                <w:szCs w:val="20"/>
              </w:rPr>
              <w:t>Sa Majesté la Reine c. Louis Ruel</w:t>
            </w:r>
            <w:r w:rsidRPr="00E16FC5">
              <w:rPr>
                <w:sz w:val="20"/>
                <w:szCs w:val="20"/>
                <w:lang w:val="fr-CA"/>
              </w:rPr>
              <w:t xml:space="preserve"> (Qc) (Criminelle) (Autorisation)</w:t>
            </w:r>
          </w:p>
          <w:p w:rsidR="00E16FC5" w:rsidRPr="00E16FC5" w:rsidRDefault="00E16FC5" w:rsidP="002E3508">
            <w:pPr>
              <w:rPr>
                <w:sz w:val="20"/>
                <w:szCs w:val="20"/>
                <w:lang w:val="fr-CA"/>
              </w:rPr>
            </w:pPr>
          </w:p>
        </w:tc>
      </w:tr>
      <w:tr w:rsidR="00E16FC5" w:rsidRPr="00682661" w:rsidTr="002E3508">
        <w:trPr>
          <w:cantSplit/>
        </w:trPr>
        <w:tc>
          <w:tcPr>
            <w:tcW w:w="1458" w:type="dxa"/>
          </w:tcPr>
          <w:p w:rsidR="00E16FC5" w:rsidRPr="00E16FC5" w:rsidRDefault="00E16FC5" w:rsidP="002E3508">
            <w:pPr>
              <w:rPr>
                <w:sz w:val="20"/>
                <w:szCs w:val="20"/>
              </w:rPr>
            </w:pPr>
            <w:r w:rsidRPr="00E16FC5">
              <w:rPr>
                <w:sz w:val="20"/>
                <w:szCs w:val="20"/>
              </w:rPr>
              <w:t>Coram :</w:t>
            </w:r>
          </w:p>
        </w:tc>
        <w:tc>
          <w:tcPr>
            <w:tcW w:w="8118" w:type="dxa"/>
          </w:tcPr>
          <w:p w:rsidR="00E16FC5" w:rsidRPr="00E16FC5" w:rsidRDefault="00E16FC5" w:rsidP="002E3508">
            <w:pPr>
              <w:rPr>
                <w:sz w:val="20"/>
                <w:szCs w:val="20"/>
                <w:lang w:val="fr-CA"/>
              </w:rPr>
            </w:pPr>
            <w:r w:rsidRPr="00E16FC5">
              <w:rPr>
                <w:rStyle w:val="SCCCoramChar"/>
                <w:sz w:val="20"/>
                <w:szCs w:val="20"/>
                <w:lang w:val="fr-CA"/>
              </w:rPr>
              <w:t>La juge en chef McLachlin et les juges Deschamps et Cromwell</w:t>
            </w:r>
          </w:p>
          <w:p w:rsidR="00E16FC5" w:rsidRPr="00E16FC5" w:rsidRDefault="00E16FC5" w:rsidP="002E3508">
            <w:pPr>
              <w:rPr>
                <w:sz w:val="20"/>
                <w:szCs w:val="20"/>
                <w:u w:val="single"/>
                <w:lang w:val="fr-CA"/>
              </w:rPr>
            </w:pPr>
          </w:p>
        </w:tc>
      </w:tr>
      <w:tr w:rsidR="00E16FC5" w:rsidRPr="00E16FC5" w:rsidTr="002E3508">
        <w:trPr>
          <w:cantSplit/>
        </w:trPr>
        <w:tc>
          <w:tcPr>
            <w:tcW w:w="9576" w:type="dxa"/>
            <w:gridSpan w:val="2"/>
          </w:tcPr>
          <w:p w:rsidR="00E16FC5" w:rsidRPr="00E16FC5" w:rsidRDefault="00E16FC5" w:rsidP="002E3508">
            <w:pPr>
              <w:pStyle w:val="SCCShortJudgment"/>
              <w:rPr>
                <w:szCs w:val="20"/>
                <w:lang w:val="fr-CA"/>
              </w:rPr>
            </w:pPr>
            <w:r w:rsidRPr="00E16FC5">
              <w:rPr>
                <w:szCs w:val="20"/>
                <w:lang w:val="fr-CA"/>
              </w:rPr>
              <w:t>La demande d’autorisation d’appel de l’arrêt de la Cour d’appel du Québec (Montréal), numéro 500-10-004845-119, 2011 QCCA 391, daté du 2 mars 2011, est rejetée sans dépens.</w:t>
            </w:r>
          </w:p>
          <w:p w:rsidR="00E16FC5" w:rsidRPr="00E16FC5" w:rsidRDefault="00E16FC5" w:rsidP="002E3508">
            <w:pPr>
              <w:pStyle w:val="SCCShortJudgment"/>
              <w:ind w:firstLine="0"/>
              <w:rPr>
                <w:szCs w:val="20"/>
                <w:lang w:val="fr-CA"/>
              </w:rPr>
            </w:pPr>
          </w:p>
          <w:p w:rsidR="00E16FC5" w:rsidRPr="00E16FC5" w:rsidRDefault="00E16FC5" w:rsidP="002E3508">
            <w:pPr>
              <w:pStyle w:val="SCCShortJudgment"/>
              <w:rPr>
                <w:szCs w:val="20"/>
              </w:rPr>
            </w:pPr>
            <w:r w:rsidRPr="00E16FC5">
              <w:rPr>
                <w:szCs w:val="20"/>
              </w:rPr>
              <w:t>The application for leave to appeal from the judgment of the Court of Appeal of Quebec (Montréal), Number 500-10-004845-119, 2011 QCCA 391, dated March 2, 2011, is dismissed without costs.</w:t>
            </w:r>
          </w:p>
        </w:tc>
      </w:tr>
    </w:tbl>
    <w:p w:rsidR="007B50F9" w:rsidRDefault="007B50F9" w:rsidP="007B50F9">
      <w:pPr>
        <w:rPr>
          <w:sz w:val="20"/>
          <w:szCs w:val="20"/>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0302A" w:rsidRPr="00BE6616" w:rsidTr="00E12E48">
        <w:tc>
          <w:tcPr>
            <w:tcW w:w="5000" w:type="pct"/>
            <w:gridSpan w:val="3"/>
          </w:tcPr>
          <w:p w:rsidR="00B0302A" w:rsidRPr="00BE6616" w:rsidRDefault="00B0302A" w:rsidP="00E12E48">
            <w:pPr>
              <w:jc w:val="both"/>
              <w:rPr>
                <w:rFonts w:eastAsia="Calibri"/>
                <w:smallCaps/>
                <w:sz w:val="20"/>
              </w:rPr>
            </w:pPr>
            <w:r w:rsidRPr="00BE6616">
              <w:rPr>
                <w:rFonts w:eastAsia="Calibri"/>
                <w:smallCaps/>
                <w:sz w:val="20"/>
              </w:rPr>
              <w:t>(Publication Ban in Case)</w:t>
            </w:r>
          </w:p>
          <w:p w:rsidR="00B0302A" w:rsidRPr="00BE6616" w:rsidRDefault="00B0302A" w:rsidP="00E12E48">
            <w:pPr>
              <w:jc w:val="both"/>
              <w:rPr>
                <w:rFonts w:eastAsia="Calibri"/>
                <w:sz w:val="20"/>
              </w:rPr>
            </w:pPr>
          </w:p>
        </w:tc>
      </w:tr>
      <w:tr w:rsidR="00B0302A" w:rsidRPr="00BE6616" w:rsidTr="00E12E48">
        <w:tc>
          <w:tcPr>
            <w:tcW w:w="5000" w:type="pct"/>
            <w:gridSpan w:val="3"/>
          </w:tcPr>
          <w:p w:rsidR="00B0302A" w:rsidRPr="00BE6616" w:rsidRDefault="00B0302A" w:rsidP="00E12E48">
            <w:pPr>
              <w:jc w:val="both"/>
              <w:rPr>
                <w:rFonts w:eastAsia="Calibri"/>
                <w:sz w:val="20"/>
              </w:rPr>
            </w:pPr>
            <w:r w:rsidRPr="00BE6616">
              <w:rPr>
                <w:rFonts w:eastAsia="Calibri"/>
                <w:sz w:val="20"/>
              </w:rPr>
              <w:t>Criminal law — Evidence — Assessment — Interim release — Hearsay — Overt acts — In determining whether interim release of individual would undermine confidence in administration of justice based on four criteria set out in s. 515(10</w:t>
            </w:r>
            <w:proofErr w:type="gramStart"/>
            <w:r w:rsidRPr="00BE6616">
              <w:rPr>
                <w:rFonts w:eastAsia="Calibri"/>
                <w:sz w:val="20"/>
              </w:rPr>
              <w:t>)(</w:t>
            </w:r>
            <w:proofErr w:type="gramEnd"/>
            <w:r w:rsidRPr="00BE6616">
              <w:rPr>
                <w:rFonts w:eastAsia="Calibri"/>
                <w:i/>
                <w:sz w:val="20"/>
              </w:rPr>
              <w:t>c</w:t>
            </w:r>
            <w:r w:rsidRPr="00BE6616">
              <w:rPr>
                <w:rFonts w:eastAsia="Calibri"/>
                <w:sz w:val="20"/>
              </w:rPr>
              <w:t xml:space="preserve">) of </w:t>
            </w:r>
            <w:r w:rsidRPr="00BE6616">
              <w:rPr>
                <w:rFonts w:eastAsia="Calibri"/>
                <w:i/>
                <w:sz w:val="20"/>
              </w:rPr>
              <w:t>Criminal Code</w:t>
            </w:r>
            <w:r w:rsidRPr="00BE6616">
              <w:rPr>
                <w:rFonts w:eastAsia="Calibri"/>
                <w:sz w:val="20"/>
              </w:rPr>
              <w:t xml:space="preserve">, whether judge must analyse evidence by considering law that will be applicable at trial, especially doctrine of overt acts and admissible hearsay evidence — </w:t>
            </w:r>
            <w:r w:rsidRPr="00BE6616">
              <w:rPr>
                <w:rFonts w:eastAsia="Calibri"/>
                <w:i/>
                <w:sz w:val="20"/>
              </w:rPr>
              <w:t>Criminal Code</w:t>
            </w:r>
            <w:r w:rsidRPr="00BE6616">
              <w:rPr>
                <w:rFonts w:eastAsia="Calibri"/>
                <w:sz w:val="20"/>
              </w:rPr>
              <w:t>, R.S.C. 1985, c. C</w:t>
            </w:r>
            <w:r w:rsidRPr="00BE6616">
              <w:rPr>
                <w:rFonts w:eastAsia="Calibri"/>
                <w:sz w:val="20"/>
              </w:rPr>
              <w:noBreakHyphen/>
              <w:t>46, ss. 21, 22 and 515(10).</w:t>
            </w:r>
          </w:p>
          <w:p w:rsidR="00B0302A" w:rsidRPr="00BE6616" w:rsidRDefault="00B0302A" w:rsidP="00E12E48">
            <w:pPr>
              <w:jc w:val="both"/>
              <w:rPr>
                <w:rFonts w:eastAsia="Calibri"/>
                <w:sz w:val="20"/>
              </w:rPr>
            </w:pPr>
          </w:p>
        </w:tc>
      </w:tr>
      <w:tr w:rsidR="00B0302A" w:rsidRPr="00BE6616" w:rsidTr="00E12E48">
        <w:tc>
          <w:tcPr>
            <w:tcW w:w="5000" w:type="pct"/>
            <w:gridSpan w:val="3"/>
          </w:tcPr>
          <w:p w:rsidR="00B0302A" w:rsidRPr="00BE6616" w:rsidRDefault="00B0302A" w:rsidP="00E12E48">
            <w:pPr>
              <w:jc w:val="both"/>
              <w:rPr>
                <w:rFonts w:eastAsia="Calibri"/>
                <w:sz w:val="20"/>
              </w:rPr>
            </w:pPr>
            <w:r w:rsidRPr="00BE6616">
              <w:rPr>
                <w:rFonts w:eastAsia="Calibri"/>
                <w:sz w:val="20"/>
              </w:rPr>
              <w:t xml:space="preserve">In 2009, the police executed an arrest warrant against 156 members of the Hells Angels organization.  The respondent was </w:t>
            </w:r>
            <w:proofErr w:type="gramStart"/>
            <w:r w:rsidRPr="00BE6616">
              <w:rPr>
                <w:rFonts w:eastAsia="Calibri"/>
                <w:sz w:val="20"/>
              </w:rPr>
              <w:t>charged,</w:t>
            </w:r>
            <w:proofErr w:type="gramEnd"/>
            <w:r w:rsidRPr="00BE6616">
              <w:rPr>
                <w:rFonts w:eastAsia="Calibri"/>
                <w:sz w:val="20"/>
              </w:rPr>
              <w:t xml:space="preserve"> </w:t>
            </w:r>
            <w:r w:rsidRPr="00BE6616">
              <w:rPr>
                <w:rFonts w:eastAsia="Calibri"/>
                <w:i/>
                <w:sz w:val="20"/>
              </w:rPr>
              <w:t>inter alia</w:t>
            </w:r>
            <w:r w:rsidRPr="00BE6616">
              <w:rPr>
                <w:rFonts w:eastAsia="Calibri"/>
                <w:sz w:val="20"/>
              </w:rPr>
              <w:t xml:space="preserve">, with murder and trafficking in narcotics.  The Superior Court released him pending his trial.  The Court of Appeal dismissed the Crown’s motion for leave to apply for review on the ground that the trial judge had </w:t>
            </w:r>
            <w:r w:rsidRPr="00BE6616">
              <w:rPr>
                <w:rFonts w:eastAsia="Calibri"/>
                <w:sz w:val="20"/>
              </w:rPr>
              <w:lastRenderedPageBreak/>
              <w:t>not made any error of fact or law that could reasonably satisfy a panel of the Court of Appeal that a different conclusion should be reached.</w:t>
            </w:r>
          </w:p>
          <w:p w:rsidR="00B0302A" w:rsidRPr="00BE6616" w:rsidRDefault="00B0302A" w:rsidP="00E12E48">
            <w:pPr>
              <w:jc w:val="both"/>
              <w:rPr>
                <w:rFonts w:eastAsia="Calibri"/>
                <w:sz w:val="20"/>
              </w:rPr>
            </w:pPr>
          </w:p>
        </w:tc>
      </w:tr>
      <w:tr w:rsidR="00B0302A" w:rsidRPr="00BE6616" w:rsidTr="00E12E48">
        <w:tc>
          <w:tcPr>
            <w:tcW w:w="2427" w:type="pct"/>
          </w:tcPr>
          <w:p w:rsidR="00B0302A" w:rsidRPr="00BE6616" w:rsidRDefault="00B0302A" w:rsidP="00E12E48">
            <w:pPr>
              <w:jc w:val="both"/>
              <w:rPr>
                <w:rFonts w:eastAsia="Calibri"/>
                <w:sz w:val="20"/>
              </w:rPr>
            </w:pPr>
            <w:r w:rsidRPr="00BE6616">
              <w:rPr>
                <w:rFonts w:eastAsia="Calibri"/>
                <w:sz w:val="20"/>
              </w:rPr>
              <w:lastRenderedPageBreak/>
              <w:t>December 20, 2010</w:t>
            </w:r>
          </w:p>
          <w:p w:rsidR="00B0302A" w:rsidRPr="00BE6616" w:rsidRDefault="00B0302A" w:rsidP="00E12E48">
            <w:pPr>
              <w:jc w:val="both"/>
              <w:rPr>
                <w:rFonts w:eastAsia="Calibri"/>
                <w:sz w:val="20"/>
              </w:rPr>
            </w:pPr>
            <w:r w:rsidRPr="00BE6616">
              <w:rPr>
                <w:rFonts w:eastAsia="Calibri"/>
                <w:sz w:val="20"/>
              </w:rPr>
              <w:t>Quebec Superior Court</w:t>
            </w:r>
          </w:p>
          <w:p w:rsidR="00B0302A" w:rsidRPr="00BE6616" w:rsidRDefault="00B0302A" w:rsidP="00E12E48">
            <w:pPr>
              <w:jc w:val="both"/>
              <w:rPr>
                <w:rFonts w:eastAsia="Calibri"/>
                <w:sz w:val="20"/>
              </w:rPr>
            </w:pPr>
            <w:r w:rsidRPr="00BE6616">
              <w:rPr>
                <w:rFonts w:eastAsia="Calibri"/>
                <w:sz w:val="20"/>
              </w:rPr>
              <w:t>(Wagner J.)</w:t>
            </w:r>
          </w:p>
          <w:p w:rsidR="00B0302A" w:rsidRPr="00BE6616" w:rsidRDefault="00B0302A" w:rsidP="00E12E48">
            <w:pPr>
              <w:jc w:val="both"/>
              <w:rPr>
                <w:rFonts w:eastAsia="Calibri"/>
                <w:sz w:val="20"/>
              </w:rPr>
            </w:pPr>
          </w:p>
        </w:tc>
        <w:tc>
          <w:tcPr>
            <w:tcW w:w="243" w:type="pct"/>
          </w:tcPr>
          <w:p w:rsidR="00B0302A" w:rsidRPr="00BE6616" w:rsidRDefault="00B0302A" w:rsidP="00E12E48">
            <w:pPr>
              <w:jc w:val="both"/>
              <w:rPr>
                <w:rFonts w:eastAsia="Calibri"/>
                <w:sz w:val="20"/>
              </w:rPr>
            </w:pPr>
          </w:p>
        </w:tc>
        <w:tc>
          <w:tcPr>
            <w:tcW w:w="2330" w:type="pct"/>
          </w:tcPr>
          <w:p w:rsidR="00B0302A" w:rsidRPr="00BE6616" w:rsidRDefault="00B0302A" w:rsidP="00E12E48">
            <w:pPr>
              <w:jc w:val="both"/>
              <w:rPr>
                <w:rFonts w:eastAsia="Calibri"/>
                <w:sz w:val="20"/>
              </w:rPr>
            </w:pPr>
            <w:r w:rsidRPr="00BE6616">
              <w:rPr>
                <w:rFonts w:eastAsia="Calibri"/>
                <w:sz w:val="20"/>
              </w:rPr>
              <w:t xml:space="preserve">Motion for interim release allowed </w:t>
            </w:r>
          </w:p>
        </w:tc>
      </w:tr>
      <w:tr w:rsidR="00B0302A" w:rsidRPr="00BE6616" w:rsidTr="00E12E48">
        <w:tc>
          <w:tcPr>
            <w:tcW w:w="2427" w:type="pct"/>
          </w:tcPr>
          <w:p w:rsidR="00B0302A" w:rsidRPr="00BE6616" w:rsidRDefault="00B0302A" w:rsidP="00E12E48">
            <w:pPr>
              <w:jc w:val="both"/>
              <w:rPr>
                <w:rFonts w:eastAsia="Calibri"/>
                <w:sz w:val="20"/>
              </w:rPr>
            </w:pPr>
            <w:r w:rsidRPr="00BE6616">
              <w:rPr>
                <w:rFonts w:eastAsia="Calibri"/>
                <w:sz w:val="20"/>
              </w:rPr>
              <w:t>March 2, 2011</w:t>
            </w:r>
          </w:p>
          <w:p w:rsidR="00B0302A" w:rsidRPr="00BE6616" w:rsidRDefault="00B0302A" w:rsidP="00E12E48">
            <w:pPr>
              <w:jc w:val="both"/>
              <w:rPr>
                <w:rFonts w:eastAsia="Calibri"/>
                <w:sz w:val="20"/>
              </w:rPr>
            </w:pPr>
            <w:r w:rsidRPr="00BE6616">
              <w:rPr>
                <w:rFonts w:eastAsia="Calibri"/>
                <w:sz w:val="20"/>
              </w:rPr>
              <w:t>Quebec Court of Appeal (Montréal)</w:t>
            </w:r>
          </w:p>
          <w:p w:rsidR="00B0302A" w:rsidRPr="00BE6616" w:rsidRDefault="00B0302A" w:rsidP="00E12E48">
            <w:pPr>
              <w:jc w:val="both"/>
              <w:rPr>
                <w:rFonts w:eastAsia="Calibri"/>
                <w:sz w:val="20"/>
              </w:rPr>
            </w:pPr>
            <w:r w:rsidRPr="00BE6616">
              <w:rPr>
                <w:rFonts w:eastAsia="Calibri"/>
                <w:sz w:val="20"/>
              </w:rPr>
              <w:t>(Robert C.J.)</w:t>
            </w:r>
          </w:p>
          <w:p w:rsidR="00B0302A" w:rsidRPr="00BE6616" w:rsidRDefault="00B0302A" w:rsidP="00E12E48">
            <w:pPr>
              <w:jc w:val="both"/>
              <w:rPr>
                <w:rFonts w:eastAsia="Calibri"/>
                <w:sz w:val="20"/>
              </w:rPr>
            </w:pPr>
            <w:r w:rsidRPr="00BE6616">
              <w:rPr>
                <w:rFonts w:eastAsia="Calibri"/>
                <w:sz w:val="20"/>
              </w:rPr>
              <w:t>2011 QCCA 391</w:t>
            </w:r>
          </w:p>
          <w:p w:rsidR="00B0302A" w:rsidRPr="00BE6616" w:rsidRDefault="00B0302A" w:rsidP="00E12E48">
            <w:pPr>
              <w:jc w:val="both"/>
              <w:rPr>
                <w:rFonts w:eastAsia="Calibri"/>
                <w:sz w:val="20"/>
              </w:rPr>
            </w:pPr>
          </w:p>
        </w:tc>
        <w:tc>
          <w:tcPr>
            <w:tcW w:w="243" w:type="pct"/>
          </w:tcPr>
          <w:p w:rsidR="00B0302A" w:rsidRPr="00BE6616" w:rsidRDefault="00B0302A" w:rsidP="00E12E48">
            <w:pPr>
              <w:jc w:val="both"/>
              <w:rPr>
                <w:rFonts w:eastAsia="Calibri"/>
                <w:sz w:val="20"/>
              </w:rPr>
            </w:pPr>
          </w:p>
        </w:tc>
        <w:tc>
          <w:tcPr>
            <w:tcW w:w="2330" w:type="pct"/>
          </w:tcPr>
          <w:p w:rsidR="00B0302A" w:rsidRPr="00BE6616" w:rsidRDefault="00B0302A" w:rsidP="00E12E48">
            <w:pPr>
              <w:jc w:val="both"/>
              <w:rPr>
                <w:rFonts w:eastAsia="Calibri"/>
                <w:sz w:val="20"/>
              </w:rPr>
            </w:pPr>
            <w:r w:rsidRPr="00BE6616">
              <w:rPr>
                <w:rFonts w:eastAsia="Calibri"/>
                <w:sz w:val="20"/>
              </w:rPr>
              <w:t xml:space="preserve">Motion for leave to apply for review under s. 680(1) </w:t>
            </w:r>
            <w:r w:rsidRPr="00BE6616">
              <w:rPr>
                <w:rFonts w:eastAsia="Calibri"/>
                <w:i/>
                <w:sz w:val="20"/>
              </w:rPr>
              <w:t>Cr.C.</w:t>
            </w:r>
            <w:r w:rsidRPr="00BE6616">
              <w:rPr>
                <w:rFonts w:eastAsia="Calibri"/>
                <w:sz w:val="20"/>
              </w:rPr>
              <w:t xml:space="preserve"> dismissed</w:t>
            </w:r>
          </w:p>
        </w:tc>
      </w:tr>
      <w:tr w:rsidR="00B0302A" w:rsidRPr="00BE6616" w:rsidTr="00E12E48">
        <w:tc>
          <w:tcPr>
            <w:tcW w:w="2427" w:type="pct"/>
          </w:tcPr>
          <w:p w:rsidR="00B0302A" w:rsidRPr="00BE6616" w:rsidRDefault="00B0302A" w:rsidP="00E12E48">
            <w:pPr>
              <w:jc w:val="both"/>
              <w:rPr>
                <w:rFonts w:eastAsia="Calibri"/>
                <w:sz w:val="20"/>
              </w:rPr>
            </w:pPr>
            <w:r w:rsidRPr="00BE6616">
              <w:rPr>
                <w:rFonts w:eastAsia="Calibri"/>
                <w:sz w:val="20"/>
              </w:rPr>
              <w:t>April 14, 2011</w:t>
            </w:r>
          </w:p>
          <w:p w:rsidR="00B0302A" w:rsidRPr="00BE6616" w:rsidRDefault="00B0302A" w:rsidP="00E12E48">
            <w:pPr>
              <w:jc w:val="both"/>
              <w:rPr>
                <w:rFonts w:eastAsia="Calibri"/>
                <w:sz w:val="20"/>
              </w:rPr>
            </w:pPr>
            <w:r w:rsidRPr="00BE6616">
              <w:rPr>
                <w:rFonts w:eastAsia="Calibri"/>
                <w:sz w:val="20"/>
              </w:rPr>
              <w:t>Supreme Court of Canada</w:t>
            </w:r>
          </w:p>
        </w:tc>
        <w:tc>
          <w:tcPr>
            <w:tcW w:w="243" w:type="pct"/>
          </w:tcPr>
          <w:p w:rsidR="00B0302A" w:rsidRPr="00BE6616" w:rsidRDefault="00B0302A" w:rsidP="00E12E48">
            <w:pPr>
              <w:jc w:val="both"/>
              <w:rPr>
                <w:rFonts w:eastAsia="Calibri"/>
                <w:sz w:val="20"/>
              </w:rPr>
            </w:pPr>
          </w:p>
        </w:tc>
        <w:tc>
          <w:tcPr>
            <w:tcW w:w="2330" w:type="pct"/>
          </w:tcPr>
          <w:p w:rsidR="00B0302A" w:rsidRPr="00BE6616" w:rsidRDefault="00B0302A" w:rsidP="00E12E48">
            <w:pPr>
              <w:jc w:val="both"/>
              <w:rPr>
                <w:rFonts w:eastAsia="Calibri"/>
                <w:sz w:val="20"/>
              </w:rPr>
            </w:pPr>
            <w:r w:rsidRPr="00BE6616">
              <w:rPr>
                <w:rFonts w:eastAsia="Calibri"/>
                <w:sz w:val="20"/>
              </w:rPr>
              <w:t>Application for leave to appeal filed</w:t>
            </w:r>
          </w:p>
          <w:p w:rsidR="00B0302A" w:rsidRPr="00BE6616" w:rsidRDefault="00B0302A" w:rsidP="00E12E4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49"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B0302A" w:rsidRPr="00682661" w:rsidTr="00E12E48">
        <w:tc>
          <w:tcPr>
            <w:tcW w:w="5000" w:type="pct"/>
            <w:gridSpan w:val="3"/>
          </w:tcPr>
          <w:p w:rsidR="00B0302A" w:rsidRPr="00BE6616" w:rsidRDefault="00B0302A" w:rsidP="00E12E48">
            <w:pPr>
              <w:jc w:val="both"/>
              <w:rPr>
                <w:rFonts w:eastAsia="Calibri"/>
                <w:smallCaps/>
                <w:sz w:val="20"/>
                <w:lang w:val="fr-CA"/>
              </w:rPr>
            </w:pPr>
            <w:r w:rsidRPr="00BE6616">
              <w:rPr>
                <w:rFonts w:eastAsia="Calibri"/>
                <w:smallCaps/>
                <w:sz w:val="20"/>
                <w:lang w:val="fr-CA"/>
              </w:rPr>
              <w:t>(Ordonnance de non</w:t>
            </w:r>
            <w:r w:rsidRPr="00BE6616">
              <w:rPr>
                <w:rFonts w:eastAsia="Calibri"/>
                <w:smallCaps/>
                <w:sz w:val="20"/>
                <w:lang w:val="fr-CA"/>
              </w:rPr>
              <w:noBreakHyphen/>
              <w:t xml:space="preserve">publication dans le dossier) </w:t>
            </w:r>
          </w:p>
          <w:p w:rsidR="00B0302A" w:rsidRPr="00BE6616" w:rsidRDefault="00B0302A" w:rsidP="00E12E48">
            <w:pPr>
              <w:jc w:val="both"/>
              <w:rPr>
                <w:rFonts w:eastAsia="Calibri"/>
                <w:sz w:val="20"/>
                <w:lang w:val="fr-CA"/>
              </w:rPr>
            </w:pPr>
          </w:p>
        </w:tc>
      </w:tr>
      <w:tr w:rsidR="00B0302A" w:rsidRPr="00BE6616" w:rsidTr="00E12E48">
        <w:tc>
          <w:tcPr>
            <w:tcW w:w="5000" w:type="pct"/>
            <w:gridSpan w:val="3"/>
          </w:tcPr>
          <w:p w:rsidR="00B0302A" w:rsidRPr="00BE6616" w:rsidRDefault="00B0302A" w:rsidP="00E12E48">
            <w:pPr>
              <w:jc w:val="both"/>
              <w:rPr>
                <w:rFonts w:eastAsia="Calibri"/>
                <w:sz w:val="20"/>
                <w:lang w:val="fr-CA"/>
              </w:rPr>
            </w:pPr>
            <w:r w:rsidRPr="00BE6616">
              <w:rPr>
                <w:rFonts w:eastAsia="Calibri"/>
                <w:sz w:val="20"/>
                <w:lang w:val="fr-CA"/>
              </w:rPr>
              <w:t>Droit criminel — Preuve — Appréciation — Mise en liberté provisoire — Ouï</w:t>
            </w:r>
            <w:r w:rsidRPr="00BE6616">
              <w:rPr>
                <w:rFonts w:eastAsia="Calibri"/>
                <w:sz w:val="20"/>
                <w:lang w:val="fr-CA"/>
              </w:rPr>
              <w:noBreakHyphen/>
              <w:t xml:space="preserve">dire — Actes manifestes — Aux fins de déterminer si la remise en liberté provisoire d’un individu minerait la confiance du public envers l’administration de la justice en fonction des quatre critères mentionnés à l’art. 515(10)c) du </w:t>
            </w:r>
            <w:r w:rsidRPr="00BE6616">
              <w:rPr>
                <w:rFonts w:eastAsia="Calibri"/>
                <w:i/>
                <w:sz w:val="20"/>
                <w:lang w:val="fr-CA"/>
              </w:rPr>
              <w:t>Code criminel</w:t>
            </w:r>
            <w:r w:rsidRPr="00BE6616">
              <w:rPr>
                <w:rFonts w:eastAsia="Calibri"/>
                <w:sz w:val="20"/>
                <w:lang w:val="fr-CA"/>
              </w:rPr>
              <w:t>, un juge doit</w:t>
            </w:r>
            <w:r w:rsidRPr="00BE6616">
              <w:rPr>
                <w:rFonts w:eastAsia="Calibri"/>
                <w:sz w:val="20"/>
                <w:lang w:val="fr-CA"/>
              </w:rPr>
              <w:noBreakHyphen/>
              <w:t>il analyser la preuve en considérant le droit qui sera applicable au procès, particulièrement la théorie des actes manifestes et la preuve de ouï</w:t>
            </w:r>
            <w:r w:rsidRPr="00BE6616">
              <w:rPr>
                <w:rFonts w:eastAsia="Calibri"/>
                <w:sz w:val="20"/>
                <w:lang w:val="fr-CA"/>
              </w:rPr>
              <w:noBreakHyphen/>
              <w:t xml:space="preserve">dire admissible? — </w:t>
            </w:r>
            <w:r w:rsidRPr="00BE6616">
              <w:rPr>
                <w:rFonts w:eastAsia="Calibri"/>
                <w:i/>
                <w:sz w:val="20"/>
                <w:lang w:val="fr-CA"/>
              </w:rPr>
              <w:t>Code criminel</w:t>
            </w:r>
            <w:r w:rsidRPr="00BE6616">
              <w:rPr>
                <w:rFonts w:eastAsia="Calibri"/>
                <w:sz w:val="20"/>
                <w:lang w:val="fr-CA"/>
              </w:rPr>
              <w:t>, L.R.C. 1985, ch. C</w:t>
            </w:r>
            <w:r w:rsidRPr="00BE6616">
              <w:rPr>
                <w:rFonts w:eastAsia="Calibri"/>
                <w:sz w:val="20"/>
                <w:lang w:val="fr-CA"/>
              </w:rPr>
              <w:noBreakHyphen/>
              <w:t>46, art. 21, 22 et 515(10).</w:t>
            </w:r>
          </w:p>
        </w:tc>
      </w:tr>
      <w:tr w:rsidR="00B0302A" w:rsidRPr="00682661" w:rsidTr="00E12E48">
        <w:tc>
          <w:tcPr>
            <w:tcW w:w="5000" w:type="pct"/>
            <w:gridSpan w:val="3"/>
          </w:tcPr>
          <w:p w:rsidR="00B0302A" w:rsidRPr="00BE6616" w:rsidRDefault="00B0302A" w:rsidP="00E12E48">
            <w:pPr>
              <w:jc w:val="both"/>
              <w:rPr>
                <w:rFonts w:eastAsia="Calibri"/>
                <w:sz w:val="20"/>
                <w:lang w:val="fr-CA"/>
              </w:rPr>
            </w:pPr>
          </w:p>
          <w:p w:rsidR="00B0302A" w:rsidRPr="00BE6616" w:rsidRDefault="00B0302A" w:rsidP="00E12E48">
            <w:pPr>
              <w:jc w:val="both"/>
              <w:rPr>
                <w:rFonts w:eastAsia="Calibri"/>
                <w:sz w:val="20"/>
                <w:lang w:val="fr-CA"/>
              </w:rPr>
            </w:pPr>
            <w:r w:rsidRPr="00BE6616">
              <w:rPr>
                <w:rFonts w:eastAsia="Calibri"/>
                <w:sz w:val="20"/>
                <w:lang w:val="fr-CA"/>
              </w:rPr>
              <w:t>En 2009, les policiers exécutent un mandat d’arrestation contre 156 personnes faisant partie de l’organisation des Hells Angels.  L’intimé est accusé, entre autres, de meurtre et de trafic de stupéfiants.  La Cour supérieure lui accorde une remise en liberté en attendant son procès.  La Cour d’appel rejette la requête du ministère public en autorisation de se pourvoir en révision au motif que le premier juge n’a commis aucune erreur de faits ou de droit qui pourrait raisonnablement convaincre une formation de la cour d’arriver à une conclusion différente de celle du premier juge.</w:t>
            </w:r>
          </w:p>
          <w:p w:rsidR="00B0302A" w:rsidRPr="00BE6616" w:rsidRDefault="00B0302A" w:rsidP="00E12E48">
            <w:pPr>
              <w:jc w:val="both"/>
              <w:rPr>
                <w:rFonts w:eastAsia="Calibri"/>
                <w:sz w:val="20"/>
                <w:lang w:val="fr-CA"/>
              </w:rPr>
            </w:pPr>
          </w:p>
        </w:tc>
      </w:tr>
      <w:tr w:rsidR="00B0302A" w:rsidRPr="00682661" w:rsidTr="00E12E48">
        <w:tc>
          <w:tcPr>
            <w:tcW w:w="2427" w:type="pct"/>
          </w:tcPr>
          <w:p w:rsidR="00B0302A" w:rsidRPr="00BE6616" w:rsidRDefault="00B0302A" w:rsidP="00E12E48">
            <w:pPr>
              <w:jc w:val="both"/>
              <w:rPr>
                <w:rFonts w:eastAsia="Calibri"/>
                <w:sz w:val="20"/>
                <w:lang w:val="fr-CA"/>
              </w:rPr>
            </w:pPr>
            <w:r w:rsidRPr="00BE6616">
              <w:rPr>
                <w:rFonts w:eastAsia="Calibri"/>
                <w:sz w:val="20"/>
                <w:lang w:val="fr-CA"/>
              </w:rPr>
              <w:t>Le 20 décembre 2010</w:t>
            </w:r>
          </w:p>
          <w:p w:rsidR="00B0302A" w:rsidRPr="00BE6616" w:rsidRDefault="00B0302A" w:rsidP="00E12E48">
            <w:pPr>
              <w:jc w:val="both"/>
              <w:rPr>
                <w:rFonts w:eastAsia="Calibri"/>
                <w:sz w:val="20"/>
                <w:lang w:val="fr-CA"/>
              </w:rPr>
            </w:pPr>
            <w:r w:rsidRPr="00BE6616">
              <w:rPr>
                <w:rFonts w:eastAsia="Calibri"/>
                <w:sz w:val="20"/>
                <w:lang w:val="fr-CA"/>
              </w:rPr>
              <w:t>Cour supérieure du Québec</w:t>
            </w:r>
          </w:p>
          <w:p w:rsidR="00B0302A" w:rsidRPr="00BE6616" w:rsidRDefault="00B0302A" w:rsidP="00E12E48">
            <w:pPr>
              <w:jc w:val="both"/>
              <w:rPr>
                <w:rFonts w:eastAsia="Calibri"/>
                <w:sz w:val="20"/>
                <w:lang w:val="fr-CA"/>
              </w:rPr>
            </w:pPr>
            <w:r w:rsidRPr="00BE6616">
              <w:rPr>
                <w:rFonts w:eastAsia="Calibri"/>
                <w:sz w:val="20"/>
                <w:lang w:val="fr-CA"/>
              </w:rPr>
              <w:t>(Le juge Wagner)</w:t>
            </w:r>
          </w:p>
          <w:p w:rsidR="00B0302A" w:rsidRPr="00BE6616" w:rsidRDefault="00B0302A" w:rsidP="00E12E48">
            <w:pPr>
              <w:jc w:val="both"/>
              <w:rPr>
                <w:rFonts w:eastAsia="Calibri"/>
                <w:sz w:val="20"/>
              </w:rPr>
            </w:pPr>
          </w:p>
        </w:tc>
        <w:tc>
          <w:tcPr>
            <w:tcW w:w="243" w:type="pct"/>
          </w:tcPr>
          <w:p w:rsidR="00B0302A" w:rsidRPr="00BE6616" w:rsidRDefault="00B0302A" w:rsidP="00E12E48">
            <w:pPr>
              <w:jc w:val="both"/>
              <w:rPr>
                <w:rFonts w:eastAsia="Calibri"/>
                <w:sz w:val="20"/>
              </w:rPr>
            </w:pPr>
          </w:p>
        </w:tc>
        <w:tc>
          <w:tcPr>
            <w:tcW w:w="2330" w:type="pct"/>
          </w:tcPr>
          <w:p w:rsidR="00B0302A" w:rsidRPr="00BE6616" w:rsidRDefault="00B0302A" w:rsidP="00E12E48">
            <w:pPr>
              <w:jc w:val="both"/>
              <w:rPr>
                <w:rFonts w:eastAsia="Calibri"/>
                <w:sz w:val="20"/>
                <w:lang w:val="fr-CA"/>
              </w:rPr>
            </w:pPr>
            <w:r w:rsidRPr="00BE6616">
              <w:rPr>
                <w:rFonts w:eastAsia="Calibri"/>
                <w:sz w:val="20"/>
                <w:lang w:val="fr-CA"/>
              </w:rPr>
              <w:t>Requête pour mise en liberté provisoire accordée</w:t>
            </w:r>
          </w:p>
        </w:tc>
      </w:tr>
      <w:tr w:rsidR="00B0302A" w:rsidRPr="00682661" w:rsidTr="00E12E48">
        <w:tc>
          <w:tcPr>
            <w:tcW w:w="2427" w:type="pct"/>
          </w:tcPr>
          <w:p w:rsidR="00B0302A" w:rsidRPr="00BE6616" w:rsidRDefault="00B0302A" w:rsidP="00E12E48">
            <w:pPr>
              <w:jc w:val="both"/>
              <w:rPr>
                <w:rFonts w:eastAsia="Calibri"/>
                <w:sz w:val="20"/>
                <w:lang w:val="fr-CA"/>
              </w:rPr>
            </w:pPr>
            <w:r w:rsidRPr="00BE6616">
              <w:rPr>
                <w:rFonts w:eastAsia="Calibri"/>
                <w:sz w:val="20"/>
                <w:lang w:val="fr-CA"/>
              </w:rPr>
              <w:t>Le 2 mars 2011</w:t>
            </w:r>
          </w:p>
          <w:p w:rsidR="00B0302A" w:rsidRPr="00BE6616" w:rsidRDefault="00B0302A" w:rsidP="00E12E48">
            <w:pPr>
              <w:jc w:val="both"/>
              <w:rPr>
                <w:rFonts w:eastAsia="Calibri"/>
                <w:sz w:val="20"/>
                <w:lang w:val="fr-CA"/>
              </w:rPr>
            </w:pPr>
            <w:r w:rsidRPr="00BE6616">
              <w:rPr>
                <w:rFonts w:eastAsia="Calibri"/>
                <w:sz w:val="20"/>
                <w:lang w:val="fr-CA"/>
              </w:rPr>
              <w:t>Cour d’appel du Québec (Montréal)</w:t>
            </w:r>
          </w:p>
          <w:p w:rsidR="00B0302A" w:rsidRPr="00BE6616" w:rsidRDefault="00B0302A" w:rsidP="00E12E48">
            <w:pPr>
              <w:jc w:val="both"/>
              <w:rPr>
                <w:rFonts w:eastAsia="Calibri"/>
                <w:sz w:val="20"/>
                <w:lang w:val="fr-CA"/>
              </w:rPr>
            </w:pPr>
            <w:r w:rsidRPr="00BE6616">
              <w:rPr>
                <w:rFonts w:eastAsia="Calibri"/>
                <w:sz w:val="20"/>
                <w:lang w:val="fr-CA"/>
              </w:rPr>
              <w:t>(Le juge en chef Robert)</w:t>
            </w:r>
          </w:p>
          <w:p w:rsidR="00B0302A" w:rsidRPr="00BE6616" w:rsidRDefault="00B0302A" w:rsidP="00E12E48">
            <w:pPr>
              <w:jc w:val="both"/>
              <w:rPr>
                <w:rFonts w:eastAsia="Calibri"/>
                <w:sz w:val="20"/>
              </w:rPr>
            </w:pPr>
            <w:r w:rsidRPr="00BE6616">
              <w:rPr>
                <w:rFonts w:eastAsia="Calibri"/>
                <w:sz w:val="20"/>
              </w:rPr>
              <w:t>2011 QCCA 391</w:t>
            </w:r>
          </w:p>
          <w:p w:rsidR="00B0302A" w:rsidRPr="00BE6616" w:rsidRDefault="00B0302A" w:rsidP="00E12E48">
            <w:pPr>
              <w:jc w:val="both"/>
              <w:rPr>
                <w:rFonts w:eastAsia="Calibri"/>
                <w:sz w:val="20"/>
              </w:rPr>
            </w:pPr>
          </w:p>
        </w:tc>
        <w:tc>
          <w:tcPr>
            <w:tcW w:w="243" w:type="pct"/>
          </w:tcPr>
          <w:p w:rsidR="00B0302A" w:rsidRPr="00BE6616" w:rsidRDefault="00B0302A" w:rsidP="00E12E48">
            <w:pPr>
              <w:jc w:val="both"/>
              <w:rPr>
                <w:rFonts w:eastAsia="Calibri"/>
                <w:sz w:val="20"/>
              </w:rPr>
            </w:pPr>
          </w:p>
        </w:tc>
        <w:tc>
          <w:tcPr>
            <w:tcW w:w="2330" w:type="pct"/>
          </w:tcPr>
          <w:p w:rsidR="00B0302A" w:rsidRPr="00BE6616" w:rsidRDefault="00B0302A" w:rsidP="00E12E48">
            <w:pPr>
              <w:jc w:val="both"/>
              <w:rPr>
                <w:rFonts w:eastAsia="Calibri"/>
                <w:sz w:val="20"/>
                <w:lang w:val="fr-CA"/>
              </w:rPr>
            </w:pPr>
            <w:r w:rsidRPr="00BE6616">
              <w:rPr>
                <w:rFonts w:eastAsia="Calibri"/>
                <w:sz w:val="20"/>
                <w:lang w:val="fr-CA"/>
              </w:rPr>
              <w:t xml:space="preserve">Requête en autorisation de se pourvoir en révision en vertu de l’art. 680(1) </w:t>
            </w:r>
            <w:r w:rsidRPr="00BE6616">
              <w:rPr>
                <w:rFonts w:eastAsia="Calibri"/>
                <w:i/>
                <w:sz w:val="20"/>
                <w:lang w:val="fr-CA"/>
              </w:rPr>
              <w:t>C. cr.</w:t>
            </w:r>
            <w:r w:rsidRPr="00BE6616">
              <w:rPr>
                <w:rFonts w:eastAsia="Calibri"/>
                <w:sz w:val="20"/>
                <w:lang w:val="fr-CA"/>
              </w:rPr>
              <w:t xml:space="preserve"> rejetée</w:t>
            </w:r>
          </w:p>
          <w:p w:rsidR="00B0302A" w:rsidRPr="00BE6616" w:rsidRDefault="00B0302A" w:rsidP="00E12E48">
            <w:pPr>
              <w:jc w:val="both"/>
              <w:rPr>
                <w:rFonts w:eastAsia="Calibri"/>
                <w:sz w:val="20"/>
                <w:lang w:val="fr-CA"/>
              </w:rPr>
            </w:pPr>
          </w:p>
        </w:tc>
      </w:tr>
      <w:tr w:rsidR="00B0302A" w:rsidRPr="00BE6616" w:rsidTr="00E12E48">
        <w:tc>
          <w:tcPr>
            <w:tcW w:w="2427" w:type="pct"/>
          </w:tcPr>
          <w:p w:rsidR="00B0302A" w:rsidRPr="00BE6616" w:rsidRDefault="00B0302A" w:rsidP="00E12E48">
            <w:pPr>
              <w:jc w:val="both"/>
              <w:rPr>
                <w:rFonts w:eastAsia="Calibri"/>
                <w:sz w:val="20"/>
                <w:lang w:val="fr-CA"/>
              </w:rPr>
            </w:pPr>
            <w:r w:rsidRPr="00BE6616">
              <w:rPr>
                <w:rFonts w:eastAsia="Calibri"/>
                <w:sz w:val="20"/>
                <w:lang w:val="fr-CA"/>
              </w:rPr>
              <w:t>Le 14 avril 2011</w:t>
            </w:r>
          </w:p>
          <w:p w:rsidR="00B0302A" w:rsidRPr="00BE6616" w:rsidRDefault="00B0302A" w:rsidP="00E12E48">
            <w:pPr>
              <w:jc w:val="both"/>
              <w:rPr>
                <w:rFonts w:eastAsia="Calibri"/>
                <w:sz w:val="20"/>
                <w:lang w:val="fr-CA"/>
              </w:rPr>
            </w:pPr>
            <w:r w:rsidRPr="00BE6616">
              <w:rPr>
                <w:rFonts w:eastAsia="Calibri"/>
                <w:sz w:val="20"/>
                <w:lang w:val="fr-CA"/>
              </w:rPr>
              <w:t>Cour suprême du Canada</w:t>
            </w:r>
          </w:p>
        </w:tc>
        <w:tc>
          <w:tcPr>
            <w:tcW w:w="243" w:type="pct"/>
          </w:tcPr>
          <w:p w:rsidR="00B0302A" w:rsidRPr="00BE6616" w:rsidRDefault="00B0302A" w:rsidP="00E12E48">
            <w:pPr>
              <w:jc w:val="both"/>
              <w:rPr>
                <w:rFonts w:eastAsia="Calibri"/>
                <w:sz w:val="20"/>
                <w:lang w:val="fr-CA"/>
              </w:rPr>
            </w:pPr>
          </w:p>
        </w:tc>
        <w:tc>
          <w:tcPr>
            <w:tcW w:w="2330" w:type="pct"/>
          </w:tcPr>
          <w:p w:rsidR="00B0302A" w:rsidRPr="00BE6616" w:rsidRDefault="00B0302A" w:rsidP="00E12E48">
            <w:pPr>
              <w:jc w:val="both"/>
              <w:rPr>
                <w:rFonts w:eastAsia="Calibri"/>
                <w:sz w:val="20"/>
                <w:lang w:val="fr-CA"/>
              </w:rPr>
            </w:pPr>
            <w:r w:rsidRPr="00BE6616">
              <w:rPr>
                <w:rFonts w:eastAsia="Calibri"/>
                <w:sz w:val="20"/>
                <w:lang w:val="fr-CA"/>
              </w:rPr>
              <w:t>Demande d'autorisation d'appel déposée</w:t>
            </w:r>
          </w:p>
          <w:p w:rsidR="00B0302A" w:rsidRPr="00BE6616" w:rsidRDefault="00B0302A" w:rsidP="00E12E4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50" style="width:2in;height:1pt" o:hrpct="0" o:hralign="center" o:hrstd="t" o:hrnoshade="t" o:hr="t" fillcolor="black [3213]" stroked="f"/>
        </w:pict>
      </w:r>
    </w:p>
    <w:p w:rsidR="007B50F9" w:rsidRDefault="007B50F9" w:rsidP="007B50F9">
      <w:pPr>
        <w:rPr>
          <w:sz w:val="20"/>
          <w:szCs w:val="20"/>
        </w:rPr>
      </w:pPr>
    </w:p>
    <w:p w:rsidR="00545D96" w:rsidRDefault="00545D96">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45D96" w:rsidRPr="00682661" w:rsidTr="002E3508">
        <w:trPr>
          <w:cantSplit/>
        </w:trPr>
        <w:tc>
          <w:tcPr>
            <w:tcW w:w="1458" w:type="dxa"/>
          </w:tcPr>
          <w:p w:rsidR="00545D96" w:rsidRPr="009D5E94" w:rsidRDefault="00545D96" w:rsidP="002E3508">
            <w:pPr>
              <w:rPr>
                <w:sz w:val="20"/>
                <w:szCs w:val="20"/>
              </w:rPr>
            </w:pPr>
            <w:r w:rsidRPr="009D5E94">
              <w:rPr>
                <w:rStyle w:val="SCCFileNumberChar"/>
                <w:sz w:val="20"/>
                <w:szCs w:val="20"/>
              </w:rPr>
              <w:lastRenderedPageBreak/>
              <w:t>34202</w:t>
            </w:r>
          </w:p>
          <w:p w:rsidR="00545D96" w:rsidRPr="009D5E94" w:rsidRDefault="00545D96" w:rsidP="002E3508">
            <w:pPr>
              <w:rPr>
                <w:b/>
                <w:sz w:val="20"/>
                <w:szCs w:val="20"/>
                <w:lang w:val="fr-CA"/>
              </w:rPr>
            </w:pPr>
          </w:p>
        </w:tc>
        <w:tc>
          <w:tcPr>
            <w:tcW w:w="8118" w:type="dxa"/>
          </w:tcPr>
          <w:p w:rsidR="00545D96" w:rsidRPr="009D5E94" w:rsidRDefault="00545D96" w:rsidP="002E3508">
            <w:pPr>
              <w:rPr>
                <w:sz w:val="20"/>
                <w:szCs w:val="20"/>
                <w:lang w:val="fr-CA"/>
              </w:rPr>
            </w:pPr>
            <w:r w:rsidRPr="009D5E94">
              <w:rPr>
                <w:rStyle w:val="SCCLsocChar"/>
                <w:sz w:val="20"/>
                <w:szCs w:val="20"/>
              </w:rPr>
              <w:t>Sa Majesté la Reine c. Clermont Carrier</w:t>
            </w:r>
            <w:r w:rsidRPr="009D5E94">
              <w:rPr>
                <w:sz w:val="20"/>
                <w:szCs w:val="20"/>
                <w:lang w:val="fr-CA"/>
              </w:rPr>
              <w:t xml:space="preserve"> (Qc) (Criminelle) (Autorisation)</w:t>
            </w:r>
          </w:p>
          <w:p w:rsidR="00545D96" w:rsidRPr="009D5E94" w:rsidRDefault="00545D96" w:rsidP="002E3508">
            <w:pPr>
              <w:rPr>
                <w:sz w:val="20"/>
                <w:szCs w:val="20"/>
                <w:lang w:val="fr-CA"/>
              </w:rPr>
            </w:pPr>
          </w:p>
        </w:tc>
      </w:tr>
      <w:tr w:rsidR="00545D96" w:rsidRPr="00682661" w:rsidTr="002E3508">
        <w:trPr>
          <w:cantSplit/>
        </w:trPr>
        <w:tc>
          <w:tcPr>
            <w:tcW w:w="1458" w:type="dxa"/>
          </w:tcPr>
          <w:p w:rsidR="00545D96" w:rsidRPr="009D5E94" w:rsidRDefault="00545D96" w:rsidP="002E3508">
            <w:pPr>
              <w:rPr>
                <w:sz w:val="20"/>
                <w:szCs w:val="20"/>
              </w:rPr>
            </w:pPr>
            <w:r w:rsidRPr="009D5E94">
              <w:rPr>
                <w:sz w:val="20"/>
                <w:szCs w:val="20"/>
              </w:rPr>
              <w:t>Coram :</w:t>
            </w:r>
          </w:p>
        </w:tc>
        <w:tc>
          <w:tcPr>
            <w:tcW w:w="8118" w:type="dxa"/>
          </w:tcPr>
          <w:p w:rsidR="00545D96" w:rsidRPr="009D5E94" w:rsidRDefault="00545D96" w:rsidP="002E3508">
            <w:pPr>
              <w:rPr>
                <w:sz w:val="20"/>
                <w:szCs w:val="20"/>
                <w:lang w:val="fr-CA"/>
              </w:rPr>
            </w:pPr>
            <w:r w:rsidRPr="00545D96">
              <w:rPr>
                <w:rStyle w:val="SCCCoramChar"/>
                <w:sz w:val="20"/>
                <w:szCs w:val="20"/>
                <w:lang w:val="fr-CA"/>
              </w:rPr>
              <w:t>La juge en chef McLachlin et les juges Deschamps et Cromwell</w:t>
            </w:r>
          </w:p>
          <w:p w:rsidR="00545D96" w:rsidRPr="009D5E94" w:rsidRDefault="00545D96" w:rsidP="002E3508">
            <w:pPr>
              <w:rPr>
                <w:sz w:val="20"/>
                <w:szCs w:val="20"/>
                <w:u w:val="single"/>
                <w:lang w:val="fr-CA"/>
              </w:rPr>
            </w:pPr>
          </w:p>
        </w:tc>
      </w:tr>
      <w:tr w:rsidR="00545D96" w:rsidRPr="009D5E94" w:rsidTr="002E3508">
        <w:trPr>
          <w:cantSplit/>
        </w:trPr>
        <w:tc>
          <w:tcPr>
            <w:tcW w:w="9576" w:type="dxa"/>
            <w:gridSpan w:val="2"/>
          </w:tcPr>
          <w:p w:rsidR="00545D96" w:rsidRPr="009D5E94" w:rsidRDefault="00545D96" w:rsidP="002E3508">
            <w:pPr>
              <w:pStyle w:val="SCCShortJudgment"/>
              <w:rPr>
                <w:szCs w:val="20"/>
                <w:lang w:val="fr-CA"/>
              </w:rPr>
            </w:pPr>
            <w:r w:rsidRPr="009D5E94">
              <w:rPr>
                <w:szCs w:val="20"/>
                <w:lang w:val="fr-CA"/>
              </w:rPr>
              <w:t>La demande d’autorisation d’appel de l’arrêt de la Cour d’appel du Québec (Montréal), numéro 500-10-004846-117, 2011 QCCA 392, daté du 2 mars 2011, est rejetée sans dépens.</w:t>
            </w:r>
          </w:p>
          <w:p w:rsidR="00545D96" w:rsidRPr="009D5E94" w:rsidRDefault="00545D96" w:rsidP="002E3508">
            <w:pPr>
              <w:pStyle w:val="SCCShortJudgment"/>
              <w:ind w:firstLine="0"/>
              <w:rPr>
                <w:szCs w:val="20"/>
                <w:lang w:val="fr-CA"/>
              </w:rPr>
            </w:pPr>
          </w:p>
          <w:p w:rsidR="00545D96" w:rsidRPr="009D5E94" w:rsidRDefault="00545D96" w:rsidP="002E3508">
            <w:pPr>
              <w:pStyle w:val="SCCShortJudgment"/>
              <w:rPr>
                <w:szCs w:val="20"/>
              </w:rPr>
            </w:pPr>
            <w:r w:rsidRPr="009D5E94">
              <w:rPr>
                <w:szCs w:val="20"/>
              </w:rPr>
              <w:t>The application for leave to appeal from the judgment of the Court of Appeal of Quebec (Montréal), Number  500-10-004846-117, 2011 QCCA 392, dated March 2, 2011, is dismissed without costs.</w:t>
            </w:r>
          </w:p>
        </w:tc>
      </w:tr>
    </w:tbl>
    <w:p w:rsidR="007B50F9" w:rsidRDefault="007B50F9" w:rsidP="007B50F9">
      <w:pPr>
        <w:rPr>
          <w:sz w:val="20"/>
          <w:szCs w:val="20"/>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E4E64" w:rsidRPr="00BE6616" w:rsidTr="00E12E48">
        <w:tc>
          <w:tcPr>
            <w:tcW w:w="5000" w:type="pct"/>
            <w:gridSpan w:val="3"/>
          </w:tcPr>
          <w:p w:rsidR="00FE4E64" w:rsidRPr="00BE6616" w:rsidRDefault="00FE4E64" w:rsidP="00E12E48">
            <w:pPr>
              <w:pStyle w:val="SCCBanSummary"/>
              <w:rPr>
                <w:sz w:val="20"/>
                <w:szCs w:val="20"/>
              </w:rPr>
            </w:pPr>
            <w:r w:rsidRPr="00BE6616">
              <w:rPr>
                <w:sz w:val="20"/>
                <w:szCs w:val="20"/>
              </w:rPr>
              <w:t>(Publication Ban in Case)</w:t>
            </w:r>
          </w:p>
          <w:p w:rsidR="00FE4E64" w:rsidRPr="00BE6616" w:rsidRDefault="00FE4E64" w:rsidP="00E12E48">
            <w:pPr>
              <w:rPr>
                <w:sz w:val="20"/>
              </w:rPr>
            </w:pPr>
          </w:p>
        </w:tc>
      </w:tr>
      <w:tr w:rsidR="00FE4E64" w:rsidRPr="00BE6616" w:rsidTr="00E12E48">
        <w:tc>
          <w:tcPr>
            <w:tcW w:w="5000" w:type="pct"/>
            <w:gridSpan w:val="3"/>
          </w:tcPr>
          <w:p w:rsidR="00FE4E64" w:rsidRDefault="00FE4E64" w:rsidP="00E12E48">
            <w:pPr>
              <w:jc w:val="both"/>
              <w:rPr>
                <w:sz w:val="20"/>
              </w:rPr>
            </w:pPr>
            <w:r w:rsidRPr="00BE6616">
              <w:rPr>
                <w:sz w:val="20"/>
              </w:rPr>
              <w:t>Criminal law — Evidence — Assessment — Interim release — Hearsay — Overt acts — In determining whether interim release of individual would undermine confidence in administration of justice based on four criteria set out in s. 515(10</w:t>
            </w:r>
            <w:proofErr w:type="gramStart"/>
            <w:r w:rsidRPr="00BE6616">
              <w:rPr>
                <w:sz w:val="20"/>
              </w:rPr>
              <w:t>)(</w:t>
            </w:r>
            <w:proofErr w:type="gramEnd"/>
            <w:r w:rsidRPr="00BE6616">
              <w:rPr>
                <w:i/>
                <w:sz w:val="20"/>
              </w:rPr>
              <w:t>c</w:t>
            </w:r>
            <w:r w:rsidRPr="00BE6616">
              <w:rPr>
                <w:sz w:val="20"/>
              </w:rPr>
              <w:t xml:space="preserve">) of </w:t>
            </w:r>
            <w:r w:rsidRPr="00BE6616">
              <w:rPr>
                <w:i/>
                <w:sz w:val="20"/>
              </w:rPr>
              <w:t>Criminal Code</w:t>
            </w:r>
            <w:r w:rsidRPr="00BE6616">
              <w:rPr>
                <w:sz w:val="20"/>
              </w:rPr>
              <w:t xml:space="preserve">, whether judge must analyse evidence by considering law that will be applicable at trial, especially doctrine of overt acts and admissible hearsay evidence — </w:t>
            </w:r>
            <w:r w:rsidRPr="00BE6616">
              <w:rPr>
                <w:i/>
                <w:sz w:val="20"/>
              </w:rPr>
              <w:t>Criminal Code</w:t>
            </w:r>
            <w:r w:rsidRPr="00BE6616">
              <w:rPr>
                <w:sz w:val="20"/>
              </w:rPr>
              <w:t>, R.S.C. 1985, c. C</w:t>
            </w:r>
            <w:r w:rsidRPr="00BE6616">
              <w:rPr>
                <w:sz w:val="20"/>
              </w:rPr>
              <w:noBreakHyphen/>
              <w:t>46, ss. 21, 22 and 515(10).</w:t>
            </w:r>
          </w:p>
          <w:p w:rsidR="00FE4E64" w:rsidRPr="00BE6616" w:rsidRDefault="00FE4E64" w:rsidP="00E12E48">
            <w:pPr>
              <w:rPr>
                <w:sz w:val="20"/>
              </w:rPr>
            </w:pPr>
          </w:p>
        </w:tc>
      </w:tr>
      <w:tr w:rsidR="00FE4E64" w:rsidRPr="00BE6616" w:rsidTr="00E12E48">
        <w:tc>
          <w:tcPr>
            <w:tcW w:w="5000" w:type="pct"/>
            <w:gridSpan w:val="3"/>
          </w:tcPr>
          <w:p w:rsidR="00FE4E64" w:rsidRPr="00BE6616" w:rsidRDefault="00FE4E64" w:rsidP="00E12E48">
            <w:pPr>
              <w:jc w:val="both"/>
              <w:rPr>
                <w:sz w:val="20"/>
              </w:rPr>
            </w:pPr>
            <w:r w:rsidRPr="00BE6616">
              <w:rPr>
                <w:sz w:val="20"/>
              </w:rPr>
              <w:t xml:space="preserve">In 2009, the police executed an arrest warrant against 156 members of the Hells Angels organization.  The respondent was </w:t>
            </w:r>
            <w:proofErr w:type="gramStart"/>
            <w:r w:rsidRPr="00BE6616">
              <w:rPr>
                <w:sz w:val="20"/>
              </w:rPr>
              <w:t>charged,</w:t>
            </w:r>
            <w:proofErr w:type="gramEnd"/>
            <w:r w:rsidRPr="00BE6616">
              <w:rPr>
                <w:sz w:val="20"/>
              </w:rPr>
              <w:t xml:space="preserve"> </w:t>
            </w:r>
            <w:r w:rsidRPr="00BE6616">
              <w:rPr>
                <w:i/>
                <w:sz w:val="20"/>
              </w:rPr>
              <w:t>inter alia</w:t>
            </w:r>
            <w:r w:rsidRPr="00BE6616">
              <w:rPr>
                <w:sz w:val="20"/>
              </w:rPr>
              <w:t>, with murder and trafficking in narcotics.  The Superior Court released him pending his trial.  The Court of Appeal dismissed the Crown’s motion for leave to apply for review on the ground that the trial judge had not made any error of fact or law that could reasonably satisfy a panel of the Court of Appeal that a different conclusion should be reached.</w:t>
            </w:r>
          </w:p>
          <w:p w:rsidR="00FE4E64" w:rsidRPr="00BE6616" w:rsidRDefault="00FE4E64" w:rsidP="00E12E48">
            <w:pPr>
              <w:rPr>
                <w:sz w:val="20"/>
              </w:rPr>
            </w:pPr>
          </w:p>
        </w:tc>
      </w:tr>
      <w:tr w:rsidR="00FE4E64" w:rsidRPr="00BE6616" w:rsidTr="00E12E48">
        <w:tc>
          <w:tcPr>
            <w:tcW w:w="2427" w:type="pct"/>
          </w:tcPr>
          <w:p w:rsidR="00FE4E64" w:rsidRPr="00BE6616" w:rsidRDefault="00FE4E64" w:rsidP="00E12E48">
            <w:pPr>
              <w:rPr>
                <w:sz w:val="20"/>
              </w:rPr>
            </w:pPr>
            <w:r w:rsidRPr="00BE6616">
              <w:rPr>
                <w:sz w:val="20"/>
              </w:rPr>
              <w:t>December 20, 2010</w:t>
            </w:r>
          </w:p>
          <w:p w:rsidR="00FE4E64" w:rsidRPr="00BE6616" w:rsidRDefault="00FE4E64" w:rsidP="00E12E48">
            <w:pPr>
              <w:rPr>
                <w:sz w:val="20"/>
              </w:rPr>
            </w:pPr>
            <w:r w:rsidRPr="00BE6616">
              <w:rPr>
                <w:sz w:val="20"/>
              </w:rPr>
              <w:t>Quebec Superior Court</w:t>
            </w:r>
          </w:p>
          <w:p w:rsidR="00FE4E64" w:rsidRPr="00BE6616" w:rsidRDefault="00FE4E64" w:rsidP="00E12E48">
            <w:pPr>
              <w:rPr>
                <w:sz w:val="20"/>
              </w:rPr>
            </w:pPr>
            <w:r w:rsidRPr="00BE6616">
              <w:rPr>
                <w:sz w:val="20"/>
              </w:rPr>
              <w:t>(Wagner J.)</w:t>
            </w:r>
          </w:p>
          <w:p w:rsidR="00FE4E64" w:rsidRPr="00BE6616" w:rsidRDefault="00FE4E64" w:rsidP="00E12E48">
            <w:pPr>
              <w:rPr>
                <w:sz w:val="20"/>
              </w:rPr>
            </w:pPr>
          </w:p>
        </w:tc>
        <w:tc>
          <w:tcPr>
            <w:tcW w:w="243" w:type="pct"/>
          </w:tcPr>
          <w:p w:rsidR="00FE4E64" w:rsidRPr="00BE6616" w:rsidRDefault="00FE4E64" w:rsidP="00E12E48">
            <w:pPr>
              <w:rPr>
                <w:sz w:val="20"/>
              </w:rPr>
            </w:pPr>
          </w:p>
        </w:tc>
        <w:tc>
          <w:tcPr>
            <w:tcW w:w="2330" w:type="pct"/>
          </w:tcPr>
          <w:p w:rsidR="00FE4E64" w:rsidRPr="00BE6616" w:rsidRDefault="00FE4E64" w:rsidP="00E12E48">
            <w:pPr>
              <w:rPr>
                <w:sz w:val="20"/>
              </w:rPr>
            </w:pPr>
            <w:r w:rsidRPr="00BE6616">
              <w:rPr>
                <w:sz w:val="20"/>
              </w:rPr>
              <w:t xml:space="preserve">Motion for interim release allowed </w:t>
            </w:r>
          </w:p>
        </w:tc>
      </w:tr>
      <w:tr w:rsidR="00FE4E64" w:rsidRPr="00BE6616" w:rsidTr="00E12E48">
        <w:tc>
          <w:tcPr>
            <w:tcW w:w="2427" w:type="pct"/>
          </w:tcPr>
          <w:p w:rsidR="00FE4E64" w:rsidRPr="00BE6616" w:rsidRDefault="00FE4E64" w:rsidP="00E12E48">
            <w:pPr>
              <w:rPr>
                <w:sz w:val="20"/>
              </w:rPr>
            </w:pPr>
            <w:r w:rsidRPr="00BE6616">
              <w:rPr>
                <w:sz w:val="20"/>
              </w:rPr>
              <w:t>March 2, 2011</w:t>
            </w:r>
          </w:p>
          <w:p w:rsidR="00FE4E64" w:rsidRPr="00BE6616" w:rsidRDefault="00FE4E64" w:rsidP="00E12E48">
            <w:pPr>
              <w:rPr>
                <w:sz w:val="20"/>
              </w:rPr>
            </w:pPr>
            <w:r w:rsidRPr="00BE6616">
              <w:rPr>
                <w:sz w:val="20"/>
              </w:rPr>
              <w:t>Quebec Court of Appeal (Montréal)</w:t>
            </w:r>
          </w:p>
          <w:p w:rsidR="00FE4E64" w:rsidRPr="00BE6616" w:rsidRDefault="00FE4E64" w:rsidP="00E12E48">
            <w:pPr>
              <w:rPr>
                <w:sz w:val="20"/>
              </w:rPr>
            </w:pPr>
            <w:r w:rsidRPr="00BE6616">
              <w:rPr>
                <w:sz w:val="20"/>
              </w:rPr>
              <w:t>(Robert C.J.)</w:t>
            </w:r>
          </w:p>
          <w:p w:rsidR="00FE4E64" w:rsidRPr="00BE6616" w:rsidRDefault="00FE4E64" w:rsidP="00E12E48">
            <w:pPr>
              <w:rPr>
                <w:sz w:val="20"/>
              </w:rPr>
            </w:pPr>
            <w:r w:rsidRPr="00BE6616">
              <w:rPr>
                <w:sz w:val="20"/>
              </w:rPr>
              <w:t>2011 QCCA 392</w:t>
            </w:r>
          </w:p>
          <w:p w:rsidR="00FE4E64" w:rsidRPr="00BE6616" w:rsidRDefault="00FE4E64" w:rsidP="00E12E48">
            <w:pPr>
              <w:rPr>
                <w:sz w:val="20"/>
              </w:rPr>
            </w:pPr>
          </w:p>
        </w:tc>
        <w:tc>
          <w:tcPr>
            <w:tcW w:w="243" w:type="pct"/>
          </w:tcPr>
          <w:p w:rsidR="00FE4E64" w:rsidRPr="00BE6616" w:rsidRDefault="00FE4E64" w:rsidP="00E12E48">
            <w:pPr>
              <w:rPr>
                <w:sz w:val="20"/>
              </w:rPr>
            </w:pPr>
          </w:p>
        </w:tc>
        <w:tc>
          <w:tcPr>
            <w:tcW w:w="2330" w:type="pct"/>
          </w:tcPr>
          <w:p w:rsidR="00FE4E64" w:rsidRPr="00BE6616" w:rsidRDefault="00FE4E64" w:rsidP="00E12E48">
            <w:pPr>
              <w:rPr>
                <w:sz w:val="20"/>
              </w:rPr>
            </w:pPr>
            <w:r w:rsidRPr="00BE6616">
              <w:rPr>
                <w:sz w:val="20"/>
              </w:rPr>
              <w:t xml:space="preserve">Motion for leave to apply for review under s. 680(1) </w:t>
            </w:r>
            <w:r w:rsidRPr="00BE6616">
              <w:rPr>
                <w:i/>
                <w:sz w:val="20"/>
              </w:rPr>
              <w:t>Cr.C.</w:t>
            </w:r>
            <w:r w:rsidRPr="00BE6616">
              <w:rPr>
                <w:sz w:val="20"/>
              </w:rPr>
              <w:t xml:space="preserve"> dismissed</w:t>
            </w:r>
          </w:p>
        </w:tc>
      </w:tr>
      <w:tr w:rsidR="00FE4E64" w:rsidRPr="00BE6616" w:rsidTr="00E12E48">
        <w:tc>
          <w:tcPr>
            <w:tcW w:w="2427" w:type="pct"/>
          </w:tcPr>
          <w:p w:rsidR="00FE4E64" w:rsidRPr="00BE6616" w:rsidRDefault="00FE4E64" w:rsidP="00E12E48">
            <w:pPr>
              <w:rPr>
                <w:sz w:val="20"/>
              </w:rPr>
            </w:pPr>
            <w:r w:rsidRPr="00BE6616">
              <w:rPr>
                <w:sz w:val="20"/>
              </w:rPr>
              <w:t>April 14, 2011</w:t>
            </w:r>
          </w:p>
          <w:p w:rsidR="00FE4E64" w:rsidRPr="00BE6616" w:rsidRDefault="00FE4E64" w:rsidP="00E12E48">
            <w:pPr>
              <w:rPr>
                <w:sz w:val="20"/>
              </w:rPr>
            </w:pPr>
            <w:r w:rsidRPr="00BE6616">
              <w:rPr>
                <w:sz w:val="20"/>
              </w:rPr>
              <w:t>Supreme Court of Canada</w:t>
            </w:r>
          </w:p>
        </w:tc>
        <w:tc>
          <w:tcPr>
            <w:tcW w:w="243" w:type="pct"/>
          </w:tcPr>
          <w:p w:rsidR="00FE4E64" w:rsidRPr="00BE6616" w:rsidRDefault="00FE4E64" w:rsidP="00E12E48">
            <w:pPr>
              <w:rPr>
                <w:sz w:val="20"/>
              </w:rPr>
            </w:pPr>
          </w:p>
        </w:tc>
        <w:tc>
          <w:tcPr>
            <w:tcW w:w="2330" w:type="pct"/>
          </w:tcPr>
          <w:p w:rsidR="00FE4E64" w:rsidRPr="00BE6616" w:rsidRDefault="00FE4E64" w:rsidP="00E12E48">
            <w:pPr>
              <w:rPr>
                <w:sz w:val="20"/>
              </w:rPr>
            </w:pPr>
            <w:r w:rsidRPr="00BE6616">
              <w:rPr>
                <w:sz w:val="20"/>
              </w:rPr>
              <w:t>Application for leave to appeal filed</w:t>
            </w:r>
          </w:p>
          <w:p w:rsidR="00FE4E64" w:rsidRPr="00BE6616" w:rsidRDefault="00FE4E64" w:rsidP="00E12E48">
            <w:pPr>
              <w:rPr>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51"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FE4E64" w:rsidRPr="00682661" w:rsidTr="00E12E48">
        <w:tc>
          <w:tcPr>
            <w:tcW w:w="5000" w:type="pct"/>
            <w:gridSpan w:val="3"/>
          </w:tcPr>
          <w:p w:rsidR="00FE4E64" w:rsidRPr="00BE6616" w:rsidRDefault="00FE4E64" w:rsidP="00E12E48">
            <w:pPr>
              <w:jc w:val="both"/>
              <w:rPr>
                <w:rFonts w:eastAsia="Calibri"/>
                <w:smallCaps/>
                <w:sz w:val="20"/>
                <w:lang w:val="fr-CA"/>
              </w:rPr>
            </w:pPr>
            <w:r w:rsidRPr="00BE6616">
              <w:rPr>
                <w:rFonts w:eastAsia="Calibri"/>
                <w:smallCaps/>
                <w:sz w:val="20"/>
                <w:lang w:val="fr-CA"/>
              </w:rPr>
              <w:t>(Ordonnance de non</w:t>
            </w:r>
            <w:r w:rsidRPr="00BE6616">
              <w:rPr>
                <w:rFonts w:eastAsia="Calibri"/>
                <w:smallCaps/>
                <w:sz w:val="20"/>
                <w:lang w:val="fr-CA"/>
              </w:rPr>
              <w:noBreakHyphen/>
              <w:t>publication dans le dossier)</w:t>
            </w:r>
          </w:p>
          <w:p w:rsidR="00FE4E64" w:rsidRPr="00BE6616" w:rsidRDefault="00FE4E64" w:rsidP="00E12E48">
            <w:pPr>
              <w:jc w:val="both"/>
              <w:rPr>
                <w:rFonts w:eastAsia="Calibri"/>
                <w:sz w:val="20"/>
                <w:lang w:val="fr-CA"/>
              </w:rPr>
            </w:pPr>
          </w:p>
        </w:tc>
      </w:tr>
      <w:tr w:rsidR="00FE4E64" w:rsidRPr="00BE6616" w:rsidTr="00E12E48">
        <w:tc>
          <w:tcPr>
            <w:tcW w:w="5000" w:type="pct"/>
            <w:gridSpan w:val="3"/>
          </w:tcPr>
          <w:p w:rsidR="00FE4E64" w:rsidRPr="00BE6616" w:rsidRDefault="00FE4E64" w:rsidP="00E12E48">
            <w:pPr>
              <w:jc w:val="both"/>
              <w:rPr>
                <w:rFonts w:eastAsia="Calibri"/>
                <w:sz w:val="20"/>
                <w:lang w:val="fr-CA"/>
              </w:rPr>
            </w:pPr>
            <w:r w:rsidRPr="00BE6616">
              <w:rPr>
                <w:rFonts w:eastAsia="Calibri"/>
                <w:sz w:val="20"/>
                <w:lang w:val="fr-CA"/>
              </w:rPr>
              <w:t>Droit criminel — Preuve — Appréciation — Mise en liberté provisoire — Ouï</w:t>
            </w:r>
            <w:r w:rsidRPr="00BE6616">
              <w:rPr>
                <w:rFonts w:eastAsia="Calibri"/>
                <w:sz w:val="20"/>
                <w:lang w:val="fr-CA"/>
              </w:rPr>
              <w:noBreakHyphen/>
              <w:t xml:space="preserve">dire — Actes manifestes — Aux fins de déterminer si la remise en liberté provisoire d’un individu minerait la confiance du public envers l’administration de la justice en fonction des quatre critères mentionnés à l’art. 515(10)c) du </w:t>
            </w:r>
            <w:r w:rsidRPr="00BE6616">
              <w:rPr>
                <w:rFonts w:eastAsia="Calibri"/>
                <w:i/>
                <w:sz w:val="20"/>
                <w:lang w:val="fr-CA"/>
              </w:rPr>
              <w:t>Code criminel</w:t>
            </w:r>
            <w:r w:rsidRPr="00BE6616">
              <w:rPr>
                <w:rFonts w:eastAsia="Calibri"/>
                <w:sz w:val="20"/>
                <w:lang w:val="fr-CA"/>
              </w:rPr>
              <w:t>, un juge doit</w:t>
            </w:r>
            <w:r w:rsidRPr="00BE6616">
              <w:rPr>
                <w:rFonts w:eastAsia="Calibri"/>
                <w:sz w:val="20"/>
                <w:lang w:val="fr-CA"/>
              </w:rPr>
              <w:noBreakHyphen/>
              <w:t>il analyser la preuve en considérant le droit qui sera applicable au procès, particulièrement la théorie des actes manifestes et la preuve de ouï</w:t>
            </w:r>
            <w:r w:rsidRPr="00BE6616">
              <w:rPr>
                <w:rFonts w:eastAsia="Calibri"/>
                <w:sz w:val="20"/>
                <w:lang w:val="fr-CA"/>
              </w:rPr>
              <w:noBreakHyphen/>
              <w:t xml:space="preserve">dire admissible? — </w:t>
            </w:r>
            <w:r w:rsidRPr="00BE6616">
              <w:rPr>
                <w:rFonts w:eastAsia="Calibri"/>
                <w:i/>
                <w:sz w:val="20"/>
                <w:lang w:val="fr-CA"/>
              </w:rPr>
              <w:t>Code criminel</w:t>
            </w:r>
            <w:r w:rsidRPr="00BE6616">
              <w:rPr>
                <w:rFonts w:eastAsia="Calibri"/>
                <w:sz w:val="20"/>
                <w:lang w:val="fr-CA"/>
              </w:rPr>
              <w:t>, L.R.C. 1985, ch. C</w:t>
            </w:r>
            <w:r w:rsidRPr="00BE6616">
              <w:rPr>
                <w:rFonts w:eastAsia="Calibri"/>
                <w:sz w:val="20"/>
                <w:lang w:val="fr-CA"/>
              </w:rPr>
              <w:noBreakHyphen/>
              <w:t>46, art. 21, 22 et 515(10).</w:t>
            </w:r>
          </w:p>
        </w:tc>
      </w:tr>
      <w:tr w:rsidR="00FE4E64" w:rsidRPr="00682661" w:rsidTr="00E12E48">
        <w:tc>
          <w:tcPr>
            <w:tcW w:w="5000" w:type="pct"/>
            <w:gridSpan w:val="3"/>
          </w:tcPr>
          <w:p w:rsidR="00FE4E64" w:rsidRPr="00BE6616" w:rsidRDefault="00FE4E64" w:rsidP="00E12E48">
            <w:pPr>
              <w:jc w:val="both"/>
              <w:rPr>
                <w:rFonts w:eastAsia="Calibri"/>
                <w:sz w:val="20"/>
                <w:lang w:val="fr-CA"/>
              </w:rPr>
            </w:pPr>
          </w:p>
          <w:p w:rsidR="00FE4E64" w:rsidRPr="00BE6616" w:rsidRDefault="00FE4E64" w:rsidP="00E12E48">
            <w:pPr>
              <w:jc w:val="both"/>
              <w:rPr>
                <w:rFonts w:eastAsia="Calibri"/>
                <w:sz w:val="20"/>
                <w:lang w:val="fr-CA"/>
              </w:rPr>
            </w:pPr>
            <w:r w:rsidRPr="00BE6616">
              <w:rPr>
                <w:rFonts w:eastAsia="Calibri"/>
                <w:sz w:val="20"/>
                <w:lang w:val="fr-CA"/>
              </w:rPr>
              <w:t>En 2009, les policiers exécutent un mandat d’arrestation contre 156 personnes faisant partie de l’organisation des Hells Angels.  L’intimé est accusé, entre autres, de meurtre et de trafic de stupéfiants. La Cour supérieure lui accorde une remise en liberté en attendant son procès.  La Cour d’appel rejette la requête du ministère public en autorisation de se pourvoir en révision au motif que le premier juge n’a commis aucune erreur de faits ou de droit qui pourrait raisonnablement convaincre une formation de la cour d’arriver à une conclusion différente de celle du premier juge.</w:t>
            </w:r>
          </w:p>
          <w:p w:rsidR="00FE4E64" w:rsidRPr="00BE6616" w:rsidRDefault="00FE4E64" w:rsidP="00E12E48">
            <w:pPr>
              <w:jc w:val="both"/>
              <w:rPr>
                <w:rFonts w:eastAsia="Calibri"/>
                <w:sz w:val="20"/>
                <w:lang w:val="fr-CA"/>
              </w:rPr>
            </w:pPr>
          </w:p>
        </w:tc>
      </w:tr>
      <w:tr w:rsidR="00FE4E64" w:rsidRPr="00682661" w:rsidTr="00E12E48">
        <w:tc>
          <w:tcPr>
            <w:tcW w:w="2427" w:type="pct"/>
          </w:tcPr>
          <w:p w:rsidR="00FE4E64" w:rsidRPr="00BE6616" w:rsidRDefault="00FE4E64" w:rsidP="00E12E48">
            <w:pPr>
              <w:jc w:val="both"/>
              <w:rPr>
                <w:rFonts w:eastAsia="Calibri"/>
                <w:sz w:val="20"/>
                <w:lang w:val="fr-CA"/>
              </w:rPr>
            </w:pPr>
            <w:r w:rsidRPr="00BE6616">
              <w:rPr>
                <w:rFonts w:eastAsia="Calibri"/>
                <w:sz w:val="20"/>
                <w:lang w:val="fr-CA"/>
              </w:rPr>
              <w:t>Le 20 décembre 2010</w:t>
            </w:r>
          </w:p>
          <w:p w:rsidR="00FE4E64" w:rsidRPr="00BE6616" w:rsidRDefault="00FE4E64" w:rsidP="00E12E48">
            <w:pPr>
              <w:jc w:val="both"/>
              <w:rPr>
                <w:rFonts w:eastAsia="Calibri"/>
                <w:sz w:val="20"/>
                <w:lang w:val="fr-CA"/>
              </w:rPr>
            </w:pPr>
            <w:r w:rsidRPr="00BE6616">
              <w:rPr>
                <w:rFonts w:eastAsia="Calibri"/>
                <w:sz w:val="20"/>
                <w:lang w:val="fr-CA"/>
              </w:rPr>
              <w:t>Cour supérieure du Québec</w:t>
            </w:r>
          </w:p>
          <w:p w:rsidR="00FE4E64" w:rsidRPr="00BE6616" w:rsidRDefault="00FE4E64" w:rsidP="00E12E48">
            <w:pPr>
              <w:jc w:val="both"/>
              <w:rPr>
                <w:rFonts w:eastAsia="Calibri"/>
                <w:sz w:val="20"/>
                <w:lang w:val="fr-CA"/>
              </w:rPr>
            </w:pPr>
            <w:r w:rsidRPr="00BE6616">
              <w:rPr>
                <w:rFonts w:eastAsia="Calibri"/>
                <w:sz w:val="20"/>
                <w:lang w:val="fr-CA"/>
              </w:rPr>
              <w:t>(Le juge Wagner)</w:t>
            </w:r>
          </w:p>
          <w:p w:rsidR="00FE4E64" w:rsidRPr="00BE6616" w:rsidRDefault="00FE4E64" w:rsidP="00E12E48">
            <w:pPr>
              <w:jc w:val="both"/>
              <w:rPr>
                <w:rFonts w:eastAsia="Calibri"/>
                <w:sz w:val="20"/>
              </w:rPr>
            </w:pPr>
          </w:p>
        </w:tc>
        <w:tc>
          <w:tcPr>
            <w:tcW w:w="243" w:type="pct"/>
          </w:tcPr>
          <w:p w:rsidR="00FE4E64" w:rsidRPr="00BE6616" w:rsidRDefault="00FE4E64" w:rsidP="00E12E48">
            <w:pPr>
              <w:jc w:val="both"/>
              <w:rPr>
                <w:rFonts w:eastAsia="Calibri"/>
                <w:sz w:val="20"/>
              </w:rPr>
            </w:pPr>
          </w:p>
        </w:tc>
        <w:tc>
          <w:tcPr>
            <w:tcW w:w="2330" w:type="pct"/>
          </w:tcPr>
          <w:p w:rsidR="00FE4E64" w:rsidRPr="00BE6616" w:rsidRDefault="00FE4E64" w:rsidP="00E12E48">
            <w:pPr>
              <w:jc w:val="both"/>
              <w:rPr>
                <w:rFonts w:eastAsia="Calibri"/>
                <w:sz w:val="20"/>
                <w:lang w:val="fr-CA"/>
              </w:rPr>
            </w:pPr>
            <w:r w:rsidRPr="00BE6616">
              <w:rPr>
                <w:rFonts w:eastAsia="Calibri"/>
                <w:sz w:val="20"/>
                <w:lang w:val="fr-CA"/>
              </w:rPr>
              <w:t xml:space="preserve">Requête pour mise en liberté provisoire accordée </w:t>
            </w:r>
          </w:p>
        </w:tc>
      </w:tr>
      <w:tr w:rsidR="00FE4E64" w:rsidRPr="00682661" w:rsidTr="00E12E48">
        <w:tc>
          <w:tcPr>
            <w:tcW w:w="2427" w:type="pct"/>
          </w:tcPr>
          <w:p w:rsidR="00FE4E64" w:rsidRPr="00BE6616" w:rsidRDefault="00FE4E64" w:rsidP="00E12E48">
            <w:pPr>
              <w:jc w:val="both"/>
              <w:rPr>
                <w:rFonts w:eastAsia="Calibri"/>
                <w:sz w:val="20"/>
                <w:lang w:val="fr-CA"/>
              </w:rPr>
            </w:pPr>
            <w:r w:rsidRPr="00BE6616">
              <w:rPr>
                <w:rFonts w:eastAsia="Calibri"/>
                <w:sz w:val="20"/>
                <w:lang w:val="fr-CA"/>
              </w:rPr>
              <w:t>Le 2 mars 2011</w:t>
            </w:r>
          </w:p>
          <w:p w:rsidR="00FE4E64" w:rsidRPr="00BE6616" w:rsidRDefault="00FE4E64" w:rsidP="00E12E48">
            <w:pPr>
              <w:jc w:val="both"/>
              <w:rPr>
                <w:rFonts w:eastAsia="Calibri"/>
                <w:sz w:val="20"/>
                <w:lang w:val="fr-CA"/>
              </w:rPr>
            </w:pPr>
            <w:r w:rsidRPr="00BE6616">
              <w:rPr>
                <w:rFonts w:eastAsia="Calibri"/>
                <w:sz w:val="20"/>
                <w:lang w:val="fr-CA"/>
              </w:rPr>
              <w:t>Cour d’appel du Québec (Montréal)</w:t>
            </w:r>
          </w:p>
          <w:p w:rsidR="00FE4E64" w:rsidRPr="00BE6616" w:rsidRDefault="00FE4E64" w:rsidP="00E12E48">
            <w:pPr>
              <w:jc w:val="both"/>
              <w:rPr>
                <w:rFonts w:eastAsia="Calibri"/>
                <w:sz w:val="20"/>
                <w:lang w:val="fr-CA"/>
              </w:rPr>
            </w:pPr>
            <w:r w:rsidRPr="00BE6616">
              <w:rPr>
                <w:rFonts w:eastAsia="Calibri"/>
                <w:sz w:val="20"/>
                <w:lang w:val="fr-CA"/>
              </w:rPr>
              <w:t>(Le juge en chef Robert)</w:t>
            </w:r>
          </w:p>
          <w:p w:rsidR="00FE4E64" w:rsidRPr="00BE6616" w:rsidRDefault="00FE4E64" w:rsidP="00E12E48">
            <w:pPr>
              <w:jc w:val="both"/>
              <w:rPr>
                <w:rFonts w:eastAsia="Calibri"/>
                <w:sz w:val="20"/>
                <w:lang w:val="fr-CA"/>
              </w:rPr>
            </w:pPr>
            <w:r w:rsidRPr="00BE6616">
              <w:rPr>
                <w:rFonts w:eastAsia="Calibri"/>
                <w:sz w:val="20"/>
              </w:rPr>
              <w:t>2011 QCCA 392</w:t>
            </w:r>
          </w:p>
          <w:p w:rsidR="00FE4E64" w:rsidRPr="00BE6616" w:rsidRDefault="00FE4E64" w:rsidP="00E12E48">
            <w:pPr>
              <w:jc w:val="both"/>
              <w:rPr>
                <w:rFonts w:eastAsia="Calibri"/>
                <w:sz w:val="20"/>
              </w:rPr>
            </w:pPr>
          </w:p>
        </w:tc>
        <w:tc>
          <w:tcPr>
            <w:tcW w:w="243" w:type="pct"/>
          </w:tcPr>
          <w:p w:rsidR="00FE4E64" w:rsidRPr="00BE6616" w:rsidRDefault="00FE4E64" w:rsidP="00E12E48">
            <w:pPr>
              <w:jc w:val="both"/>
              <w:rPr>
                <w:rFonts w:eastAsia="Calibri"/>
                <w:sz w:val="20"/>
              </w:rPr>
            </w:pPr>
          </w:p>
        </w:tc>
        <w:tc>
          <w:tcPr>
            <w:tcW w:w="2330" w:type="pct"/>
          </w:tcPr>
          <w:p w:rsidR="00FE4E64" w:rsidRPr="00BE6616" w:rsidRDefault="00FE4E64" w:rsidP="00E12E48">
            <w:pPr>
              <w:jc w:val="both"/>
              <w:rPr>
                <w:rFonts w:eastAsia="Calibri"/>
                <w:sz w:val="20"/>
                <w:lang w:val="fr-CA"/>
              </w:rPr>
            </w:pPr>
            <w:r w:rsidRPr="00BE6616">
              <w:rPr>
                <w:rFonts w:eastAsia="Calibri"/>
                <w:sz w:val="20"/>
                <w:lang w:val="fr-CA"/>
              </w:rPr>
              <w:t xml:space="preserve">Requête en autorisation de se pourvoir en révision en vertu de l’art. 680(1) </w:t>
            </w:r>
            <w:r w:rsidRPr="00BE6616">
              <w:rPr>
                <w:rFonts w:eastAsia="Calibri"/>
                <w:i/>
                <w:sz w:val="20"/>
                <w:lang w:val="fr-CA"/>
              </w:rPr>
              <w:t>C. cr.</w:t>
            </w:r>
            <w:r w:rsidRPr="00BE6616">
              <w:rPr>
                <w:rFonts w:eastAsia="Calibri"/>
                <w:sz w:val="20"/>
                <w:lang w:val="fr-CA"/>
              </w:rPr>
              <w:t xml:space="preserve"> rejetée</w:t>
            </w:r>
          </w:p>
        </w:tc>
      </w:tr>
      <w:tr w:rsidR="00FE4E64" w:rsidRPr="00BE6616" w:rsidTr="00E12E48">
        <w:tc>
          <w:tcPr>
            <w:tcW w:w="2427" w:type="pct"/>
          </w:tcPr>
          <w:p w:rsidR="00FE4E64" w:rsidRPr="00BE6616" w:rsidRDefault="00FE4E64" w:rsidP="00E12E48">
            <w:pPr>
              <w:jc w:val="both"/>
              <w:rPr>
                <w:rFonts w:eastAsia="Calibri"/>
                <w:sz w:val="20"/>
                <w:lang w:val="fr-CA"/>
              </w:rPr>
            </w:pPr>
            <w:r w:rsidRPr="00BE6616">
              <w:rPr>
                <w:rFonts w:eastAsia="Calibri"/>
                <w:sz w:val="20"/>
                <w:lang w:val="fr-CA"/>
              </w:rPr>
              <w:t>Le 14 avril 2011</w:t>
            </w:r>
          </w:p>
          <w:p w:rsidR="00FE4E64" w:rsidRPr="00BE6616" w:rsidRDefault="00FE4E64" w:rsidP="00FE4E64">
            <w:pPr>
              <w:jc w:val="both"/>
              <w:rPr>
                <w:rFonts w:eastAsia="Calibri"/>
                <w:sz w:val="20"/>
                <w:lang w:val="fr-CA"/>
              </w:rPr>
            </w:pPr>
            <w:r w:rsidRPr="00BE6616">
              <w:rPr>
                <w:rFonts w:eastAsia="Calibri"/>
                <w:sz w:val="20"/>
                <w:lang w:val="fr-CA"/>
              </w:rPr>
              <w:t>Cour suprême du Canada</w:t>
            </w:r>
          </w:p>
        </w:tc>
        <w:tc>
          <w:tcPr>
            <w:tcW w:w="243" w:type="pct"/>
          </w:tcPr>
          <w:p w:rsidR="00FE4E64" w:rsidRPr="00BE6616" w:rsidRDefault="00FE4E64" w:rsidP="00E12E48">
            <w:pPr>
              <w:jc w:val="both"/>
              <w:rPr>
                <w:rFonts w:eastAsia="Calibri"/>
                <w:sz w:val="20"/>
                <w:lang w:val="fr-CA"/>
              </w:rPr>
            </w:pPr>
          </w:p>
        </w:tc>
        <w:tc>
          <w:tcPr>
            <w:tcW w:w="2330" w:type="pct"/>
          </w:tcPr>
          <w:p w:rsidR="00FE4E64" w:rsidRPr="00BE6616" w:rsidRDefault="00FE4E64" w:rsidP="00E12E48">
            <w:pPr>
              <w:jc w:val="both"/>
              <w:rPr>
                <w:rFonts w:eastAsia="Calibri"/>
                <w:sz w:val="20"/>
                <w:lang w:val="fr-CA"/>
              </w:rPr>
            </w:pPr>
            <w:r w:rsidRPr="00BE6616">
              <w:rPr>
                <w:rFonts w:eastAsia="Calibri"/>
                <w:sz w:val="20"/>
                <w:lang w:val="fr-CA"/>
              </w:rPr>
              <w:t>Demande d'autorisation d'appel déposée</w:t>
            </w:r>
          </w:p>
          <w:p w:rsidR="00FE4E64" w:rsidRPr="00BE6616" w:rsidRDefault="00FE4E64" w:rsidP="00E12E4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52"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93F58" w:rsidRPr="009D5E94" w:rsidTr="002E3508">
        <w:trPr>
          <w:cantSplit/>
        </w:trPr>
        <w:tc>
          <w:tcPr>
            <w:tcW w:w="1458" w:type="dxa"/>
          </w:tcPr>
          <w:p w:rsidR="00A93F58" w:rsidRPr="009D5E94" w:rsidRDefault="00A93F58" w:rsidP="002E3508">
            <w:pPr>
              <w:rPr>
                <w:sz w:val="20"/>
                <w:szCs w:val="20"/>
              </w:rPr>
            </w:pPr>
            <w:r w:rsidRPr="009D5E94">
              <w:rPr>
                <w:rStyle w:val="SCCFileNumberChar"/>
                <w:sz w:val="20"/>
                <w:szCs w:val="20"/>
              </w:rPr>
              <w:t>34216</w:t>
            </w:r>
          </w:p>
          <w:p w:rsidR="00A93F58" w:rsidRPr="009D5E94" w:rsidRDefault="00A93F58" w:rsidP="002E3508">
            <w:pPr>
              <w:rPr>
                <w:b/>
                <w:sz w:val="20"/>
                <w:szCs w:val="20"/>
                <w:lang w:val="fr-CA"/>
              </w:rPr>
            </w:pPr>
          </w:p>
        </w:tc>
        <w:tc>
          <w:tcPr>
            <w:tcW w:w="8118" w:type="dxa"/>
          </w:tcPr>
          <w:p w:rsidR="00A93F58" w:rsidRPr="009D5E94" w:rsidRDefault="00A93F58" w:rsidP="002E3508">
            <w:pPr>
              <w:jc w:val="both"/>
              <w:rPr>
                <w:sz w:val="20"/>
                <w:szCs w:val="20"/>
              </w:rPr>
            </w:pPr>
            <w:r w:rsidRPr="00A93F58">
              <w:rPr>
                <w:rStyle w:val="SCCLsocChar"/>
                <w:sz w:val="20"/>
                <w:szCs w:val="20"/>
                <w:lang w:val="en-CA"/>
              </w:rPr>
              <w:t>Valentino Pietrangelo</w:t>
            </w:r>
            <w:r w:rsidR="00111AD6">
              <w:rPr>
                <w:rStyle w:val="SCCLsocChar"/>
                <w:sz w:val="20"/>
                <w:szCs w:val="20"/>
                <w:lang w:val="en-CA"/>
              </w:rPr>
              <w:t xml:space="preserve"> and</w:t>
            </w:r>
            <w:r w:rsidRPr="00A93F58">
              <w:rPr>
                <w:rStyle w:val="SCCLsocChar"/>
                <w:sz w:val="20"/>
                <w:szCs w:val="20"/>
                <w:lang w:val="en-CA"/>
              </w:rPr>
              <w:t xml:space="preserve"> Antoinette Pietrangelo v. Gore Mutual Insurance Company</w:t>
            </w:r>
            <w:r w:rsidRPr="009D5E94">
              <w:rPr>
                <w:sz w:val="20"/>
                <w:szCs w:val="20"/>
              </w:rPr>
              <w:t xml:space="preserve"> (Ont.) (Civil) (By Leave)</w:t>
            </w:r>
          </w:p>
          <w:p w:rsidR="00A93F58" w:rsidRPr="009D5E94" w:rsidRDefault="00A93F58" w:rsidP="002E3508">
            <w:pPr>
              <w:rPr>
                <w:sz w:val="20"/>
                <w:szCs w:val="20"/>
              </w:rPr>
            </w:pPr>
          </w:p>
        </w:tc>
      </w:tr>
      <w:tr w:rsidR="00A93F58" w:rsidRPr="009D5E94" w:rsidTr="002E3508">
        <w:trPr>
          <w:cantSplit/>
        </w:trPr>
        <w:tc>
          <w:tcPr>
            <w:tcW w:w="1458" w:type="dxa"/>
          </w:tcPr>
          <w:p w:rsidR="00A93F58" w:rsidRPr="009D5E94" w:rsidRDefault="00A93F58" w:rsidP="002E3508">
            <w:pPr>
              <w:rPr>
                <w:sz w:val="20"/>
                <w:szCs w:val="20"/>
              </w:rPr>
            </w:pPr>
            <w:r w:rsidRPr="009D5E94">
              <w:rPr>
                <w:sz w:val="20"/>
                <w:szCs w:val="20"/>
              </w:rPr>
              <w:t>Coram :</w:t>
            </w:r>
          </w:p>
        </w:tc>
        <w:tc>
          <w:tcPr>
            <w:tcW w:w="8118" w:type="dxa"/>
          </w:tcPr>
          <w:p w:rsidR="00A93F58" w:rsidRPr="009D5E94" w:rsidRDefault="00A93F58" w:rsidP="002E3508">
            <w:pPr>
              <w:rPr>
                <w:sz w:val="20"/>
                <w:szCs w:val="20"/>
              </w:rPr>
            </w:pPr>
            <w:r w:rsidRPr="009D5E94">
              <w:rPr>
                <w:rStyle w:val="SCCCoramChar"/>
                <w:sz w:val="20"/>
                <w:szCs w:val="20"/>
              </w:rPr>
              <w:t>McLachlin C.J. and Deschamps and Rothstein JJ.</w:t>
            </w:r>
          </w:p>
          <w:p w:rsidR="00A93F58" w:rsidRPr="009D5E94" w:rsidRDefault="00A93F58" w:rsidP="002E3508">
            <w:pPr>
              <w:rPr>
                <w:sz w:val="20"/>
                <w:szCs w:val="20"/>
                <w:u w:val="single"/>
              </w:rPr>
            </w:pPr>
          </w:p>
        </w:tc>
      </w:tr>
      <w:tr w:rsidR="00A93F58" w:rsidRPr="00682661" w:rsidTr="002E3508">
        <w:trPr>
          <w:cantSplit/>
        </w:trPr>
        <w:tc>
          <w:tcPr>
            <w:tcW w:w="9576" w:type="dxa"/>
            <w:gridSpan w:val="2"/>
          </w:tcPr>
          <w:p w:rsidR="00A93F58" w:rsidRPr="009D5E94" w:rsidRDefault="00A93F58" w:rsidP="002E3508">
            <w:pPr>
              <w:pStyle w:val="SCCShortJudgment"/>
              <w:rPr>
                <w:szCs w:val="20"/>
              </w:rPr>
            </w:pPr>
            <w:r w:rsidRPr="009D5E94">
              <w:rPr>
                <w:szCs w:val="20"/>
              </w:rPr>
              <w:t>The application for leave to appeal from the judgment of the Court of Appeal for Ontario, Number C51854, 2011 ONCA 162, dated February 23, 2011, is dismissed with costs.</w:t>
            </w:r>
          </w:p>
          <w:p w:rsidR="00A93F58" w:rsidRPr="009D5E94" w:rsidRDefault="00A93F58" w:rsidP="002E3508">
            <w:pPr>
              <w:pStyle w:val="SCCShortJudgment"/>
              <w:ind w:firstLine="0"/>
              <w:rPr>
                <w:szCs w:val="20"/>
              </w:rPr>
            </w:pPr>
          </w:p>
          <w:p w:rsidR="00A93F58" w:rsidRPr="009D5E94" w:rsidRDefault="00A93F58" w:rsidP="002E3508">
            <w:pPr>
              <w:pStyle w:val="SCCShortJudgment"/>
              <w:rPr>
                <w:szCs w:val="20"/>
                <w:lang w:val="fr-CA"/>
              </w:rPr>
            </w:pPr>
            <w:r w:rsidRPr="009D5E94">
              <w:rPr>
                <w:szCs w:val="20"/>
                <w:lang w:val="fr-CA"/>
              </w:rPr>
              <w:t>La demande d’autorisation d’appel de l’arrêt de la Cour d’appel de l’Ontario, numéro C51854, 2011 ONCA 162, daté du 23 février 2011, est rejetée avec dépens.</w:t>
            </w:r>
          </w:p>
        </w:tc>
      </w:tr>
    </w:tbl>
    <w:p w:rsidR="007B50F9" w:rsidRPr="00A93F58" w:rsidRDefault="007B50F9" w:rsidP="007B50F9">
      <w:pPr>
        <w:rPr>
          <w:sz w:val="20"/>
          <w:szCs w:val="20"/>
          <w:lang w:val="fr-CA"/>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E4E64" w:rsidRPr="00BE6616" w:rsidTr="00E12E48">
        <w:tc>
          <w:tcPr>
            <w:tcW w:w="5000" w:type="pct"/>
            <w:gridSpan w:val="3"/>
          </w:tcPr>
          <w:p w:rsidR="00FE4E64" w:rsidRPr="00BE6616" w:rsidRDefault="00FE4E64" w:rsidP="00E12E48">
            <w:pPr>
              <w:jc w:val="both"/>
              <w:rPr>
                <w:rFonts w:eastAsia="Calibri"/>
                <w:sz w:val="20"/>
              </w:rPr>
            </w:pPr>
            <w:r w:rsidRPr="00BE6616">
              <w:rPr>
                <w:rFonts w:eastAsia="Calibri"/>
                <w:sz w:val="20"/>
              </w:rPr>
              <w:t>Insurance — Property insurance — Exclusion clause — Tenant producing marijuana derivative in house owned by landlord, causing fire that destroyed building — Insurer refusing indemnification for loss — When and under what circumstances can an exclusion clause be qualified as unjust or unreasonable? — Should convicted drug traffickers be treated more fairly than law abiding landlords? — What test should be used to determine the meaning of the word “used” in marijuana exclusion clauses?</w:t>
            </w:r>
          </w:p>
          <w:p w:rsidR="00FE4E64" w:rsidRPr="00BE6616" w:rsidRDefault="00FE4E64" w:rsidP="00E12E48">
            <w:pPr>
              <w:jc w:val="both"/>
              <w:rPr>
                <w:rFonts w:eastAsia="Calibri"/>
                <w:sz w:val="20"/>
              </w:rPr>
            </w:pPr>
          </w:p>
        </w:tc>
      </w:tr>
      <w:tr w:rsidR="00FE4E64" w:rsidRPr="00BE6616" w:rsidTr="00E12E48">
        <w:tc>
          <w:tcPr>
            <w:tcW w:w="5000" w:type="pct"/>
            <w:gridSpan w:val="3"/>
          </w:tcPr>
          <w:p w:rsidR="00FE4E64" w:rsidRPr="00BE6616" w:rsidRDefault="00FE4E64" w:rsidP="00E12E48">
            <w:pPr>
              <w:jc w:val="both"/>
              <w:rPr>
                <w:rFonts w:eastAsia="Calibri"/>
                <w:sz w:val="20"/>
              </w:rPr>
            </w:pPr>
            <w:r w:rsidRPr="00BE6616">
              <w:rPr>
                <w:rFonts w:eastAsia="Calibri"/>
                <w:sz w:val="20"/>
              </w:rPr>
              <w:t>The Applicants are the owners of a few residential rental properties in Amherstburg Ontario.  They rented one of their houses to a woman whose son, Mr. Arquette, used some of his marijuana supply to make cannabis resin in the bathroom of the house.  This involved the use of special equipment including butane gas, in order to liquefy the marijuana.  At one point, Mr. Arquette briefly left the bathroom to summon a friend, closing the door behind him.  When he returned with his friend and opened the bathroom door, there was an explosion and fire that completely destroyed the house.  The landlords’ proof of claim was refused by their insurer, Gore Mutual Insurance Company, who relied on the Marijuana Exclusion clause in the policy of insurance.  The landlords brought an action in damages against the insurer.</w:t>
            </w:r>
          </w:p>
          <w:p w:rsidR="00FE4E64" w:rsidRPr="00BE6616" w:rsidRDefault="00FE4E64" w:rsidP="00E12E48">
            <w:pPr>
              <w:jc w:val="both"/>
              <w:rPr>
                <w:rFonts w:eastAsia="Calibri"/>
                <w:sz w:val="20"/>
              </w:rPr>
            </w:pPr>
          </w:p>
        </w:tc>
      </w:tr>
      <w:tr w:rsidR="00FE4E64" w:rsidRPr="00BE6616" w:rsidTr="00A93F58">
        <w:trPr>
          <w:cantSplit/>
        </w:trPr>
        <w:tc>
          <w:tcPr>
            <w:tcW w:w="2427" w:type="pct"/>
          </w:tcPr>
          <w:p w:rsidR="00FE4E64" w:rsidRPr="00BE6616" w:rsidRDefault="00FE4E64" w:rsidP="00E12E48">
            <w:pPr>
              <w:jc w:val="both"/>
              <w:rPr>
                <w:rFonts w:eastAsia="Calibri"/>
                <w:sz w:val="20"/>
              </w:rPr>
            </w:pPr>
            <w:r w:rsidRPr="00BE6616">
              <w:rPr>
                <w:rFonts w:eastAsia="Calibri"/>
                <w:sz w:val="20"/>
              </w:rPr>
              <w:lastRenderedPageBreak/>
              <w:t>February 22, 2010</w:t>
            </w:r>
          </w:p>
          <w:p w:rsidR="00FE4E64" w:rsidRPr="00BE6616" w:rsidRDefault="00FE4E64" w:rsidP="00E12E48">
            <w:pPr>
              <w:jc w:val="both"/>
              <w:rPr>
                <w:rFonts w:eastAsia="Calibri"/>
                <w:sz w:val="20"/>
              </w:rPr>
            </w:pPr>
            <w:r w:rsidRPr="00BE6616">
              <w:rPr>
                <w:rFonts w:eastAsia="Calibri"/>
                <w:sz w:val="20"/>
              </w:rPr>
              <w:t>Ontario Superior Court of Justice</w:t>
            </w:r>
          </w:p>
          <w:p w:rsidR="00FE4E64" w:rsidRPr="00BE6616" w:rsidRDefault="00FE4E64" w:rsidP="00E12E48">
            <w:pPr>
              <w:jc w:val="both"/>
              <w:rPr>
                <w:rFonts w:eastAsia="Calibri"/>
                <w:sz w:val="20"/>
              </w:rPr>
            </w:pPr>
            <w:r w:rsidRPr="00BE6616">
              <w:rPr>
                <w:rFonts w:eastAsia="Calibri"/>
                <w:sz w:val="20"/>
              </w:rPr>
              <w:t>(Ducharme J.)</w:t>
            </w:r>
          </w:p>
          <w:p w:rsidR="00FE4E64" w:rsidRPr="00BE6616" w:rsidRDefault="00FE4E64" w:rsidP="00E12E48">
            <w:pPr>
              <w:jc w:val="both"/>
              <w:rPr>
                <w:rFonts w:eastAsia="Calibri"/>
                <w:sz w:val="20"/>
              </w:rPr>
            </w:pPr>
            <w:r w:rsidRPr="00BE6616">
              <w:rPr>
                <w:rFonts w:eastAsia="Calibri"/>
                <w:sz w:val="20"/>
              </w:rPr>
              <w:t>2010 ONSC 568</w:t>
            </w:r>
          </w:p>
          <w:p w:rsidR="00FE4E64" w:rsidRPr="00BE6616" w:rsidRDefault="00FE4E64" w:rsidP="00E12E48">
            <w:pPr>
              <w:jc w:val="both"/>
              <w:rPr>
                <w:rFonts w:eastAsia="Calibri"/>
                <w:sz w:val="20"/>
              </w:rPr>
            </w:pPr>
          </w:p>
        </w:tc>
        <w:tc>
          <w:tcPr>
            <w:tcW w:w="243" w:type="pct"/>
          </w:tcPr>
          <w:p w:rsidR="00FE4E64" w:rsidRPr="00BE6616" w:rsidRDefault="00FE4E64" w:rsidP="00E12E48">
            <w:pPr>
              <w:jc w:val="both"/>
              <w:rPr>
                <w:rFonts w:eastAsia="Calibri"/>
                <w:sz w:val="20"/>
              </w:rPr>
            </w:pPr>
          </w:p>
        </w:tc>
        <w:tc>
          <w:tcPr>
            <w:tcW w:w="2330" w:type="pct"/>
          </w:tcPr>
          <w:p w:rsidR="00FE4E64" w:rsidRPr="00BE6616" w:rsidRDefault="00FE4E64" w:rsidP="00E12E48">
            <w:pPr>
              <w:jc w:val="both"/>
              <w:rPr>
                <w:rFonts w:eastAsia="Calibri"/>
                <w:sz w:val="20"/>
              </w:rPr>
            </w:pPr>
            <w:r w:rsidRPr="00BE6616">
              <w:rPr>
                <w:rFonts w:eastAsia="Calibri"/>
                <w:sz w:val="20"/>
              </w:rPr>
              <w:t>Landlords’ action dismissed</w:t>
            </w:r>
          </w:p>
          <w:p w:rsidR="00FE4E64" w:rsidRPr="00BE6616" w:rsidRDefault="00FE4E64" w:rsidP="00E12E48">
            <w:pPr>
              <w:jc w:val="both"/>
              <w:rPr>
                <w:rFonts w:eastAsia="Calibri"/>
                <w:sz w:val="20"/>
              </w:rPr>
            </w:pPr>
          </w:p>
          <w:p w:rsidR="00FE4E64" w:rsidRPr="00BE6616" w:rsidRDefault="00FE4E64" w:rsidP="00E12E48">
            <w:pPr>
              <w:jc w:val="both"/>
              <w:rPr>
                <w:rFonts w:eastAsia="Calibri"/>
                <w:sz w:val="20"/>
              </w:rPr>
            </w:pPr>
          </w:p>
        </w:tc>
      </w:tr>
      <w:tr w:rsidR="00FE4E64" w:rsidRPr="00BE6616" w:rsidTr="00A93F58">
        <w:trPr>
          <w:cantSplit/>
        </w:trPr>
        <w:tc>
          <w:tcPr>
            <w:tcW w:w="2427" w:type="pct"/>
          </w:tcPr>
          <w:p w:rsidR="00FE4E64" w:rsidRPr="00BE6616" w:rsidRDefault="00FE4E64" w:rsidP="00E12E48">
            <w:pPr>
              <w:jc w:val="both"/>
              <w:rPr>
                <w:rFonts w:eastAsia="Calibri"/>
                <w:sz w:val="20"/>
              </w:rPr>
            </w:pPr>
            <w:r w:rsidRPr="00BE6616">
              <w:rPr>
                <w:rFonts w:eastAsia="Calibri"/>
                <w:sz w:val="20"/>
              </w:rPr>
              <w:t>February 23, 2011</w:t>
            </w:r>
          </w:p>
          <w:p w:rsidR="00FE4E64" w:rsidRPr="00BE6616" w:rsidRDefault="00FE4E64" w:rsidP="00E12E48">
            <w:pPr>
              <w:jc w:val="both"/>
              <w:rPr>
                <w:rFonts w:eastAsia="Calibri"/>
                <w:sz w:val="20"/>
              </w:rPr>
            </w:pPr>
            <w:r w:rsidRPr="00BE6616">
              <w:rPr>
                <w:rFonts w:eastAsia="Calibri"/>
                <w:sz w:val="20"/>
              </w:rPr>
              <w:t>Court of Appeal for Ontario</w:t>
            </w:r>
          </w:p>
          <w:p w:rsidR="00FE4E64" w:rsidRPr="00BE6616" w:rsidRDefault="00FE4E64" w:rsidP="00E12E48">
            <w:pPr>
              <w:jc w:val="both"/>
              <w:rPr>
                <w:rFonts w:eastAsia="Calibri"/>
                <w:sz w:val="20"/>
              </w:rPr>
            </w:pPr>
            <w:r w:rsidRPr="00BE6616">
              <w:rPr>
                <w:rFonts w:eastAsia="Calibri"/>
                <w:sz w:val="20"/>
              </w:rPr>
              <w:t>(Laskin, MacPherson and LaForme JJ.A</w:t>
            </w:r>
            <w:proofErr w:type="gramStart"/>
            <w:r w:rsidRPr="00BE6616">
              <w:rPr>
                <w:rFonts w:eastAsia="Calibri"/>
                <w:sz w:val="20"/>
              </w:rPr>
              <w:t>..)</w:t>
            </w:r>
            <w:proofErr w:type="gramEnd"/>
          </w:p>
          <w:p w:rsidR="00FE4E64" w:rsidRPr="00BE6616" w:rsidRDefault="00FE4E64" w:rsidP="00E12E48">
            <w:pPr>
              <w:jc w:val="both"/>
              <w:rPr>
                <w:rFonts w:eastAsia="Calibri"/>
                <w:sz w:val="20"/>
              </w:rPr>
            </w:pPr>
            <w:r w:rsidRPr="00BE6616">
              <w:rPr>
                <w:rFonts w:eastAsia="Calibri"/>
                <w:sz w:val="20"/>
              </w:rPr>
              <w:t>2011 ONCA 162</w:t>
            </w:r>
          </w:p>
          <w:p w:rsidR="00FE4E64" w:rsidRPr="00BE6616" w:rsidRDefault="00FE4E64" w:rsidP="00E12E48">
            <w:pPr>
              <w:jc w:val="both"/>
              <w:rPr>
                <w:rFonts w:eastAsia="Calibri"/>
                <w:sz w:val="20"/>
              </w:rPr>
            </w:pPr>
          </w:p>
        </w:tc>
        <w:tc>
          <w:tcPr>
            <w:tcW w:w="243" w:type="pct"/>
          </w:tcPr>
          <w:p w:rsidR="00FE4E64" w:rsidRPr="00BE6616" w:rsidRDefault="00FE4E64" w:rsidP="00E12E48">
            <w:pPr>
              <w:jc w:val="both"/>
              <w:rPr>
                <w:rFonts w:eastAsia="Calibri"/>
                <w:sz w:val="20"/>
              </w:rPr>
            </w:pPr>
          </w:p>
        </w:tc>
        <w:tc>
          <w:tcPr>
            <w:tcW w:w="2330" w:type="pct"/>
          </w:tcPr>
          <w:p w:rsidR="00FE4E64" w:rsidRPr="00BE6616" w:rsidRDefault="00FE4E64" w:rsidP="00E12E48">
            <w:pPr>
              <w:jc w:val="both"/>
              <w:rPr>
                <w:rFonts w:eastAsia="Calibri"/>
                <w:sz w:val="20"/>
              </w:rPr>
            </w:pPr>
            <w:r w:rsidRPr="00BE6616">
              <w:rPr>
                <w:rFonts w:eastAsia="Calibri"/>
                <w:sz w:val="20"/>
              </w:rPr>
              <w:t xml:space="preserve">Appeal dismissed </w:t>
            </w:r>
          </w:p>
        </w:tc>
      </w:tr>
      <w:tr w:rsidR="00FE4E64" w:rsidRPr="00BE6616" w:rsidTr="00A93F58">
        <w:trPr>
          <w:cantSplit/>
        </w:trPr>
        <w:tc>
          <w:tcPr>
            <w:tcW w:w="2427" w:type="pct"/>
          </w:tcPr>
          <w:p w:rsidR="00FE4E64" w:rsidRPr="00BE6616" w:rsidRDefault="00FE4E64" w:rsidP="00E12E48">
            <w:pPr>
              <w:jc w:val="both"/>
              <w:rPr>
                <w:rFonts w:eastAsia="Calibri"/>
                <w:sz w:val="20"/>
              </w:rPr>
            </w:pPr>
            <w:r w:rsidRPr="00BE6616">
              <w:rPr>
                <w:rFonts w:eastAsia="Calibri"/>
                <w:sz w:val="20"/>
              </w:rPr>
              <w:t>April 21, 2011</w:t>
            </w:r>
          </w:p>
          <w:p w:rsidR="00FE4E64" w:rsidRPr="00BE6616" w:rsidRDefault="00FE4E64" w:rsidP="00E12E48">
            <w:pPr>
              <w:jc w:val="both"/>
              <w:rPr>
                <w:rFonts w:eastAsia="Calibri"/>
                <w:sz w:val="20"/>
              </w:rPr>
            </w:pPr>
            <w:r w:rsidRPr="00BE6616">
              <w:rPr>
                <w:rFonts w:eastAsia="Calibri"/>
                <w:sz w:val="20"/>
              </w:rPr>
              <w:t>Supreme Court of Canada</w:t>
            </w:r>
          </w:p>
        </w:tc>
        <w:tc>
          <w:tcPr>
            <w:tcW w:w="243" w:type="pct"/>
          </w:tcPr>
          <w:p w:rsidR="00FE4E64" w:rsidRPr="00BE6616" w:rsidRDefault="00FE4E64" w:rsidP="00E12E48">
            <w:pPr>
              <w:jc w:val="both"/>
              <w:rPr>
                <w:rFonts w:eastAsia="Calibri"/>
                <w:sz w:val="20"/>
              </w:rPr>
            </w:pPr>
          </w:p>
        </w:tc>
        <w:tc>
          <w:tcPr>
            <w:tcW w:w="2330" w:type="pct"/>
          </w:tcPr>
          <w:p w:rsidR="00FE4E64" w:rsidRPr="00BE6616" w:rsidRDefault="00FE4E64" w:rsidP="00E12E48">
            <w:pPr>
              <w:jc w:val="both"/>
              <w:rPr>
                <w:rFonts w:eastAsia="Calibri"/>
                <w:sz w:val="20"/>
              </w:rPr>
            </w:pPr>
            <w:r w:rsidRPr="00BE6616">
              <w:rPr>
                <w:rFonts w:eastAsia="Calibri"/>
                <w:sz w:val="20"/>
              </w:rPr>
              <w:t>Application for leave to appeal filed</w:t>
            </w:r>
          </w:p>
          <w:p w:rsidR="00FE4E64" w:rsidRPr="00BE6616" w:rsidRDefault="00FE4E64" w:rsidP="00E12E4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53"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FE4E64" w:rsidRPr="00682661" w:rsidTr="00E12E48">
        <w:tc>
          <w:tcPr>
            <w:tcW w:w="5000" w:type="pct"/>
            <w:gridSpan w:val="3"/>
          </w:tcPr>
          <w:p w:rsidR="00FE4E64" w:rsidRPr="00BE6616" w:rsidRDefault="00FE4E64" w:rsidP="00E12E48">
            <w:pPr>
              <w:jc w:val="both"/>
              <w:rPr>
                <w:rFonts w:eastAsia="Calibri"/>
                <w:sz w:val="20"/>
                <w:lang w:val="fr-CA"/>
              </w:rPr>
            </w:pPr>
            <w:r w:rsidRPr="00BE6616">
              <w:rPr>
                <w:rFonts w:eastAsia="Calibri"/>
                <w:sz w:val="20"/>
                <w:lang w:val="fr-CA"/>
              </w:rPr>
              <w:t>Assurance — Assurance de biens — Clause d’exclusion — Un locataire produisait un dérivé de la marijuana dans une maison appartenant au locateur, causant un incendie qui a détruit le bâtiment — L’assureur a refusé d’indemniser pour le sinistre — Dans quelles situations une clause d’exclusion peut</w:t>
            </w:r>
            <w:r w:rsidRPr="00BE6616">
              <w:rPr>
                <w:rFonts w:eastAsia="Calibri"/>
                <w:sz w:val="20"/>
                <w:lang w:val="fr-CA"/>
              </w:rPr>
              <w:noBreakHyphen/>
              <w:t>elle être qualifiée d’injuste ou de déraisonnable? — Les trafiquants de drogue déclarés coupables doivent</w:t>
            </w:r>
            <w:r w:rsidRPr="00BE6616">
              <w:rPr>
                <w:rFonts w:eastAsia="Calibri"/>
                <w:sz w:val="20"/>
                <w:lang w:val="fr-CA"/>
              </w:rPr>
              <w:noBreakHyphen/>
              <w:t>ils être traités plus équitablement que les locateurs qui respectent la loi? — Quel critère doit</w:t>
            </w:r>
            <w:r w:rsidRPr="00BE6616">
              <w:rPr>
                <w:rFonts w:eastAsia="Calibri"/>
                <w:sz w:val="20"/>
                <w:lang w:val="fr-CA"/>
              </w:rPr>
              <w:noBreakHyphen/>
              <w:t>on utiliser pour déterminer le sens du mot « utilisé » dans les clauses d’exclusion relatives à la marijuana?</w:t>
            </w:r>
          </w:p>
          <w:p w:rsidR="00FE4E64" w:rsidRPr="00BE6616" w:rsidRDefault="00FE4E64" w:rsidP="00E12E48">
            <w:pPr>
              <w:jc w:val="both"/>
              <w:rPr>
                <w:rFonts w:eastAsia="Calibri"/>
                <w:sz w:val="20"/>
                <w:lang w:val="fr-CA"/>
              </w:rPr>
            </w:pPr>
          </w:p>
        </w:tc>
      </w:tr>
      <w:tr w:rsidR="00FE4E64" w:rsidRPr="00682661" w:rsidTr="00E12E48">
        <w:tc>
          <w:tcPr>
            <w:tcW w:w="5000" w:type="pct"/>
            <w:gridSpan w:val="3"/>
          </w:tcPr>
          <w:p w:rsidR="00FE4E64" w:rsidRPr="00BE6616" w:rsidRDefault="00FE4E64" w:rsidP="00E12E48">
            <w:pPr>
              <w:jc w:val="both"/>
              <w:rPr>
                <w:rFonts w:eastAsia="Calibri"/>
                <w:sz w:val="20"/>
                <w:lang w:val="fr-CA"/>
              </w:rPr>
            </w:pPr>
            <w:r w:rsidRPr="00BE6616">
              <w:rPr>
                <w:rFonts w:eastAsia="Calibri"/>
                <w:sz w:val="20"/>
                <w:lang w:val="fr-CA"/>
              </w:rPr>
              <w:t>Les demandeurs sont propriétaires de quelques immeubles à logements locatifs situés à Amherstburg (Ontario).  Ils ont loué une de leurs maisons à une femme dont le fils, M. Arquette, a utilisé une partie de la marijuana qu’il possédait pour en faire de la résine de cannabis dans la salle de bains de la maison.  Pour ce faire, il utilisait de l’équipement spécial, y compris du gaz butane, pour liquéfier la marijuana.  À un moment donné, M. Arquette a brièvement quitté la salle de bains pour inviter un ami, fermant la porte derrière lui.  Lorsqu’il est revenu avec son ami et a ouvert la porte de la salle de bains, il y a eu une explosion et un incendie qui ont complètement détruit la maison.  L’assureur, Gore Mutual Insurance Company, a refusé la demande d’indemnité des locateurs, s’appuyant sur la clause d’exclusion relative à la marijuana stipulée dans le contrat d’assurance.  Les locateurs ont intenté une action en dommages</w:t>
            </w:r>
            <w:r w:rsidRPr="00BE6616">
              <w:rPr>
                <w:rFonts w:eastAsia="Calibri"/>
                <w:sz w:val="20"/>
                <w:lang w:val="fr-CA"/>
              </w:rPr>
              <w:noBreakHyphen/>
              <w:t>intérêts contre l’assureur.</w:t>
            </w:r>
          </w:p>
          <w:p w:rsidR="00FE4E64" w:rsidRPr="00BE6616" w:rsidRDefault="00FE4E64" w:rsidP="00E12E48">
            <w:pPr>
              <w:jc w:val="both"/>
              <w:rPr>
                <w:rFonts w:eastAsia="Calibri"/>
                <w:sz w:val="20"/>
                <w:lang w:val="fr-CA"/>
              </w:rPr>
            </w:pPr>
          </w:p>
        </w:tc>
      </w:tr>
      <w:tr w:rsidR="00FE4E64" w:rsidRPr="00BE6616" w:rsidTr="00E12E48">
        <w:tc>
          <w:tcPr>
            <w:tcW w:w="2427" w:type="pct"/>
          </w:tcPr>
          <w:p w:rsidR="00FE4E64" w:rsidRPr="00BE6616" w:rsidRDefault="00FE4E64" w:rsidP="00E12E48">
            <w:pPr>
              <w:jc w:val="both"/>
              <w:rPr>
                <w:rFonts w:eastAsia="Calibri"/>
                <w:sz w:val="20"/>
                <w:lang w:val="fr-CA"/>
              </w:rPr>
            </w:pPr>
            <w:r w:rsidRPr="00BE6616">
              <w:rPr>
                <w:rFonts w:eastAsia="Calibri"/>
                <w:sz w:val="20"/>
                <w:lang w:val="fr-CA"/>
              </w:rPr>
              <w:t>22 février 2010</w:t>
            </w:r>
          </w:p>
          <w:p w:rsidR="00FE4E64" w:rsidRPr="00BE6616" w:rsidRDefault="00FE4E64" w:rsidP="00E12E48">
            <w:pPr>
              <w:jc w:val="both"/>
              <w:rPr>
                <w:rFonts w:eastAsia="Calibri"/>
                <w:sz w:val="20"/>
                <w:lang w:val="fr-CA"/>
              </w:rPr>
            </w:pPr>
            <w:r w:rsidRPr="00BE6616">
              <w:rPr>
                <w:rFonts w:eastAsia="Calibri"/>
                <w:sz w:val="20"/>
                <w:lang w:val="fr-CA"/>
              </w:rPr>
              <w:t xml:space="preserve">Cour supérieure de justice de l’Ontario </w:t>
            </w:r>
          </w:p>
          <w:p w:rsidR="00FE4E64" w:rsidRPr="00BE6616" w:rsidRDefault="00FE4E64" w:rsidP="00E12E48">
            <w:pPr>
              <w:jc w:val="both"/>
              <w:rPr>
                <w:rFonts w:eastAsia="Calibri"/>
                <w:sz w:val="20"/>
                <w:lang w:val="fr-CA"/>
              </w:rPr>
            </w:pPr>
            <w:r w:rsidRPr="00BE6616">
              <w:rPr>
                <w:rFonts w:eastAsia="Calibri"/>
                <w:sz w:val="20"/>
                <w:lang w:val="fr-CA"/>
              </w:rPr>
              <w:t>(Juge Ducharme)</w:t>
            </w:r>
          </w:p>
          <w:p w:rsidR="00FE4E64" w:rsidRPr="00BE6616" w:rsidRDefault="00FE4E64" w:rsidP="00E12E48">
            <w:pPr>
              <w:jc w:val="both"/>
              <w:rPr>
                <w:rFonts w:eastAsia="Calibri"/>
                <w:sz w:val="20"/>
                <w:lang w:val="fr-CA"/>
              </w:rPr>
            </w:pPr>
            <w:r w:rsidRPr="00BE6616">
              <w:rPr>
                <w:rFonts w:eastAsia="Calibri"/>
                <w:sz w:val="20"/>
                <w:lang w:val="fr-CA"/>
              </w:rPr>
              <w:t>2010 ONSC 568</w:t>
            </w:r>
          </w:p>
          <w:p w:rsidR="00FE4E64" w:rsidRPr="00BE6616" w:rsidRDefault="00FE4E64" w:rsidP="00E12E48">
            <w:pPr>
              <w:jc w:val="both"/>
              <w:rPr>
                <w:rFonts w:eastAsia="Calibri"/>
                <w:sz w:val="20"/>
                <w:lang w:val="fr-CA"/>
              </w:rPr>
            </w:pPr>
          </w:p>
        </w:tc>
        <w:tc>
          <w:tcPr>
            <w:tcW w:w="243" w:type="pct"/>
          </w:tcPr>
          <w:p w:rsidR="00FE4E64" w:rsidRPr="00BE6616" w:rsidRDefault="00FE4E64" w:rsidP="00E12E48">
            <w:pPr>
              <w:jc w:val="both"/>
              <w:rPr>
                <w:rFonts w:eastAsia="Calibri"/>
                <w:sz w:val="20"/>
                <w:lang w:val="fr-CA"/>
              </w:rPr>
            </w:pPr>
          </w:p>
        </w:tc>
        <w:tc>
          <w:tcPr>
            <w:tcW w:w="2330" w:type="pct"/>
          </w:tcPr>
          <w:p w:rsidR="00FE4E64" w:rsidRPr="00BE6616" w:rsidRDefault="00FE4E64" w:rsidP="00E12E48">
            <w:pPr>
              <w:jc w:val="both"/>
              <w:rPr>
                <w:rFonts w:eastAsia="Calibri"/>
                <w:sz w:val="20"/>
                <w:lang w:val="fr-CA"/>
              </w:rPr>
            </w:pPr>
            <w:r w:rsidRPr="00BE6616">
              <w:rPr>
                <w:rFonts w:eastAsia="Calibri"/>
                <w:sz w:val="20"/>
                <w:lang w:val="fr-CA"/>
              </w:rPr>
              <w:t>Action des locateurs, rejetée</w:t>
            </w:r>
          </w:p>
          <w:p w:rsidR="00FE4E64" w:rsidRPr="00BE6616" w:rsidRDefault="00FE4E64" w:rsidP="00E12E48">
            <w:pPr>
              <w:jc w:val="both"/>
              <w:rPr>
                <w:rFonts w:eastAsia="Calibri"/>
                <w:sz w:val="20"/>
                <w:lang w:val="fr-CA"/>
              </w:rPr>
            </w:pPr>
          </w:p>
          <w:p w:rsidR="00FE4E64" w:rsidRPr="00BE6616" w:rsidRDefault="00FE4E64" w:rsidP="00E12E48">
            <w:pPr>
              <w:jc w:val="both"/>
              <w:rPr>
                <w:rFonts w:eastAsia="Calibri"/>
                <w:sz w:val="20"/>
                <w:lang w:val="fr-CA"/>
              </w:rPr>
            </w:pPr>
          </w:p>
        </w:tc>
      </w:tr>
      <w:tr w:rsidR="00FE4E64" w:rsidRPr="00BE6616" w:rsidTr="00E12E48">
        <w:tc>
          <w:tcPr>
            <w:tcW w:w="2427" w:type="pct"/>
          </w:tcPr>
          <w:p w:rsidR="00FE4E64" w:rsidRPr="00BE6616" w:rsidRDefault="00FE4E64" w:rsidP="00E12E48">
            <w:pPr>
              <w:jc w:val="both"/>
              <w:rPr>
                <w:rFonts w:eastAsia="Calibri"/>
                <w:sz w:val="20"/>
                <w:lang w:val="fr-CA"/>
              </w:rPr>
            </w:pPr>
            <w:r w:rsidRPr="00BE6616">
              <w:rPr>
                <w:rFonts w:eastAsia="Calibri"/>
                <w:sz w:val="20"/>
                <w:lang w:val="fr-CA"/>
              </w:rPr>
              <w:t>23 février 2011</w:t>
            </w:r>
          </w:p>
          <w:p w:rsidR="00FE4E64" w:rsidRPr="00BE6616" w:rsidRDefault="00FE4E64" w:rsidP="00E12E48">
            <w:pPr>
              <w:jc w:val="both"/>
              <w:rPr>
                <w:rFonts w:eastAsia="Calibri"/>
                <w:sz w:val="20"/>
                <w:lang w:val="fr-CA"/>
              </w:rPr>
            </w:pPr>
            <w:r w:rsidRPr="00BE6616">
              <w:rPr>
                <w:rFonts w:eastAsia="Calibri"/>
                <w:sz w:val="20"/>
                <w:lang w:val="fr-CA"/>
              </w:rPr>
              <w:t>Cour d’appel de l’Ontario</w:t>
            </w:r>
          </w:p>
          <w:p w:rsidR="00FE4E64" w:rsidRPr="00BE6616" w:rsidRDefault="00FE4E64" w:rsidP="00E12E48">
            <w:pPr>
              <w:jc w:val="both"/>
              <w:rPr>
                <w:rFonts w:eastAsia="Calibri"/>
                <w:sz w:val="20"/>
                <w:lang w:val="fr-CA"/>
              </w:rPr>
            </w:pPr>
            <w:r w:rsidRPr="00BE6616">
              <w:rPr>
                <w:rFonts w:eastAsia="Calibri"/>
                <w:sz w:val="20"/>
                <w:lang w:val="fr-CA"/>
              </w:rPr>
              <w:t>(Juges Laskin, MacPherson et LaForme)</w:t>
            </w:r>
          </w:p>
          <w:p w:rsidR="00FE4E64" w:rsidRPr="00BE6616" w:rsidRDefault="00FE4E64" w:rsidP="00E12E48">
            <w:pPr>
              <w:jc w:val="both"/>
              <w:rPr>
                <w:rFonts w:eastAsia="Calibri"/>
                <w:sz w:val="20"/>
                <w:lang w:val="fr-CA"/>
              </w:rPr>
            </w:pPr>
            <w:r w:rsidRPr="00BE6616">
              <w:rPr>
                <w:rFonts w:eastAsia="Calibri"/>
                <w:sz w:val="20"/>
                <w:lang w:val="fr-CA"/>
              </w:rPr>
              <w:t>2011 ONCA 162</w:t>
            </w:r>
          </w:p>
          <w:p w:rsidR="00FE4E64" w:rsidRPr="00BE6616" w:rsidRDefault="00FE4E64" w:rsidP="00E12E48">
            <w:pPr>
              <w:jc w:val="both"/>
              <w:rPr>
                <w:rFonts w:eastAsia="Calibri"/>
                <w:sz w:val="20"/>
                <w:lang w:val="fr-CA"/>
              </w:rPr>
            </w:pPr>
          </w:p>
        </w:tc>
        <w:tc>
          <w:tcPr>
            <w:tcW w:w="243" w:type="pct"/>
          </w:tcPr>
          <w:p w:rsidR="00FE4E64" w:rsidRPr="00BE6616" w:rsidRDefault="00FE4E64" w:rsidP="00E12E48">
            <w:pPr>
              <w:jc w:val="both"/>
              <w:rPr>
                <w:rFonts w:eastAsia="Calibri"/>
                <w:sz w:val="20"/>
                <w:lang w:val="fr-CA"/>
              </w:rPr>
            </w:pPr>
          </w:p>
        </w:tc>
        <w:tc>
          <w:tcPr>
            <w:tcW w:w="2330" w:type="pct"/>
          </w:tcPr>
          <w:p w:rsidR="00FE4E64" w:rsidRPr="00BE6616" w:rsidRDefault="00FE4E64" w:rsidP="00E12E48">
            <w:pPr>
              <w:jc w:val="both"/>
              <w:rPr>
                <w:rFonts w:eastAsia="Calibri"/>
                <w:sz w:val="20"/>
                <w:lang w:val="fr-CA"/>
              </w:rPr>
            </w:pPr>
            <w:r w:rsidRPr="00BE6616">
              <w:rPr>
                <w:rFonts w:eastAsia="Calibri"/>
                <w:sz w:val="20"/>
                <w:lang w:val="fr-CA"/>
              </w:rPr>
              <w:t>Appel rejeté</w:t>
            </w:r>
          </w:p>
        </w:tc>
      </w:tr>
      <w:tr w:rsidR="00FE4E64" w:rsidRPr="00BE6616" w:rsidTr="00E12E48">
        <w:tc>
          <w:tcPr>
            <w:tcW w:w="2427" w:type="pct"/>
          </w:tcPr>
          <w:p w:rsidR="00FE4E64" w:rsidRPr="00BE6616" w:rsidRDefault="00FE4E64" w:rsidP="00E12E48">
            <w:pPr>
              <w:jc w:val="both"/>
              <w:rPr>
                <w:rFonts w:eastAsia="Calibri"/>
                <w:sz w:val="20"/>
                <w:lang w:val="fr-CA"/>
              </w:rPr>
            </w:pPr>
            <w:r w:rsidRPr="00BE6616">
              <w:rPr>
                <w:rFonts w:eastAsia="Calibri"/>
                <w:sz w:val="20"/>
                <w:lang w:val="fr-CA"/>
              </w:rPr>
              <w:t>21 avril 2011</w:t>
            </w:r>
          </w:p>
          <w:p w:rsidR="00FE4E64" w:rsidRPr="00BE6616" w:rsidRDefault="00FE4E64" w:rsidP="00E12E48">
            <w:pPr>
              <w:jc w:val="both"/>
              <w:rPr>
                <w:rFonts w:eastAsia="Calibri"/>
                <w:sz w:val="20"/>
                <w:lang w:val="fr-CA"/>
              </w:rPr>
            </w:pPr>
            <w:r w:rsidRPr="00BE6616">
              <w:rPr>
                <w:rFonts w:eastAsia="Calibri"/>
                <w:sz w:val="20"/>
                <w:lang w:val="fr-CA"/>
              </w:rPr>
              <w:t>Cour suprême du Canada</w:t>
            </w:r>
          </w:p>
        </w:tc>
        <w:tc>
          <w:tcPr>
            <w:tcW w:w="243" w:type="pct"/>
          </w:tcPr>
          <w:p w:rsidR="00FE4E64" w:rsidRPr="00BE6616" w:rsidRDefault="00FE4E64" w:rsidP="00E12E48">
            <w:pPr>
              <w:jc w:val="both"/>
              <w:rPr>
                <w:rFonts w:eastAsia="Calibri"/>
                <w:sz w:val="20"/>
                <w:lang w:val="fr-CA"/>
              </w:rPr>
            </w:pPr>
          </w:p>
        </w:tc>
        <w:tc>
          <w:tcPr>
            <w:tcW w:w="2330" w:type="pct"/>
          </w:tcPr>
          <w:p w:rsidR="00FE4E64" w:rsidRPr="00BE6616" w:rsidRDefault="00FE4E64" w:rsidP="00E12E48">
            <w:pPr>
              <w:jc w:val="both"/>
              <w:rPr>
                <w:rFonts w:eastAsia="Calibri"/>
                <w:sz w:val="20"/>
                <w:lang w:val="fr-CA"/>
              </w:rPr>
            </w:pPr>
            <w:r w:rsidRPr="00BE6616">
              <w:rPr>
                <w:rFonts w:eastAsia="Calibri"/>
                <w:sz w:val="20"/>
                <w:lang w:val="fr-CA"/>
              </w:rPr>
              <w:t>Demande d’autorisation d’appel, déposée</w:t>
            </w:r>
          </w:p>
          <w:p w:rsidR="00FE4E64" w:rsidRPr="00BE6616" w:rsidRDefault="00FE4E64" w:rsidP="00E12E4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54" style="width:2in;height:1pt" o:hrpct="0" o:hralign="center" o:hrstd="t" o:hrnoshade="t" o:hr="t" fillcolor="black [3213]" stroked="f"/>
        </w:pict>
      </w:r>
    </w:p>
    <w:p w:rsidR="007B50F9" w:rsidRDefault="007B50F9" w:rsidP="007B50F9">
      <w:pPr>
        <w:rPr>
          <w:sz w:val="20"/>
          <w:szCs w:val="20"/>
        </w:rPr>
      </w:pPr>
    </w:p>
    <w:p w:rsidR="00A93F58" w:rsidRDefault="00A93F58">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93F58" w:rsidRPr="009D5E94" w:rsidTr="002E3508">
        <w:trPr>
          <w:cantSplit/>
        </w:trPr>
        <w:tc>
          <w:tcPr>
            <w:tcW w:w="1458" w:type="dxa"/>
          </w:tcPr>
          <w:p w:rsidR="00A93F58" w:rsidRPr="009D5E94" w:rsidRDefault="00A93F58" w:rsidP="002E3508">
            <w:pPr>
              <w:rPr>
                <w:sz w:val="20"/>
                <w:szCs w:val="20"/>
              </w:rPr>
            </w:pPr>
            <w:r w:rsidRPr="009D5E94">
              <w:rPr>
                <w:rStyle w:val="SCCFileNumberChar"/>
                <w:sz w:val="20"/>
                <w:szCs w:val="20"/>
              </w:rPr>
              <w:lastRenderedPageBreak/>
              <w:t>34223</w:t>
            </w:r>
          </w:p>
          <w:p w:rsidR="00A93F58" w:rsidRPr="009D5E94" w:rsidRDefault="00A93F58" w:rsidP="002E3508">
            <w:pPr>
              <w:rPr>
                <w:b/>
                <w:sz w:val="20"/>
                <w:szCs w:val="20"/>
                <w:lang w:val="fr-CA"/>
              </w:rPr>
            </w:pPr>
          </w:p>
        </w:tc>
        <w:tc>
          <w:tcPr>
            <w:tcW w:w="8118" w:type="dxa"/>
          </w:tcPr>
          <w:p w:rsidR="00A93F58" w:rsidRPr="009D5E94" w:rsidRDefault="00A93F58" w:rsidP="002E3508">
            <w:pPr>
              <w:jc w:val="both"/>
              <w:rPr>
                <w:sz w:val="20"/>
                <w:szCs w:val="20"/>
              </w:rPr>
            </w:pPr>
            <w:r w:rsidRPr="00A93F58">
              <w:rPr>
                <w:rStyle w:val="SCCLsocChar"/>
                <w:sz w:val="20"/>
                <w:szCs w:val="20"/>
                <w:lang w:val="en-CA"/>
              </w:rPr>
              <w:t>Ernest Cardinal</w:t>
            </w:r>
            <w:r w:rsidR="00675804">
              <w:rPr>
                <w:rStyle w:val="SCCLsocChar"/>
                <w:sz w:val="20"/>
                <w:szCs w:val="20"/>
                <w:lang w:val="en-CA"/>
              </w:rPr>
              <w:t xml:space="preserve"> and</w:t>
            </w:r>
            <w:r w:rsidRPr="00A93F58">
              <w:rPr>
                <w:rStyle w:val="SCCLsocChar"/>
                <w:sz w:val="20"/>
                <w:szCs w:val="20"/>
                <w:lang w:val="en-CA"/>
              </w:rPr>
              <w:t xml:space="preserve"> William James Cardinal v. Her Majesty the Queen</w:t>
            </w:r>
            <w:r w:rsidRPr="009D5E94">
              <w:rPr>
                <w:sz w:val="20"/>
                <w:szCs w:val="20"/>
              </w:rPr>
              <w:t xml:space="preserve"> (Alta.) (Civil) (By Leave)</w:t>
            </w:r>
          </w:p>
          <w:p w:rsidR="00A93F58" w:rsidRPr="009D5E94" w:rsidRDefault="00A93F58" w:rsidP="002E3508">
            <w:pPr>
              <w:rPr>
                <w:sz w:val="20"/>
                <w:szCs w:val="20"/>
              </w:rPr>
            </w:pPr>
          </w:p>
        </w:tc>
      </w:tr>
      <w:tr w:rsidR="00A93F58" w:rsidRPr="009D5E94" w:rsidTr="002E3508">
        <w:trPr>
          <w:cantSplit/>
        </w:trPr>
        <w:tc>
          <w:tcPr>
            <w:tcW w:w="1458" w:type="dxa"/>
          </w:tcPr>
          <w:p w:rsidR="00A93F58" w:rsidRPr="009D5E94" w:rsidRDefault="00A93F58" w:rsidP="002E3508">
            <w:pPr>
              <w:rPr>
                <w:sz w:val="20"/>
                <w:szCs w:val="20"/>
              </w:rPr>
            </w:pPr>
            <w:r w:rsidRPr="009D5E94">
              <w:rPr>
                <w:sz w:val="20"/>
                <w:szCs w:val="20"/>
              </w:rPr>
              <w:t>Coram :</w:t>
            </w:r>
          </w:p>
        </w:tc>
        <w:tc>
          <w:tcPr>
            <w:tcW w:w="8118" w:type="dxa"/>
          </w:tcPr>
          <w:p w:rsidR="00A93F58" w:rsidRPr="009D5E94" w:rsidRDefault="00A93F58" w:rsidP="002E3508">
            <w:pPr>
              <w:rPr>
                <w:sz w:val="20"/>
                <w:szCs w:val="20"/>
              </w:rPr>
            </w:pPr>
            <w:r w:rsidRPr="009D5E94">
              <w:rPr>
                <w:rStyle w:val="SCCCoramChar"/>
                <w:sz w:val="20"/>
                <w:szCs w:val="20"/>
              </w:rPr>
              <w:t>McLachlin C.J. and Deschamps and Rothstein JJ.</w:t>
            </w:r>
          </w:p>
          <w:p w:rsidR="00A93F58" w:rsidRPr="009D5E94" w:rsidRDefault="00A93F58" w:rsidP="002E3508">
            <w:pPr>
              <w:rPr>
                <w:sz w:val="20"/>
                <w:szCs w:val="20"/>
                <w:u w:val="single"/>
              </w:rPr>
            </w:pPr>
          </w:p>
        </w:tc>
      </w:tr>
      <w:tr w:rsidR="00A93F58" w:rsidRPr="00682661" w:rsidTr="002E3508">
        <w:trPr>
          <w:cantSplit/>
        </w:trPr>
        <w:tc>
          <w:tcPr>
            <w:tcW w:w="9576" w:type="dxa"/>
            <w:gridSpan w:val="2"/>
          </w:tcPr>
          <w:p w:rsidR="00A93F58" w:rsidRPr="009D5E94" w:rsidRDefault="00A93F58" w:rsidP="002E3508">
            <w:pPr>
              <w:pStyle w:val="SCCShortJudgment"/>
              <w:rPr>
                <w:szCs w:val="20"/>
              </w:rPr>
            </w:pPr>
            <w:r w:rsidRPr="009D5E94">
              <w:rPr>
                <w:szCs w:val="20"/>
              </w:rPr>
              <w:t>The application for leave to appeal from the judgment of the Court of Appeal of Alberta (Edmonton), Numbers 1003-0328-A and 1003-0329-A, 2011 ABCA 72, dated March 1, 2011, is dismissed without costs.</w:t>
            </w:r>
          </w:p>
          <w:p w:rsidR="00A93F58" w:rsidRPr="009D5E94" w:rsidRDefault="00A93F58" w:rsidP="002E3508">
            <w:pPr>
              <w:pStyle w:val="SCCShortJudgment"/>
              <w:ind w:firstLine="0"/>
              <w:rPr>
                <w:szCs w:val="20"/>
              </w:rPr>
            </w:pPr>
          </w:p>
          <w:p w:rsidR="00A93F58" w:rsidRPr="009D5E94" w:rsidRDefault="00A93F58" w:rsidP="002E3508">
            <w:pPr>
              <w:pStyle w:val="SCCShortJudgment"/>
              <w:rPr>
                <w:szCs w:val="20"/>
                <w:lang w:val="fr-CA"/>
              </w:rPr>
            </w:pPr>
            <w:r w:rsidRPr="009D5E94">
              <w:rPr>
                <w:szCs w:val="20"/>
                <w:lang w:val="fr-CA"/>
              </w:rPr>
              <w:t>La demande d’autorisation d’appel de l’arrêt de la Cour d'appel de l’Alberta (Edmonton), numéros 1003-0328-A et 1003-0329-A, 2011 ABCA 72, daté du 1</w:t>
            </w:r>
            <w:r w:rsidRPr="00675804">
              <w:rPr>
                <w:szCs w:val="20"/>
                <w:vertAlign w:val="superscript"/>
                <w:lang w:val="fr-CA"/>
              </w:rPr>
              <w:t>er</w:t>
            </w:r>
            <w:r w:rsidRPr="009D5E94">
              <w:rPr>
                <w:szCs w:val="20"/>
                <w:lang w:val="fr-CA"/>
              </w:rPr>
              <w:t xml:space="preserve">  mars 2011, est rejetée sans dépens.</w:t>
            </w:r>
          </w:p>
        </w:tc>
      </w:tr>
    </w:tbl>
    <w:p w:rsidR="007B50F9" w:rsidRPr="00A93F58" w:rsidRDefault="007B50F9" w:rsidP="007B50F9">
      <w:pPr>
        <w:rPr>
          <w:sz w:val="20"/>
          <w:szCs w:val="20"/>
          <w:lang w:val="fr-CA"/>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E4E64" w:rsidRPr="00BE6616" w:rsidTr="00E12E48">
        <w:tc>
          <w:tcPr>
            <w:tcW w:w="5000" w:type="pct"/>
            <w:gridSpan w:val="3"/>
          </w:tcPr>
          <w:p w:rsidR="00FE4E64" w:rsidRPr="00BE6616" w:rsidRDefault="00FE4E64" w:rsidP="00E12E48">
            <w:pPr>
              <w:jc w:val="both"/>
              <w:rPr>
                <w:rFonts w:eastAsia="Calibri"/>
                <w:sz w:val="20"/>
              </w:rPr>
            </w:pPr>
            <w:r w:rsidRPr="00BE6616">
              <w:rPr>
                <w:rFonts w:eastAsia="Calibri"/>
                <w:sz w:val="20"/>
              </w:rPr>
              <w:t xml:space="preserve">Aboriginal Law — Constitutional law — </w:t>
            </w:r>
            <w:r w:rsidRPr="00BE6616">
              <w:rPr>
                <w:rFonts w:eastAsia="Calibri"/>
                <w:i/>
                <w:sz w:val="20"/>
              </w:rPr>
              <w:t>Constitution Act, 1982</w:t>
            </w:r>
            <w:r w:rsidRPr="00BE6616">
              <w:rPr>
                <w:rFonts w:eastAsia="Calibri"/>
                <w:sz w:val="20"/>
              </w:rPr>
              <w:t xml:space="preserve">, s. 35 — Aboriginal rights — Indian Band — Fishing — </w:t>
            </w:r>
            <w:r w:rsidRPr="00BE6616">
              <w:rPr>
                <w:rFonts w:eastAsia="Calibri"/>
                <w:i/>
                <w:sz w:val="20"/>
              </w:rPr>
              <w:t>Alberta Natural Resources Transfer Agreement</w:t>
            </w:r>
            <w:r w:rsidRPr="00BE6616">
              <w:rPr>
                <w:rFonts w:eastAsia="Calibri"/>
                <w:sz w:val="20"/>
              </w:rPr>
              <w:t xml:space="preserve">, </w:t>
            </w:r>
            <w:r w:rsidRPr="00BE6616">
              <w:rPr>
                <w:rFonts w:eastAsia="Calibri"/>
                <w:i/>
                <w:sz w:val="20"/>
              </w:rPr>
              <w:t>1930</w:t>
            </w:r>
            <w:r w:rsidRPr="00BE6616">
              <w:rPr>
                <w:rFonts w:eastAsia="Calibri"/>
                <w:sz w:val="20"/>
              </w:rPr>
              <w:t xml:space="preserve"> (</w:t>
            </w:r>
            <w:r w:rsidRPr="00BE6616">
              <w:rPr>
                <w:rFonts w:eastAsia="Calibri"/>
                <w:i/>
                <w:sz w:val="20"/>
              </w:rPr>
              <w:t>NRTA</w:t>
            </w:r>
            <w:r w:rsidRPr="00BE6616">
              <w:rPr>
                <w:rFonts w:eastAsia="Calibri"/>
                <w:sz w:val="20"/>
              </w:rPr>
              <w:t xml:space="preserve">) — </w:t>
            </w:r>
            <w:r w:rsidRPr="00BE6616">
              <w:rPr>
                <w:rFonts w:eastAsia="Calibri"/>
                <w:i/>
                <w:sz w:val="20"/>
              </w:rPr>
              <w:t>Indian Act</w:t>
            </w:r>
            <w:r w:rsidRPr="00BE6616">
              <w:rPr>
                <w:rFonts w:eastAsia="Calibri"/>
                <w:sz w:val="20"/>
              </w:rPr>
              <w:t>, R.S.C. 1985, c. I</w:t>
            </w:r>
            <w:r w:rsidRPr="00BE6616">
              <w:rPr>
                <w:rFonts w:eastAsia="Calibri"/>
                <w:sz w:val="20"/>
              </w:rPr>
              <w:noBreakHyphen/>
              <w:t xml:space="preserve">5 — </w:t>
            </w:r>
            <w:r w:rsidRPr="00BE6616">
              <w:rPr>
                <w:rFonts w:eastAsia="Calibri"/>
                <w:i/>
                <w:sz w:val="20"/>
              </w:rPr>
              <w:t>Fisheries (Alberta) Act</w:t>
            </w:r>
            <w:r w:rsidRPr="00BE6616">
              <w:rPr>
                <w:rFonts w:eastAsia="Calibri"/>
                <w:sz w:val="20"/>
              </w:rPr>
              <w:t>, R.S.A. 2000, c. F</w:t>
            </w:r>
            <w:r w:rsidRPr="00BE6616">
              <w:rPr>
                <w:rFonts w:eastAsia="Calibri"/>
                <w:sz w:val="20"/>
              </w:rPr>
              <w:noBreakHyphen/>
              <w:t>1 — General</w:t>
            </w:r>
            <w:r w:rsidRPr="00BE6616">
              <w:rPr>
                <w:rFonts w:eastAsia="Calibri"/>
                <w:i/>
                <w:sz w:val="20"/>
              </w:rPr>
              <w:t xml:space="preserve"> Fisheries (Alberta) Regulation</w:t>
            </w:r>
            <w:r w:rsidRPr="00BE6616">
              <w:rPr>
                <w:rFonts w:eastAsia="Calibri"/>
                <w:sz w:val="20"/>
              </w:rPr>
              <w:t xml:space="preserve">, A.R. 203/97, as am. A.R. 204_2005 — Whether s. 12 of the </w:t>
            </w:r>
            <w:r w:rsidRPr="00BE6616">
              <w:rPr>
                <w:rFonts w:eastAsia="Calibri"/>
                <w:i/>
                <w:sz w:val="20"/>
              </w:rPr>
              <w:t xml:space="preserve">NRTA </w:t>
            </w:r>
            <w:r w:rsidRPr="00BE6616">
              <w:rPr>
                <w:rFonts w:eastAsia="Calibri"/>
                <w:sz w:val="20"/>
              </w:rPr>
              <w:t xml:space="preserve">extinguishes fishing rights on Reserve, or are those fishing rights recognized by article 10 of the </w:t>
            </w:r>
            <w:r w:rsidRPr="00BE6616">
              <w:rPr>
                <w:rFonts w:eastAsia="Calibri"/>
                <w:i/>
                <w:sz w:val="20"/>
              </w:rPr>
              <w:t>NRTA</w:t>
            </w:r>
            <w:r w:rsidRPr="00BE6616">
              <w:rPr>
                <w:rFonts w:eastAsia="Calibri"/>
                <w:sz w:val="20"/>
              </w:rPr>
              <w:t xml:space="preserve"> such that they remain </w:t>
            </w:r>
            <w:r w:rsidRPr="00BE6616">
              <w:rPr>
                <w:rFonts w:eastAsia="Calibri"/>
                <w:i/>
                <w:sz w:val="20"/>
              </w:rPr>
              <w:t xml:space="preserve">Treaty </w:t>
            </w:r>
            <w:r w:rsidRPr="00BE6616">
              <w:rPr>
                <w:rFonts w:eastAsia="Calibri"/>
                <w:sz w:val="20"/>
              </w:rPr>
              <w:t xml:space="preserve">rights that are subsequently recognized and affirmed by section 35 of the </w:t>
            </w:r>
            <w:r w:rsidRPr="00BE6616">
              <w:rPr>
                <w:rFonts w:eastAsia="Calibri"/>
                <w:i/>
                <w:sz w:val="20"/>
              </w:rPr>
              <w:t>Constitution Act, 1982</w:t>
            </w:r>
            <w:r w:rsidRPr="00BE6616">
              <w:rPr>
                <w:rFonts w:eastAsia="Calibri"/>
                <w:sz w:val="20"/>
              </w:rPr>
              <w:t>?</w:t>
            </w:r>
          </w:p>
        </w:tc>
      </w:tr>
      <w:tr w:rsidR="00FE4E64" w:rsidRPr="00BE6616" w:rsidTr="00E12E48">
        <w:tc>
          <w:tcPr>
            <w:tcW w:w="5000" w:type="pct"/>
            <w:gridSpan w:val="3"/>
          </w:tcPr>
          <w:p w:rsidR="00FE4E64" w:rsidRPr="00BE6616" w:rsidRDefault="00FE4E64" w:rsidP="00E12E48">
            <w:pPr>
              <w:jc w:val="both"/>
              <w:rPr>
                <w:rFonts w:eastAsia="Calibri"/>
                <w:sz w:val="20"/>
              </w:rPr>
            </w:pPr>
          </w:p>
        </w:tc>
      </w:tr>
      <w:tr w:rsidR="00FE4E64" w:rsidRPr="00BE6616" w:rsidTr="00E12E48">
        <w:tc>
          <w:tcPr>
            <w:tcW w:w="5000" w:type="pct"/>
            <w:gridSpan w:val="3"/>
          </w:tcPr>
          <w:p w:rsidR="00FE4E64" w:rsidRPr="00BE6616" w:rsidRDefault="00FE4E64" w:rsidP="00E12E48">
            <w:pPr>
              <w:jc w:val="both"/>
              <w:rPr>
                <w:rFonts w:eastAsia="Calibri"/>
                <w:sz w:val="20"/>
              </w:rPr>
            </w:pPr>
            <w:r w:rsidRPr="00BE6616">
              <w:rPr>
                <w:rFonts w:eastAsia="Calibri"/>
                <w:sz w:val="20"/>
              </w:rPr>
              <w:t xml:space="preserve">The applicants, Ernest Cardinal and William James Cardinal, are registered Indians and members of the Beaver Lake Cree Nation, a signatory Nation to Treaty No. 6.  They sold fish over a period of almost two years in 2006 and 2007 without a commercial fishing licence to an undercover operative for Alberta Fish and Wildlife on the Beaver Lake Indian reserve.  May 10, 2007 is the date of the last sale.  They were convicted of offences under the </w:t>
            </w:r>
            <w:r w:rsidRPr="00BE6616">
              <w:rPr>
                <w:rFonts w:eastAsia="Calibri"/>
                <w:i/>
                <w:iCs/>
                <w:sz w:val="20"/>
              </w:rPr>
              <w:t>General Fisheries (Alberta) Regulation</w:t>
            </w:r>
            <w:r w:rsidRPr="00BE6616">
              <w:rPr>
                <w:rFonts w:eastAsia="Calibri"/>
                <w:sz w:val="20"/>
              </w:rPr>
              <w:t>, Alta. Reg. 203/1997, s. 9(4)(a).  They admitted the impugned acts.</w:t>
            </w:r>
          </w:p>
          <w:p w:rsidR="00FE4E64" w:rsidRPr="00BE6616" w:rsidRDefault="00FE4E64" w:rsidP="00E12E48">
            <w:pPr>
              <w:jc w:val="both"/>
              <w:rPr>
                <w:rFonts w:eastAsia="Calibri"/>
                <w:sz w:val="20"/>
              </w:rPr>
            </w:pPr>
          </w:p>
        </w:tc>
      </w:tr>
      <w:tr w:rsidR="00FE4E64" w:rsidRPr="00BE6616" w:rsidTr="00E12E48">
        <w:tc>
          <w:tcPr>
            <w:tcW w:w="2427" w:type="pct"/>
          </w:tcPr>
          <w:p w:rsidR="00FE4E64" w:rsidRPr="00BE6616" w:rsidRDefault="00FE4E64" w:rsidP="00E12E48">
            <w:pPr>
              <w:jc w:val="both"/>
              <w:rPr>
                <w:rFonts w:eastAsia="Calibri"/>
                <w:sz w:val="20"/>
              </w:rPr>
            </w:pPr>
            <w:r w:rsidRPr="00BE6616">
              <w:rPr>
                <w:rFonts w:eastAsia="Calibri"/>
                <w:sz w:val="20"/>
              </w:rPr>
              <w:t>October 5, 2009</w:t>
            </w:r>
          </w:p>
          <w:p w:rsidR="00FE4E64" w:rsidRPr="00BE6616" w:rsidRDefault="00FE4E64" w:rsidP="00E12E48">
            <w:pPr>
              <w:jc w:val="both"/>
              <w:rPr>
                <w:rFonts w:eastAsia="Calibri"/>
                <w:sz w:val="20"/>
              </w:rPr>
            </w:pPr>
            <w:r w:rsidRPr="00BE6616">
              <w:rPr>
                <w:rFonts w:eastAsia="Calibri"/>
                <w:sz w:val="20"/>
              </w:rPr>
              <w:t>Provincial Court of Alberta</w:t>
            </w:r>
          </w:p>
          <w:p w:rsidR="00FE4E64" w:rsidRPr="00BE6616" w:rsidRDefault="00FE4E64" w:rsidP="00E12E48">
            <w:pPr>
              <w:jc w:val="both"/>
              <w:rPr>
                <w:rFonts w:eastAsia="Calibri"/>
                <w:sz w:val="20"/>
              </w:rPr>
            </w:pPr>
            <w:r w:rsidRPr="00BE6616">
              <w:rPr>
                <w:rFonts w:eastAsia="Calibri"/>
                <w:sz w:val="20"/>
              </w:rPr>
              <w:t>(Ayotte J.)</w:t>
            </w:r>
          </w:p>
          <w:p w:rsidR="00FE4E64" w:rsidRPr="00BE6616" w:rsidRDefault="00FE4E64" w:rsidP="00E12E48">
            <w:pPr>
              <w:jc w:val="both"/>
              <w:rPr>
                <w:rFonts w:eastAsia="Calibri"/>
                <w:sz w:val="20"/>
              </w:rPr>
            </w:pPr>
          </w:p>
        </w:tc>
        <w:tc>
          <w:tcPr>
            <w:tcW w:w="243" w:type="pct"/>
          </w:tcPr>
          <w:p w:rsidR="00FE4E64" w:rsidRPr="00BE6616" w:rsidRDefault="00FE4E64" w:rsidP="00E12E48">
            <w:pPr>
              <w:jc w:val="both"/>
              <w:rPr>
                <w:rFonts w:eastAsia="Calibri"/>
                <w:sz w:val="20"/>
              </w:rPr>
            </w:pPr>
          </w:p>
        </w:tc>
        <w:tc>
          <w:tcPr>
            <w:tcW w:w="2330" w:type="pct"/>
          </w:tcPr>
          <w:p w:rsidR="00FE4E64" w:rsidRPr="00BE6616" w:rsidRDefault="00FE4E64" w:rsidP="00E12E48">
            <w:pPr>
              <w:jc w:val="both"/>
              <w:rPr>
                <w:rFonts w:eastAsia="Calibri"/>
                <w:sz w:val="20"/>
              </w:rPr>
            </w:pPr>
            <w:r w:rsidRPr="00BE6616">
              <w:rPr>
                <w:rFonts w:eastAsia="Calibri"/>
                <w:sz w:val="20"/>
              </w:rPr>
              <w:t>Applicants found guilty of knowingly selling fish without a licence</w:t>
            </w:r>
          </w:p>
          <w:p w:rsidR="00FE4E64" w:rsidRPr="00BE6616" w:rsidRDefault="00FE4E64" w:rsidP="00E12E48">
            <w:pPr>
              <w:jc w:val="both"/>
              <w:rPr>
                <w:rFonts w:eastAsia="Calibri"/>
                <w:sz w:val="20"/>
              </w:rPr>
            </w:pPr>
          </w:p>
        </w:tc>
      </w:tr>
      <w:tr w:rsidR="00FE4E64" w:rsidRPr="00BE6616" w:rsidTr="00E12E48">
        <w:tc>
          <w:tcPr>
            <w:tcW w:w="2427" w:type="pct"/>
          </w:tcPr>
          <w:p w:rsidR="00FE4E64" w:rsidRPr="00BE6616" w:rsidRDefault="00FE4E64" w:rsidP="00E12E48">
            <w:pPr>
              <w:jc w:val="both"/>
              <w:rPr>
                <w:rFonts w:eastAsia="Calibri"/>
                <w:sz w:val="20"/>
              </w:rPr>
            </w:pPr>
            <w:r w:rsidRPr="00BE6616">
              <w:rPr>
                <w:rFonts w:eastAsia="Calibri"/>
                <w:sz w:val="20"/>
              </w:rPr>
              <w:t>October 27, 2010</w:t>
            </w:r>
          </w:p>
          <w:p w:rsidR="00FE4E64" w:rsidRPr="00BE6616" w:rsidRDefault="00FE4E64" w:rsidP="00E12E48">
            <w:pPr>
              <w:jc w:val="both"/>
              <w:rPr>
                <w:rFonts w:eastAsia="Calibri"/>
                <w:sz w:val="20"/>
              </w:rPr>
            </w:pPr>
            <w:r w:rsidRPr="00BE6616">
              <w:rPr>
                <w:rFonts w:eastAsia="Calibri"/>
                <w:sz w:val="20"/>
              </w:rPr>
              <w:t>Court of Queen’s Bench of Alberta</w:t>
            </w:r>
          </w:p>
          <w:p w:rsidR="00FE4E64" w:rsidRPr="00BE6616" w:rsidRDefault="00FE4E64" w:rsidP="00E12E48">
            <w:pPr>
              <w:jc w:val="both"/>
              <w:rPr>
                <w:rFonts w:eastAsia="Calibri"/>
                <w:sz w:val="20"/>
              </w:rPr>
            </w:pPr>
            <w:r w:rsidRPr="00BE6616">
              <w:rPr>
                <w:rFonts w:eastAsia="Calibri"/>
                <w:sz w:val="20"/>
              </w:rPr>
              <w:t>(Browne J.)</w:t>
            </w:r>
          </w:p>
          <w:p w:rsidR="00FE4E64" w:rsidRPr="00BE6616" w:rsidRDefault="00FE4E64" w:rsidP="00E12E48">
            <w:pPr>
              <w:jc w:val="both"/>
              <w:rPr>
                <w:rFonts w:eastAsia="Calibri"/>
                <w:sz w:val="20"/>
              </w:rPr>
            </w:pPr>
          </w:p>
        </w:tc>
        <w:tc>
          <w:tcPr>
            <w:tcW w:w="243" w:type="pct"/>
          </w:tcPr>
          <w:p w:rsidR="00FE4E64" w:rsidRPr="00BE6616" w:rsidRDefault="00FE4E64" w:rsidP="00E12E48">
            <w:pPr>
              <w:jc w:val="both"/>
              <w:rPr>
                <w:rFonts w:eastAsia="Calibri"/>
                <w:sz w:val="20"/>
              </w:rPr>
            </w:pPr>
          </w:p>
        </w:tc>
        <w:tc>
          <w:tcPr>
            <w:tcW w:w="2330" w:type="pct"/>
          </w:tcPr>
          <w:p w:rsidR="00FE4E64" w:rsidRPr="00BE6616" w:rsidRDefault="00FE4E64" w:rsidP="00E12E48">
            <w:pPr>
              <w:jc w:val="both"/>
              <w:rPr>
                <w:rFonts w:eastAsia="Calibri"/>
                <w:sz w:val="20"/>
              </w:rPr>
            </w:pPr>
            <w:r w:rsidRPr="00BE6616">
              <w:rPr>
                <w:rFonts w:eastAsia="Calibri"/>
                <w:sz w:val="20"/>
              </w:rPr>
              <w:t>Conviction appeals dismissed; sentence appeal by Ernest Cardinal granted</w:t>
            </w:r>
          </w:p>
          <w:p w:rsidR="00FE4E64" w:rsidRPr="00BE6616" w:rsidRDefault="00FE4E64" w:rsidP="00E12E48">
            <w:pPr>
              <w:jc w:val="both"/>
              <w:rPr>
                <w:rFonts w:eastAsia="Calibri"/>
                <w:sz w:val="20"/>
              </w:rPr>
            </w:pPr>
          </w:p>
        </w:tc>
      </w:tr>
      <w:tr w:rsidR="00FE4E64" w:rsidRPr="00BE6616" w:rsidTr="00E12E48">
        <w:tc>
          <w:tcPr>
            <w:tcW w:w="2427" w:type="pct"/>
          </w:tcPr>
          <w:p w:rsidR="00FE4E64" w:rsidRPr="00BE6616" w:rsidRDefault="00FE4E64" w:rsidP="00E12E48">
            <w:pPr>
              <w:jc w:val="both"/>
              <w:rPr>
                <w:rFonts w:eastAsia="Calibri"/>
                <w:sz w:val="20"/>
              </w:rPr>
            </w:pPr>
            <w:r w:rsidRPr="00BE6616">
              <w:rPr>
                <w:rFonts w:eastAsia="Calibri"/>
                <w:sz w:val="20"/>
              </w:rPr>
              <w:t>March 1, 2011</w:t>
            </w:r>
          </w:p>
          <w:p w:rsidR="00FE4E64" w:rsidRPr="00BE6616" w:rsidRDefault="00FE4E64" w:rsidP="00E12E48">
            <w:pPr>
              <w:jc w:val="both"/>
              <w:rPr>
                <w:rFonts w:eastAsia="Calibri"/>
                <w:sz w:val="20"/>
              </w:rPr>
            </w:pPr>
            <w:r w:rsidRPr="00BE6616">
              <w:rPr>
                <w:rFonts w:eastAsia="Calibri"/>
                <w:sz w:val="20"/>
              </w:rPr>
              <w:t>Court of Appeal of Alberta (Edmonton)</w:t>
            </w:r>
          </w:p>
          <w:p w:rsidR="00FE4E64" w:rsidRPr="00BE6616" w:rsidRDefault="00FE4E64" w:rsidP="00E12E48">
            <w:pPr>
              <w:jc w:val="both"/>
              <w:rPr>
                <w:rFonts w:eastAsia="Calibri"/>
                <w:sz w:val="20"/>
              </w:rPr>
            </w:pPr>
            <w:r w:rsidRPr="00BE6616">
              <w:rPr>
                <w:rFonts w:eastAsia="Calibri"/>
                <w:sz w:val="20"/>
              </w:rPr>
              <w:t>(Costigan J.A.)</w:t>
            </w:r>
          </w:p>
          <w:p w:rsidR="00FE4E64" w:rsidRPr="00BE6616" w:rsidRDefault="00FE4E64" w:rsidP="00E12E48">
            <w:pPr>
              <w:jc w:val="both"/>
              <w:rPr>
                <w:rFonts w:eastAsia="Calibri"/>
                <w:sz w:val="20"/>
              </w:rPr>
            </w:pPr>
          </w:p>
        </w:tc>
        <w:tc>
          <w:tcPr>
            <w:tcW w:w="243" w:type="pct"/>
          </w:tcPr>
          <w:p w:rsidR="00FE4E64" w:rsidRPr="00BE6616" w:rsidRDefault="00FE4E64" w:rsidP="00E12E48">
            <w:pPr>
              <w:jc w:val="both"/>
              <w:rPr>
                <w:rFonts w:eastAsia="Calibri"/>
                <w:sz w:val="20"/>
              </w:rPr>
            </w:pPr>
          </w:p>
        </w:tc>
        <w:tc>
          <w:tcPr>
            <w:tcW w:w="2330" w:type="pct"/>
          </w:tcPr>
          <w:p w:rsidR="00FE4E64" w:rsidRPr="00BE6616" w:rsidRDefault="00FE4E64" w:rsidP="00E12E48">
            <w:pPr>
              <w:jc w:val="both"/>
              <w:rPr>
                <w:rFonts w:eastAsia="Calibri"/>
                <w:sz w:val="20"/>
              </w:rPr>
            </w:pPr>
            <w:r w:rsidRPr="00BE6616">
              <w:rPr>
                <w:rFonts w:eastAsia="Calibri"/>
                <w:sz w:val="20"/>
              </w:rPr>
              <w:t>Applications for leave to appeal dismissed</w:t>
            </w:r>
          </w:p>
          <w:p w:rsidR="00FE4E64" w:rsidRPr="00BE6616" w:rsidRDefault="00FE4E64" w:rsidP="00E12E48">
            <w:pPr>
              <w:jc w:val="both"/>
              <w:rPr>
                <w:rFonts w:eastAsia="Calibri"/>
                <w:sz w:val="20"/>
              </w:rPr>
            </w:pPr>
          </w:p>
        </w:tc>
      </w:tr>
      <w:tr w:rsidR="00FE4E64" w:rsidRPr="00BE6616" w:rsidTr="00E12E48">
        <w:tc>
          <w:tcPr>
            <w:tcW w:w="2427" w:type="pct"/>
          </w:tcPr>
          <w:p w:rsidR="00FE4E64" w:rsidRPr="00BE6616" w:rsidRDefault="00FE4E64" w:rsidP="00E12E48">
            <w:pPr>
              <w:jc w:val="both"/>
              <w:rPr>
                <w:rFonts w:eastAsia="Calibri"/>
                <w:sz w:val="20"/>
              </w:rPr>
            </w:pPr>
            <w:r w:rsidRPr="00BE6616">
              <w:rPr>
                <w:rFonts w:eastAsia="Calibri"/>
                <w:sz w:val="20"/>
              </w:rPr>
              <w:t>April 28, 2011</w:t>
            </w:r>
          </w:p>
          <w:p w:rsidR="00FE4E64" w:rsidRPr="00BE6616" w:rsidRDefault="00FE4E64" w:rsidP="00E12E48">
            <w:pPr>
              <w:jc w:val="both"/>
              <w:rPr>
                <w:rFonts w:eastAsia="Calibri"/>
                <w:sz w:val="20"/>
              </w:rPr>
            </w:pPr>
            <w:r w:rsidRPr="00BE6616">
              <w:rPr>
                <w:rFonts w:eastAsia="Calibri"/>
                <w:sz w:val="20"/>
              </w:rPr>
              <w:t>Supreme Court of Canada</w:t>
            </w:r>
          </w:p>
        </w:tc>
        <w:tc>
          <w:tcPr>
            <w:tcW w:w="243" w:type="pct"/>
          </w:tcPr>
          <w:p w:rsidR="00FE4E64" w:rsidRPr="00BE6616" w:rsidRDefault="00FE4E64" w:rsidP="00E12E48">
            <w:pPr>
              <w:jc w:val="both"/>
              <w:rPr>
                <w:rFonts w:eastAsia="Calibri"/>
                <w:sz w:val="20"/>
              </w:rPr>
            </w:pPr>
          </w:p>
        </w:tc>
        <w:tc>
          <w:tcPr>
            <w:tcW w:w="2330" w:type="pct"/>
          </w:tcPr>
          <w:p w:rsidR="00FE4E64" w:rsidRPr="00BE6616" w:rsidRDefault="00FE4E64" w:rsidP="00E12E48">
            <w:pPr>
              <w:jc w:val="both"/>
              <w:rPr>
                <w:rFonts w:eastAsia="Calibri"/>
                <w:sz w:val="20"/>
              </w:rPr>
            </w:pPr>
            <w:r w:rsidRPr="00BE6616">
              <w:rPr>
                <w:rFonts w:eastAsia="Calibri"/>
                <w:sz w:val="20"/>
              </w:rPr>
              <w:t>Application for leave to appeal filed</w:t>
            </w:r>
          </w:p>
          <w:p w:rsidR="00FE4E64" w:rsidRPr="00BE6616" w:rsidRDefault="00FE4E64" w:rsidP="00E12E4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55"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FE4E64" w:rsidRPr="00BE6616" w:rsidTr="00E12E48">
        <w:tc>
          <w:tcPr>
            <w:tcW w:w="5000" w:type="pct"/>
            <w:gridSpan w:val="3"/>
          </w:tcPr>
          <w:p w:rsidR="00FE4E64" w:rsidRPr="00BE6616" w:rsidRDefault="00FE4E64" w:rsidP="00E12E48">
            <w:pPr>
              <w:jc w:val="both"/>
              <w:rPr>
                <w:rFonts w:eastAsia="Calibri"/>
                <w:sz w:val="20"/>
                <w:lang w:val="fr-CA"/>
              </w:rPr>
            </w:pPr>
            <w:r w:rsidRPr="00BE6616">
              <w:rPr>
                <w:rFonts w:eastAsia="Calibri"/>
                <w:sz w:val="20"/>
                <w:lang w:val="fr-CA"/>
              </w:rPr>
              <w:t>Droit des autochtones — Droit constitutionnel —</w:t>
            </w:r>
            <w:r w:rsidRPr="00BE6616">
              <w:rPr>
                <w:rFonts w:eastAsia="Calibri"/>
                <w:i/>
                <w:sz w:val="20"/>
                <w:lang w:val="fr-CA"/>
              </w:rPr>
              <w:t xml:space="preserve"> Loi constitutionnelle de 1982</w:t>
            </w:r>
            <w:r w:rsidRPr="00BE6616">
              <w:rPr>
                <w:rFonts w:eastAsia="Calibri"/>
                <w:sz w:val="20"/>
                <w:lang w:val="fr-CA"/>
              </w:rPr>
              <w:t xml:space="preserve">, art. 35 — Droits ancestraux — Bande indienne — Pêche — </w:t>
            </w:r>
            <w:r w:rsidRPr="00BE6616">
              <w:rPr>
                <w:rFonts w:eastAsia="Calibri"/>
                <w:i/>
                <w:sz w:val="20"/>
                <w:lang w:val="fr-CA"/>
              </w:rPr>
              <w:t>Alberta Natural Resources Transfer Agreement</w:t>
            </w:r>
            <w:r w:rsidRPr="00BE6616">
              <w:rPr>
                <w:rFonts w:eastAsia="Calibri"/>
                <w:sz w:val="20"/>
                <w:lang w:val="fr-CA"/>
              </w:rPr>
              <w:t xml:space="preserve">, </w:t>
            </w:r>
            <w:r w:rsidRPr="00BE6616">
              <w:rPr>
                <w:rFonts w:eastAsia="Calibri"/>
                <w:i/>
                <w:sz w:val="20"/>
                <w:lang w:val="fr-CA"/>
              </w:rPr>
              <w:t>1930</w:t>
            </w:r>
            <w:r w:rsidRPr="00BE6616">
              <w:rPr>
                <w:rFonts w:eastAsia="Calibri"/>
                <w:sz w:val="20"/>
                <w:lang w:val="fr-CA"/>
              </w:rPr>
              <w:t xml:space="preserve"> (</w:t>
            </w:r>
            <w:r w:rsidRPr="00BE6616">
              <w:rPr>
                <w:rFonts w:eastAsia="Calibri"/>
                <w:i/>
                <w:sz w:val="20"/>
                <w:lang w:val="fr-CA"/>
              </w:rPr>
              <w:t>NRTA</w:t>
            </w:r>
            <w:r w:rsidRPr="00BE6616">
              <w:rPr>
                <w:rFonts w:eastAsia="Calibri"/>
                <w:sz w:val="20"/>
                <w:lang w:val="fr-CA"/>
              </w:rPr>
              <w:t>) —</w:t>
            </w:r>
            <w:r w:rsidRPr="00BE6616">
              <w:rPr>
                <w:rFonts w:eastAsia="Calibri"/>
                <w:i/>
                <w:sz w:val="20"/>
                <w:lang w:val="fr-CA"/>
              </w:rPr>
              <w:t xml:space="preserve"> Loi sur les Indiens</w:t>
            </w:r>
            <w:r w:rsidRPr="00BE6616">
              <w:rPr>
                <w:rFonts w:eastAsia="Calibri"/>
                <w:sz w:val="20"/>
                <w:lang w:val="fr-CA"/>
              </w:rPr>
              <w:t>, L.R.C. 1985, ch. </w:t>
            </w:r>
            <w:r w:rsidRPr="00BE6616">
              <w:rPr>
                <w:rFonts w:eastAsia="Calibri"/>
                <w:sz w:val="20"/>
              </w:rPr>
              <w:t>I</w:t>
            </w:r>
            <w:r w:rsidRPr="00BE6616">
              <w:rPr>
                <w:rFonts w:eastAsia="Calibri"/>
                <w:sz w:val="20"/>
              </w:rPr>
              <w:noBreakHyphen/>
              <w:t xml:space="preserve">5 — </w:t>
            </w:r>
            <w:r w:rsidRPr="00BE6616">
              <w:rPr>
                <w:rFonts w:eastAsia="Calibri"/>
                <w:i/>
                <w:sz w:val="20"/>
              </w:rPr>
              <w:t>Fisheries (Alberta) Act</w:t>
            </w:r>
            <w:r w:rsidRPr="00BE6616">
              <w:rPr>
                <w:rFonts w:eastAsia="Calibri"/>
                <w:sz w:val="20"/>
              </w:rPr>
              <w:t>, R.S.A. 2000, ch. F</w:t>
            </w:r>
            <w:r w:rsidRPr="00BE6616">
              <w:rPr>
                <w:rFonts w:eastAsia="Calibri"/>
                <w:sz w:val="20"/>
              </w:rPr>
              <w:noBreakHyphen/>
              <w:t xml:space="preserve">1 — </w:t>
            </w:r>
            <w:r w:rsidRPr="00BE6616">
              <w:rPr>
                <w:rFonts w:eastAsia="Calibri"/>
                <w:i/>
                <w:sz w:val="20"/>
              </w:rPr>
              <w:t>General Fisheries (Alberta) Regulation</w:t>
            </w:r>
            <w:r w:rsidRPr="00BE6616">
              <w:rPr>
                <w:rFonts w:eastAsia="Calibri"/>
                <w:sz w:val="20"/>
              </w:rPr>
              <w:t>, A.R. 203/97, mod. par A.R. 204_2005 — L'art. </w:t>
            </w:r>
            <w:r w:rsidRPr="00BE6616">
              <w:rPr>
                <w:rFonts w:eastAsia="Calibri"/>
                <w:sz w:val="20"/>
                <w:lang w:val="fr-CA"/>
              </w:rPr>
              <w:t xml:space="preserve">12 du </w:t>
            </w:r>
            <w:r w:rsidRPr="00BE6616">
              <w:rPr>
                <w:rFonts w:eastAsia="Calibri"/>
                <w:i/>
                <w:sz w:val="20"/>
                <w:lang w:val="fr-CA"/>
              </w:rPr>
              <w:t>NRTA</w:t>
            </w:r>
            <w:r w:rsidRPr="00BE6616">
              <w:rPr>
                <w:rFonts w:eastAsia="Calibri"/>
                <w:sz w:val="20"/>
                <w:lang w:val="fr-CA"/>
              </w:rPr>
              <w:t xml:space="preserve"> a</w:t>
            </w:r>
            <w:r w:rsidRPr="00BE6616">
              <w:rPr>
                <w:rFonts w:eastAsia="Calibri"/>
                <w:sz w:val="20"/>
                <w:lang w:val="fr-CA"/>
              </w:rPr>
              <w:noBreakHyphen/>
              <w:t>t</w:t>
            </w:r>
            <w:r w:rsidRPr="00BE6616">
              <w:rPr>
                <w:rFonts w:eastAsia="Calibri"/>
                <w:sz w:val="20"/>
                <w:lang w:val="fr-CA"/>
              </w:rPr>
              <w:noBreakHyphen/>
              <w:t xml:space="preserve">il pour effet d'éteindre les droits de pêche sur la réserve ou bien </w:t>
            </w:r>
            <w:r w:rsidRPr="00BE6616">
              <w:rPr>
                <w:rFonts w:eastAsia="Calibri"/>
                <w:sz w:val="20"/>
                <w:lang w:val="fr-CA"/>
              </w:rPr>
              <w:lastRenderedPageBreak/>
              <w:t>est</w:t>
            </w:r>
            <w:r w:rsidRPr="00BE6616">
              <w:rPr>
                <w:rFonts w:eastAsia="Calibri"/>
                <w:sz w:val="20"/>
                <w:lang w:val="fr-CA"/>
              </w:rPr>
              <w:noBreakHyphen/>
              <w:t xml:space="preserve">ce que ces droits de pêche sont reconnus par l'art. 10 du </w:t>
            </w:r>
            <w:r w:rsidRPr="00BE6616">
              <w:rPr>
                <w:rFonts w:eastAsia="Calibri"/>
                <w:i/>
                <w:sz w:val="20"/>
                <w:lang w:val="fr-CA"/>
              </w:rPr>
              <w:t>NRTA</w:t>
            </w:r>
            <w:r w:rsidRPr="00BE6616">
              <w:rPr>
                <w:rFonts w:eastAsia="Calibri"/>
                <w:sz w:val="20"/>
                <w:lang w:val="fr-CA"/>
              </w:rPr>
              <w:t>, si bien qu'ils demeurent des droits issus de traité reconnus et affirmés subséquemment par l'art. 35 de la</w:t>
            </w:r>
            <w:r w:rsidRPr="00BE6616">
              <w:rPr>
                <w:rFonts w:eastAsia="Calibri"/>
                <w:i/>
                <w:sz w:val="20"/>
                <w:lang w:val="fr-CA"/>
              </w:rPr>
              <w:t xml:space="preserve"> Loi constitutionnelle de 1982</w:t>
            </w:r>
            <w:r w:rsidRPr="00BE6616">
              <w:rPr>
                <w:rFonts w:eastAsia="Calibri"/>
                <w:sz w:val="20"/>
                <w:lang w:val="fr-CA"/>
              </w:rPr>
              <w:t>?</w:t>
            </w:r>
          </w:p>
        </w:tc>
      </w:tr>
      <w:tr w:rsidR="00FE4E64" w:rsidRPr="00BE6616" w:rsidTr="00E12E48">
        <w:tc>
          <w:tcPr>
            <w:tcW w:w="5000" w:type="pct"/>
            <w:gridSpan w:val="3"/>
          </w:tcPr>
          <w:p w:rsidR="00FE4E64" w:rsidRPr="00BE6616" w:rsidRDefault="00FE4E64" w:rsidP="00E12E48">
            <w:pPr>
              <w:jc w:val="both"/>
              <w:rPr>
                <w:rFonts w:eastAsia="Calibri"/>
                <w:sz w:val="20"/>
                <w:lang w:val="fr-CA"/>
              </w:rPr>
            </w:pPr>
          </w:p>
        </w:tc>
      </w:tr>
      <w:tr w:rsidR="00FE4E64" w:rsidRPr="00682661" w:rsidTr="00E12E48">
        <w:tc>
          <w:tcPr>
            <w:tcW w:w="5000" w:type="pct"/>
            <w:gridSpan w:val="3"/>
          </w:tcPr>
          <w:p w:rsidR="00FE4E64" w:rsidRPr="00BE6616" w:rsidRDefault="00FE4E64" w:rsidP="00E12E48">
            <w:pPr>
              <w:jc w:val="both"/>
              <w:rPr>
                <w:rFonts w:eastAsia="Calibri"/>
                <w:sz w:val="20"/>
                <w:lang w:val="fr-CA"/>
              </w:rPr>
            </w:pPr>
            <w:r w:rsidRPr="00BE6616">
              <w:rPr>
                <w:rFonts w:eastAsia="Calibri"/>
                <w:sz w:val="20"/>
                <w:lang w:val="fr-CA"/>
              </w:rPr>
              <w:t>Les demandeurs, Ernest Cardinal et William James Cardinal, sont des Indiens inscrits membres de la Beaver Lake Cree Nation, une nation signataire du traité n</w:t>
            </w:r>
            <w:r w:rsidRPr="00BE6616">
              <w:rPr>
                <w:rFonts w:eastAsia="Calibri"/>
                <w:sz w:val="20"/>
                <w:vertAlign w:val="superscript"/>
                <w:lang w:val="fr-CA"/>
              </w:rPr>
              <w:t>o</w:t>
            </w:r>
            <w:r w:rsidRPr="00BE6616">
              <w:rPr>
                <w:rFonts w:eastAsia="Calibri"/>
                <w:sz w:val="20"/>
                <w:lang w:val="fr-CA"/>
              </w:rPr>
              <w:t xml:space="preserve"> 6.  Ils ont vendu du poisson pendant presque deux ans en 2006 et 2007 sans être munis d'un permis de pêche commerciale à un agent d'infiltration du service de la pêche et de la faune de l’Alberta sur la réserve indienne Beaver Lake.  La dernière vente a eu lieu le 10 mai 2007.  Ils ont été déclarés coupables d'infractions aux termes du </w:t>
            </w:r>
            <w:r w:rsidRPr="00BE6616">
              <w:rPr>
                <w:rFonts w:eastAsia="Calibri"/>
                <w:i/>
                <w:iCs/>
                <w:sz w:val="20"/>
                <w:lang w:val="fr-CA"/>
              </w:rPr>
              <w:t>General Fisheries (Alberta) Regulation</w:t>
            </w:r>
            <w:r w:rsidRPr="00BE6616">
              <w:rPr>
                <w:rFonts w:eastAsia="Calibri"/>
                <w:sz w:val="20"/>
                <w:lang w:val="fr-CA"/>
              </w:rPr>
              <w:t>, Alta. Reg. 203/1997, al. 9(4)a).  Ils ont admis avoir commis les actes qu'on leur reprochait.</w:t>
            </w:r>
          </w:p>
          <w:p w:rsidR="00FE4E64" w:rsidRPr="00BE6616" w:rsidRDefault="00FE4E64" w:rsidP="00E12E48">
            <w:pPr>
              <w:jc w:val="both"/>
              <w:rPr>
                <w:rFonts w:eastAsia="Calibri"/>
                <w:sz w:val="20"/>
                <w:lang w:val="fr-CA"/>
              </w:rPr>
            </w:pPr>
          </w:p>
        </w:tc>
      </w:tr>
      <w:tr w:rsidR="00FE4E64" w:rsidRPr="00682661" w:rsidTr="00E12E48">
        <w:tc>
          <w:tcPr>
            <w:tcW w:w="2427" w:type="pct"/>
          </w:tcPr>
          <w:p w:rsidR="00FE4E64" w:rsidRPr="00BE6616" w:rsidRDefault="00FE4E64" w:rsidP="00E12E48">
            <w:pPr>
              <w:jc w:val="both"/>
              <w:rPr>
                <w:rFonts w:eastAsia="Calibri"/>
                <w:sz w:val="20"/>
                <w:lang w:val="fr-CA"/>
              </w:rPr>
            </w:pPr>
            <w:r w:rsidRPr="00BE6616">
              <w:rPr>
                <w:rFonts w:eastAsia="Calibri"/>
                <w:sz w:val="20"/>
                <w:lang w:val="fr-CA"/>
              </w:rPr>
              <w:t>5 octobre 2009</w:t>
            </w:r>
          </w:p>
          <w:p w:rsidR="00FE4E64" w:rsidRPr="00BE6616" w:rsidRDefault="00FE4E64" w:rsidP="00E12E48">
            <w:pPr>
              <w:jc w:val="both"/>
              <w:rPr>
                <w:rFonts w:eastAsia="Calibri"/>
                <w:sz w:val="20"/>
                <w:lang w:val="fr-CA"/>
              </w:rPr>
            </w:pPr>
            <w:r w:rsidRPr="00BE6616">
              <w:rPr>
                <w:rFonts w:eastAsia="Calibri"/>
                <w:sz w:val="20"/>
                <w:lang w:val="fr-CA"/>
              </w:rPr>
              <w:t xml:space="preserve">Cour provinciale de l'Alberta </w:t>
            </w:r>
          </w:p>
          <w:p w:rsidR="00FE4E64" w:rsidRPr="00BE6616" w:rsidRDefault="00FE4E64" w:rsidP="00E12E48">
            <w:pPr>
              <w:jc w:val="both"/>
              <w:rPr>
                <w:rFonts w:eastAsia="Calibri"/>
                <w:sz w:val="20"/>
                <w:lang w:val="fr-CA"/>
              </w:rPr>
            </w:pPr>
            <w:r w:rsidRPr="00BE6616">
              <w:rPr>
                <w:rFonts w:eastAsia="Calibri"/>
                <w:sz w:val="20"/>
                <w:lang w:val="fr-CA"/>
              </w:rPr>
              <w:t>(Juge Ayotte)</w:t>
            </w:r>
          </w:p>
          <w:p w:rsidR="00FE4E64" w:rsidRPr="00BE6616" w:rsidRDefault="00FE4E64" w:rsidP="00E12E48">
            <w:pPr>
              <w:jc w:val="both"/>
              <w:rPr>
                <w:rFonts w:eastAsia="Calibri"/>
                <w:sz w:val="20"/>
                <w:lang w:val="fr-CA"/>
              </w:rPr>
            </w:pPr>
          </w:p>
        </w:tc>
        <w:tc>
          <w:tcPr>
            <w:tcW w:w="243" w:type="pct"/>
          </w:tcPr>
          <w:p w:rsidR="00FE4E64" w:rsidRPr="00BE6616" w:rsidRDefault="00FE4E64" w:rsidP="00E12E48">
            <w:pPr>
              <w:jc w:val="both"/>
              <w:rPr>
                <w:rFonts w:eastAsia="Calibri"/>
                <w:sz w:val="20"/>
                <w:lang w:val="fr-CA"/>
              </w:rPr>
            </w:pPr>
          </w:p>
        </w:tc>
        <w:tc>
          <w:tcPr>
            <w:tcW w:w="2330" w:type="pct"/>
          </w:tcPr>
          <w:p w:rsidR="00FE4E64" w:rsidRPr="00BE6616" w:rsidRDefault="00FE4E64" w:rsidP="00E12E48">
            <w:pPr>
              <w:jc w:val="both"/>
              <w:rPr>
                <w:rFonts w:eastAsia="Calibri"/>
                <w:sz w:val="20"/>
                <w:lang w:val="fr-CA"/>
              </w:rPr>
            </w:pPr>
            <w:r w:rsidRPr="00BE6616">
              <w:rPr>
                <w:rFonts w:eastAsia="Calibri"/>
                <w:sz w:val="20"/>
                <w:lang w:val="fr-CA"/>
              </w:rPr>
              <w:t>Demandeurs déclarés coupables d'avoir sciemment vendu du poisson sans permis</w:t>
            </w:r>
          </w:p>
          <w:p w:rsidR="00FE4E64" w:rsidRPr="00BE6616" w:rsidRDefault="00FE4E64" w:rsidP="00E12E48">
            <w:pPr>
              <w:jc w:val="both"/>
              <w:rPr>
                <w:rFonts w:eastAsia="Calibri"/>
                <w:sz w:val="20"/>
                <w:lang w:val="fr-CA"/>
              </w:rPr>
            </w:pPr>
          </w:p>
        </w:tc>
      </w:tr>
      <w:tr w:rsidR="00FE4E64" w:rsidRPr="00682661" w:rsidTr="00E12E48">
        <w:tc>
          <w:tcPr>
            <w:tcW w:w="2427" w:type="pct"/>
          </w:tcPr>
          <w:p w:rsidR="00FE4E64" w:rsidRPr="00BE6616" w:rsidRDefault="00FE4E64" w:rsidP="00E12E48">
            <w:pPr>
              <w:jc w:val="both"/>
              <w:rPr>
                <w:rFonts w:eastAsia="Calibri"/>
                <w:sz w:val="20"/>
                <w:lang w:val="fr-CA"/>
              </w:rPr>
            </w:pPr>
            <w:r w:rsidRPr="00BE6616">
              <w:rPr>
                <w:rFonts w:eastAsia="Calibri"/>
                <w:sz w:val="20"/>
                <w:lang w:val="fr-CA"/>
              </w:rPr>
              <w:t>27 octobre 2010</w:t>
            </w:r>
          </w:p>
          <w:p w:rsidR="00FE4E64" w:rsidRPr="00BE6616" w:rsidRDefault="00FE4E64" w:rsidP="00E12E48">
            <w:pPr>
              <w:jc w:val="both"/>
              <w:rPr>
                <w:rFonts w:eastAsia="Calibri"/>
                <w:sz w:val="20"/>
                <w:lang w:val="fr-CA"/>
              </w:rPr>
            </w:pPr>
            <w:r w:rsidRPr="00BE6616">
              <w:rPr>
                <w:rFonts w:eastAsia="Calibri"/>
                <w:sz w:val="20"/>
                <w:lang w:val="fr-CA"/>
              </w:rPr>
              <w:t xml:space="preserve">Cour du Banc de la Reine de l'Alberta </w:t>
            </w:r>
          </w:p>
          <w:p w:rsidR="00FE4E64" w:rsidRPr="00BE6616" w:rsidRDefault="00FE4E64" w:rsidP="00E12E48">
            <w:pPr>
              <w:jc w:val="both"/>
              <w:rPr>
                <w:rFonts w:eastAsia="Calibri"/>
                <w:sz w:val="20"/>
                <w:lang w:val="fr-CA"/>
              </w:rPr>
            </w:pPr>
            <w:r w:rsidRPr="00BE6616">
              <w:rPr>
                <w:rFonts w:eastAsia="Calibri"/>
                <w:sz w:val="20"/>
                <w:lang w:val="fr-CA"/>
              </w:rPr>
              <w:t>(Juge Browne)</w:t>
            </w:r>
          </w:p>
          <w:p w:rsidR="00FE4E64" w:rsidRPr="00BE6616" w:rsidRDefault="00FE4E64" w:rsidP="00E12E48">
            <w:pPr>
              <w:jc w:val="both"/>
              <w:rPr>
                <w:rFonts w:eastAsia="Calibri"/>
                <w:sz w:val="20"/>
                <w:lang w:val="fr-CA"/>
              </w:rPr>
            </w:pPr>
          </w:p>
        </w:tc>
        <w:tc>
          <w:tcPr>
            <w:tcW w:w="243" w:type="pct"/>
          </w:tcPr>
          <w:p w:rsidR="00FE4E64" w:rsidRPr="00BE6616" w:rsidRDefault="00FE4E64" w:rsidP="00E12E48">
            <w:pPr>
              <w:jc w:val="both"/>
              <w:rPr>
                <w:rFonts w:eastAsia="Calibri"/>
                <w:sz w:val="20"/>
                <w:lang w:val="fr-CA"/>
              </w:rPr>
            </w:pPr>
          </w:p>
        </w:tc>
        <w:tc>
          <w:tcPr>
            <w:tcW w:w="2330" w:type="pct"/>
          </w:tcPr>
          <w:p w:rsidR="00FE4E64" w:rsidRPr="00BE6616" w:rsidRDefault="00FE4E64" w:rsidP="00E12E48">
            <w:pPr>
              <w:jc w:val="both"/>
              <w:rPr>
                <w:rFonts w:eastAsia="Calibri"/>
                <w:sz w:val="20"/>
                <w:lang w:val="fr-CA"/>
              </w:rPr>
            </w:pPr>
            <w:r w:rsidRPr="00BE6616">
              <w:rPr>
                <w:rFonts w:eastAsia="Calibri"/>
                <w:sz w:val="20"/>
                <w:lang w:val="fr-CA"/>
              </w:rPr>
              <w:t>Appels des déclarations de culpabilité, rejetés; appel de la peine interjetée par Ernest Cardinal, accueilli</w:t>
            </w:r>
          </w:p>
          <w:p w:rsidR="00FE4E64" w:rsidRPr="00BE6616" w:rsidRDefault="00FE4E64" w:rsidP="00E12E48">
            <w:pPr>
              <w:jc w:val="both"/>
              <w:rPr>
                <w:rFonts w:eastAsia="Calibri"/>
                <w:sz w:val="20"/>
                <w:lang w:val="fr-CA"/>
              </w:rPr>
            </w:pPr>
          </w:p>
        </w:tc>
      </w:tr>
      <w:tr w:rsidR="00FE4E64" w:rsidRPr="00BE6616" w:rsidTr="00E12E48">
        <w:tc>
          <w:tcPr>
            <w:tcW w:w="2427" w:type="pct"/>
          </w:tcPr>
          <w:p w:rsidR="00FE4E64" w:rsidRPr="00BE6616" w:rsidRDefault="00FE4E64" w:rsidP="00E12E48">
            <w:pPr>
              <w:jc w:val="both"/>
              <w:rPr>
                <w:rFonts w:eastAsia="Calibri"/>
                <w:sz w:val="20"/>
                <w:lang w:val="fr-CA"/>
              </w:rPr>
            </w:pPr>
            <w:r w:rsidRPr="00BE6616">
              <w:rPr>
                <w:rFonts w:eastAsia="Calibri"/>
                <w:sz w:val="20"/>
                <w:lang w:val="fr-CA"/>
              </w:rPr>
              <w:t>1</w:t>
            </w:r>
            <w:r w:rsidRPr="00BE6616">
              <w:rPr>
                <w:rFonts w:eastAsia="Calibri"/>
                <w:sz w:val="20"/>
                <w:vertAlign w:val="superscript"/>
                <w:lang w:val="fr-CA"/>
              </w:rPr>
              <w:t>er</w:t>
            </w:r>
            <w:r w:rsidRPr="00BE6616">
              <w:rPr>
                <w:rFonts w:eastAsia="Calibri"/>
                <w:sz w:val="20"/>
                <w:lang w:val="fr-CA"/>
              </w:rPr>
              <w:t xml:space="preserve"> mars 2011</w:t>
            </w:r>
          </w:p>
          <w:p w:rsidR="00FE4E64" w:rsidRPr="00BE6616" w:rsidRDefault="00FE4E64" w:rsidP="00E12E48">
            <w:pPr>
              <w:jc w:val="both"/>
              <w:rPr>
                <w:rFonts w:eastAsia="Calibri"/>
                <w:sz w:val="20"/>
                <w:lang w:val="fr-CA"/>
              </w:rPr>
            </w:pPr>
            <w:r w:rsidRPr="00BE6616">
              <w:rPr>
                <w:rFonts w:eastAsia="Calibri"/>
                <w:sz w:val="20"/>
                <w:lang w:val="fr-CA"/>
              </w:rPr>
              <w:t>Cour d'appel de l'Alberta (Edmonton)</w:t>
            </w:r>
          </w:p>
          <w:p w:rsidR="00FE4E64" w:rsidRPr="00BE6616" w:rsidRDefault="00FE4E64" w:rsidP="00E12E48">
            <w:pPr>
              <w:jc w:val="both"/>
              <w:rPr>
                <w:rFonts w:eastAsia="Calibri"/>
                <w:sz w:val="20"/>
                <w:lang w:val="fr-CA"/>
              </w:rPr>
            </w:pPr>
            <w:r w:rsidRPr="00BE6616">
              <w:rPr>
                <w:rFonts w:eastAsia="Calibri"/>
                <w:sz w:val="20"/>
                <w:lang w:val="fr-CA"/>
              </w:rPr>
              <w:t>(Juge Costigan)</w:t>
            </w:r>
          </w:p>
          <w:p w:rsidR="00FE4E64" w:rsidRPr="00BE6616" w:rsidRDefault="00FE4E64" w:rsidP="00E12E48">
            <w:pPr>
              <w:jc w:val="both"/>
              <w:rPr>
                <w:rFonts w:eastAsia="Calibri"/>
                <w:sz w:val="20"/>
                <w:lang w:val="fr-CA"/>
              </w:rPr>
            </w:pPr>
          </w:p>
        </w:tc>
        <w:tc>
          <w:tcPr>
            <w:tcW w:w="243" w:type="pct"/>
          </w:tcPr>
          <w:p w:rsidR="00FE4E64" w:rsidRPr="00BE6616" w:rsidRDefault="00FE4E64" w:rsidP="00E12E48">
            <w:pPr>
              <w:jc w:val="both"/>
              <w:rPr>
                <w:rFonts w:eastAsia="Calibri"/>
                <w:sz w:val="20"/>
                <w:lang w:val="fr-CA"/>
              </w:rPr>
            </w:pPr>
          </w:p>
        </w:tc>
        <w:tc>
          <w:tcPr>
            <w:tcW w:w="2330" w:type="pct"/>
          </w:tcPr>
          <w:p w:rsidR="00FE4E64" w:rsidRPr="00BE6616" w:rsidRDefault="00FE4E64" w:rsidP="00E12E48">
            <w:pPr>
              <w:jc w:val="both"/>
              <w:rPr>
                <w:rFonts w:eastAsia="Calibri"/>
                <w:sz w:val="20"/>
                <w:lang w:val="fr-CA"/>
              </w:rPr>
            </w:pPr>
            <w:r w:rsidRPr="00BE6616">
              <w:rPr>
                <w:rFonts w:eastAsia="Calibri"/>
                <w:sz w:val="20"/>
                <w:lang w:val="fr-CA"/>
              </w:rPr>
              <w:t>Demande autorisation d'appel, rejetés</w:t>
            </w:r>
          </w:p>
          <w:p w:rsidR="00FE4E64" w:rsidRPr="00BE6616" w:rsidRDefault="00FE4E64" w:rsidP="00E12E48">
            <w:pPr>
              <w:jc w:val="both"/>
              <w:rPr>
                <w:rFonts w:eastAsia="Calibri"/>
                <w:sz w:val="20"/>
                <w:lang w:val="fr-CA"/>
              </w:rPr>
            </w:pPr>
          </w:p>
        </w:tc>
      </w:tr>
      <w:tr w:rsidR="00FE4E64" w:rsidRPr="00BE6616" w:rsidTr="00E12E48">
        <w:tc>
          <w:tcPr>
            <w:tcW w:w="2427" w:type="pct"/>
          </w:tcPr>
          <w:p w:rsidR="00FE4E64" w:rsidRPr="00BE6616" w:rsidRDefault="00FE4E64" w:rsidP="00E12E48">
            <w:pPr>
              <w:jc w:val="both"/>
              <w:rPr>
                <w:rFonts w:eastAsia="Calibri"/>
                <w:sz w:val="20"/>
                <w:lang w:val="fr-CA"/>
              </w:rPr>
            </w:pPr>
            <w:r w:rsidRPr="00BE6616">
              <w:rPr>
                <w:rFonts w:eastAsia="Calibri"/>
                <w:sz w:val="20"/>
                <w:lang w:val="fr-CA"/>
              </w:rPr>
              <w:t>28 avril 2011</w:t>
            </w:r>
          </w:p>
          <w:p w:rsidR="00FE4E64" w:rsidRPr="00BE6616" w:rsidRDefault="00FE4E64" w:rsidP="00E12E48">
            <w:pPr>
              <w:jc w:val="both"/>
              <w:rPr>
                <w:rFonts w:eastAsia="Calibri"/>
                <w:sz w:val="20"/>
                <w:lang w:val="fr-CA"/>
              </w:rPr>
            </w:pPr>
            <w:r w:rsidRPr="00BE6616">
              <w:rPr>
                <w:rFonts w:eastAsia="Calibri"/>
                <w:sz w:val="20"/>
                <w:lang w:val="fr-CA"/>
              </w:rPr>
              <w:t>Cour suprême du Canada</w:t>
            </w:r>
          </w:p>
        </w:tc>
        <w:tc>
          <w:tcPr>
            <w:tcW w:w="243" w:type="pct"/>
          </w:tcPr>
          <w:p w:rsidR="00FE4E64" w:rsidRPr="00BE6616" w:rsidRDefault="00FE4E64" w:rsidP="00E12E48">
            <w:pPr>
              <w:jc w:val="both"/>
              <w:rPr>
                <w:rFonts w:eastAsia="Calibri"/>
                <w:sz w:val="20"/>
                <w:lang w:val="fr-CA"/>
              </w:rPr>
            </w:pPr>
          </w:p>
        </w:tc>
        <w:tc>
          <w:tcPr>
            <w:tcW w:w="2330" w:type="pct"/>
          </w:tcPr>
          <w:p w:rsidR="00FE4E64" w:rsidRPr="00BE6616" w:rsidRDefault="00FE4E64" w:rsidP="00E12E48">
            <w:pPr>
              <w:jc w:val="both"/>
              <w:rPr>
                <w:rFonts w:eastAsia="Calibri"/>
                <w:sz w:val="20"/>
                <w:lang w:val="fr-CA"/>
              </w:rPr>
            </w:pPr>
            <w:r w:rsidRPr="00BE6616">
              <w:rPr>
                <w:rFonts w:eastAsia="Calibri"/>
                <w:sz w:val="20"/>
                <w:lang w:val="fr-CA"/>
              </w:rPr>
              <w:t>Demande autorisation d'appel, déposée</w:t>
            </w:r>
          </w:p>
          <w:p w:rsidR="00FE4E64" w:rsidRPr="00BE6616" w:rsidRDefault="00FE4E64" w:rsidP="00E12E4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56"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C5809" w:rsidRPr="009D5E94" w:rsidTr="002E3508">
        <w:trPr>
          <w:cantSplit/>
        </w:trPr>
        <w:tc>
          <w:tcPr>
            <w:tcW w:w="1458" w:type="dxa"/>
          </w:tcPr>
          <w:p w:rsidR="008C5809" w:rsidRPr="009D5E94" w:rsidRDefault="008C5809" w:rsidP="002E3508">
            <w:pPr>
              <w:rPr>
                <w:sz w:val="20"/>
                <w:szCs w:val="20"/>
              </w:rPr>
            </w:pPr>
            <w:r w:rsidRPr="009D5E94">
              <w:rPr>
                <w:rStyle w:val="SCCFileNumberChar"/>
                <w:sz w:val="20"/>
                <w:szCs w:val="20"/>
              </w:rPr>
              <w:t>34224</w:t>
            </w:r>
          </w:p>
          <w:p w:rsidR="008C5809" w:rsidRPr="009D5E94" w:rsidRDefault="008C5809" w:rsidP="002E3508">
            <w:pPr>
              <w:rPr>
                <w:b/>
                <w:sz w:val="20"/>
                <w:szCs w:val="20"/>
                <w:lang w:val="fr-CA"/>
              </w:rPr>
            </w:pPr>
          </w:p>
        </w:tc>
        <w:tc>
          <w:tcPr>
            <w:tcW w:w="8118" w:type="dxa"/>
          </w:tcPr>
          <w:p w:rsidR="008C5809" w:rsidRPr="009D5E94" w:rsidRDefault="008C5809" w:rsidP="002E3508">
            <w:pPr>
              <w:jc w:val="both"/>
              <w:rPr>
                <w:sz w:val="20"/>
                <w:szCs w:val="20"/>
              </w:rPr>
            </w:pPr>
            <w:r w:rsidRPr="008C5809">
              <w:rPr>
                <w:rStyle w:val="SCCLsocChar"/>
                <w:sz w:val="20"/>
                <w:szCs w:val="20"/>
                <w:lang w:val="en-CA"/>
              </w:rPr>
              <w:t>Susan Heyes Inc. dba Hazel &amp; Co. v. South Coast British Columbia Transportation Authority, Canada Line Rapid Transit Inc. and InTransit BC Limited Partnership</w:t>
            </w:r>
            <w:r w:rsidRPr="009D5E94">
              <w:rPr>
                <w:sz w:val="20"/>
                <w:szCs w:val="20"/>
              </w:rPr>
              <w:t xml:space="preserve"> (B.C.) (Civil) (By Leave)</w:t>
            </w:r>
          </w:p>
          <w:p w:rsidR="008C5809" w:rsidRPr="009D5E94" w:rsidRDefault="008C5809" w:rsidP="002E3508">
            <w:pPr>
              <w:rPr>
                <w:sz w:val="20"/>
                <w:szCs w:val="20"/>
              </w:rPr>
            </w:pPr>
          </w:p>
        </w:tc>
      </w:tr>
      <w:tr w:rsidR="008C5809" w:rsidRPr="009D5E94" w:rsidTr="002E3508">
        <w:trPr>
          <w:cantSplit/>
        </w:trPr>
        <w:tc>
          <w:tcPr>
            <w:tcW w:w="1458" w:type="dxa"/>
          </w:tcPr>
          <w:p w:rsidR="008C5809" w:rsidRPr="009D5E94" w:rsidRDefault="008C5809" w:rsidP="002E3508">
            <w:pPr>
              <w:rPr>
                <w:sz w:val="20"/>
                <w:szCs w:val="20"/>
              </w:rPr>
            </w:pPr>
            <w:r w:rsidRPr="009D5E94">
              <w:rPr>
                <w:sz w:val="20"/>
                <w:szCs w:val="20"/>
              </w:rPr>
              <w:t>Coram :</w:t>
            </w:r>
          </w:p>
        </w:tc>
        <w:tc>
          <w:tcPr>
            <w:tcW w:w="8118" w:type="dxa"/>
          </w:tcPr>
          <w:p w:rsidR="008C5809" w:rsidRPr="009D5E94" w:rsidRDefault="008C5809" w:rsidP="002E3508">
            <w:pPr>
              <w:rPr>
                <w:sz w:val="20"/>
                <w:szCs w:val="20"/>
              </w:rPr>
            </w:pPr>
            <w:r w:rsidRPr="009D5E94">
              <w:rPr>
                <w:rStyle w:val="SCCCoramChar"/>
                <w:sz w:val="20"/>
                <w:szCs w:val="20"/>
              </w:rPr>
              <w:t>McLachlin C.J. and Deschamps and Fish JJ.</w:t>
            </w:r>
          </w:p>
          <w:p w:rsidR="008C5809" w:rsidRPr="009D5E94" w:rsidRDefault="008C5809" w:rsidP="002E3508">
            <w:pPr>
              <w:rPr>
                <w:sz w:val="20"/>
                <w:szCs w:val="20"/>
                <w:u w:val="single"/>
              </w:rPr>
            </w:pPr>
          </w:p>
        </w:tc>
      </w:tr>
      <w:tr w:rsidR="008C5809" w:rsidRPr="00682661" w:rsidTr="002E3508">
        <w:trPr>
          <w:cantSplit/>
        </w:trPr>
        <w:tc>
          <w:tcPr>
            <w:tcW w:w="9576" w:type="dxa"/>
            <w:gridSpan w:val="2"/>
          </w:tcPr>
          <w:p w:rsidR="008C5809" w:rsidRPr="009D5E94" w:rsidRDefault="008C5809" w:rsidP="002E3508">
            <w:pPr>
              <w:pStyle w:val="SCCShortJudgment"/>
              <w:rPr>
                <w:szCs w:val="20"/>
              </w:rPr>
            </w:pPr>
            <w:r w:rsidRPr="009D5E94">
              <w:rPr>
                <w:szCs w:val="20"/>
              </w:rPr>
              <w:t>The application for leave to appeal from the judgment of the Court of Appeal for British Columbia (Vancouver), Number CA037217, 2011 BCCA 77, dated February 18, 2011, is dismissed without costs.</w:t>
            </w:r>
          </w:p>
          <w:p w:rsidR="008C5809" w:rsidRPr="009D5E94" w:rsidRDefault="008C5809" w:rsidP="002E3508">
            <w:pPr>
              <w:pStyle w:val="SCCShortJudgment"/>
              <w:ind w:firstLine="0"/>
              <w:rPr>
                <w:szCs w:val="20"/>
              </w:rPr>
            </w:pPr>
          </w:p>
          <w:p w:rsidR="008C5809" w:rsidRPr="009D5E94" w:rsidRDefault="008C5809" w:rsidP="002E3508">
            <w:pPr>
              <w:pStyle w:val="SCCShortJudgment"/>
              <w:rPr>
                <w:szCs w:val="20"/>
                <w:lang w:val="fr-CA"/>
              </w:rPr>
            </w:pPr>
            <w:r w:rsidRPr="009D5E94">
              <w:rPr>
                <w:szCs w:val="20"/>
                <w:lang w:val="fr-CA"/>
              </w:rPr>
              <w:t>La demande d’autorisation d’appel de l’arrêt de la Cour d’appel de la Colombie-Britannique (Vancouver), numéro CA037217, 2011 BCCA 77, daté du 18 février 2011, est rejetée sans dépens.</w:t>
            </w:r>
          </w:p>
        </w:tc>
      </w:tr>
    </w:tbl>
    <w:p w:rsidR="007B50F9" w:rsidRPr="008C5809" w:rsidRDefault="007B50F9" w:rsidP="007B50F9">
      <w:pPr>
        <w:rPr>
          <w:sz w:val="20"/>
          <w:szCs w:val="20"/>
          <w:lang w:val="fr-CA"/>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5293A" w:rsidRPr="00BE6616" w:rsidTr="00E12E48">
        <w:trPr>
          <w:trHeight w:val="144"/>
        </w:trPr>
        <w:tc>
          <w:tcPr>
            <w:tcW w:w="5000" w:type="pct"/>
            <w:gridSpan w:val="3"/>
          </w:tcPr>
          <w:p w:rsidR="0065293A" w:rsidRPr="00BE6616" w:rsidRDefault="0065293A" w:rsidP="00E12E48">
            <w:pPr>
              <w:jc w:val="both"/>
              <w:rPr>
                <w:rFonts w:eastAsia="Calibri"/>
                <w:sz w:val="20"/>
              </w:rPr>
            </w:pPr>
            <w:r w:rsidRPr="00BE6616">
              <w:rPr>
                <w:rFonts w:eastAsia="Calibri"/>
                <w:iCs/>
                <w:sz w:val="20"/>
              </w:rPr>
              <w:t xml:space="preserve">Tort law — Nuisance — Negligent misrepresentation — Liability — Applicant bringing action against building consortium for damages for negligence, nuisance and misrepresentation in relation to construction of Canada Rapid Transit Line along city street — Public advised that tunnel would be bored but cut and cover construction ultimately used </w:t>
            </w:r>
            <w:r w:rsidRPr="00BE6616">
              <w:rPr>
                <w:rFonts w:eastAsia="Calibri"/>
                <w:sz w:val="20"/>
              </w:rPr>
              <w:t>—</w:t>
            </w:r>
            <w:r w:rsidRPr="00BE6616">
              <w:rPr>
                <w:rFonts w:eastAsia="Calibri"/>
                <w:iCs/>
                <w:sz w:val="20"/>
              </w:rPr>
              <w:t xml:space="preserve"> Construction substantially interfering with Applicant’s business — Whether court of appeal erred </w:t>
            </w:r>
            <w:r w:rsidRPr="00BE6616">
              <w:rPr>
                <w:rFonts w:eastAsia="Calibri"/>
                <w:sz w:val="20"/>
              </w:rPr>
              <w:t>in ruling that cut and cover was cheaper option and in applying legal test for defence of statutory authority — Whether court of appeal erred in concluding that “disruption to a multitude of businesses and residents along the 19.5 kilometre line during construction was thus inevitable, regardless of the construction method used”.</w:t>
            </w:r>
          </w:p>
          <w:p w:rsidR="0065293A" w:rsidRPr="00BE6616" w:rsidRDefault="0065293A" w:rsidP="00E12E48">
            <w:pPr>
              <w:jc w:val="both"/>
              <w:rPr>
                <w:rFonts w:eastAsia="Calibri"/>
                <w:sz w:val="20"/>
              </w:rPr>
            </w:pPr>
          </w:p>
        </w:tc>
      </w:tr>
      <w:tr w:rsidR="0065293A" w:rsidRPr="00BE6616" w:rsidTr="00E12E48">
        <w:trPr>
          <w:trHeight w:val="1005"/>
        </w:trPr>
        <w:tc>
          <w:tcPr>
            <w:tcW w:w="5000" w:type="pct"/>
            <w:gridSpan w:val="3"/>
          </w:tcPr>
          <w:p w:rsidR="0065293A" w:rsidRPr="00BE6616" w:rsidRDefault="0065293A" w:rsidP="00E12E48">
            <w:pPr>
              <w:jc w:val="both"/>
              <w:rPr>
                <w:rFonts w:eastAsia="Calibri"/>
                <w:sz w:val="20"/>
              </w:rPr>
            </w:pPr>
            <w:r w:rsidRPr="00BE6616">
              <w:rPr>
                <w:rFonts w:eastAsia="Calibri"/>
                <w:sz w:val="20"/>
              </w:rPr>
              <w:lastRenderedPageBreak/>
              <w:t>The Applicant brought an action against the Crown, the City of Vancouver, South Coast British Columbia Transportation Authority ("TransLink"), Canada Line Rapid Transit ("CLRT") and InTransit BC for damages for negligent misrepresentation, negligence and nuisance in relation to the construction of the Canada Rapid Transit Line ("Canada Line") on Cambie Street in Vancouver.  Each of the Respondents was involved in the funding, planning, design, construction, operation, and maintenance of the project.  In the early planning stages, the public was advised that the Canada Line would be constructed by means of a bored tunnel under Cambie Street where the Applicant operated a maternity wear store.  Although the Respondents received more than $1 billion in public funding, it was insufficient to begin construction on the line, so a partnership with private sources was sought.  The most favourable proposals were submitted by RAVxpress and SNC-Lavalin/Serco.  Eventually, the SNC-Lavalin/Serco submission was selected.  It proposed a cut and cover method of construction while RAVxpress had proposed to bore a tunnel under the street.  The Applicant’s business was adversely affected by cut and cover construction from the fall of 2005 until October, 2008.  The Respondents maintained that the project was carried out under statutory authority.</w:t>
            </w:r>
          </w:p>
          <w:p w:rsidR="0065293A" w:rsidRPr="00BE6616" w:rsidRDefault="0065293A" w:rsidP="00E12E48">
            <w:pPr>
              <w:jc w:val="both"/>
              <w:rPr>
                <w:rFonts w:eastAsia="Calibri"/>
                <w:iCs/>
                <w:sz w:val="20"/>
              </w:rPr>
            </w:pPr>
          </w:p>
        </w:tc>
      </w:tr>
      <w:tr w:rsidR="0065293A" w:rsidRPr="00BE6616" w:rsidTr="00E12E48">
        <w:tc>
          <w:tcPr>
            <w:tcW w:w="2427" w:type="pct"/>
          </w:tcPr>
          <w:p w:rsidR="0065293A" w:rsidRPr="00BE6616" w:rsidRDefault="0065293A" w:rsidP="00E12E48">
            <w:pPr>
              <w:jc w:val="both"/>
              <w:rPr>
                <w:rFonts w:eastAsia="Calibri"/>
                <w:sz w:val="20"/>
              </w:rPr>
            </w:pPr>
            <w:r w:rsidRPr="00BE6616">
              <w:rPr>
                <w:rFonts w:eastAsia="Calibri"/>
                <w:sz w:val="20"/>
              </w:rPr>
              <w:t>May 27, 2009</w:t>
            </w:r>
          </w:p>
          <w:p w:rsidR="0065293A" w:rsidRPr="00BE6616" w:rsidRDefault="0065293A" w:rsidP="00E12E48">
            <w:pPr>
              <w:jc w:val="both"/>
              <w:rPr>
                <w:rFonts w:eastAsia="Calibri"/>
                <w:sz w:val="20"/>
              </w:rPr>
            </w:pPr>
            <w:r w:rsidRPr="00BE6616">
              <w:rPr>
                <w:rFonts w:eastAsia="Calibri"/>
                <w:sz w:val="20"/>
              </w:rPr>
              <w:t>Supreme Court of British Columbia</w:t>
            </w:r>
          </w:p>
          <w:p w:rsidR="0065293A" w:rsidRPr="00BE6616" w:rsidRDefault="0065293A" w:rsidP="00E12E48">
            <w:pPr>
              <w:jc w:val="both"/>
              <w:rPr>
                <w:rFonts w:eastAsia="Calibri"/>
                <w:sz w:val="20"/>
              </w:rPr>
            </w:pPr>
            <w:r w:rsidRPr="00BE6616">
              <w:rPr>
                <w:rFonts w:eastAsia="Calibri"/>
                <w:sz w:val="20"/>
              </w:rPr>
              <w:t>(Pitfield J.)</w:t>
            </w:r>
          </w:p>
          <w:p w:rsidR="0065293A" w:rsidRPr="00BE6616" w:rsidRDefault="0065293A" w:rsidP="00E12E48">
            <w:pPr>
              <w:jc w:val="both"/>
              <w:rPr>
                <w:rFonts w:eastAsia="Calibri"/>
                <w:sz w:val="20"/>
              </w:rPr>
            </w:pPr>
            <w:r w:rsidRPr="00BE6616">
              <w:rPr>
                <w:rFonts w:eastAsia="Calibri"/>
                <w:sz w:val="20"/>
              </w:rPr>
              <w:t>2009 BCSC 651</w:t>
            </w:r>
          </w:p>
          <w:p w:rsidR="0065293A" w:rsidRPr="00BE6616" w:rsidRDefault="0065293A" w:rsidP="00E12E48">
            <w:pPr>
              <w:jc w:val="both"/>
              <w:rPr>
                <w:rFonts w:eastAsia="Calibri"/>
                <w:sz w:val="20"/>
              </w:rPr>
            </w:pPr>
          </w:p>
        </w:tc>
        <w:tc>
          <w:tcPr>
            <w:tcW w:w="243" w:type="pct"/>
          </w:tcPr>
          <w:p w:rsidR="0065293A" w:rsidRPr="00BE6616" w:rsidRDefault="0065293A" w:rsidP="00E12E48">
            <w:pPr>
              <w:jc w:val="both"/>
              <w:rPr>
                <w:rFonts w:eastAsia="Calibri"/>
                <w:sz w:val="20"/>
              </w:rPr>
            </w:pPr>
          </w:p>
        </w:tc>
        <w:tc>
          <w:tcPr>
            <w:tcW w:w="2330" w:type="pct"/>
          </w:tcPr>
          <w:p w:rsidR="0065293A" w:rsidRPr="00BE6616" w:rsidRDefault="0065293A" w:rsidP="00E12E48">
            <w:pPr>
              <w:jc w:val="both"/>
              <w:rPr>
                <w:rFonts w:eastAsia="Calibri"/>
                <w:sz w:val="20"/>
              </w:rPr>
            </w:pPr>
            <w:r w:rsidRPr="00BE6616">
              <w:rPr>
                <w:rFonts w:eastAsia="Calibri"/>
                <w:sz w:val="20"/>
              </w:rPr>
              <w:t>Applicant’s action for damages for nuisance allowed; Applicant awarded damages of $600,000.</w:t>
            </w:r>
          </w:p>
          <w:p w:rsidR="0065293A" w:rsidRPr="00BE6616" w:rsidRDefault="0065293A" w:rsidP="00E12E48">
            <w:pPr>
              <w:jc w:val="both"/>
              <w:rPr>
                <w:rFonts w:eastAsia="Calibri"/>
                <w:sz w:val="20"/>
              </w:rPr>
            </w:pPr>
          </w:p>
          <w:p w:rsidR="0065293A" w:rsidRPr="00BE6616" w:rsidRDefault="0065293A" w:rsidP="00E12E48">
            <w:pPr>
              <w:jc w:val="both"/>
              <w:rPr>
                <w:rFonts w:eastAsia="Calibri"/>
                <w:sz w:val="20"/>
              </w:rPr>
            </w:pPr>
          </w:p>
        </w:tc>
      </w:tr>
      <w:tr w:rsidR="0065293A" w:rsidRPr="00BE6616" w:rsidTr="00E12E48">
        <w:tc>
          <w:tcPr>
            <w:tcW w:w="2427" w:type="pct"/>
          </w:tcPr>
          <w:p w:rsidR="0065293A" w:rsidRPr="00BE6616" w:rsidRDefault="0065293A" w:rsidP="00E12E48">
            <w:pPr>
              <w:jc w:val="both"/>
              <w:rPr>
                <w:rFonts w:eastAsia="Calibri"/>
                <w:sz w:val="20"/>
              </w:rPr>
            </w:pPr>
            <w:r w:rsidRPr="00BE6616">
              <w:rPr>
                <w:rFonts w:eastAsia="Calibri"/>
                <w:sz w:val="20"/>
              </w:rPr>
              <w:t>February 18, 2011</w:t>
            </w:r>
          </w:p>
          <w:p w:rsidR="0065293A" w:rsidRPr="00BE6616" w:rsidRDefault="0065293A" w:rsidP="00E12E48">
            <w:pPr>
              <w:jc w:val="both"/>
              <w:rPr>
                <w:rFonts w:eastAsia="Calibri"/>
                <w:sz w:val="20"/>
              </w:rPr>
            </w:pPr>
            <w:r w:rsidRPr="00BE6616">
              <w:rPr>
                <w:rFonts w:eastAsia="Calibri"/>
                <w:sz w:val="20"/>
              </w:rPr>
              <w:t>Court of Appeal for British Columbia (Vancouver)</w:t>
            </w:r>
          </w:p>
          <w:p w:rsidR="0065293A" w:rsidRPr="00BE6616" w:rsidRDefault="0065293A" w:rsidP="00E12E48">
            <w:pPr>
              <w:jc w:val="both"/>
              <w:rPr>
                <w:rFonts w:eastAsia="Calibri"/>
                <w:sz w:val="20"/>
              </w:rPr>
            </w:pPr>
            <w:r w:rsidRPr="00BE6616">
              <w:rPr>
                <w:rFonts w:eastAsia="Calibri"/>
                <w:sz w:val="20"/>
              </w:rPr>
              <w:t>(Prowse, Saunders and Neilson JJ.A.)</w:t>
            </w:r>
          </w:p>
          <w:p w:rsidR="0065293A" w:rsidRPr="00BE6616" w:rsidRDefault="0065293A" w:rsidP="00E12E48">
            <w:pPr>
              <w:jc w:val="both"/>
              <w:rPr>
                <w:rFonts w:eastAsia="Calibri"/>
                <w:sz w:val="20"/>
              </w:rPr>
            </w:pPr>
            <w:r w:rsidRPr="00BE6616">
              <w:rPr>
                <w:rFonts w:eastAsia="Calibri"/>
                <w:sz w:val="20"/>
              </w:rPr>
              <w:t>2011 BCCA 77</w:t>
            </w:r>
          </w:p>
          <w:p w:rsidR="0065293A" w:rsidRPr="00BE6616" w:rsidRDefault="0065293A" w:rsidP="00E12E48">
            <w:pPr>
              <w:jc w:val="both"/>
              <w:rPr>
                <w:rFonts w:eastAsia="Calibri"/>
                <w:sz w:val="20"/>
              </w:rPr>
            </w:pPr>
          </w:p>
        </w:tc>
        <w:tc>
          <w:tcPr>
            <w:tcW w:w="243" w:type="pct"/>
          </w:tcPr>
          <w:p w:rsidR="0065293A" w:rsidRPr="00BE6616" w:rsidRDefault="0065293A" w:rsidP="00E12E48">
            <w:pPr>
              <w:jc w:val="both"/>
              <w:rPr>
                <w:rFonts w:eastAsia="Calibri"/>
                <w:sz w:val="20"/>
              </w:rPr>
            </w:pPr>
          </w:p>
        </w:tc>
        <w:tc>
          <w:tcPr>
            <w:tcW w:w="2330" w:type="pct"/>
          </w:tcPr>
          <w:p w:rsidR="0065293A" w:rsidRPr="00BE6616" w:rsidRDefault="0065293A" w:rsidP="00E12E48">
            <w:pPr>
              <w:jc w:val="both"/>
              <w:rPr>
                <w:rFonts w:eastAsia="Calibri"/>
                <w:sz w:val="20"/>
              </w:rPr>
            </w:pPr>
            <w:r w:rsidRPr="00BE6616">
              <w:rPr>
                <w:rFonts w:eastAsia="Calibri"/>
                <w:sz w:val="20"/>
              </w:rPr>
              <w:t>Respondents’ appeal allowed; Applicant’s action dismissed.</w:t>
            </w:r>
          </w:p>
          <w:p w:rsidR="0065293A" w:rsidRPr="00BE6616" w:rsidRDefault="0065293A" w:rsidP="00E12E48">
            <w:pPr>
              <w:jc w:val="both"/>
              <w:rPr>
                <w:rFonts w:eastAsia="Calibri"/>
                <w:sz w:val="20"/>
              </w:rPr>
            </w:pPr>
          </w:p>
          <w:p w:rsidR="0065293A" w:rsidRPr="00BE6616" w:rsidRDefault="0065293A" w:rsidP="00E12E48">
            <w:pPr>
              <w:jc w:val="both"/>
              <w:rPr>
                <w:rFonts w:eastAsia="Calibri"/>
                <w:sz w:val="20"/>
              </w:rPr>
            </w:pPr>
          </w:p>
        </w:tc>
      </w:tr>
      <w:tr w:rsidR="0065293A" w:rsidRPr="00BE6616" w:rsidTr="00E12E48">
        <w:tc>
          <w:tcPr>
            <w:tcW w:w="2427" w:type="pct"/>
          </w:tcPr>
          <w:p w:rsidR="0065293A" w:rsidRPr="00BE6616" w:rsidRDefault="0065293A" w:rsidP="00E12E48">
            <w:pPr>
              <w:jc w:val="both"/>
              <w:rPr>
                <w:rFonts w:eastAsia="Calibri"/>
                <w:sz w:val="20"/>
              </w:rPr>
            </w:pPr>
            <w:r w:rsidRPr="00BE6616">
              <w:rPr>
                <w:rFonts w:eastAsia="Calibri"/>
                <w:sz w:val="20"/>
              </w:rPr>
              <w:t>April 15, 2011</w:t>
            </w:r>
          </w:p>
          <w:p w:rsidR="0065293A" w:rsidRPr="00BE6616" w:rsidRDefault="0065293A" w:rsidP="00E12E48">
            <w:pPr>
              <w:jc w:val="both"/>
              <w:rPr>
                <w:rFonts w:eastAsia="Calibri"/>
                <w:sz w:val="20"/>
              </w:rPr>
            </w:pPr>
            <w:r w:rsidRPr="00BE6616">
              <w:rPr>
                <w:rFonts w:eastAsia="Calibri"/>
                <w:sz w:val="20"/>
              </w:rPr>
              <w:t>Supreme Court of Canada</w:t>
            </w:r>
          </w:p>
        </w:tc>
        <w:tc>
          <w:tcPr>
            <w:tcW w:w="243" w:type="pct"/>
          </w:tcPr>
          <w:p w:rsidR="0065293A" w:rsidRPr="00BE6616" w:rsidRDefault="0065293A" w:rsidP="00E12E48">
            <w:pPr>
              <w:jc w:val="both"/>
              <w:rPr>
                <w:rFonts w:eastAsia="Calibri"/>
                <w:sz w:val="20"/>
              </w:rPr>
            </w:pPr>
          </w:p>
        </w:tc>
        <w:tc>
          <w:tcPr>
            <w:tcW w:w="2330" w:type="pct"/>
          </w:tcPr>
          <w:p w:rsidR="0065293A" w:rsidRPr="00BE6616" w:rsidRDefault="0065293A" w:rsidP="00E12E48">
            <w:pPr>
              <w:jc w:val="both"/>
              <w:rPr>
                <w:rFonts w:eastAsia="Calibri"/>
                <w:sz w:val="20"/>
              </w:rPr>
            </w:pPr>
            <w:r w:rsidRPr="00BE6616">
              <w:rPr>
                <w:rFonts w:eastAsia="Calibri"/>
                <w:sz w:val="20"/>
              </w:rPr>
              <w:t>Application for leave to appeal file</w:t>
            </w: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57"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65293A" w:rsidRPr="00682661" w:rsidTr="00E12E48">
        <w:trPr>
          <w:trHeight w:val="1884"/>
        </w:trPr>
        <w:tc>
          <w:tcPr>
            <w:tcW w:w="5000" w:type="pct"/>
            <w:gridSpan w:val="3"/>
          </w:tcPr>
          <w:p w:rsidR="0065293A" w:rsidRPr="00BE6616" w:rsidRDefault="0065293A" w:rsidP="00E12E48">
            <w:pPr>
              <w:jc w:val="both"/>
              <w:rPr>
                <w:rFonts w:eastAsia="Calibri"/>
                <w:sz w:val="20"/>
                <w:lang w:val="fr-CA"/>
              </w:rPr>
            </w:pPr>
            <w:r w:rsidRPr="00BE6616">
              <w:rPr>
                <w:rFonts w:eastAsia="Calibri"/>
                <w:iCs/>
                <w:sz w:val="20"/>
                <w:lang w:val="fr-CA"/>
              </w:rPr>
              <w:t>Responsabilité délictuelle — Nuisances — Déclaration inexacte faite par négligence — Responsabilité — La demanderesse a intenté une action en dommages</w:t>
            </w:r>
            <w:r w:rsidRPr="00BE6616">
              <w:rPr>
                <w:rFonts w:eastAsia="Calibri"/>
                <w:iCs/>
                <w:sz w:val="20"/>
                <w:lang w:val="fr-CA"/>
              </w:rPr>
              <w:noBreakHyphen/>
              <w:t xml:space="preserve">intérêts contre un consortium de construction pour négligence, nuisances et déclaration inexacte en lien avec la construction de la Canada Rapid Transit Line le long d'une rue municipale — Le public avait été informé qu’un tunnel serait creusé mais on a fini par construire une tranchée couverte </w:t>
            </w:r>
            <w:r w:rsidRPr="00BE6616">
              <w:rPr>
                <w:rFonts w:eastAsia="Calibri"/>
                <w:sz w:val="20"/>
                <w:lang w:val="fr-CA"/>
              </w:rPr>
              <w:t>—</w:t>
            </w:r>
            <w:r w:rsidRPr="00BE6616">
              <w:rPr>
                <w:rFonts w:eastAsia="Calibri"/>
                <w:iCs/>
                <w:sz w:val="20"/>
                <w:lang w:val="fr-CA"/>
              </w:rPr>
              <w:t xml:space="preserve"> La construction a porté atteinte réelle à l'entreprise de la demanderesse — La Cour d'appel a</w:t>
            </w:r>
            <w:r w:rsidRPr="00BE6616">
              <w:rPr>
                <w:rFonts w:eastAsia="Calibri"/>
                <w:iCs/>
                <w:sz w:val="20"/>
                <w:lang w:val="fr-CA"/>
              </w:rPr>
              <w:noBreakHyphen/>
              <w:t>t</w:t>
            </w:r>
            <w:r w:rsidRPr="00BE6616">
              <w:rPr>
                <w:rFonts w:eastAsia="Calibri"/>
                <w:iCs/>
                <w:sz w:val="20"/>
                <w:lang w:val="fr-CA"/>
              </w:rPr>
              <w:noBreakHyphen/>
              <w:t xml:space="preserve">elle eu tort de statuer que la tranchée ouverte était une option moins chère et d’appliquer le critère juridique relatif au moyen de défense de pouvoir d’origine législative? </w:t>
            </w:r>
            <w:r w:rsidRPr="00BE6616">
              <w:rPr>
                <w:rFonts w:eastAsia="Calibri"/>
                <w:sz w:val="20"/>
                <w:lang w:val="fr-CA"/>
              </w:rPr>
              <w:t>— La Cour d'appel a</w:t>
            </w:r>
            <w:r w:rsidRPr="00BE6616">
              <w:rPr>
                <w:rFonts w:eastAsia="Calibri"/>
                <w:sz w:val="20"/>
                <w:lang w:val="fr-CA"/>
              </w:rPr>
              <w:noBreakHyphen/>
              <w:t>t</w:t>
            </w:r>
            <w:r w:rsidRPr="00BE6616">
              <w:rPr>
                <w:rFonts w:eastAsia="Calibri"/>
                <w:sz w:val="20"/>
                <w:lang w:val="fr-CA"/>
              </w:rPr>
              <w:noBreakHyphen/>
              <w:t>elle eu tort de conclure que [</w:t>
            </w:r>
            <w:r w:rsidRPr="00BE6616">
              <w:rPr>
                <w:rFonts w:eastAsia="Calibri"/>
                <w:smallCaps/>
                <w:sz w:val="20"/>
                <w:lang w:val="fr-CA"/>
              </w:rPr>
              <w:t>traduction</w:t>
            </w:r>
            <w:r w:rsidRPr="00BE6616">
              <w:rPr>
                <w:rFonts w:eastAsia="Calibri"/>
                <w:sz w:val="20"/>
                <w:lang w:val="fr-CA"/>
              </w:rPr>
              <w:t>] « la perturbation causée à de nombreuses entreprises et résidants le long de la ligne de 19,5 km pendant la construction était donc inévitable, indépendamment de la méthode de construction employée »?</w:t>
            </w:r>
          </w:p>
          <w:p w:rsidR="0065293A" w:rsidRPr="00BE6616" w:rsidRDefault="0065293A" w:rsidP="00E12E48">
            <w:pPr>
              <w:jc w:val="both"/>
              <w:rPr>
                <w:rFonts w:eastAsia="Calibri"/>
                <w:sz w:val="20"/>
                <w:lang w:val="fr-CA"/>
              </w:rPr>
            </w:pPr>
          </w:p>
        </w:tc>
      </w:tr>
      <w:tr w:rsidR="0065293A" w:rsidRPr="00682661" w:rsidTr="00E12E48">
        <w:trPr>
          <w:trHeight w:val="144"/>
        </w:trPr>
        <w:tc>
          <w:tcPr>
            <w:tcW w:w="5000" w:type="pct"/>
            <w:gridSpan w:val="3"/>
          </w:tcPr>
          <w:p w:rsidR="0065293A" w:rsidRPr="00BE6616" w:rsidRDefault="0065293A" w:rsidP="00E12E48">
            <w:pPr>
              <w:jc w:val="both"/>
              <w:rPr>
                <w:rFonts w:eastAsia="Calibri"/>
                <w:sz w:val="20"/>
                <w:lang w:val="fr-CA"/>
              </w:rPr>
            </w:pPr>
            <w:r w:rsidRPr="00BE6616">
              <w:rPr>
                <w:rFonts w:eastAsia="Calibri"/>
                <w:sz w:val="20"/>
                <w:lang w:val="fr-CA"/>
              </w:rPr>
              <w:t>La demanderesse a intenté une action en dommages</w:t>
            </w:r>
            <w:r w:rsidRPr="00BE6616">
              <w:rPr>
                <w:rFonts w:eastAsia="Calibri"/>
                <w:sz w:val="20"/>
                <w:lang w:val="fr-CA"/>
              </w:rPr>
              <w:noBreakHyphen/>
              <w:t>intérêts contre la Couronne, la Ville de Vancouver, South Coast British Columbia Transportation Authority (« TransLink »), Canada Line Rapid Transit (« CLRT ») et InTransit BC pour déclaration inexacte faite par négligence, négligence et nuisances en lien avec la construction de la Canada Rapid Transit Line (« Canada Line ») dans la rue Cambie à Vancouver. Chacune des intimées avait participé au financement, à la planification, à la conception, la construction, à l'exploitation et à l'entretien du projet.  Lors des premières phases de planification, le public a été informé que la Canada Line serait construite au moyen d'un tunnel creusé sous la rue Cambie où la demanderesse exploitait un magasin de vêtements de maternité.  Bien que les intimées aient reçu plus d’un milliard de dollars de financement public, ce montant était insuffisant pour entreprendre la construction de la ligne, de sorte qu'un partenariat avec des sources privées a été demandé.  Les propositions les plus favorables ont été présentées par RAVxpress et SNC</w:t>
            </w:r>
            <w:r w:rsidRPr="00BE6616">
              <w:rPr>
                <w:rFonts w:eastAsia="Calibri"/>
                <w:sz w:val="20"/>
                <w:lang w:val="fr-CA"/>
              </w:rPr>
              <w:noBreakHyphen/>
              <w:t>Lavalin/Serco.  La proposition de SNC</w:t>
            </w:r>
            <w:r w:rsidRPr="00BE6616">
              <w:rPr>
                <w:rFonts w:eastAsia="Calibri"/>
                <w:sz w:val="20"/>
                <w:lang w:val="fr-CA"/>
              </w:rPr>
              <w:noBreakHyphen/>
              <w:t xml:space="preserve">Lavalin/Serco a fini par être retenue. Elle proposait une méthode de construction à tranchée couverte alors que RAVxpress avait proposé de creuser un tunnel sous la rue.  La construction de la tranchée couverte à nui à l’entreprise de la demanderesse de l'automne 2005 </w:t>
            </w:r>
            <w:r w:rsidRPr="00BE6616">
              <w:rPr>
                <w:rFonts w:eastAsia="Calibri"/>
                <w:sz w:val="20"/>
                <w:lang w:val="fr-CA"/>
              </w:rPr>
              <w:lastRenderedPageBreak/>
              <w:t xml:space="preserve">jusqu'en octobre 2008.  Les intimées ont fait valoir que le projet avait été exécuté en vertu d’un pouvoir d’origine législative. </w:t>
            </w:r>
          </w:p>
          <w:p w:rsidR="0065293A" w:rsidRPr="00BE6616" w:rsidRDefault="0065293A" w:rsidP="00E12E48">
            <w:pPr>
              <w:jc w:val="both"/>
              <w:rPr>
                <w:rFonts w:eastAsia="Calibri"/>
                <w:iCs/>
                <w:sz w:val="20"/>
                <w:lang w:val="fr-CA"/>
              </w:rPr>
            </w:pPr>
          </w:p>
        </w:tc>
      </w:tr>
      <w:tr w:rsidR="0065293A" w:rsidRPr="00682661" w:rsidTr="00E12E48">
        <w:tc>
          <w:tcPr>
            <w:tcW w:w="2427" w:type="pct"/>
          </w:tcPr>
          <w:p w:rsidR="0065293A" w:rsidRPr="00BE6616" w:rsidRDefault="0065293A" w:rsidP="00E12E48">
            <w:pPr>
              <w:jc w:val="both"/>
              <w:rPr>
                <w:rFonts w:eastAsia="Calibri"/>
                <w:sz w:val="20"/>
                <w:lang w:val="fr-CA"/>
              </w:rPr>
            </w:pPr>
            <w:r w:rsidRPr="00BE6616">
              <w:rPr>
                <w:rFonts w:eastAsia="Calibri"/>
                <w:sz w:val="20"/>
                <w:lang w:val="fr-CA"/>
              </w:rPr>
              <w:lastRenderedPageBreak/>
              <w:t>27 mai 2009</w:t>
            </w:r>
          </w:p>
          <w:p w:rsidR="0065293A" w:rsidRPr="00BE6616" w:rsidRDefault="0065293A" w:rsidP="00E12E48">
            <w:pPr>
              <w:jc w:val="both"/>
              <w:rPr>
                <w:rFonts w:eastAsia="Calibri"/>
                <w:sz w:val="20"/>
                <w:lang w:val="fr-CA"/>
              </w:rPr>
            </w:pPr>
            <w:r w:rsidRPr="00BE6616">
              <w:rPr>
                <w:rFonts w:eastAsia="Calibri"/>
                <w:sz w:val="20"/>
                <w:lang w:val="fr-CA"/>
              </w:rPr>
              <w:t>Cour suprême de la Colombie</w:t>
            </w:r>
            <w:r w:rsidRPr="00BE6616">
              <w:rPr>
                <w:rFonts w:eastAsia="Calibri"/>
                <w:sz w:val="20"/>
                <w:lang w:val="fr-CA"/>
              </w:rPr>
              <w:noBreakHyphen/>
              <w:t>Britannique</w:t>
            </w:r>
          </w:p>
          <w:p w:rsidR="0065293A" w:rsidRPr="00BE6616" w:rsidRDefault="0065293A" w:rsidP="00E12E48">
            <w:pPr>
              <w:jc w:val="both"/>
              <w:rPr>
                <w:rFonts w:eastAsia="Calibri"/>
                <w:sz w:val="20"/>
                <w:lang w:val="fr-CA"/>
              </w:rPr>
            </w:pPr>
            <w:r w:rsidRPr="00BE6616">
              <w:rPr>
                <w:rFonts w:eastAsia="Calibri"/>
                <w:sz w:val="20"/>
                <w:lang w:val="fr-CA"/>
              </w:rPr>
              <w:t>(Juge Pitfield)</w:t>
            </w:r>
          </w:p>
          <w:p w:rsidR="0065293A" w:rsidRDefault="0065293A" w:rsidP="00E12E48">
            <w:pPr>
              <w:jc w:val="both"/>
              <w:rPr>
                <w:rFonts w:eastAsia="Calibri"/>
                <w:sz w:val="20"/>
                <w:lang w:val="fr-CA"/>
              </w:rPr>
            </w:pPr>
            <w:r w:rsidRPr="00BE6616">
              <w:rPr>
                <w:rFonts w:eastAsia="Calibri"/>
                <w:sz w:val="20"/>
                <w:lang w:val="fr-CA"/>
              </w:rPr>
              <w:t>2009 BCSC 651</w:t>
            </w:r>
          </w:p>
          <w:p w:rsidR="0065293A" w:rsidRPr="00BE6616" w:rsidRDefault="0065293A" w:rsidP="00E12E48">
            <w:pPr>
              <w:jc w:val="both"/>
              <w:rPr>
                <w:rFonts w:eastAsia="Calibri"/>
                <w:sz w:val="20"/>
                <w:lang w:val="fr-CA"/>
              </w:rPr>
            </w:pPr>
          </w:p>
        </w:tc>
        <w:tc>
          <w:tcPr>
            <w:tcW w:w="243" w:type="pct"/>
          </w:tcPr>
          <w:p w:rsidR="0065293A" w:rsidRPr="00BE6616" w:rsidRDefault="0065293A" w:rsidP="00E12E48">
            <w:pPr>
              <w:jc w:val="both"/>
              <w:rPr>
                <w:rFonts w:eastAsia="Calibri"/>
                <w:sz w:val="20"/>
                <w:lang w:val="fr-CA"/>
              </w:rPr>
            </w:pPr>
          </w:p>
        </w:tc>
        <w:tc>
          <w:tcPr>
            <w:tcW w:w="2330" w:type="pct"/>
          </w:tcPr>
          <w:p w:rsidR="0065293A" w:rsidRPr="00BE6616" w:rsidRDefault="0065293A" w:rsidP="00E12E48">
            <w:pPr>
              <w:jc w:val="both"/>
              <w:rPr>
                <w:rFonts w:eastAsia="Calibri"/>
                <w:sz w:val="20"/>
                <w:lang w:val="fr-CA"/>
              </w:rPr>
            </w:pPr>
            <w:r w:rsidRPr="00BE6616">
              <w:rPr>
                <w:rFonts w:eastAsia="Calibri"/>
                <w:sz w:val="20"/>
                <w:lang w:val="fr-CA"/>
              </w:rPr>
              <w:t>Action en dommages</w:t>
            </w:r>
            <w:r w:rsidRPr="00BE6616">
              <w:rPr>
                <w:rFonts w:eastAsia="Calibri"/>
                <w:sz w:val="20"/>
                <w:lang w:val="fr-CA"/>
              </w:rPr>
              <w:noBreakHyphen/>
              <w:t>intérêts de la demanderesse pour nuisances, accueillie; la demanderesse se voit accorder des dommages</w:t>
            </w:r>
            <w:r w:rsidRPr="00BE6616">
              <w:rPr>
                <w:rFonts w:eastAsia="Calibri"/>
                <w:sz w:val="20"/>
                <w:lang w:val="fr-CA"/>
              </w:rPr>
              <w:noBreakHyphen/>
              <w:t>intérêts de 600 000 $.</w:t>
            </w:r>
          </w:p>
          <w:p w:rsidR="0065293A" w:rsidRPr="00BE6616" w:rsidRDefault="0065293A" w:rsidP="00E12E48">
            <w:pPr>
              <w:jc w:val="both"/>
              <w:rPr>
                <w:rFonts w:eastAsia="Calibri"/>
                <w:sz w:val="20"/>
                <w:lang w:val="fr-CA"/>
              </w:rPr>
            </w:pPr>
          </w:p>
        </w:tc>
      </w:tr>
      <w:tr w:rsidR="0065293A" w:rsidRPr="00682661" w:rsidTr="00E12E48">
        <w:tc>
          <w:tcPr>
            <w:tcW w:w="2427" w:type="pct"/>
          </w:tcPr>
          <w:p w:rsidR="0065293A" w:rsidRPr="00BE6616" w:rsidRDefault="0065293A" w:rsidP="00E12E48">
            <w:pPr>
              <w:jc w:val="both"/>
              <w:rPr>
                <w:rFonts w:eastAsia="Calibri"/>
                <w:sz w:val="20"/>
                <w:lang w:val="fr-CA"/>
              </w:rPr>
            </w:pPr>
            <w:r w:rsidRPr="00BE6616">
              <w:rPr>
                <w:rFonts w:eastAsia="Calibri"/>
                <w:sz w:val="20"/>
                <w:lang w:val="fr-CA"/>
              </w:rPr>
              <w:t>18 février 2011</w:t>
            </w:r>
          </w:p>
          <w:p w:rsidR="0065293A" w:rsidRPr="00BE6616" w:rsidRDefault="0065293A" w:rsidP="00E12E48">
            <w:pPr>
              <w:jc w:val="both"/>
              <w:rPr>
                <w:rFonts w:eastAsia="Calibri"/>
                <w:sz w:val="20"/>
                <w:lang w:val="fr-CA"/>
              </w:rPr>
            </w:pPr>
            <w:r w:rsidRPr="00BE6616">
              <w:rPr>
                <w:rFonts w:eastAsia="Calibri"/>
                <w:sz w:val="20"/>
                <w:lang w:val="fr-CA"/>
              </w:rPr>
              <w:t>Cour d'appel de la Colombie</w:t>
            </w:r>
            <w:r w:rsidRPr="00BE6616">
              <w:rPr>
                <w:rFonts w:eastAsia="Calibri"/>
                <w:sz w:val="20"/>
                <w:lang w:val="fr-CA"/>
              </w:rPr>
              <w:noBreakHyphen/>
              <w:t>Britannique (Vancouver)</w:t>
            </w:r>
          </w:p>
          <w:p w:rsidR="0065293A" w:rsidRPr="00BE6616" w:rsidRDefault="0065293A" w:rsidP="00E12E48">
            <w:pPr>
              <w:jc w:val="both"/>
              <w:rPr>
                <w:rFonts w:eastAsia="Calibri"/>
                <w:sz w:val="20"/>
                <w:lang w:val="fr-CA"/>
              </w:rPr>
            </w:pPr>
            <w:r w:rsidRPr="00BE6616">
              <w:rPr>
                <w:rFonts w:eastAsia="Calibri"/>
                <w:sz w:val="20"/>
                <w:lang w:val="fr-CA"/>
              </w:rPr>
              <w:t>(Juges Prowse, Saunders et Neilson)</w:t>
            </w:r>
          </w:p>
          <w:p w:rsidR="0065293A" w:rsidRPr="00BE6616" w:rsidRDefault="0065293A" w:rsidP="00E12E48">
            <w:pPr>
              <w:jc w:val="both"/>
              <w:rPr>
                <w:rFonts w:eastAsia="Calibri"/>
                <w:sz w:val="20"/>
                <w:lang w:val="fr-CA"/>
              </w:rPr>
            </w:pPr>
            <w:r w:rsidRPr="00BE6616">
              <w:rPr>
                <w:rFonts w:eastAsia="Calibri"/>
                <w:sz w:val="20"/>
                <w:lang w:val="fr-CA"/>
              </w:rPr>
              <w:t>2011 BCCA 77</w:t>
            </w:r>
          </w:p>
          <w:p w:rsidR="0065293A" w:rsidRPr="00BE6616" w:rsidRDefault="0065293A" w:rsidP="00E12E48">
            <w:pPr>
              <w:jc w:val="both"/>
              <w:rPr>
                <w:rFonts w:eastAsia="Calibri"/>
                <w:sz w:val="20"/>
                <w:lang w:val="fr-CA"/>
              </w:rPr>
            </w:pPr>
          </w:p>
        </w:tc>
        <w:tc>
          <w:tcPr>
            <w:tcW w:w="243" w:type="pct"/>
          </w:tcPr>
          <w:p w:rsidR="0065293A" w:rsidRPr="00BE6616" w:rsidRDefault="0065293A" w:rsidP="00E12E48">
            <w:pPr>
              <w:jc w:val="both"/>
              <w:rPr>
                <w:rFonts w:eastAsia="Calibri"/>
                <w:sz w:val="20"/>
                <w:lang w:val="fr-CA"/>
              </w:rPr>
            </w:pPr>
          </w:p>
        </w:tc>
        <w:tc>
          <w:tcPr>
            <w:tcW w:w="2330" w:type="pct"/>
          </w:tcPr>
          <w:p w:rsidR="0065293A" w:rsidRPr="00BE6616" w:rsidRDefault="0065293A" w:rsidP="00E12E48">
            <w:pPr>
              <w:jc w:val="both"/>
              <w:rPr>
                <w:rFonts w:eastAsia="Calibri"/>
                <w:sz w:val="20"/>
                <w:lang w:val="fr-CA"/>
              </w:rPr>
            </w:pPr>
            <w:r w:rsidRPr="00BE6616">
              <w:rPr>
                <w:rFonts w:eastAsia="Calibri"/>
                <w:sz w:val="20"/>
                <w:lang w:val="fr-CA"/>
              </w:rPr>
              <w:t>Appel des intimées, accueilli; action de la demanderesse rejetée.</w:t>
            </w:r>
          </w:p>
          <w:p w:rsidR="0065293A" w:rsidRPr="00BE6616" w:rsidRDefault="0065293A" w:rsidP="00E12E48">
            <w:pPr>
              <w:jc w:val="both"/>
              <w:rPr>
                <w:rFonts w:eastAsia="Calibri"/>
                <w:sz w:val="20"/>
                <w:lang w:val="fr-CA"/>
              </w:rPr>
            </w:pPr>
          </w:p>
          <w:p w:rsidR="0065293A" w:rsidRPr="00BE6616" w:rsidRDefault="0065293A" w:rsidP="00E12E48">
            <w:pPr>
              <w:jc w:val="both"/>
              <w:rPr>
                <w:rFonts w:eastAsia="Calibri"/>
                <w:sz w:val="20"/>
                <w:lang w:val="fr-CA"/>
              </w:rPr>
            </w:pPr>
          </w:p>
        </w:tc>
      </w:tr>
      <w:tr w:rsidR="0065293A" w:rsidRPr="00BE6616" w:rsidTr="00E12E48">
        <w:tc>
          <w:tcPr>
            <w:tcW w:w="2427" w:type="pct"/>
          </w:tcPr>
          <w:p w:rsidR="0065293A" w:rsidRPr="00BE6616" w:rsidRDefault="0065293A" w:rsidP="00E12E48">
            <w:pPr>
              <w:jc w:val="both"/>
              <w:rPr>
                <w:rFonts w:eastAsia="Calibri"/>
                <w:sz w:val="20"/>
                <w:lang w:val="fr-CA"/>
              </w:rPr>
            </w:pPr>
            <w:r w:rsidRPr="00BE6616">
              <w:rPr>
                <w:rFonts w:eastAsia="Calibri"/>
                <w:sz w:val="20"/>
                <w:lang w:val="fr-CA"/>
              </w:rPr>
              <w:t>15 avril 2011</w:t>
            </w:r>
          </w:p>
          <w:p w:rsidR="0065293A" w:rsidRPr="00BE6616" w:rsidRDefault="0065293A" w:rsidP="00E12E48">
            <w:pPr>
              <w:jc w:val="both"/>
              <w:rPr>
                <w:rFonts w:eastAsia="Calibri"/>
                <w:sz w:val="20"/>
                <w:lang w:val="fr-CA"/>
              </w:rPr>
            </w:pPr>
            <w:r w:rsidRPr="00BE6616">
              <w:rPr>
                <w:rFonts w:eastAsia="Calibri"/>
                <w:sz w:val="20"/>
                <w:lang w:val="fr-CA"/>
              </w:rPr>
              <w:t>Cour suprême du Canada</w:t>
            </w:r>
          </w:p>
        </w:tc>
        <w:tc>
          <w:tcPr>
            <w:tcW w:w="243" w:type="pct"/>
          </w:tcPr>
          <w:p w:rsidR="0065293A" w:rsidRPr="00BE6616" w:rsidRDefault="0065293A" w:rsidP="00E12E48">
            <w:pPr>
              <w:jc w:val="both"/>
              <w:rPr>
                <w:rFonts w:eastAsia="Calibri"/>
                <w:sz w:val="20"/>
                <w:lang w:val="fr-CA"/>
              </w:rPr>
            </w:pPr>
          </w:p>
        </w:tc>
        <w:tc>
          <w:tcPr>
            <w:tcW w:w="2330" w:type="pct"/>
          </w:tcPr>
          <w:p w:rsidR="0065293A" w:rsidRPr="00BE6616" w:rsidRDefault="0065293A" w:rsidP="00E12E48">
            <w:pPr>
              <w:jc w:val="both"/>
              <w:rPr>
                <w:rFonts w:eastAsia="Calibri"/>
                <w:sz w:val="20"/>
                <w:lang w:val="fr-CA"/>
              </w:rPr>
            </w:pPr>
            <w:r w:rsidRPr="00BE6616">
              <w:rPr>
                <w:rFonts w:eastAsia="Calibri"/>
                <w:sz w:val="20"/>
                <w:lang w:val="fr-CA"/>
              </w:rPr>
              <w:t>Demande d'autorisation d'appel, déposée</w:t>
            </w: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58"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E3508" w:rsidRPr="004F46DF" w:rsidTr="002E3508">
        <w:trPr>
          <w:cantSplit/>
        </w:trPr>
        <w:tc>
          <w:tcPr>
            <w:tcW w:w="1458" w:type="dxa"/>
          </w:tcPr>
          <w:p w:rsidR="002E3508" w:rsidRPr="004F46DF" w:rsidRDefault="002E3508" w:rsidP="002E3508">
            <w:pPr>
              <w:rPr>
                <w:sz w:val="20"/>
                <w:szCs w:val="20"/>
              </w:rPr>
            </w:pPr>
            <w:r w:rsidRPr="004F46DF">
              <w:rPr>
                <w:rStyle w:val="SCCFileNumberChar"/>
                <w:sz w:val="20"/>
                <w:szCs w:val="20"/>
              </w:rPr>
              <w:t>34225</w:t>
            </w:r>
          </w:p>
          <w:p w:rsidR="002E3508" w:rsidRPr="004F46DF" w:rsidRDefault="002E3508" w:rsidP="002E3508">
            <w:pPr>
              <w:rPr>
                <w:b/>
                <w:sz w:val="20"/>
                <w:szCs w:val="20"/>
                <w:lang w:val="fr-CA"/>
              </w:rPr>
            </w:pPr>
          </w:p>
        </w:tc>
        <w:tc>
          <w:tcPr>
            <w:tcW w:w="8118" w:type="dxa"/>
          </w:tcPr>
          <w:p w:rsidR="002E3508" w:rsidRPr="004F46DF" w:rsidRDefault="002E3508" w:rsidP="002E3508">
            <w:pPr>
              <w:jc w:val="both"/>
              <w:rPr>
                <w:sz w:val="20"/>
                <w:szCs w:val="20"/>
              </w:rPr>
            </w:pPr>
            <w:r w:rsidRPr="002E3508">
              <w:rPr>
                <w:rStyle w:val="SCCLsocChar"/>
                <w:sz w:val="20"/>
                <w:szCs w:val="20"/>
                <w:lang w:val="en-CA"/>
              </w:rPr>
              <w:t>Sylvain Parent, Welton Parent Inc.</w:t>
            </w:r>
            <w:r w:rsidR="00E12606">
              <w:rPr>
                <w:rStyle w:val="SCCLsocChar"/>
                <w:sz w:val="20"/>
                <w:szCs w:val="20"/>
                <w:lang w:val="en-CA"/>
              </w:rPr>
              <w:t xml:space="preserve"> and</w:t>
            </w:r>
            <w:r w:rsidRPr="002E3508">
              <w:rPr>
                <w:rStyle w:val="SCCLsocChar"/>
                <w:sz w:val="20"/>
                <w:szCs w:val="20"/>
                <w:lang w:val="en-CA"/>
              </w:rPr>
              <w:t xml:space="preserve"> Loba Limited v. Attorney General of Canada</w:t>
            </w:r>
            <w:r w:rsidRPr="004F46DF">
              <w:rPr>
                <w:sz w:val="20"/>
                <w:szCs w:val="20"/>
              </w:rPr>
              <w:t xml:space="preserve"> (Ont.) (Civil) (By Leave)</w:t>
            </w:r>
          </w:p>
          <w:p w:rsidR="002E3508" w:rsidRPr="004F46DF" w:rsidRDefault="002E3508" w:rsidP="002E3508">
            <w:pPr>
              <w:rPr>
                <w:sz w:val="20"/>
                <w:szCs w:val="20"/>
              </w:rPr>
            </w:pPr>
          </w:p>
        </w:tc>
      </w:tr>
      <w:tr w:rsidR="002E3508" w:rsidRPr="004F46DF" w:rsidTr="002E3508">
        <w:trPr>
          <w:cantSplit/>
        </w:trPr>
        <w:tc>
          <w:tcPr>
            <w:tcW w:w="1458" w:type="dxa"/>
          </w:tcPr>
          <w:p w:rsidR="002E3508" w:rsidRPr="004F46DF" w:rsidRDefault="002E3508" w:rsidP="002E3508">
            <w:pPr>
              <w:rPr>
                <w:sz w:val="20"/>
                <w:szCs w:val="20"/>
              </w:rPr>
            </w:pPr>
            <w:r w:rsidRPr="004F46DF">
              <w:rPr>
                <w:sz w:val="20"/>
                <w:szCs w:val="20"/>
              </w:rPr>
              <w:t>Coram :</w:t>
            </w:r>
          </w:p>
        </w:tc>
        <w:tc>
          <w:tcPr>
            <w:tcW w:w="8118" w:type="dxa"/>
          </w:tcPr>
          <w:p w:rsidR="002E3508" w:rsidRPr="004F46DF" w:rsidRDefault="002E3508" w:rsidP="002E3508">
            <w:pPr>
              <w:rPr>
                <w:sz w:val="20"/>
                <w:szCs w:val="20"/>
              </w:rPr>
            </w:pPr>
            <w:r w:rsidRPr="004F46DF">
              <w:rPr>
                <w:rStyle w:val="SCCCoramChar"/>
                <w:sz w:val="20"/>
                <w:szCs w:val="20"/>
              </w:rPr>
              <w:t>McLachlin C.J. and Deschamps and Fish JJ.</w:t>
            </w:r>
          </w:p>
          <w:p w:rsidR="002E3508" w:rsidRPr="004F46DF" w:rsidRDefault="002E3508" w:rsidP="002E3508">
            <w:pPr>
              <w:rPr>
                <w:sz w:val="20"/>
                <w:szCs w:val="20"/>
                <w:u w:val="single"/>
              </w:rPr>
            </w:pPr>
          </w:p>
        </w:tc>
      </w:tr>
      <w:tr w:rsidR="002E3508" w:rsidRPr="00682661" w:rsidTr="002E3508">
        <w:trPr>
          <w:cantSplit/>
        </w:trPr>
        <w:tc>
          <w:tcPr>
            <w:tcW w:w="9576" w:type="dxa"/>
            <w:gridSpan w:val="2"/>
          </w:tcPr>
          <w:p w:rsidR="002E3508" w:rsidRPr="004F46DF" w:rsidRDefault="002E3508" w:rsidP="002E3508">
            <w:pPr>
              <w:pStyle w:val="SCCShortJudgment"/>
              <w:rPr>
                <w:szCs w:val="20"/>
              </w:rPr>
            </w:pPr>
            <w:r w:rsidRPr="004F46DF">
              <w:rPr>
                <w:szCs w:val="20"/>
              </w:rPr>
              <w:t>The application for leave to appeal from the judgment of the Court of Appeal for Ontario, Number C49464, 2011 ONCA 147, dated February 28, 2011, is dismissed with costs.</w:t>
            </w:r>
          </w:p>
          <w:p w:rsidR="002E3508" w:rsidRPr="004F46DF" w:rsidRDefault="002E3508" w:rsidP="002E3508">
            <w:pPr>
              <w:pStyle w:val="SCCShortJudgment"/>
              <w:ind w:firstLine="0"/>
              <w:rPr>
                <w:szCs w:val="20"/>
              </w:rPr>
            </w:pPr>
          </w:p>
          <w:p w:rsidR="002E3508" w:rsidRPr="004F46DF" w:rsidRDefault="002E3508" w:rsidP="002E3508">
            <w:pPr>
              <w:pStyle w:val="SCCShortJudgment"/>
              <w:rPr>
                <w:szCs w:val="20"/>
                <w:lang w:val="fr-CA"/>
              </w:rPr>
            </w:pPr>
            <w:r w:rsidRPr="004F46DF">
              <w:rPr>
                <w:szCs w:val="20"/>
                <w:lang w:val="fr-CA"/>
              </w:rPr>
              <w:t>La demande d’autorisation d’appel de l’arrêt de la Cour d’appel de l’Ontario, numéro C49464, 2011 ONCA 147, daté du 28 février 2011, est rejetée avec dépens.</w:t>
            </w:r>
          </w:p>
        </w:tc>
      </w:tr>
    </w:tbl>
    <w:p w:rsidR="007B50F9" w:rsidRPr="002E3508" w:rsidRDefault="007B50F9" w:rsidP="007B50F9">
      <w:pPr>
        <w:rPr>
          <w:sz w:val="20"/>
          <w:szCs w:val="20"/>
          <w:lang w:val="fr-CA"/>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5293A" w:rsidRPr="00BE6616" w:rsidTr="00E12E48">
        <w:tc>
          <w:tcPr>
            <w:tcW w:w="5000" w:type="pct"/>
            <w:gridSpan w:val="3"/>
          </w:tcPr>
          <w:p w:rsidR="0065293A" w:rsidRPr="00BE6616" w:rsidRDefault="0065293A" w:rsidP="00E12E48">
            <w:pPr>
              <w:jc w:val="both"/>
              <w:rPr>
                <w:rFonts w:eastAsia="Calibri"/>
                <w:sz w:val="20"/>
              </w:rPr>
            </w:pPr>
            <w:r w:rsidRPr="00BE6616">
              <w:rPr>
                <w:rFonts w:eastAsia="Calibri"/>
                <w:sz w:val="20"/>
              </w:rPr>
              <w:t>Torts — Negligent misrepresentation — Fiduciary duty — Duty of care — Apportionment of liability — Is deference still relevant? — Is the re-apportionment of liability just a counting game? — When do fiduciary duties arise and what deference must be shown to a trial judge’s conclusion absent an error of law?</w:t>
            </w:r>
          </w:p>
        </w:tc>
      </w:tr>
      <w:tr w:rsidR="0065293A" w:rsidRPr="00BE6616" w:rsidTr="00E12E48">
        <w:tc>
          <w:tcPr>
            <w:tcW w:w="5000" w:type="pct"/>
            <w:gridSpan w:val="3"/>
          </w:tcPr>
          <w:p w:rsidR="0065293A" w:rsidRPr="00BE6616" w:rsidRDefault="0065293A" w:rsidP="00E12E48">
            <w:pPr>
              <w:jc w:val="both"/>
              <w:rPr>
                <w:rFonts w:eastAsia="Calibri"/>
                <w:sz w:val="20"/>
              </w:rPr>
            </w:pPr>
          </w:p>
        </w:tc>
      </w:tr>
      <w:tr w:rsidR="0065293A" w:rsidRPr="00BE6616" w:rsidTr="00E12E48">
        <w:tc>
          <w:tcPr>
            <w:tcW w:w="5000" w:type="pct"/>
            <w:gridSpan w:val="3"/>
          </w:tcPr>
          <w:p w:rsidR="0065293A" w:rsidRPr="00BE6616" w:rsidRDefault="0065293A" w:rsidP="00E12E48">
            <w:pPr>
              <w:jc w:val="both"/>
              <w:rPr>
                <w:rFonts w:eastAsia="Calibri"/>
                <w:sz w:val="20"/>
              </w:rPr>
            </w:pPr>
            <w:r w:rsidRPr="00BE6616">
              <w:rPr>
                <w:rFonts w:eastAsia="Calibri"/>
                <w:sz w:val="20"/>
              </w:rPr>
              <w:t xml:space="preserve">This case arises out of a reciprocal pension transfer agreement (RTA) the federal Crown had with Loba.  The purpose of an RTA was to allow for pension portability between the Crown and outside employers.  In 1996, the government amended the </w:t>
            </w:r>
            <w:r w:rsidRPr="00BE6616">
              <w:rPr>
                <w:rFonts w:eastAsia="Calibri"/>
                <w:i/>
                <w:sz w:val="20"/>
              </w:rPr>
              <w:t xml:space="preserve">Public Service Superannuation Act </w:t>
            </w:r>
            <w:r w:rsidRPr="00BE6616">
              <w:rPr>
                <w:rFonts w:eastAsia="Calibri"/>
                <w:sz w:val="20"/>
              </w:rPr>
              <w:t xml:space="preserve">to replace RTAs with pension transfer agreements, a new mechanism for pension portability based on actuarial value.  No new RTAs could be entered into after October 15, 1997 and all existing RTAs were to terminate effective October 15, 2000.  In 1996, the applicant Sylvain Parent, in his capacity as an actuary and pension consultant, negotiated eight RTAs with the federal Crown.  One of the RTAs was with Loba.  On March 31, 2000, Parent purchased Loba and sought to recruit federal public servants before the October 15th expiry of the RTA.  In 2003, following an investigation by the Canada Revenue Agency, the registration of the Loba pension plan was revoked on the basis that the Loba plan did not meet the primary purpose rule in the </w:t>
            </w:r>
            <w:r w:rsidRPr="00BE6616">
              <w:rPr>
                <w:rFonts w:eastAsia="Calibri"/>
                <w:i/>
                <w:sz w:val="20"/>
              </w:rPr>
              <w:t>Income Tax Act</w:t>
            </w:r>
            <w:r w:rsidRPr="00BE6616">
              <w:rPr>
                <w:rFonts w:eastAsia="Calibri"/>
                <w:sz w:val="20"/>
              </w:rPr>
              <w:t xml:space="preserve">; namely to provide lifetime retirement benefits in respect of employment.  That decision was upheld by the Federal Court of Appeal in 2004 and leave to appeal was denied by this Court in 2005.  Based on the revocation of the Loba plan registration, pension funds could not be transferred under the Loba RTA.  However, the former public servants were still entitled to receive their public service pensions. </w:t>
            </w:r>
          </w:p>
          <w:p w:rsidR="0065293A" w:rsidRPr="00BE6616" w:rsidRDefault="0065293A" w:rsidP="00E12E48">
            <w:pPr>
              <w:jc w:val="both"/>
              <w:rPr>
                <w:rFonts w:eastAsia="Calibri"/>
                <w:sz w:val="20"/>
              </w:rPr>
            </w:pPr>
          </w:p>
          <w:p w:rsidR="0065293A" w:rsidRDefault="0065293A" w:rsidP="00E12E48">
            <w:pPr>
              <w:jc w:val="both"/>
              <w:rPr>
                <w:rFonts w:eastAsia="Calibri"/>
                <w:sz w:val="20"/>
              </w:rPr>
            </w:pPr>
            <w:r w:rsidRPr="00BE6616">
              <w:rPr>
                <w:rFonts w:eastAsia="Calibri"/>
                <w:sz w:val="20"/>
              </w:rPr>
              <w:t xml:space="preserve">The plaintiffs sued the federal government for damages for negligent misrepresentation arising from the government’s </w:t>
            </w:r>
            <w:r w:rsidRPr="00BE6616">
              <w:rPr>
                <w:rFonts w:eastAsia="Calibri"/>
                <w:sz w:val="20"/>
              </w:rPr>
              <w:lastRenderedPageBreak/>
              <w:t>failure to advise them of the significant, identifiable risks they were facing by resigning from the public service to join Loba.  The Crown and Sylvain Parent, Welton Parent Inc. and Loba Limited (Parents and Loba) were found liable to the plaintiffs for negligent misrepresentation, as well as for breach of fiduciary duty.  The trial judge apportioned liability as 80% for the Crown and 20% for the Parents and Loba.  The respondent’s appeal was allowed and liability was re-apportioned as 60% for the Crown and 40% for the Parents and Loba.</w:t>
            </w:r>
          </w:p>
          <w:p w:rsidR="0065293A" w:rsidRPr="00BE6616" w:rsidRDefault="0065293A" w:rsidP="00E12E48">
            <w:pPr>
              <w:jc w:val="both"/>
              <w:rPr>
                <w:rFonts w:eastAsia="Calibri"/>
                <w:sz w:val="20"/>
              </w:rPr>
            </w:pPr>
          </w:p>
        </w:tc>
      </w:tr>
      <w:tr w:rsidR="0065293A" w:rsidRPr="00BE6616" w:rsidTr="00E12E48">
        <w:tc>
          <w:tcPr>
            <w:tcW w:w="2427" w:type="pct"/>
          </w:tcPr>
          <w:p w:rsidR="0065293A" w:rsidRPr="00BE6616" w:rsidRDefault="0065293A" w:rsidP="00E12E48">
            <w:pPr>
              <w:jc w:val="both"/>
              <w:rPr>
                <w:rFonts w:eastAsia="Calibri"/>
                <w:sz w:val="20"/>
              </w:rPr>
            </w:pPr>
            <w:r w:rsidRPr="00BE6616">
              <w:rPr>
                <w:rFonts w:eastAsia="Calibri"/>
                <w:sz w:val="20"/>
              </w:rPr>
              <w:lastRenderedPageBreak/>
              <w:t>September 3, 2008</w:t>
            </w:r>
          </w:p>
          <w:p w:rsidR="0065293A" w:rsidRPr="00BE6616" w:rsidRDefault="0065293A" w:rsidP="00E12E48">
            <w:pPr>
              <w:jc w:val="both"/>
              <w:rPr>
                <w:rFonts w:eastAsia="Calibri"/>
                <w:sz w:val="20"/>
              </w:rPr>
            </w:pPr>
            <w:r w:rsidRPr="00BE6616">
              <w:rPr>
                <w:rFonts w:eastAsia="Calibri"/>
                <w:sz w:val="20"/>
              </w:rPr>
              <w:t>Ontario Superior Court of Justice</w:t>
            </w:r>
          </w:p>
          <w:p w:rsidR="0065293A" w:rsidRPr="00BE6616" w:rsidRDefault="0065293A" w:rsidP="00E12E48">
            <w:pPr>
              <w:jc w:val="both"/>
              <w:rPr>
                <w:rFonts w:eastAsia="Calibri"/>
                <w:sz w:val="20"/>
              </w:rPr>
            </w:pPr>
            <w:r w:rsidRPr="00BE6616">
              <w:rPr>
                <w:rFonts w:eastAsia="Calibri"/>
                <w:sz w:val="20"/>
              </w:rPr>
              <w:t>(Aitken J.)</w:t>
            </w:r>
          </w:p>
          <w:p w:rsidR="0065293A" w:rsidRPr="00BE6616" w:rsidRDefault="0065293A" w:rsidP="00E12E48">
            <w:pPr>
              <w:jc w:val="both"/>
              <w:rPr>
                <w:rFonts w:eastAsia="Calibri"/>
                <w:sz w:val="20"/>
              </w:rPr>
            </w:pPr>
          </w:p>
        </w:tc>
        <w:tc>
          <w:tcPr>
            <w:tcW w:w="243" w:type="pct"/>
          </w:tcPr>
          <w:p w:rsidR="0065293A" w:rsidRPr="00BE6616" w:rsidRDefault="0065293A" w:rsidP="00E12E48">
            <w:pPr>
              <w:jc w:val="both"/>
              <w:rPr>
                <w:rFonts w:eastAsia="Calibri"/>
                <w:sz w:val="20"/>
              </w:rPr>
            </w:pPr>
          </w:p>
        </w:tc>
        <w:tc>
          <w:tcPr>
            <w:tcW w:w="2330" w:type="pct"/>
          </w:tcPr>
          <w:p w:rsidR="0065293A" w:rsidRPr="00BE6616" w:rsidRDefault="0065293A" w:rsidP="00E12E48">
            <w:pPr>
              <w:jc w:val="both"/>
              <w:rPr>
                <w:rFonts w:eastAsia="Calibri"/>
                <w:sz w:val="20"/>
              </w:rPr>
            </w:pPr>
            <w:r w:rsidRPr="00BE6616">
              <w:rPr>
                <w:rFonts w:eastAsia="Calibri"/>
                <w:sz w:val="20"/>
              </w:rPr>
              <w:t>The Crown and the Parents and Loba found liable to the plaintiffs for negligent misrepresentation, as well as for breach of fiduciary duty; liability apportioned as 80% for the Crown and 20% for the Parents and Loba.</w:t>
            </w:r>
          </w:p>
          <w:p w:rsidR="0065293A" w:rsidRPr="00BE6616" w:rsidRDefault="0065293A" w:rsidP="00E12E48">
            <w:pPr>
              <w:jc w:val="both"/>
              <w:rPr>
                <w:rFonts w:eastAsia="Calibri"/>
                <w:sz w:val="20"/>
              </w:rPr>
            </w:pPr>
          </w:p>
        </w:tc>
      </w:tr>
      <w:tr w:rsidR="0065293A" w:rsidRPr="00BE6616" w:rsidTr="00E12E48">
        <w:tc>
          <w:tcPr>
            <w:tcW w:w="2427" w:type="pct"/>
          </w:tcPr>
          <w:p w:rsidR="0065293A" w:rsidRPr="00BE6616" w:rsidRDefault="0065293A" w:rsidP="00E12E48">
            <w:pPr>
              <w:jc w:val="both"/>
              <w:rPr>
                <w:rFonts w:eastAsia="Calibri"/>
                <w:sz w:val="20"/>
              </w:rPr>
            </w:pPr>
            <w:r w:rsidRPr="00BE6616">
              <w:rPr>
                <w:rFonts w:eastAsia="Calibri"/>
                <w:sz w:val="20"/>
              </w:rPr>
              <w:t>February 28, 2011</w:t>
            </w:r>
          </w:p>
          <w:p w:rsidR="0065293A" w:rsidRPr="00BE6616" w:rsidRDefault="0065293A" w:rsidP="00E12E48">
            <w:pPr>
              <w:jc w:val="both"/>
              <w:rPr>
                <w:rFonts w:eastAsia="Calibri"/>
                <w:sz w:val="20"/>
              </w:rPr>
            </w:pPr>
            <w:r w:rsidRPr="00BE6616">
              <w:rPr>
                <w:rFonts w:eastAsia="Calibri"/>
                <w:sz w:val="20"/>
              </w:rPr>
              <w:t>Court of Appeal for Ontario</w:t>
            </w:r>
          </w:p>
          <w:p w:rsidR="0065293A" w:rsidRPr="00BE6616" w:rsidRDefault="0065293A" w:rsidP="00E12E48">
            <w:pPr>
              <w:jc w:val="both"/>
              <w:rPr>
                <w:rFonts w:eastAsia="Calibri"/>
                <w:sz w:val="20"/>
              </w:rPr>
            </w:pPr>
            <w:r w:rsidRPr="00BE6616">
              <w:rPr>
                <w:rFonts w:eastAsia="Calibri"/>
                <w:sz w:val="20"/>
              </w:rPr>
              <w:t>(O’Connor, MacPherson and Cronk JJ.A.)</w:t>
            </w:r>
          </w:p>
        </w:tc>
        <w:tc>
          <w:tcPr>
            <w:tcW w:w="243" w:type="pct"/>
          </w:tcPr>
          <w:p w:rsidR="0065293A" w:rsidRPr="00BE6616" w:rsidRDefault="0065293A" w:rsidP="00E12E48">
            <w:pPr>
              <w:jc w:val="both"/>
              <w:rPr>
                <w:rFonts w:eastAsia="Calibri"/>
                <w:sz w:val="20"/>
              </w:rPr>
            </w:pPr>
          </w:p>
        </w:tc>
        <w:tc>
          <w:tcPr>
            <w:tcW w:w="2330" w:type="pct"/>
          </w:tcPr>
          <w:p w:rsidR="0065293A" w:rsidRPr="00BE6616" w:rsidRDefault="0065293A" w:rsidP="00E12E48">
            <w:pPr>
              <w:jc w:val="both"/>
              <w:rPr>
                <w:rFonts w:eastAsia="Calibri"/>
                <w:sz w:val="20"/>
              </w:rPr>
            </w:pPr>
            <w:r w:rsidRPr="00BE6616">
              <w:rPr>
                <w:rFonts w:eastAsia="Calibri"/>
                <w:sz w:val="20"/>
              </w:rPr>
              <w:t>Respondent’s appeal allowed; liability re-apportioned as 60% for the Crown and 40% for the Parents and Loba.</w:t>
            </w:r>
          </w:p>
          <w:p w:rsidR="0065293A" w:rsidRPr="00BE6616" w:rsidRDefault="0065293A" w:rsidP="00E12E48">
            <w:pPr>
              <w:jc w:val="both"/>
              <w:rPr>
                <w:rFonts w:eastAsia="Calibri"/>
                <w:sz w:val="20"/>
              </w:rPr>
            </w:pPr>
          </w:p>
        </w:tc>
      </w:tr>
      <w:tr w:rsidR="0065293A" w:rsidRPr="00BE6616" w:rsidTr="00E12E48">
        <w:tc>
          <w:tcPr>
            <w:tcW w:w="2427" w:type="pct"/>
          </w:tcPr>
          <w:p w:rsidR="0065293A" w:rsidRPr="00BE6616" w:rsidRDefault="0065293A" w:rsidP="00E12E48">
            <w:pPr>
              <w:jc w:val="both"/>
              <w:rPr>
                <w:rFonts w:eastAsia="Calibri"/>
                <w:sz w:val="20"/>
              </w:rPr>
            </w:pPr>
            <w:r w:rsidRPr="00BE6616">
              <w:rPr>
                <w:rFonts w:eastAsia="Calibri"/>
                <w:sz w:val="20"/>
              </w:rPr>
              <w:t>April 29, 2011</w:t>
            </w:r>
          </w:p>
          <w:p w:rsidR="0065293A" w:rsidRPr="00BE6616" w:rsidRDefault="0065293A" w:rsidP="00E12E48">
            <w:pPr>
              <w:jc w:val="both"/>
              <w:rPr>
                <w:rFonts w:eastAsia="Calibri"/>
                <w:sz w:val="20"/>
              </w:rPr>
            </w:pPr>
            <w:r w:rsidRPr="00BE6616">
              <w:rPr>
                <w:rFonts w:eastAsia="Calibri"/>
                <w:sz w:val="20"/>
              </w:rPr>
              <w:t>Supreme Court of Canada</w:t>
            </w:r>
          </w:p>
        </w:tc>
        <w:tc>
          <w:tcPr>
            <w:tcW w:w="243" w:type="pct"/>
          </w:tcPr>
          <w:p w:rsidR="0065293A" w:rsidRPr="00BE6616" w:rsidRDefault="0065293A" w:rsidP="00E12E48">
            <w:pPr>
              <w:jc w:val="both"/>
              <w:rPr>
                <w:rFonts w:eastAsia="Calibri"/>
                <w:sz w:val="20"/>
              </w:rPr>
            </w:pPr>
          </w:p>
        </w:tc>
        <w:tc>
          <w:tcPr>
            <w:tcW w:w="2330" w:type="pct"/>
          </w:tcPr>
          <w:p w:rsidR="0065293A" w:rsidRPr="00BE6616" w:rsidRDefault="0065293A" w:rsidP="00E12E48">
            <w:pPr>
              <w:jc w:val="both"/>
              <w:rPr>
                <w:rFonts w:eastAsia="Calibri"/>
                <w:sz w:val="20"/>
              </w:rPr>
            </w:pPr>
            <w:r w:rsidRPr="00BE6616">
              <w:rPr>
                <w:rFonts w:eastAsia="Calibri"/>
                <w:sz w:val="20"/>
              </w:rPr>
              <w:t>Application for leave to appeal filed</w:t>
            </w:r>
          </w:p>
          <w:p w:rsidR="0065293A" w:rsidRPr="00BE6616" w:rsidRDefault="0065293A" w:rsidP="00E12E4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59"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65293A" w:rsidRPr="00682661" w:rsidTr="00E12E48">
        <w:tc>
          <w:tcPr>
            <w:tcW w:w="5000" w:type="pct"/>
            <w:gridSpan w:val="3"/>
          </w:tcPr>
          <w:p w:rsidR="0065293A" w:rsidRPr="00BE6616" w:rsidRDefault="0065293A" w:rsidP="00E12E48">
            <w:pPr>
              <w:jc w:val="both"/>
              <w:rPr>
                <w:rFonts w:eastAsia="Calibri"/>
                <w:sz w:val="20"/>
                <w:lang w:val="fr-CA"/>
              </w:rPr>
            </w:pPr>
            <w:r w:rsidRPr="00BE6616">
              <w:rPr>
                <w:rFonts w:eastAsia="Calibri"/>
                <w:sz w:val="20"/>
                <w:lang w:val="fr-CA"/>
              </w:rPr>
              <w:t>Responsabilité délictuelle — Déclaration inexacte faite par négligence — Obligation fiduciaire — Obligation de diligence — Partage de la responsabilité — La déférence est</w:t>
            </w:r>
            <w:r w:rsidRPr="00BE6616">
              <w:rPr>
                <w:rFonts w:eastAsia="Calibri"/>
                <w:sz w:val="20"/>
                <w:lang w:val="fr-CA"/>
              </w:rPr>
              <w:noBreakHyphen/>
              <w:t>elle encore de mise? — La réattribution de la responsabilité se limite</w:t>
            </w:r>
            <w:r w:rsidRPr="00BE6616">
              <w:rPr>
                <w:rFonts w:eastAsia="Calibri"/>
                <w:sz w:val="20"/>
                <w:lang w:val="fr-CA"/>
              </w:rPr>
              <w:noBreakHyphen/>
              <w:t>t</w:t>
            </w:r>
            <w:r w:rsidRPr="00BE6616">
              <w:rPr>
                <w:rFonts w:eastAsia="Calibri"/>
                <w:sz w:val="20"/>
                <w:lang w:val="fr-CA"/>
              </w:rPr>
              <w:noBreakHyphen/>
              <w:t>elle à un jeu comptable? — Dans quelles situations les obligations fiduciaires naissent</w:t>
            </w:r>
            <w:r w:rsidRPr="00BE6616">
              <w:rPr>
                <w:rFonts w:eastAsia="Calibri"/>
                <w:sz w:val="20"/>
                <w:lang w:val="fr-CA"/>
              </w:rPr>
              <w:noBreakHyphen/>
              <w:t>elles et de quelle déférence doit</w:t>
            </w:r>
            <w:r w:rsidRPr="00BE6616">
              <w:rPr>
                <w:rFonts w:eastAsia="Calibri"/>
                <w:sz w:val="20"/>
                <w:lang w:val="fr-CA"/>
              </w:rPr>
              <w:noBreakHyphen/>
              <w:t>on faire preuve à l’égard de la conclusion du juge de première instance en l'absence d'une erreur de droit?</w:t>
            </w:r>
          </w:p>
        </w:tc>
      </w:tr>
      <w:tr w:rsidR="0065293A" w:rsidRPr="00682661" w:rsidTr="00E12E48">
        <w:tc>
          <w:tcPr>
            <w:tcW w:w="5000" w:type="pct"/>
            <w:gridSpan w:val="3"/>
          </w:tcPr>
          <w:p w:rsidR="0065293A" w:rsidRPr="00BE6616" w:rsidRDefault="0065293A" w:rsidP="00E12E48">
            <w:pPr>
              <w:jc w:val="both"/>
              <w:rPr>
                <w:rFonts w:eastAsia="Calibri"/>
                <w:sz w:val="20"/>
                <w:lang w:val="fr-CA"/>
              </w:rPr>
            </w:pPr>
          </w:p>
        </w:tc>
      </w:tr>
      <w:tr w:rsidR="0065293A" w:rsidRPr="00682661" w:rsidTr="00E12E48">
        <w:tc>
          <w:tcPr>
            <w:tcW w:w="5000" w:type="pct"/>
            <w:gridSpan w:val="3"/>
          </w:tcPr>
          <w:p w:rsidR="0065293A" w:rsidRPr="00BE6616" w:rsidRDefault="0065293A" w:rsidP="00E12E48">
            <w:pPr>
              <w:jc w:val="both"/>
              <w:rPr>
                <w:rFonts w:eastAsia="Calibri"/>
                <w:sz w:val="20"/>
                <w:lang w:val="fr-CA"/>
              </w:rPr>
            </w:pPr>
            <w:r w:rsidRPr="00BE6616">
              <w:rPr>
                <w:rFonts w:eastAsia="Calibri"/>
                <w:sz w:val="20"/>
                <w:lang w:val="fr-CA"/>
              </w:rPr>
              <w:t>La présente affaire découle d'un accord réciproque de transfert de pensions (ART) conclu entre la Couronne fédérale et Loba.  Les ART avaient pour but de permettre la transférabilité des pensions entre la Couronne et des employeurs externes.  En 1996, le gouvernement a modifié la</w:t>
            </w:r>
            <w:r w:rsidRPr="00BE6616">
              <w:rPr>
                <w:rFonts w:eastAsia="Calibri"/>
                <w:i/>
                <w:sz w:val="20"/>
                <w:lang w:val="fr-CA"/>
              </w:rPr>
              <w:t xml:space="preserve"> Loi sur la pension de la fonction publique</w:t>
            </w:r>
            <w:r w:rsidRPr="00BE6616">
              <w:rPr>
                <w:rFonts w:eastAsia="Calibri"/>
                <w:sz w:val="20"/>
                <w:lang w:val="fr-CA"/>
              </w:rPr>
              <w:t xml:space="preserve"> pour remplacer les ART par des accords de transfert de pensions, un nouveau mécanisme de transférabilité des pensions fondé sur la valeur actuarielle.  Aucun nouvel ART ne pouvait être conclu après le 15 octobre 1997 et tous les ART en vigueur devaient être résiliés au 15 octobre 2000.  En 1996, le demandeur Sylvain Parent, en sa qualité d'actuaire et de conseiller en régime de retraite, a négocié huit ART avec la Couronne fédérale.  Un des ART avait été conclu avec Loba. Le 31 mars 2000, M. Parent a acheté Loba et a cherché à recruter des fonctionnaires fédéraux avant la date d'expiration de l’ART du 15 octobre.  En 2003, à la suite d'une enquête de l'Agence du revenu du Canada, l'agrément du régime de pension de Loba a été révoqué au motif que le régime de Loba ne satisfaisait pas à la règle dite « du principal objet » de la</w:t>
            </w:r>
            <w:r w:rsidRPr="00BE6616">
              <w:rPr>
                <w:rFonts w:eastAsia="Calibri"/>
                <w:i/>
                <w:sz w:val="20"/>
                <w:lang w:val="fr-CA"/>
              </w:rPr>
              <w:t xml:space="preserve"> Loi de l'impôt sur le revenu</w:t>
            </w:r>
            <w:r w:rsidRPr="00BE6616">
              <w:rPr>
                <w:rFonts w:eastAsia="Calibri"/>
                <w:sz w:val="20"/>
                <w:lang w:val="fr-CA"/>
              </w:rPr>
              <w:t>, c'est</w:t>
            </w:r>
            <w:r w:rsidRPr="00BE6616">
              <w:rPr>
                <w:rFonts w:eastAsia="Calibri"/>
                <w:sz w:val="20"/>
                <w:lang w:val="fr-CA"/>
              </w:rPr>
              <w:noBreakHyphen/>
              <w:t>à</w:t>
            </w:r>
            <w:r w:rsidRPr="00BE6616">
              <w:rPr>
                <w:rFonts w:eastAsia="Calibri"/>
                <w:sz w:val="20"/>
                <w:lang w:val="fr-CA"/>
              </w:rPr>
              <w:noBreakHyphen/>
              <w:t xml:space="preserve">dire fournir des prestations viagères à l'égard de l'emploi.  La Cour d'appel fédéral a confirmé cette décision en 2004 et cette Cour a refusé l'autorisation d'appel en 2005. En raison de la révocation de l'agrément du régime de Loba, les fonds de pension ne pouvaient être transférés en vertu de l’ART de Loba.  Toutefois, les anciens fonctionnaires avaient toujours le droit de recevoir leurs pensions de la fonction publique. </w:t>
            </w:r>
          </w:p>
          <w:p w:rsidR="0065293A" w:rsidRPr="00BE6616" w:rsidRDefault="0065293A" w:rsidP="00E12E48">
            <w:pPr>
              <w:jc w:val="both"/>
              <w:rPr>
                <w:rFonts w:eastAsia="Calibri"/>
                <w:sz w:val="20"/>
                <w:lang w:val="fr-CA"/>
              </w:rPr>
            </w:pPr>
          </w:p>
          <w:p w:rsidR="0065293A" w:rsidRPr="00BE6616" w:rsidRDefault="0065293A" w:rsidP="00E12E48">
            <w:pPr>
              <w:jc w:val="both"/>
              <w:rPr>
                <w:rFonts w:eastAsia="Calibri"/>
                <w:sz w:val="20"/>
                <w:lang w:val="fr-CA"/>
              </w:rPr>
            </w:pPr>
            <w:r w:rsidRPr="00BE6616">
              <w:rPr>
                <w:rFonts w:eastAsia="Calibri"/>
                <w:sz w:val="20"/>
                <w:lang w:val="fr-CA"/>
              </w:rPr>
              <w:t xml:space="preserve">Les demandeurs en première instance ont poursuivi le gouvernement fédéral en dommages et intérêts pour déclaration inexacte faite par négligence, puisque que le gouvernement ne les avait pas informés des risques identifiables importants qu'ils encourraient en démissionnant de la fonction publique pour se joindre à Loba.  La Couronne et Sylvain Parent, Welton Parent Inc. et Loba Limited (les Parent et Loba) ont été tenus responsables envers les demandeurs en première instance pour déclaration inexacte faite par négligence et violation de l'obligation fiduciaire.  Le juge de première instance a attribué une part de responsabilité de 80 % à la Couronne et de 20 % aux Parent et à Loba.  L'appel des intimés a été accueilli et la responsabilité a été réattribuée dans une proportion de 60 % à la </w:t>
            </w:r>
            <w:r w:rsidRPr="00BE6616">
              <w:rPr>
                <w:rFonts w:eastAsia="Calibri"/>
                <w:sz w:val="20"/>
                <w:lang w:val="fr-CA"/>
              </w:rPr>
              <w:lastRenderedPageBreak/>
              <w:t>Couronne et de 40 % aux Parent et à Loba.</w:t>
            </w:r>
          </w:p>
          <w:p w:rsidR="0065293A" w:rsidRPr="00BE6616" w:rsidRDefault="0065293A" w:rsidP="00E12E48">
            <w:pPr>
              <w:jc w:val="both"/>
              <w:rPr>
                <w:rFonts w:eastAsia="Calibri"/>
                <w:sz w:val="20"/>
                <w:lang w:val="fr-CA"/>
              </w:rPr>
            </w:pPr>
          </w:p>
        </w:tc>
      </w:tr>
      <w:tr w:rsidR="0065293A" w:rsidRPr="00682661" w:rsidTr="00E12E48">
        <w:tc>
          <w:tcPr>
            <w:tcW w:w="2427" w:type="pct"/>
          </w:tcPr>
          <w:p w:rsidR="0065293A" w:rsidRPr="00BE6616" w:rsidRDefault="0065293A" w:rsidP="00E12E48">
            <w:pPr>
              <w:jc w:val="both"/>
              <w:rPr>
                <w:rFonts w:eastAsia="Calibri"/>
                <w:sz w:val="20"/>
                <w:lang w:val="fr-CA"/>
              </w:rPr>
            </w:pPr>
            <w:r w:rsidRPr="00BE6616">
              <w:rPr>
                <w:rFonts w:eastAsia="Calibri"/>
                <w:sz w:val="20"/>
                <w:lang w:val="fr-CA"/>
              </w:rPr>
              <w:lastRenderedPageBreak/>
              <w:t>3 septembre 2008</w:t>
            </w:r>
          </w:p>
          <w:p w:rsidR="0065293A" w:rsidRPr="00BE6616" w:rsidRDefault="0065293A" w:rsidP="00E12E48">
            <w:pPr>
              <w:jc w:val="both"/>
              <w:rPr>
                <w:rFonts w:eastAsia="Calibri"/>
                <w:sz w:val="20"/>
                <w:lang w:val="fr-CA"/>
              </w:rPr>
            </w:pPr>
            <w:r w:rsidRPr="00BE6616">
              <w:rPr>
                <w:rFonts w:eastAsia="Calibri"/>
                <w:sz w:val="20"/>
                <w:lang w:val="fr-CA"/>
              </w:rPr>
              <w:t xml:space="preserve">Cour supérieure de justice de l'Ontario </w:t>
            </w:r>
          </w:p>
          <w:p w:rsidR="0065293A" w:rsidRPr="00BE6616" w:rsidRDefault="0065293A" w:rsidP="00E12E48">
            <w:pPr>
              <w:jc w:val="both"/>
              <w:rPr>
                <w:rFonts w:eastAsia="Calibri"/>
                <w:sz w:val="20"/>
                <w:lang w:val="fr-CA"/>
              </w:rPr>
            </w:pPr>
            <w:r w:rsidRPr="00BE6616">
              <w:rPr>
                <w:rFonts w:eastAsia="Calibri"/>
                <w:sz w:val="20"/>
                <w:lang w:val="fr-CA"/>
              </w:rPr>
              <w:t>(Juge Aitken)</w:t>
            </w:r>
          </w:p>
          <w:p w:rsidR="0065293A" w:rsidRPr="00BE6616" w:rsidRDefault="0065293A" w:rsidP="00E12E48">
            <w:pPr>
              <w:jc w:val="both"/>
              <w:rPr>
                <w:rFonts w:eastAsia="Calibri"/>
                <w:sz w:val="20"/>
                <w:lang w:val="fr-CA"/>
              </w:rPr>
            </w:pPr>
          </w:p>
        </w:tc>
        <w:tc>
          <w:tcPr>
            <w:tcW w:w="243" w:type="pct"/>
          </w:tcPr>
          <w:p w:rsidR="0065293A" w:rsidRPr="00BE6616" w:rsidRDefault="0065293A" w:rsidP="00E12E48">
            <w:pPr>
              <w:jc w:val="both"/>
              <w:rPr>
                <w:rFonts w:eastAsia="Calibri"/>
                <w:sz w:val="20"/>
                <w:lang w:val="fr-CA"/>
              </w:rPr>
            </w:pPr>
          </w:p>
        </w:tc>
        <w:tc>
          <w:tcPr>
            <w:tcW w:w="2330" w:type="pct"/>
          </w:tcPr>
          <w:p w:rsidR="0065293A" w:rsidRPr="00BE6616" w:rsidRDefault="0065293A" w:rsidP="00E12E48">
            <w:pPr>
              <w:jc w:val="both"/>
              <w:rPr>
                <w:rFonts w:eastAsia="Calibri"/>
                <w:sz w:val="20"/>
                <w:lang w:val="fr-CA"/>
              </w:rPr>
            </w:pPr>
            <w:r w:rsidRPr="00BE6616">
              <w:rPr>
                <w:rFonts w:eastAsia="Calibri"/>
                <w:sz w:val="20"/>
                <w:lang w:val="fr-CA"/>
              </w:rPr>
              <w:t>La Couronne, les Parent et Loba tenus responsables envers les demandeurs en première instance pour déclaration inexacte faite par négligence et violation de l'obligation fiduciaire; attribution de la responsabilité à 80 % pour la Couronne et à 20 % pour les Parent et Loba.</w:t>
            </w:r>
          </w:p>
          <w:p w:rsidR="0065293A" w:rsidRPr="00BE6616" w:rsidRDefault="0065293A" w:rsidP="00E12E48">
            <w:pPr>
              <w:jc w:val="both"/>
              <w:rPr>
                <w:rFonts w:eastAsia="Calibri"/>
                <w:sz w:val="20"/>
                <w:lang w:val="fr-CA"/>
              </w:rPr>
            </w:pPr>
          </w:p>
        </w:tc>
      </w:tr>
      <w:tr w:rsidR="0065293A" w:rsidRPr="00682661" w:rsidTr="00E12E48">
        <w:tc>
          <w:tcPr>
            <w:tcW w:w="2427" w:type="pct"/>
          </w:tcPr>
          <w:p w:rsidR="0065293A" w:rsidRPr="00BE6616" w:rsidRDefault="0065293A" w:rsidP="00E12E48">
            <w:pPr>
              <w:jc w:val="both"/>
              <w:rPr>
                <w:rFonts w:eastAsia="Calibri"/>
                <w:sz w:val="20"/>
                <w:lang w:val="fr-CA"/>
              </w:rPr>
            </w:pPr>
            <w:r w:rsidRPr="00BE6616">
              <w:rPr>
                <w:rFonts w:eastAsia="Calibri"/>
                <w:sz w:val="20"/>
                <w:lang w:val="fr-CA"/>
              </w:rPr>
              <w:t>28 février 2011</w:t>
            </w:r>
          </w:p>
          <w:p w:rsidR="0065293A" w:rsidRPr="00BE6616" w:rsidRDefault="0065293A" w:rsidP="00E12E48">
            <w:pPr>
              <w:jc w:val="both"/>
              <w:rPr>
                <w:rFonts w:eastAsia="Calibri"/>
                <w:sz w:val="20"/>
                <w:lang w:val="fr-CA"/>
              </w:rPr>
            </w:pPr>
            <w:r w:rsidRPr="00BE6616">
              <w:rPr>
                <w:rFonts w:eastAsia="Calibri"/>
                <w:sz w:val="20"/>
                <w:lang w:val="fr-CA"/>
              </w:rPr>
              <w:t xml:space="preserve">Cour d'appel de l'Ontario </w:t>
            </w:r>
          </w:p>
          <w:p w:rsidR="0065293A" w:rsidRPr="00BE6616" w:rsidRDefault="0065293A" w:rsidP="00E12E48">
            <w:pPr>
              <w:jc w:val="both"/>
              <w:rPr>
                <w:rFonts w:eastAsia="Calibri"/>
                <w:sz w:val="20"/>
                <w:lang w:val="fr-CA"/>
              </w:rPr>
            </w:pPr>
            <w:r w:rsidRPr="00BE6616">
              <w:rPr>
                <w:rFonts w:eastAsia="Calibri"/>
                <w:sz w:val="20"/>
                <w:lang w:val="fr-CA"/>
              </w:rPr>
              <w:t>(Juges O’Connor, MacPherson et Cronk)</w:t>
            </w:r>
          </w:p>
          <w:p w:rsidR="0065293A" w:rsidRPr="00BE6616" w:rsidRDefault="0065293A" w:rsidP="00E12E48">
            <w:pPr>
              <w:jc w:val="both"/>
              <w:rPr>
                <w:rFonts w:eastAsia="Calibri"/>
                <w:sz w:val="20"/>
                <w:lang w:val="fr-CA"/>
              </w:rPr>
            </w:pPr>
          </w:p>
        </w:tc>
        <w:tc>
          <w:tcPr>
            <w:tcW w:w="243" w:type="pct"/>
          </w:tcPr>
          <w:p w:rsidR="0065293A" w:rsidRPr="00BE6616" w:rsidRDefault="0065293A" w:rsidP="00E12E48">
            <w:pPr>
              <w:jc w:val="both"/>
              <w:rPr>
                <w:rFonts w:eastAsia="Calibri"/>
                <w:sz w:val="20"/>
                <w:lang w:val="fr-CA"/>
              </w:rPr>
            </w:pPr>
          </w:p>
        </w:tc>
        <w:tc>
          <w:tcPr>
            <w:tcW w:w="2330" w:type="pct"/>
          </w:tcPr>
          <w:p w:rsidR="0065293A" w:rsidRPr="00BE6616" w:rsidRDefault="0065293A" w:rsidP="00E12E48">
            <w:pPr>
              <w:jc w:val="both"/>
              <w:rPr>
                <w:rFonts w:eastAsia="Calibri"/>
                <w:sz w:val="20"/>
                <w:lang w:val="fr-CA"/>
              </w:rPr>
            </w:pPr>
            <w:r w:rsidRPr="00BE6616">
              <w:rPr>
                <w:rFonts w:eastAsia="Calibri"/>
                <w:sz w:val="20"/>
                <w:lang w:val="fr-CA"/>
              </w:rPr>
              <w:t>Appel des intimés accueilli; réattribution de la responsabilité à 60 % pour la Couronne et à 40 % pour les Parent et Loba.</w:t>
            </w:r>
          </w:p>
        </w:tc>
      </w:tr>
      <w:tr w:rsidR="0065293A" w:rsidRPr="00BE6616" w:rsidTr="00E12E48">
        <w:tc>
          <w:tcPr>
            <w:tcW w:w="2427" w:type="pct"/>
          </w:tcPr>
          <w:p w:rsidR="0065293A" w:rsidRPr="00BE6616" w:rsidRDefault="0065293A" w:rsidP="00E12E48">
            <w:pPr>
              <w:jc w:val="both"/>
              <w:rPr>
                <w:rFonts w:eastAsia="Calibri"/>
                <w:sz w:val="20"/>
                <w:lang w:val="fr-CA"/>
              </w:rPr>
            </w:pPr>
            <w:r w:rsidRPr="00BE6616">
              <w:rPr>
                <w:rFonts w:eastAsia="Calibri"/>
                <w:sz w:val="20"/>
                <w:lang w:val="fr-CA"/>
              </w:rPr>
              <w:t>29 avril 2011</w:t>
            </w:r>
          </w:p>
          <w:p w:rsidR="0065293A" w:rsidRPr="00BE6616" w:rsidRDefault="0065293A" w:rsidP="00E12E48">
            <w:pPr>
              <w:jc w:val="both"/>
              <w:rPr>
                <w:rFonts w:eastAsia="Calibri"/>
                <w:sz w:val="20"/>
                <w:lang w:val="fr-CA"/>
              </w:rPr>
            </w:pPr>
            <w:r w:rsidRPr="00BE6616">
              <w:rPr>
                <w:rFonts w:eastAsia="Calibri"/>
                <w:sz w:val="20"/>
                <w:lang w:val="fr-CA"/>
              </w:rPr>
              <w:t>Cour suprême du Canada</w:t>
            </w:r>
          </w:p>
        </w:tc>
        <w:tc>
          <w:tcPr>
            <w:tcW w:w="243" w:type="pct"/>
          </w:tcPr>
          <w:p w:rsidR="0065293A" w:rsidRPr="00BE6616" w:rsidRDefault="0065293A" w:rsidP="00E12E48">
            <w:pPr>
              <w:jc w:val="both"/>
              <w:rPr>
                <w:rFonts w:eastAsia="Calibri"/>
                <w:sz w:val="20"/>
                <w:lang w:val="fr-CA"/>
              </w:rPr>
            </w:pPr>
          </w:p>
        </w:tc>
        <w:tc>
          <w:tcPr>
            <w:tcW w:w="2330" w:type="pct"/>
          </w:tcPr>
          <w:p w:rsidR="0065293A" w:rsidRPr="00BE6616" w:rsidRDefault="0065293A" w:rsidP="00E12E48">
            <w:pPr>
              <w:jc w:val="both"/>
              <w:rPr>
                <w:rFonts w:eastAsia="Calibri"/>
                <w:sz w:val="20"/>
                <w:lang w:val="fr-CA"/>
              </w:rPr>
            </w:pPr>
            <w:r w:rsidRPr="00BE6616">
              <w:rPr>
                <w:rFonts w:eastAsia="Calibri"/>
                <w:sz w:val="20"/>
                <w:lang w:val="fr-CA"/>
              </w:rPr>
              <w:t>Demande d'autorisation d'appel, déposée</w:t>
            </w:r>
          </w:p>
          <w:p w:rsidR="0065293A" w:rsidRPr="00BE6616" w:rsidRDefault="0065293A" w:rsidP="00E12E4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60"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E3508" w:rsidRPr="004F46DF" w:rsidTr="002E3508">
        <w:trPr>
          <w:cantSplit/>
        </w:trPr>
        <w:tc>
          <w:tcPr>
            <w:tcW w:w="1458" w:type="dxa"/>
          </w:tcPr>
          <w:p w:rsidR="002E3508" w:rsidRPr="004F46DF" w:rsidRDefault="002E3508" w:rsidP="002E3508">
            <w:pPr>
              <w:rPr>
                <w:sz w:val="20"/>
                <w:szCs w:val="20"/>
              </w:rPr>
            </w:pPr>
            <w:r w:rsidRPr="004F46DF">
              <w:rPr>
                <w:rStyle w:val="SCCFileNumberChar"/>
                <w:sz w:val="20"/>
                <w:szCs w:val="20"/>
              </w:rPr>
              <w:t>34229</w:t>
            </w:r>
          </w:p>
          <w:p w:rsidR="002E3508" w:rsidRPr="004F46DF" w:rsidRDefault="002E3508" w:rsidP="002E3508">
            <w:pPr>
              <w:rPr>
                <w:b/>
                <w:sz w:val="20"/>
                <w:szCs w:val="20"/>
                <w:lang w:val="fr-CA"/>
              </w:rPr>
            </w:pPr>
          </w:p>
        </w:tc>
        <w:tc>
          <w:tcPr>
            <w:tcW w:w="8118" w:type="dxa"/>
          </w:tcPr>
          <w:p w:rsidR="002E3508" w:rsidRPr="004F46DF" w:rsidRDefault="002E3508" w:rsidP="002E3508">
            <w:pPr>
              <w:rPr>
                <w:sz w:val="20"/>
                <w:szCs w:val="20"/>
              </w:rPr>
            </w:pPr>
            <w:r w:rsidRPr="002E3508">
              <w:rPr>
                <w:rStyle w:val="SCCLsocChar"/>
                <w:sz w:val="20"/>
                <w:szCs w:val="20"/>
                <w:lang w:val="en-CA"/>
              </w:rPr>
              <w:t>Ivana Levkovic v. Her Majesty the Queen</w:t>
            </w:r>
            <w:r w:rsidRPr="004F46DF">
              <w:rPr>
                <w:sz w:val="20"/>
                <w:szCs w:val="20"/>
              </w:rPr>
              <w:t xml:space="preserve"> (Ont.) (Criminal) (By Leave)</w:t>
            </w:r>
          </w:p>
          <w:p w:rsidR="002E3508" w:rsidRPr="004F46DF" w:rsidRDefault="002E3508" w:rsidP="002E3508">
            <w:pPr>
              <w:rPr>
                <w:sz w:val="20"/>
                <w:szCs w:val="20"/>
              </w:rPr>
            </w:pPr>
          </w:p>
        </w:tc>
      </w:tr>
      <w:tr w:rsidR="002E3508" w:rsidRPr="004F46DF" w:rsidTr="002E3508">
        <w:trPr>
          <w:cantSplit/>
        </w:trPr>
        <w:tc>
          <w:tcPr>
            <w:tcW w:w="1458" w:type="dxa"/>
          </w:tcPr>
          <w:p w:rsidR="002E3508" w:rsidRPr="004F46DF" w:rsidRDefault="002E3508" w:rsidP="002E3508">
            <w:pPr>
              <w:rPr>
                <w:sz w:val="20"/>
                <w:szCs w:val="20"/>
              </w:rPr>
            </w:pPr>
            <w:r w:rsidRPr="004F46DF">
              <w:rPr>
                <w:sz w:val="20"/>
                <w:szCs w:val="20"/>
              </w:rPr>
              <w:t>Coram :</w:t>
            </w:r>
          </w:p>
        </w:tc>
        <w:tc>
          <w:tcPr>
            <w:tcW w:w="8118" w:type="dxa"/>
          </w:tcPr>
          <w:p w:rsidR="002E3508" w:rsidRPr="004F46DF" w:rsidRDefault="002E3508" w:rsidP="002E3508">
            <w:pPr>
              <w:rPr>
                <w:sz w:val="20"/>
                <w:szCs w:val="20"/>
              </w:rPr>
            </w:pPr>
            <w:r w:rsidRPr="004F46DF">
              <w:rPr>
                <w:rStyle w:val="SCCCoramChar"/>
                <w:sz w:val="20"/>
                <w:szCs w:val="20"/>
              </w:rPr>
              <w:t>Binnie, Abella and Rothstein JJ.</w:t>
            </w:r>
          </w:p>
          <w:p w:rsidR="002E3508" w:rsidRPr="004F46DF" w:rsidRDefault="002E3508" w:rsidP="002E3508">
            <w:pPr>
              <w:rPr>
                <w:sz w:val="20"/>
                <w:szCs w:val="20"/>
                <w:u w:val="single"/>
              </w:rPr>
            </w:pPr>
          </w:p>
        </w:tc>
      </w:tr>
      <w:tr w:rsidR="002E3508" w:rsidRPr="00682661" w:rsidTr="002E3508">
        <w:trPr>
          <w:cantSplit/>
        </w:trPr>
        <w:tc>
          <w:tcPr>
            <w:tcW w:w="9576" w:type="dxa"/>
            <w:gridSpan w:val="2"/>
          </w:tcPr>
          <w:p w:rsidR="002E3508" w:rsidRPr="004F46DF" w:rsidRDefault="002E3508" w:rsidP="002E3508">
            <w:pPr>
              <w:pStyle w:val="SCCShortJudgment"/>
              <w:rPr>
                <w:szCs w:val="20"/>
              </w:rPr>
            </w:pPr>
            <w:r w:rsidRPr="004F46DF">
              <w:rPr>
                <w:szCs w:val="20"/>
              </w:rPr>
              <w:t>The motions for an extension of time to serve and file the application for leave to appeal and the applicant’s reply are granted.  The application for leave to appeal from the judgment of the Court of Appeal for Ontario, Number C49523, 2010 ONCA 830, dated December 7, 2010, is granted without costs.</w:t>
            </w:r>
          </w:p>
          <w:p w:rsidR="002E3508" w:rsidRPr="004F46DF" w:rsidRDefault="002E3508" w:rsidP="002E3508">
            <w:pPr>
              <w:pStyle w:val="SCCShortJudgment"/>
              <w:ind w:firstLine="0"/>
              <w:rPr>
                <w:szCs w:val="20"/>
              </w:rPr>
            </w:pPr>
          </w:p>
          <w:p w:rsidR="002E3508" w:rsidRPr="004F46DF" w:rsidRDefault="002E3508" w:rsidP="002E3508">
            <w:pPr>
              <w:pStyle w:val="SCCShortJudgment"/>
              <w:rPr>
                <w:szCs w:val="20"/>
                <w:lang w:val="fr-CA"/>
              </w:rPr>
            </w:pPr>
            <w:r w:rsidRPr="004F46DF">
              <w:rPr>
                <w:szCs w:val="20"/>
                <w:lang w:val="fr-CA"/>
              </w:rPr>
              <w:t>Les requêtes en prorogation du délai de signification et de dépôt de la demande d’autorisation d’appel et de la réplique de la demanderesse sont accordées.  La demande d’autorisation d’appel de l’arrêt de la Cour d’appel de l’Ontario, numéro C49523, 2010 ONCA 830, daté du 7 décembre 2010, est accordée sans dépens.</w:t>
            </w:r>
          </w:p>
        </w:tc>
      </w:tr>
    </w:tbl>
    <w:p w:rsidR="007B50F9" w:rsidRPr="002E3508" w:rsidRDefault="007B50F9" w:rsidP="007B50F9">
      <w:pPr>
        <w:rPr>
          <w:sz w:val="20"/>
          <w:szCs w:val="20"/>
          <w:lang w:val="fr-CA"/>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5000" w:type="pct"/>
        <w:tblLayout w:type="fixed"/>
        <w:tblCellMar>
          <w:left w:w="0" w:type="dxa"/>
          <w:bottom w:w="99" w:type="dxa"/>
          <w:right w:w="0" w:type="dxa"/>
        </w:tblCellMar>
        <w:tblLook w:val="04A0"/>
      </w:tblPr>
      <w:tblGrid>
        <w:gridCol w:w="4553"/>
        <w:gridCol w:w="514"/>
        <w:gridCol w:w="4552"/>
      </w:tblGrid>
      <w:tr w:rsidR="002714AB" w:rsidRPr="00BE6616" w:rsidTr="00E12E48">
        <w:tc>
          <w:tcPr>
            <w:tcW w:w="5000" w:type="pct"/>
            <w:gridSpan w:val="3"/>
          </w:tcPr>
          <w:p w:rsidR="002714AB" w:rsidRPr="00BE6616" w:rsidRDefault="002714AB" w:rsidP="00E12E48">
            <w:pPr>
              <w:jc w:val="both"/>
              <w:rPr>
                <w:rFonts w:eastAsia="Calibri"/>
                <w:sz w:val="20"/>
              </w:rPr>
            </w:pPr>
            <w:r w:rsidRPr="00BE6616">
              <w:rPr>
                <w:rFonts w:eastAsia="Calibri"/>
                <w:i/>
                <w:sz w:val="20"/>
              </w:rPr>
              <w:t>Charter of Right and Freedoms</w:t>
            </w:r>
            <w:r w:rsidRPr="00BE6616">
              <w:rPr>
                <w:rFonts w:eastAsia="Calibri"/>
                <w:sz w:val="20"/>
              </w:rPr>
              <w:t xml:space="preserve"> — Constitutional Law — Right to Liberty — Criminal Law — Offences — Whether parts of s. 243 of </w:t>
            </w:r>
            <w:r w:rsidRPr="00BE6616">
              <w:rPr>
                <w:rFonts w:eastAsia="Calibri"/>
                <w:i/>
                <w:sz w:val="20"/>
              </w:rPr>
              <w:t>Criminal Code</w:t>
            </w:r>
            <w:r w:rsidRPr="00BE6616">
              <w:rPr>
                <w:rFonts w:eastAsia="Calibri"/>
                <w:sz w:val="20"/>
              </w:rPr>
              <w:t xml:space="preserve"> are unconstitutionally vague</w:t>
            </w:r>
          </w:p>
        </w:tc>
      </w:tr>
      <w:tr w:rsidR="002714AB" w:rsidRPr="00BE6616" w:rsidTr="00E12E48">
        <w:tc>
          <w:tcPr>
            <w:tcW w:w="5000" w:type="pct"/>
            <w:gridSpan w:val="3"/>
          </w:tcPr>
          <w:p w:rsidR="002714AB" w:rsidRPr="00BE6616" w:rsidRDefault="002714AB" w:rsidP="00E12E48">
            <w:pPr>
              <w:jc w:val="both"/>
              <w:rPr>
                <w:rFonts w:eastAsia="Calibri"/>
                <w:sz w:val="20"/>
              </w:rPr>
            </w:pPr>
          </w:p>
        </w:tc>
      </w:tr>
      <w:tr w:rsidR="002714AB" w:rsidRPr="00BE6616" w:rsidTr="00E12E48">
        <w:tc>
          <w:tcPr>
            <w:tcW w:w="5000" w:type="pct"/>
            <w:gridSpan w:val="3"/>
          </w:tcPr>
          <w:p w:rsidR="002714AB" w:rsidRPr="00BE6616" w:rsidRDefault="002714AB" w:rsidP="00E12E48">
            <w:pPr>
              <w:jc w:val="both"/>
              <w:rPr>
                <w:rFonts w:eastAsia="Calibri"/>
                <w:sz w:val="20"/>
              </w:rPr>
            </w:pPr>
            <w:r w:rsidRPr="00BE6616">
              <w:rPr>
                <w:rFonts w:eastAsia="Calibri"/>
                <w:sz w:val="20"/>
              </w:rPr>
              <w:t xml:space="preserve">Section 243 of the </w:t>
            </w:r>
            <w:r w:rsidRPr="00BE6616">
              <w:rPr>
                <w:rFonts w:eastAsia="Calibri"/>
                <w:i/>
                <w:sz w:val="20"/>
              </w:rPr>
              <w:t>Criminal Code</w:t>
            </w:r>
            <w:r w:rsidRPr="00BE6616">
              <w:rPr>
                <w:rFonts w:eastAsia="Calibri"/>
                <w:sz w:val="20"/>
              </w:rPr>
              <w:t xml:space="preserve"> makes it an offence to dispose of the dead body of a child, with intent to conceal the fact that its mother has been delivered of it, whether the child died before, during or after birth.  The word “child” is not defined in the </w:t>
            </w:r>
            <w:r w:rsidRPr="00BE6616">
              <w:rPr>
                <w:rFonts w:eastAsia="Calibri"/>
                <w:i/>
                <w:sz w:val="20"/>
              </w:rPr>
              <w:t>Criminal Code</w:t>
            </w:r>
            <w:r w:rsidRPr="00BE6616">
              <w:rPr>
                <w:rFonts w:eastAsia="Calibri"/>
                <w:sz w:val="20"/>
              </w:rPr>
              <w:t xml:space="preserve">.  The remains of a human foetus were found in a garbage bag left on the balcony of the applicant’s recently vacated apartment.  The applicant admitted to the police that the child was hers, the child was born in the apartment after a fall, she put the child in the bag, and she left the bag on the balcony. A pathologist could not determine the cause of death or whether the child died before, during or after birth and the Crown has not argued that the child was born alive. </w:t>
            </w:r>
          </w:p>
          <w:p w:rsidR="002714AB" w:rsidRPr="00BE6616" w:rsidRDefault="002714AB" w:rsidP="00E12E48">
            <w:pPr>
              <w:jc w:val="both"/>
              <w:rPr>
                <w:rFonts w:eastAsia="Calibri"/>
                <w:sz w:val="20"/>
              </w:rPr>
            </w:pPr>
          </w:p>
          <w:p w:rsidR="002714AB" w:rsidRPr="00BE6616" w:rsidRDefault="002714AB" w:rsidP="00E12E48">
            <w:pPr>
              <w:jc w:val="both"/>
              <w:rPr>
                <w:rFonts w:eastAsia="Calibri"/>
                <w:sz w:val="20"/>
              </w:rPr>
            </w:pPr>
            <w:r w:rsidRPr="00BE6616">
              <w:rPr>
                <w:rFonts w:eastAsia="Calibri"/>
                <w:sz w:val="20"/>
              </w:rPr>
              <w:t xml:space="preserve">The applicant was charged under s. 243 with concealing the dead body of a child.  At issue is whether the words "child died before ... birth" are vague and therefore whether s. 243 breaches s. 7 of the </w:t>
            </w:r>
            <w:r w:rsidRPr="00BE6616">
              <w:rPr>
                <w:rFonts w:eastAsia="Calibri"/>
                <w:i/>
                <w:sz w:val="20"/>
              </w:rPr>
              <w:t>Canadian Charter of Rights and Freedoms</w:t>
            </w:r>
            <w:r w:rsidRPr="00BE6616">
              <w:rPr>
                <w:rFonts w:eastAsia="Calibri"/>
                <w:sz w:val="20"/>
              </w:rPr>
              <w:t>.  The trial judge held that he could not determine a coherent, unambiguous meaning for the term "child" in the context of a death that occurs before birth.  He severed the word "before", leaving s. 243 to read "… whether the child died during or after birth…</w:t>
            </w:r>
            <w:proofErr w:type="gramStart"/>
            <w:r w:rsidRPr="00BE6616">
              <w:rPr>
                <w:rFonts w:eastAsia="Calibri"/>
                <w:sz w:val="20"/>
              </w:rPr>
              <w:t>".</w:t>
            </w:r>
            <w:proofErr w:type="gramEnd"/>
            <w:r w:rsidRPr="00BE6616">
              <w:rPr>
                <w:rFonts w:eastAsia="Calibri"/>
                <w:sz w:val="20"/>
              </w:rPr>
              <w:t xml:space="preserve">  Because the Crown could not establish the cause or time of death, he acquitted the applicant.  The Court of Appeal held that s. 243 is not unconstitutionally vague.  It allowed an appeal, set aside the acquittal and ordered a new trial.  </w:t>
            </w:r>
          </w:p>
          <w:p w:rsidR="002714AB" w:rsidRPr="00BE6616" w:rsidRDefault="002714AB" w:rsidP="00E12E48">
            <w:pPr>
              <w:jc w:val="both"/>
              <w:rPr>
                <w:rFonts w:eastAsia="Calibri"/>
                <w:sz w:val="20"/>
              </w:rPr>
            </w:pPr>
          </w:p>
        </w:tc>
      </w:tr>
      <w:tr w:rsidR="002714AB" w:rsidRPr="00BE6616" w:rsidTr="00E12E48">
        <w:tblPrEx>
          <w:tblCellMar>
            <w:bottom w:w="0" w:type="dxa"/>
          </w:tblCellMar>
        </w:tblPrEx>
        <w:tc>
          <w:tcPr>
            <w:tcW w:w="2367" w:type="pct"/>
          </w:tcPr>
          <w:p w:rsidR="002714AB" w:rsidRPr="00BE6616" w:rsidRDefault="002714AB" w:rsidP="00E12E48">
            <w:pPr>
              <w:jc w:val="both"/>
              <w:rPr>
                <w:rFonts w:eastAsia="Calibri"/>
                <w:sz w:val="20"/>
              </w:rPr>
            </w:pPr>
            <w:r w:rsidRPr="00BE6616">
              <w:rPr>
                <w:rFonts w:eastAsia="Calibri"/>
                <w:sz w:val="20"/>
              </w:rPr>
              <w:lastRenderedPageBreak/>
              <w:t>September 18, 2008</w:t>
            </w:r>
          </w:p>
          <w:p w:rsidR="002714AB" w:rsidRPr="00BE6616" w:rsidRDefault="002714AB" w:rsidP="00E12E48">
            <w:pPr>
              <w:jc w:val="both"/>
              <w:rPr>
                <w:rFonts w:eastAsia="Calibri"/>
                <w:sz w:val="20"/>
              </w:rPr>
            </w:pPr>
            <w:r w:rsidRPr="00BE6616">
              <w:rPr>
                <w:rFonts w:eastAsia="Calibri"/>
                <w:sz w:val="20"/>
              </w:rPr>
              <w:t>Ontario Superior Court of Justice</w:t>
            </w:r>
          </w:p>
          <w:p w:rsidR="002714AB" w:rsidRPr="00BE6616" w:rsidRDefault="002714AB" w:rsidP="00E12E48">
            <w:pPr>
              <w:jc w:val="both"/>
              <w:rPr>
                <w:rFonts w:eastAsia="Calibri"/>
                <w:sz w:val="20"/>
              </w:rPr>
            </w:pPr>
            <w:r w:rsidRPr="00BE6616">
              <w:rPr>
                <w:rFonts w:eastAsia="Calibri"/>
                <w:sz w:val="20"/>
              </w:rPr>
              <w:t xml:space="preserve">(Hill J.) </w:t>
            </w:r>
          </w:p>
          <w:p w:rsidR="002714AB" w:rsidRPr="00BE6616" w:rsidRDefault="002714AB" w:rsidP="00E12E48">
            <w:pPr>
              <w:jc w:val="both"/>
              <w:rPr>
                <w:rFonts w:eastAsia="Calibri"/>
                <w:sz w:val="20"/>
              </w:rPr>
            </w:pPr>
          </w:p>
        </w:tc>
        <w:tc>
          <w:tcPr>
            <w:tcW w:w="267" w:type="pct"/>
          </w:tcPr>
          <w:p w:rsidR="002714AB" w:rsidRPr="00BE6616" w:rsidRDefault="002714AB" w:rsidP="00E12E48">
            <w:pPr>
              <w:jc w:val="both"/>
              <w:rPr>
                <w:rFonts w:eastAsia="Calibri"/>
                <w:sz w:val="20"/>
              </w:rPr>
            </w:pPr>
          </w:p>
        </w:tc>
        <w:tc>
          <w:tcPr>
            <w:tcW w:w="2366" w:type="pct"/>
          </w:tcPr>
          <w:p w:rsidR="002714AB" w:rsidRPr="00BE6616" w:rsidRDefault="002714AB" w:rsidP="00E12E48">
            <w:pPr>
              <w:jc w:val="both"/>
              <w:rPr>
                <w:rFonts w:eastAsia="Calibri"/>
                <w:sz w:val="20"/>
              </w:rPr>
            </w:pPr>
            <w:r w:rsidRPr="00BE6616">
              <w:rPr>
                <w:rFonts w:eastAsia="Calibri"/>
                <w:sz w:val="20"/>
              </w:rPr>
              <w:t>Applicant acquitted on charge of disposing of dead body of a child with intent to conceal that she had been delivered of it</w:t>
            </w:r>
          </w:p>
          <w:p w:rsidR="002714AB" w:rsidRPr="00BE6616" w:rsidRDefault="002714AB" w:rsidP="00E12E48">
            <w:pPr>
              <w:jc w:val="both"/>
              <w:rPr>
                <w:rFonts w:eastAsia="Calibri"/>
                <w:sz w:val="20"/>
              </w:rPr>
            </w:pPr>
          </w:p>
        </w:tc>
      </w:tr>
      <w:tr w:rsidR="002714AB" w:rsidRPr="00BE6616" w:rsidTr="00E12E48">
        <w:tblPrEx>
          <w:tblCellMar>
            <w:bottom w:w="0" w:type="dxa"/>
          </w:tblCellMar>
        </w:tblPrEx>
        <w:tc>
          <w:tcPr>
            <w:tcW w:w="2367" w:type="pct"/>
          </w:tcPr>
          <w:p w:rsidR="002714AB" w:rsidRPr="00BE6616" w:rsidRDefault="002714AB" w:rsidP="00E12E48">
            <w:pPr>
              <w:jc w:val="both"/>
              <w:rPr>
                <w:rFonts w:eastAsia="Calibri"/>
                <w:sz w:val="20"/>
              </w:rPr>
            </w:pPr>
            <w:r w:rsidRPr="00BE6616">
              <w:rPr>
                <w:rFonts w:eastAsia="Calibri"/>
                <w:sz w:val="20"/>
              </w:rPr>
              <w:t>December 7, 2010</w:t>
            </w:r>
          </w:p>
          <w:p w:rsidR="002714AB" w:rsidRPr="00BE6616" w:rsidRDefault="002714AB" w:rsidP="00E12E48">
            <w:pPr>
              <w:jc w:val="both"/>
              <w:rPr>
                <w:rFonts w:eastAsia="Calibri"/>
                <w:sz w:val="20"/>
              </w:rPr>
            </w:pPr>
            <w:r w:rsidRPr="00BE6616">
              <w:rPr>
                <w:rFonts w:eastAsia="Calibri"/>
                <w:sz w:val="20"/>
              </w:rPr>
              <w:t xml:space="preserve">Court of Appeal for Ontario </w:t>
            </w:r>
          </w:p>
          <w:p w:rsidR="002714AB" w:rsidRPr="00BE6616" w:rsidRDefault="002714AB" w:rsidP="00E12E48">
            <w:pPr>
              <w:jc w:val="both"/>
              <w:rPr>
                <w:rFonts w:eastAsia="Calibri"/>
                <w:sz w:val="20"/>
              </w:rPr>
            </w:pPr>
            <w:r w:rsidRPr="00BE6616">
              <w:rPr>
                <w:rFonts w:eastAsia="Calibri"/>
                <w:sz w:val="20"/>
              </w:rPr>
              <w:t>(Doherty, Armstrong, Watt JJ.A.)</w:t>
            </w:r>
          </w:p>
          <w:p w:rsidR="002714AB" w:rsidRPr="00BE6616" w:rsidRDefault="002714AB" w:rsidP="00E12E48">
            <w:pPr>
              <w:jc w:val="both"/>
              <w:rPr>
                <w:rFonts w:eastAsia="Calibri"/>
                <w:sz w:val="20"/>
              </w:rPr>
            </w:pPr>
            <w:r w:rsidRPr="00BE6616">
              <w:rPr>
                <w:rFonts w:eastAsia="Calibri"/>
                <w:sz w:val="20"/>
              </w:rPr>
              <w:t>2010 ONCA 830</w:t>
            </w:r>
          </w:p>
          <w:p w:rsidR="002714AB" w:rsidRPr="00BE6616" w:rsidRDefault="002714AB" w:rsidP="00E12E48">
            <w:pPr>
              <w:jc w:val="both"/>
              <w:rPr>
                <w:rFonts w:eastAsia="Calibri"/>
                <w:sz w:val="20"/>
              </w:rPr>
            </w:pPr>
            <w:r w:rsidRPr="00BE6616">
              <w:rPr>
                <w:rFonts w:eastAsia="Calibri"/>
                <w:sz w:val="20"/>
              </w:rPr>
              <w:t>C49523</w:t>
            </w:r>
          </w:p>
          <w:p w:rsidR="002714AB" w:rsidRPr="00BE6616" w:rsidRDefault="002714AB" w:rsidP="00E12E48">
            <w:pPr>
              <w:jc w:val="both"/>
              <w:rPr>
                <w:rFonts w:eastAsia="Calibri"/>
                <w:sz w:val="20"/>
              </w:rPr>
            </w:pPr>
          </w:p>
        </w:tc>
        <w:tc>
          <w:tcPr>
            <w:tcW w:w="267" w:type="pct"/>
          </w:tcPr>
          <w:p w:rsidR="002714AB" w:rsidRPr="00BE6616" w:rsidRDefault="002714AB" w:rsidP="00E12E48">
            <w:pPr>
              <w:jc w:val="both"/>
              <w:rPr>
                <w:rFonts w:eastAsia="Calibri"/>
                <w:sz w:val="20"/>
              </w:rPr>
            </w:pPr>
          </w:p>
        </w:tc>
        <w:tc>
          <w:tcPr>
            <w:tcW w:w="2366" w:type="pct"/>
          </w:tcPr>
          <w:p w:rsidR="002714AB" w:rsidRPr="00BE6616" w:rsidRDefault="002714AB" w:rsidP="00E12E48">
            <w:pPr>
              <w:jc w:val="both"/>
              <w:rPr>
                <w:rFonts w:eastAsia="Calibri"/>
                <w:sz w:val="20"/>
              </w:rPr>
            </w:pPr>
            <w:r w:rsidRPr="00BE6616">
              <w:rPr>
                <w:rFonts w:eastAsia="Calibri"/>
                <w:sz w:val="20"/>
              </w:rPr>
              <w:t>Appeal granted, acquittal set aside, new trial ordered</w:t>
            </w:r>
          </w:p>
          <w:p w:rsidR="002714AB" w:rsidRPr="00BE6616" w:rsidRDefault="002714AB" w:rsidP="00E12E48">
            <w:pPr>
              <w:jc w:val="both"/>
              <w:rPr>
                <w:rFonts w:eastAsia="Calibri"/>
                <w:sz w:val="20"/>
              </w:rPr>
            </w:pPr>
          </w:p>
        </w:tc>
      </w:tr>
      <w:tr w:rsidR="002714AB" w:rsidRPr="00BE6616" w:rsidTr="00E12E48">
        <w:tblPrEx>
          <w:tblCellMar>
            <w:bottom w:w="0" w:type="dxa"/>
          </w:tblCellMar>
        </w:tblPrEx>
        <w:tc>
          <w:tcPr>
            <w:tcW w:w="2367" w:type="pct"/>
          </w:tcPr>
          <w:p w:rsidR="002714AB" w:rsidRPr="00BE6616" w:rsidRDefault="002714AB" w:rsidP="00E12E48">
            <w:pPr>
              <w:jc w:val="both"/>
              <w:rPr>
                <w:rFonts w:eastAsia="Calibri"/>
                <w:sz w:val="20"/>
              </w:rPr>
            </w:pPr>
            <w:r w:rsidRPr="00BE6616">
              <w:rPr>
                <w:rFonts w:eastAsia="Calibri"/>
                <w:sz w:val="20"/>
              </w:rPr>
              <w:t>May 4, 2011</w:t>
            </w:r>
          </w:p>
          <w:p w:rsidR="002714AB" w:rsidRPr="00BE6616" w:rsidRDefault="002714AB" w:rsidP="00E12E48">
            <w:pPr>
              <w:jc w:val="both"/>
              <w:rPr>
                <w:rFonts w:eastAsia="Calibri"/>
                <w:sz w:val="20"/>
              </w:rPr>
            </w:pPr>
            <w:r w:rsidRPr="00BE6616">
              <w:rPr>
                <w:rFonts w:eastAsia="Calibri"/>
                <w:sz w:val="20"/>
              </w:rPr>
              <w:t>Supreme Court of Canada</w:t>
            </w:r>
          </w:p>
        </w:tc>
        <w:tc>
          <w:tcPr>
            <w:tcW w:w="267" w:type="pct"/>
          </w:tcPr>
          <w:p w:rsidR="002714AB" w:rsidRPr="00BE6616" w:rsidRDefault="002714AB" w:rsidP="00E12E48">
            <w:pPr>
              <w:jc w:val="both"/>
              <w:rPr>
                <w:rFonts w:eastAsia="Calibri"/>
                <w:sz w:val="20"/>
              </w:rPr>
            </w:pPr>
          </w:p>
        </w:tc>
        <w:tc>
          <w:tcPr>
            <w:tcW w:w="2366" w:type="pct"/>
          </w:tcPr>
          <w:p w:rsidR="002714AB" w:rsidRPr="00BE6616" w:rsidRDefault="002714AB" w:rsidP="00E12E48">
            <w:pPr>
              <w:jc w:val="both"/>
              <w:rPr>
                <w:rFonts w:eastAsia="Calibri"/>
                <w:sz w:val="20"/>
              </w:rPr>
            </w:pPr>
            <w:r w:rsidRPr="00BE6616">
              <w:rPr>
                <w:rFonts w:eastAsia="Calibri"/>
                <w:sz w:val="20"/>
              </w:rPr>
              <w:t>Motion for extension of time to file and serve application for leave to appeal and Application for leave to appeal filed</w:t>
            </w: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61"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5000" w:type="pct"/>
        <w:tblLayout w:type="fixed"/>
        <w:tblCellMar>
          <w:left w:w="0" w:type="dxa"/>
          <w:bottom w:w="99" w:type="dxa"/>
          <w:right w:w="0" w:type="dxa"/>
        </w:tblCellMar>
        <w:tblLook w:val="00A0"/>
      </w:tblPr>
      <w:tblGrid>
        <w:gridCol w:w="4553"/>
        <w:gridCol w:w="514"/>
        <w:gridCol w:w="4552"/>
      </w:tblGrid>
      <w:tr w:rsidR="002714AB" w:rsidRPr="00682661" w:rsidTr="00E12E48">
        <w:tc>
          <w:tcPr>
            <w:tcW w:w="5000" w:type="pct"/>
            <w:gridSpan w:val="3"/>
          </w:tcPr>
          <w:p w:rsidR="002714AB" w:rsidRPr="00BE6616" w:rsidRDefault="002714AB" w:rsidP="00E12E48">
            <w:pPr>
              <w:jc w:val="both"/>
              <w:rPr>
                <w:rFonts w:eastAsia="Calibri"/>
                <w:sz w:val="20"/>
                <w:lang w:val="fr-CA"/>
              </w:rPr>
            </w:pPr>
            <w:r w:rsidRPr="00BE6616">
              <w:rPr>
                <w:rFonts w:eastAsia="Calibri"/>
                <w:i/>
                <w:sz w:val="20"/>
                <w:lang w:val="fr-CA"/>
              </w:rPr>
              <w:t>Charte des droits et libertés —</w:t>
            </w:r>
            <w:r w:rsidRPr="00BE6616">
              <w:rPr>
                <w:rFonts w:eastAsia="Calibri"/>
                <w:sz w:val="20"/>
                <w:lang w:val="fr-CA"/>
              </w:rPr>
              <w:t xml:space="preserve"> Droit constitutionnel — Droit à la liberté — Droit criminel — Infractions — Certaines parties de l’art. 243 du</w:t>
            </w:r>
            <w:r w:rsidRPr="00BE6616">
              <w:rPr>
                <w:rFonts w:eastAsia="Calibri"/>
                <w:i/>
                <w:sz w:val="20"/>
                <w:lang w:val="fr-CA"/>
              </w:rPr>
              <w:t xml:space="preserve"> Code criminel</w:t>
            </w:r>
            <w:r w:rsidRPr="00BE6616">
              <w:rPr>
                <w:rFonts w:eastAsia="Calibri"/>
                <w:sz w:val="20"/>
                <w:lang w:val="fr-CA"/>
              </w:rPr>
              <w:t xml:space="preserve"> sont-elles imprécises au point d’être inconstitutionnelles?</w:t>
            </w:r>
          </w:p>
        </w:tc>
      </w:tr>
      <w:tr w:rsidR="002714AB" w:rsidRPr="00682661" w:rsidTr="00E12E48">
        <w:tc>
          <w:tcPr>
            <w:tcW w:w="5000" w:type="pct"/>
            <w:gridSpan w:val="3"/>
          </w:tcPr>
          <w:p w:rsidR="002714AB" w:rsidRPr="00BE6616" w:rsidRDefault="002714AB" w:rsidP="00E12E48">
            <w:pPr>
              <w:jc w:val="both"/>
              <w:rPr>
                <w:rFonts w:eastAsia="Calibri"/>
                <w:sz w:val="20"/>
                <w:lang w:val="fr-CA"/>
              </w:rPr>
            </w:pPr>
          </w:p>
        </w:tc>
      </w:tr>
      <w:tr w:rsidR="002714AB" w:rsidRPr="00682661" w:rsidTr="00E12E48">
        <w:tc>
          <w:tcPr>
            <w:tcW w:w="5000" w:type="pct"/>
            <w:gridSpan w:val="3"/>
          </w:tcPr>
          <w:p w:rsidR="002714AB" w:rsidRPr="00BE6616" w:rsidRDefault="002714AB" w:rsidP="00E12E48">
            <w:pPr>
              <w:jc w:val="both"/>
              <w:rPr>
                <w:rFonts w:eastAsia="Calibri"/>
                <w:sz w:val="20"/>
                <w:lang w:val="fr-CA"/>
              </w:rPr>
            </w:pPr>
            <w:r w:rsidRPr="00BE6616">
              <w:rPr>
                <w:rFonts w:eastAsia="Calibri"/>
                <w:sz w:val="20"/>
                <w:lang w:val="fr-CA"/>
              </w:rPr>
              <w:t>En vertu de l’article 243 du</w:t>
            </w:r>
            <w:r w:rsidRPr="00BE6616">
              <w:rPr>
                <w:rFonts w:eastAsia="Calibri"/>
                <w:i/>
                <w:sz w:val="20"/>
                <w:lang w:val="fr-CA"/>
              </w:rPr>
              <w:t xml:space="preserve"> Code criminel</w:t>
            </w:r>
            <w:r w:rsidRPr="00BE6616">
              <w:rPr>
                <w:rFonts w:eastAsia="Calibri"/>
                <w:sz w:val="20"/>
                <w:lang w:val="fr-CA"/>
              </w:rPr>
              <w:t>, commet une infraction quiconque, de quelque manière, fait disparaître le cadavre d’un enfant dans l’intention de cacher le fait que sa mère lui a donné naissance, que l’enfant soit mort avant, pendant ou après la naissance.  Le mot « enfant » n’est pas défini dans le</w:t>
            </w:r>
            <w:r w:rsidRPr="00BE6616">
              <w:rPr>
                <w:rFonts w:eastAsia="Calibri"/>
                <w:i/>
                <w:sz w:val="20"/>
                <w:lang w:val="fr-CA"/>
              </w:rPr>
              <w:t xml:space="preserve"> Code criminel</w:t>
            </w:r>
            <w:r w:rsidRPr="00BE6616">
              <w:rPr>
                <w:rFonts w:eastAsia="Calibri"/>
                <w:sz w:val="20"/>
                <w:lang w:val="fr-CA"/>
              </w:rPr>
              <w:t xml:space="preserve">.  Les restes d’un fœtus humain ont été trouvés dans un sac à déchets laissé sur le balcon de l’appartement que la demanderesse avait récemment quitté.  La demanderesse a admis à la police que l’enfant était le sien, que l’enfant était né dans l’appartement après une chute, qu’elle avait mis l’enfant dans le sac et qu’elle avait laissé le sac sur le balcon.  Un pathologiste n’était pas en mesure de déterminer la cause du décès ou de dire si l’enfant était décédé avant, pendant ou après la naissance; le ministère public n’a pas plaidé que l’enfant était né vivant. </w:t>
            </w:r>
          </w:p>
          <w:p w:rsidR="002714AB" w:rsidRPr="00BE6616" w:rsidRDefault="002714AB" w:rsidP="00E12E48">
            <w:pPr>
              <w:jc w:val="both"/>
              <w:rPr>
                <w:rFonts w:eastAsia="Calibri"/>
                <w:sz w:val="20"/>
                <w:lang w:val="fr-CA"/>
              </w:rPr>
            </w:pPr>
          </w:p>
          <w:p w:rsidR="002714AB" w:rsidRPr="00BE6616" w:rsidRDefault="002714AB" w:rsidP="00E12E48">
            <w:pPr>
              <w:jc w:val="both"/>
              <w:rPr>
                <w:rFonts w:eastAsia="Calibri"/>
                <w:sz w:val="20"/>
                <w:lang w:val="fr-CA"/>
              </w:rPr>
            </w:pPr>
            <w:r w:rsidRPr="00BE6616">
              <w:rPr>
                <w:rFonts w:eastAsia="Calibri"/>
                <w:sz w:val="20"/>
                <w:lang w:val="fr-CA"/>
              </w:rPr>
              <w:t xml:space="preserve">La demanderesse a été accusée en vertu de l’art. 243 d'avoir fait disparaître le cadavre d’un enfant.  La question en litige est de savoir si les mots « enfant soit mort avant […] la naissance » sont imprécis et donc de savoir si l’art. 243 </w:t>
            </w:r>
            <w:proofErr w:type="gramStart"/>
            <w:r w:rsidRPr="00BE6616">
              <w:rPr>
                <w:rFonts w:eastAsia="Calibri"/>
                <w:sz w:val="20"/>
                <w:lang w:val="fr-CA"/>
              </w:rPr>
              <w:t>viole</w:t>
            </w:r>
            <w:proofErr w:type="gramEnd"/>
            <w:r w:rsidRPr="00BE6616">
              <w:rPr>
                <w:rFonts w:eastAsia="Calibri"/>
                <w:sz w:val="20"/>
                <w:lang w:val="fr-CA"/>
              </w:rPr>
              <w:t xml:space="preserve"> l’art. 7 de la</w:t>
            </w:r>
            <w:r w:rsidRPr="00BE6616">
              <w:rPr>
                <w:rFonts w:eastAsia="Calibri"/>
                <w:i/>
                <w:sz w:val="20"/>
                <w:lang w:val="fr-CA"/>
              </w:rPr>
              <w:t xml:space="preserve"> Charte canadienne des droits et libertés</w:t>
            </w:r>
            <w:r w:rsidRPr="00BE6616">
              <w:rPr>
                <w:rFonts w:eastAsia="Calibri"/>
                <w:sz w:val="20"/>
                <w:lang w:val="fr-CA"/>
              </w:rPr>
              <w:t xml:space="preserve">.  Le juge du procès a statué qu’il n'était pas en mesure de déterminer un sens cohérent et non ambigu du terme « enfant » dans le contexte d’un décès qui survient avant la naissance.  Il a retranché le mot « avant », pour que l’art. 243 se lise dorénavant « […] que l’enfant soit mort pendant ou après la naissance […] ».  Parce que le ministère public ne pouvait établir la cause ou le moment du décès, il a acquitté la demanderesse.  La Cour d’appel a statué que l’art. 243 n’étaient pas imprécis au point d’être inconstitutionnel.  Elle a accueilli l’appel, annulé l’acquittement est ordonné un nouveau procès.  </w:t>
            </w:r>
          </w:p>
          <w:p w:rsidR="002714AB" w:rsidRPr="00BE6616" w:rsidRDefault="002714AB" w:rsidP="00E12E48">
            <w:pPr>
              <w:jc w:val="both"/>
              <w:rPr>
                <w:rFonts w:eastAsia="Calibri"/>
                <w:sz w:val="20"/>
                <w:lang w:val="fr-CA"/>
              </w:rPr>
            </w:pPr>
          </w:p>
        </w:tc>
      </w:tr>
      <w:tr w:rsidR="002714AB" w:rsidRPr="00682661" w:rsidTr="00E12E48">
        <w:tblPrEx>
          <w:tblCellMar>
            <w:bottom w:w="0" w:type="dxa"/>
          </w:tblCellMar>
        </w:tblPrEx>
        <w:tc>
          <w:tcPr>
            <w:tcW w:w="2367" w:type="pct"/>
          </w:tcPr>
          <w:p w:rsidR="002714AB" w:rsidRPr="00BE6616" w:rsidRDefault="002714AB" w:rsidP="00E12E48">
            <w:pPr>
              <w:jc w:val="both"/>
              <w:rPr>
                <w:rFonts w:eastAsia="Calibri"/>
                <w:sz w:val="20"/>
                <w:lang w:val="fr-CA"/>
              </w:rPr>
            </w:pPr>
            <w:r w:rsidRPr="00BE6616">
              <w:rPr>
                <w:rFonts w:eastAsia="Calibri"/>
                <w:sz w:val="20"/>
                <w:lang w:val="fr-CA"/>
              </w:rPr>
              <w:t>18 septembre 2008</w:t>
            </w:r>
          </w:p>
          <w:p w:rsidR="002714AB" w:rsidRPr="00BE6616" w:rsidRDefault="002714AB" w:rsidP="00E12E48">
            <w:pPr>
              <w:jc w:val="both"/>
              <w:rPr>
                <w:rFonts w:eastAsia="Calibri"/>
                <w:sz w:val="20"/>
                <w:lang w:val="fr-CA"/>
              </w:rPr>
            </w:pPr>
            <w:r w:rsidRPr="00BE6616">
              <w:rPr>
                <w:rFonts w:eastAsia="Calibri"/>
                <w:sz w:val="20"/>
                <w:lang w:val="fr-CA"/>
              </w:rPr>
              <w:t xml:space="preserve">Cour supérieure de justice de l'Ontario </w:t>
            </w:r>
          </w:p>
          <w:p w:rsidR="002714AB" w:rsidRPr="00BE6616" w:rsidRDefault="002714AB" w:rsidP="00E12E48">
            <w:pPr>
              <w:jc w:val="both"/>
              <w:rPr>
                <w:rFonts w:eastAsia="Calibri"/>
                <w:sz w:val="20"/>
                <w:lang w:val="fr-CA"/>
              </w:rPr>
            </w:pPr>
            <w:r w:rsidRPr="00BE6616">
              <w:rPr>
                <w:rFonts w:eastAsia="Calibri"/>
                <w:sz w:val="20"/>
                <w:lang w:val="fr-CA"/>
              </w:rPr>
              <w:t xml:space="preserve">(Juge Hill) </w:t>
            </w:r>
          </w:p>
          <w:p w:rsidR="002714AB" w:rsidRPr="00BE6616" w:rsidRDefault="002714AB" w:rsidP="00E12E48">
            <w:pPr>
              <w:jc w:val="both"/>
              <w:rPr>
                <w:rFonts w:eastAsia="Calibri"/>
                <w:sz w:val="20"/>
                <w:lang w:val="fr-CA"/>
              </w:rPr>
            </w:pPr>
          </w:p>
        </w:tc>
        <w:tc>
          <w:tcPr>
            <w:tcW w:w="267" w:type="pct"/>
          </w:tcPr>
          <w:p w:rsidR="002714AB" w:rsidRPr="00BE6616" w:rsidRDefault="002714AB" w:rsidP="00E12E48">
            <w:pPr>
              <w:jc w:val="both"/>
              <w:rPr>
                <w:rFonts w:eastAsia="Calibri"/>
                <w:sz w:val="20"/>
                <w:lang w:val="fr-CA"/>
              </w:rPr>
            </w:pPr>
          </w:p>
        </w:tc>
        <w:tc>
          <w:tcPr>
            <w:tcW w:w="2366" w:type="pct"/>
          </w:tcPr>
          <w:p w:rsidR="002714AB" w:rsidRPr="00BE6616" w:rsidRDefault="002714AB" w:rsidP="00E12E48">
            <w:pPr>
              <w:jc w:val="both"/>
              <w:rPr>
                <w:rFonts w:eastAsia="Calibri"/>
                <w:sz w:val="20"/>
                <w:lang w:val="fr-CA"/>
              </w:rPr>
            </w:pPr>
            <w:r w:rsidRPr="00BE6616">
              <w:rPr>
                <w:rFonts w:eastAsia="Calibri"/>
                <w:sz w:val="20"/>
                <w:lang w:val="fr-CA"/>
              </w:rPr>
              <w:t>Demanderesse acquittée de l’accusation d’avoir fait disparaître le cadavre d’un enfant dans l’intention de cacher le fait qu’elle lui a donné naissance</w:t>
            </w:r>
          </w:p>
          <w:p w:rsidR="002714AB" w:rsidRPr="00BE6616" w:rsidRDefault="002714AB" w:rsidP="00E12E48">
            <w:pPr>
              <w:jc w:val="both"/>
              <w:rPr>
                <w:rFonts w:eastAsia="Calibri"/>
                <w:sz w:val="20"/>
                <w:lang w:val="fr-CA"/>
              </w:rPr>
            </w:pPr>
          </w:p>
        </w:tc>
      </w:tr>
      <w:tr w:rsidR="002714AB" w:rsidRPr="00682661" w:rsidTr="00E12E48">
        <w:tblPrEx>
          <w:tblCellMar>
            <w:bottom w:w="0" w:type="dxa"/>
          </w:tblCellMar>
        </w:tblPrEx>
        <w:tc>
          <w:tcPr>
            <w:tcW w:w="2367" w:type="pct"/>
          </w:tcPr>
          <w:p w:rsidR="002714AB" w:rsidRPr="00BE6616" w:rsidRDefault="002714AB" w:rsidP="00E12E48">
            <w:pPr>
              <w:jc w:val="both"/>
              <w:rPr>
                <w:rFonts w:eastAsia="Calibri"/>
                <w:sz w:val="20"/>
                <w:lang w:val="fr-CA"/>
              </w:rPr>
            </w:pPr>
            <w:r w:rsidRPr="00BE6616">
              <w:rPr>
                <w:rFonts w:eastAsia="Calibri"/>
                <w:sz w:val="20"/>
                <w:lang w:val="fr-CA"/>
              </w:rPr>
              <w:t>7 décembre 2010</w:t>
            </w:r>
          </w:p>
          <w:p w:rsidR="002714AB" w:rsidRPr="00BE6616" w:rsidRDefault="002714AB" w:rsidP="00E12E48">
            <w:pPr>
              <w:jc w:val="both"/>
              <w:rPr>
                <w:rFonts w:eastAsia="Calibri"/>
                <w:sz w:val="20"/>
                <w:lang w:val="fr-CA"/>
              </w:rPr>
            </w:pPr>
            <w:r w:rsidRPr="00BE6616">
              <w:rPr>
                <w:rFonts w:eastAsia="Calibri"/>
                <w:sz w:val="20"/>
                <w:lang w:val="fr-CA"/>
              </w:rPr>
              <w:t xml:space="preserve">Cour d'appel de l'Ontario </w:t>
            </w:r>
          </w:p>
          <w:p w:rsidR="002714AB" w:rsidRPr="00BE6616" w:rsidRDefault="002714AB" w:rsidP="00E12E48">
            <w:pPr>
              <w:jc w:val="both"/>
              <w:rPr>
                <w:rFonts w:eastAsia="Calibri"/>
                <w:sz w:val="20"/>
                <w:lang w:val="fr-CA"/>
              </w:rPr>
            </w:pPr>
            <w:r w:rsidRPr="00BE6616">
              <w:rPr>
                <w:rFonts w:eastAsia="Calibri"/>
                <w:sz w:val="20"/>
                <w:lang w:val="fr-CA"/>
              </w:rPr>
              <w:t>(Juges Doherty, Armstrong et Watt)</w:t>
            </w:r>
          </w:p>
          <w:p w:rsidR="002714AB" w:rsidRPr="00BE6616" w:rsidRDefault="002714AB" w:rsidP="00E12E48">
            <w:pPr>
              <w:jc w:val="both"/>
              <w:rPr>
                <w:rFonts w:eastAsia="Calibri"/>
                <w:sz w:val="20"/>
                <w:lang w:val="fr-CA"/>
              </w:rPr>
            </w:pPr>
            <w:r w:rsidRPr="00BE6616">
              <w:rPr>
                <w:rFonts w:eastAsia="Calibri"/>
                <w:sz w:val="20"/>
                <w:lang w:val="fr-CA"/>
              </w:rPr>
              <w:t>2010 ONCA 830</w:t>
            </w:r>
          </w:p>
          <w:p w:rsidR="002714AB" w:rsidRPr="00BE6616" w:rsidRDefault="002714AB" w:rsidP="00E12E48">
            <w:pPr>
              <w:jc w:val="both"/>
              <w:rPr>
                <w:rFonts w:eastAsia="Calibri"/>
                <w:sz w:val="20"/>
                <w:lang w:val="fr-CA"/>
              </w:rPr>
            </w:pPr>
            <w:r w:rsidRPr="00BE6616">
              <w:rPr>
                <w:rFonts w:eastAsia="Calibri"/>
                <w:sz w:val="20"/>
                <w:lang w:val="fr-CA"/>
              </w:rPr>
              <w:t>C49523</w:t>
            </w:r>
          </w:p>
          <w:p w:rsidR="002714AB" w:rsidRPr="00BE6616" w:rsidRDefault="002714AB" w:rsidP="00E12E48">
            <w:pPr>
              <w:jc w:val="both"/>
              <w:rPr>
                <w:rFonts w:eastAsia="Calibri"/>
                <w:sz w:val="20"/>
                <w:lang w:val="fr-CA"/>
              </w:rPr>
            </w:pPr>
          </w:p>
        </w:tc>
        <w:tc>
          <w:tcPr>
            <w:tcW w:w="267" w:type="pct"/>
          </w:tcPr>
          <w:p w:rsidR="002714AB" w:rsidRPr="00BE6616" w:rsidRDefault="002714AB" w:rsidP="00E12E48">
            <w:pPr>
              <w:jc w:val="both"/>
              <w:rPr>
                <w:rFonts w:eastAsia="Calibri"/>
                <w:sz w:val="20"/>
                <w:lang w:val="fr-CA"/>
              </w:rPr>
            </w:pPr>
          </w:p>
        </w:tc>
        <w:tc>
          <w:tcPr>
            <w:tcW w:w="2366" w:type="pct"/>
          </w:tcPr>
          <w:p w:rsidR="002714AB" w:rsidRPr="00BE6616" w:rsidRDefault="002714AB" w:rsidP="00E12E48">
            <w:pPr>
              <w:jc w:val="both"/>
              <w:rPr>
                <w:rFonts w:eastAsia="Calibri"/>
                <w:sz w:val="20"/>
                <w:lang w:val="fr-CA"/>
              </w:rPr>
            </w:pPr>
            <w:r w:rsidRPr="00BE6616">
              <w:rPr>
                <w:rFonts w:eastAsia="Calibri"/>
                <w:sz w:val="20"/>
                <w:lang w:val="fr-CA"/>
              </w:rPr>
              <w:t>Appel accueilli, acquittement annulé, nouveau procès ordonné</w:t>
            </w:r>
          </w:p>
          <w:p w:rsidR="002714AB" w:rsidRPr="00BE6616" w:rsidRDefault="002714AB" w:rsidP="00E12E48">
            <w:pPr>
              <w:jc w:val="both"/>
              <w:rPr>
                <w:rFonts w:eastAsia="Calibri"/>
                <w:sz w:val="20"/>
                <w:lang w:val="fr-CA"/>
              </w:rPr>
            </w:pPr>
          </w:p>
        </w:tc>
      </w:tr>
    </w:tbl>
    <w:p w:rsidR="002E3508" w:rsidRPr="00E32C12" w:rsidRDefault="002E3508">
      <w:pPr>
        <w:rPr>
          <w:lang w:val="fr-CA"/>
        </w:rPr>
      </w:pPr>
    </w:p>
    <w:p w:rsidR="002E3508" w:rsidRPr="00E32C12" w:rsidRDefault="002E3508">
      <w:pPr>
        <w:rPr>
          <w:lang w:val="fr-CA"/>
        </w:rPr>
      </w:pPr>
      <w:r w:rsidRPr="00E32C12">
        <w:rPr>
          <w:lang w:val="fr-CA"/>
        </w:rPr>
        <w:br w:type="page"/>
      </w:r>
    </w:p>
    <w:tbl>
      <w:tblPr>
        <w:tblW w:w="5000" w:type="pct"/>
        <w:tblLayout w:type="fixed"/>
        <w:tblCellMar>
          <w:left w:w="0" w:type="dxa"/>
          <w:right w:w="0" w:type="dxa"/>
        </w:tblCellMar>
        <w:tblLook w:val="00A0"/>
      </w:tblPr>
      <w:tblGrid>
        <w:gridCol w:w="4553"/>
        <w:gridCol w:w="514"/>
        <w:gridCol w:w="4552"/>
      </w:tblGrid>
      <w:tr w:rsidR="002714AB" w:rsidRPr="00682661" w:rsidTr="002E3508">
        <w:trPr>
          <w:cantSplit/>
        </w:trPr>
        <w:tc>
          <w:tcPr>
            <w:tcW w:w="2367" w:type="pct"/>
          </w:tcPr>
          <w:p w:rsidR="002714AB" w:rsidRPr="00BE6616" w:rsidRDefault="002714AB" w:rsidP="00E12E48">
            <w:pPr>
              <w:jc w:val="both"/>
              <w:rPr>
                <w:rFonts w:eastAsia="Calibri"/>
                <w:sz w:val="20"/>
                <w:lang w:val="fr-CA"/>
              </w:rPr>
            </w:pPr>
            <w:r w:rsidRPr="00BE6616">
              <w:rPr>
                <w:rFonts w:eastAsia="Calibri"/>
                <w:sz w:val="20"/>
                <w:lang w:val="fr-CA"/>
              </w:rPr>
              <w:lastRenderedPageBreak/>
              <w:t>4 mai 2011</w:t>
            </w:r>
          </w:p>
          <w:p w:rsidR="002714AB" w:rsidRPr="00BE6616" w:rsidRDefault="002714AB" w:rsidP="00E12E48">
            <w:pPr>
              <w:jc w:val="both"/>
              <w:rPr>
                <w:rFonts w:eastAsia="Calibri"/>
                <w:sz w:val="20"/>
                <w:lang w:val="fr-CA"/>
              </w:rPr>
            </w:pPr>
            <w:r w:rsidRPr="00BE6616">
              <w:rPr>
                <w:rFonts w:eastAsia="Calibri"/>
                <w:sz w:val="20"/>
                <w:lang w:val="fr-CA"/>
              </w:rPr>
              <w:t>Cour suprême du Canada</w:t>
            </w:r>
          </w:p>
        </w:tc>
        <w:tc>
          <w:tcPr>
            <w:tcW w:w="267" w:type="pct"/>
          </w:tcPr>
          <w:p w:rsidR="002714AB" w:rsidRPr="00BE6616" w:rsidRDefault="002714AB" w:rsidP="00E12E48">
            <w:pPr>
              <w:jc w:val="both"/>
              <w:rPr>
                <w:rFonts w:eastAsia="Calibri"/>
                <w:sz w:val="20"/>
                <w:lang w:val="fr-CA"/>
              </w:rPr>
            </w:pPr>
          </w:p>
        </w:tc>
        <w:tc>
          <w:tcPr>
            <w:tcW w:w="2366" w:type="pct"/>
          </w:tcPr>
          <w:p w:rsidR="002714AB" w:rsidRPr="00BE6616" w:rsidRDefault="002714AB" w:rsidP="00E12E48">
            <w:pPr>
              <w:jc w:val="both"/>
              <w:rPr>
                <w:rFonts w:eastAsia="Calibri"/>
                <w:sz w:val="20"/>
                <w:lang w:val="fr-CA"/>
              </w:rPr>
            </w:pPr>
            <w:r w:rsidRPr="00BE6616">
              <w:rPr>
                <w:rFonts w:eastAsia="Calibri"/>
                <w:sz w:val="20"/>
                <w:lang w:val="fr-CA"/>
              </w:rPr>
              <w:t>Requête en prorogation du délai de dépôt et de signification de la demande d'autorisation d'appel et demande d'autorisation d'appel, déposées</w:t>
            </w: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62"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E3508" w:rsidRPr="004F46DF" w:rsidTr="002E3508">
        <w:trPr>
          <w:cantSplit/>
        </w:trPr>
        <w:tc>
          <w:tcPr>
            <w:tcW w:w="1458" w:type="dxa"/>
          </w:tcPr>
          <w:p w:rsidR="002E3508" w:rsidRPr="004F46DF" w:rsidRDefault="002E3508" w:rsidP="002E3508">
            <w:pPr>
              <w:rPr>
                <w:sz w:val="20"/>
                <w:szCs w:val="20"/>
              </w:rPr>
            </w:pPr>
            <w:r w:rsidRPr="004F46DF">
              <w:rPr>
                <w:rStyle w:val="SCCFileNumberChar"/>
                <w:sz w:val="20"/>
                <w:szCs w:val="20"/>
              </w:rPr>
              <w:t>34232</w:t>
            </w:r>
          </w:p>
          <w:p w:rsidR="002E3508" w:rsidRPr="004F46DF" w:rsidRDefault="002E3508" w:rsidP="002E3508">
            <w:pPr>
              <w:rPr>
                <w:b/>
                <w:sz w:val="20"/>
                <w:szCs w:val="20"/>
                <w:lang w:val="fr-CA"/>
              </w:rPr>
            </w:pPr>
          </w:p>
        </w:tc>
        <w:tc>
          <w:tcPr>
            <w:tcW w:w="8118" w:type="dxa"/>
          </w:tcPr>
          <w:p w:rsidR="002E3508" w:rsidRPr="004F46DF" w:rsidRDefault="002E3508" w:rsidP="002E3508">
            <w:pPr>
              <w:jc w:val="both"/>
              <w:rPr>
                <w:sz w:val="20"/>
                <w:szCs w:val="20"/>
              </w:rPr>
            </w:pPr>
            <w:r w:rsidRPr="002E3508">
              <w:rPr>
                <w:rStyle w:val="SCCLsocChar"/>
                <w:sz w:val="20"/>
                <w:szCs w:val="20"/>
                <w:lang w:val="en-CA"/>
              </w:rPr>
              <w:t>L.G. (Gerry) Callaghan, in his capacity as official agent for Robert Campbell</w:t>
            </w:r>
            <w:r w:rsidR="006708E1">
              <w:rPr>
                <w:rStyle w:val="SCCLsocChar"/>
                <w:sz w:val="20"/>
                <w:szCs w:val="20"/>
                <w:lang w:val="en-CA"/>
              </w:rPr>
              <w:t xml:space="preserve"> and</w:t>
            </w:r>
            <w:r w:rsidRPr="002E3508">
              <w:rPr>
                <w:rStyle w:val="SCCLsocChar"/>
                <w:sz w:val="20"/>
                <w:szCs w:val="20"/>
                <w:lang w:val="en-CA"/>
              </w:rPr>
              <w:t xml:space="preserve"> David Pallett, in his capacity as official agent for Dan Mailer v. Chief Electoral Officer of Canada</w:t>
            </w:r>
            <w:r w:rsidRPr="004F46DF">
              <w:rPr>
                <w:sz w:val="20"/>
                <w:szCs w:val="20"/>
              </w:rPr>
              <w:t xml:space="preserve"> (F.C.) (Civil) (By Leave)</w:t>
            </w:r>
          </w:p>
          <w:p w:rsidR="002E3508" w:rsidRPr="004F46DF" w:rsidRDefault="002E3508" w:rsidP="002E3508">
            <w:pPr>
              <w:rPr>
                <w:sz w:val="20"/>
                <w:szCs w:val="20"/>
              </w:rPr>
            </w:pPr>
          </w:p>
        </w:tc>
      </w:tr>
      <w:tr w:rsidR="002E3508" w:rsidRPr="004F46DF" w:rsidTr="002E3508">
        <w:trPr>
          <w:cantSplit/>
        </w:trPr>
        <w:tc>
          <w:tcPr>
            <w:tcW w:w="1458" w:type="dxa"/>
          </w:tcPr>
          <w:p w:rsidR="002E3508" w:rsidRPr="004F46DF" w:rsidRDefault="002E3508" w:rsidP="002E3508">
            <w:pPr>
              <w:rPr>
                <w:sz w:val="20"/>
                <w:szCs w:val="20"/>
              </w:rPr>
            </w:pPr>
            <w:r w:rsidRPr="004F46DF">
              <w:rPr>
                <w:sz w:val="20"/>
                <w:szCs w:val="20"/>
              </w:rPr>
              <w:t>Coram :</w:t>
            </w:r>
          </w:p>
        </w:tc>
        <w:tc>
          <w:tcPr>
            <w:tcW w:w="8118" w:type="dxa"/>
          </w:tcPr>
          <w:p w:rsidR="002E3508" w:rsidRPr="004F46DF" w:rsidRDefault="002E3508" w:rsidP="002E3508">
            <w:pPr>
              <w:rPr>
                <w:sz w:val="20"/>
                <w:szCs w:val="20"/>
              </w:rPr>
            </w:pPr>
            <w:r w:rsidRPr="004F46DF">
              <w:rPr>
                <w:rStyle w:val="SCCCoramChar"/>
                <w:sz w:val="20"/>
                <w:szCs w:val="20"/>
              </w:rPr>
              <w:t>Binnie, Abella and Rothstein JJ.</w:t>
            </w:r>
          </w:p>
          <w:p w:rsidR="002E3508" w:rsidRPr="004F46DF" w:rsidRDefault="002E3508" w:rsidP="002E3508">
            <w:pPr>
              <w:rPr>
                <w:sz w:val="20"/>
                <w:szCs w:val="20"/>
                <w:u w:val="single"/>
              </w:rPr>
            </w:pPr>
          </w:p>
        </w:tc>
      </w:tr>
      <w:tr w:rsidR="002E3508" w:rsidRPr="00682661" w:rsidTr="002E3508">
        <w:trPr>
          <w:cantSplit/>
        </w:trPr>
        <w:tc>
          <w:tcPr>
            <w:tcW w:w="9576" w:type="dxa"/>
            <w:gridSpan w:val="2"/>
          </w:tcPr>
          <w:p w:rsidR="002E3508" w:rsidRPr="004F46DF" w:rsidRDefault="002E3508" w:rsidP="002E3508">
            <w:pPr>
              <w:pStyle w:val="SCCShortJudgment"/>
              <w:rPr>
                <w:szCs w:val="20"/>
              </w:rPr>
            </w:pPr>
            <w:r w:rsidRPr="004F46DF">
              <w:rPr>
                <w:szCs w:val="20"/>
              </w:rPr>
              <w:t>The application for leave to appeal from the judgment of the Federal Court of Appeal, Number A-63-10, 2011 FCA 74, dated February 28, 2011, is granted with costs in the cause.</w:t>
            </w:r>
          </w:p>
          <w:p w:rsidR="002E3508" w:rsidRPr="004F46DF" w:rsidRDefault="002E3508" w:rsidP="002E3508">
            <w:pPr>
              <w:pStyle w:val="SCCShortJudgment"/>
              <w:ind w:firstLine="0"/>
              <w:rPr>
                <w:szCs w:val="20"/>
              </w:rPr>
            </w:pPr>
          </w:p>
          <w:p w:rsidR="002E3508" w:rsidRPr="004F46DF" w:rsidRDefault="002E3508" w:rsidP="002E3508">
            <w:pPr>
              <w:pStyle w:val="SCCShortJudgment"/>
              <w:rPr>
                <w:szCs w:val="20"/>
                <w:lang w:val="fr-CA"/>
              </w:rPr>
            </w:pPr>
            <w:r w:rsidRPr="004F46DF">
              <w:rPr>
                <w:szCs w:val="20"/>
                <w:lang w:val="fr-CA"/>
              </w:rPr>
              <w:t>La demande d’autorisation d’appel de l’arrêt de la Cour d’appel fédérale, numéro A-63-10, 2011 CAF 74, daté du 28 février 2011, est accordée avec dépens suivant l’issue de la cause.</w:t>
            </w:r>
          </w:p>
        </w:tc>
      </w:tr>
    </w:tbl>
    <w:p w:rsidR="007B50F9" w:rsidRPr="002E3508" w:rsidRDefault="007B50F9" w:rsidP="007B50F9">
      <w:pPr>
        <w:rPr>
          <w:sz w:val="20"/>
          <w:szCs w:val="20"/>
          <w:lang w:val="fr-CA"/>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714AB" w:rsidRPr="00BE6616" w:rsidTr="00E12E48">
        <w:tc>
          <w:tcPr>
            <w:tcW w:w="5000" w:type="pct"/>
            <w:gridSpan w:val="3"/>
          </w:tcPr>
          <w:p w:rsidR="002714AB" w:rsidRPr="00BE6616" w:rsidRDefault="002714AB" w:rsidP="00E12E48">
            <w:pPr>
              <w:jc w:val="both"/>
              <w:rPr>
                <w:rFonts w:eastAsia="Calibri"/>
                <w:sz w:val="20"/>
              </w:rPr>
            </w:pPr>
            <w:r w:rsidRPr="00BE6616">
              <w:rPr>
                <w:rFonts w:eastAsia="Calibri"/>
                <w:sz w:val="20"/>
              </w:rPr>
              <w:t xml:space="preserve">Elections — Reimbursement of election expenses — Powers and duties of Chief Electoral Officer — Whether the Chief Electoral Officer has the power to verify election expenses claimed by election candidates — Whether there was sufficient material before the Chief Electoral Officer on which he could reasonably decline to state that he was satisfied that the applicant candidates in this case had incurred a portion of the costs  of the regional media buy advertisements which they claimed as an expense — </w:t>
            </w:r>
            <w:r w:rsidRPr="00BE6616">
              <w:rPr>
                <w:rFonts w:eastAsia="Calibri"/>
                <w:i/>
                <w:sz w:val="20"/>
              </w:rPr>
              <w:t>Canada Elections Act</w:t>
            </w:r>
            <w:r w:rsidRPr="00BE6616">
              <w:rPr>
                <w:rFonts w:eastAsia="Calibri"/>
                <w:sz w:val="20"/>
              </w:rPr>
              <w:t>, S.C. 2000, c. 9, ss. 407 and 465.</w:t>
            </w:r>
          </w:p>
        </w:tc>
      </w:tr>
      <w:tr w:rsidR="002714AB" w:rsidRPr="00BE6616" w:rsidTr="00E12E48">
        <w:tc>
          <w:tcPr>
            <w:tcW w:w="5000" w:type="pct"/>
            <w:gridSpan w:val="3"/>
          </w:tcPr>
          <w:p w:rsidR="002714AB" w:rsidRPr="00BE6616" w:rsidRDefault="002714AB" w:rsidP="00E12E48">
            <w:pPr>
              <w:jc w:val="both"/>
              <w:rPr>
                <w:rFonts w:eastAsia="Calibri"/>
                <w:sz w:val="20"/>
              </w:rPr>
            </w:pPr>
          </w:p>
        </w:tc>
      </w:tr>
      <w:tr w:rsidR="002714AB" w:rsidRPr="00BE6616" w:rsidTr="00E12E48">
        <w:tc>
          <w:tcPr>
            <w:tcW w:w="5000" w:type="pct"/>
            <w:gridSpan w:val="3"/>
          </w:tcPr>
          <w:p w:rsidR="002714AB" w:rsidRPr="00BE6616" w:rsidRDefault="002714AB" w:rsidP="00E12E48">
            <w:pPr>
              <w:jc w:val="both"/>
              <w:rPr>
                <w:rFonts w:eastAsia="Calibri"/>
                <w:sz w:val="20"/>
              </w:rPr>
            </w:pPr>
            <w:r w:rsidRPr="00BE6616">
              <w:rPr>
                <w:rFonts w:eastAsia="Calibri"/>
                <w:sz w:val="20"/>
              </w:rPr>
              <w:t>This litigation arises out of certain electoral expenses claimed by the applicants who were candidates for the Conservative Party of Canada in the 2006 federal elections.  The claimed expenses pertained to payments made in respect of costs incurred for certain political advertisements that were broadcast in the candidates’ electoral districts.  The candidates had made the payments in question to the Party from funds which the Party had provided to them earlier that day for that purpose.  The Chief Electoral Officer refused to certify the claimed expenses for reimbursement.  Among other things, he was concerned that the advertising costs might have been incurred, not by the candidates, but by the Party, and that because the Party had almost reached its permitted spending limit, it had merely transferred the costs to the candidates through the “in-and-out” transactions.  The applicant candidates successfully challenged the Chief Electoral Officer’s decision before the Federal Court.  The Federal Court of Appeal, however, allowed the appeal and dismissed the application for judicial review.</w:t>
            </w:r>
          </w:p>
          <w:p w:rsidR="002714AB" w:rsidRPr="00BE6616" w:rsidRDefault="002714AB" w:rsidP="00E12E48">
            <w:pPr>
              <w:jc w:val="both"/>
              <w:rPr>
                <w:rFonts w:eastAsia="Calibri"/>
                <w:sz w:val="20"/>
              </w:rPr>
            </w:pPr>
          </w:p>
        </w:tc>
      </w:tr>
      <w:tr w:rsidR="002714AB" w:rsidRPr="00BE6616" w:rsidTr="00E12E48">
        <w:tc>
          <w:tcPr>
            <w:tcW w:w="2427" w:type="pct"/>
          </w:tcPr>
          <w:p w:rsidR="002714AB" w:rsidRPr="00BE6616" w:rsidRDefault="002714AB" w:rsidP="00E12E48">
            <w:pPr>
              <w:jc w:val="both"/>
              <w:rPr>
                <w:rFonts w:eastAsia="Calibri"/>
                <w:sz w:val="20"/>
              </w:rPr>
            </w:pPr>
            <w:r w:rsidRPr="00BE6616">
              <w:rPr>
                <w:rFonts w:eastAsia="Calibri"/>
                <w:sz w:val="20"/>
              </w:rPr>
              <w:t>January 18, 2010</w:t>
            </w:r>
          </w:p>
          <w:p w:rsidR="002714AB" w:rsidRPr="00BE6616" w:rsidRDefault="002714AB" w:rsidP="00E12E48">
            <w:pPr>
              <w:jc w:val="both"/>
              <w:rPr>
                <w:rFonts w:eastAsia="Calibri"/>
                <w:sz w:val="20"/>
              </w:rPr>
            </w:pPr>
            <w:r w:rsidRPr="00BE6616">
              <w:rPr>
                <w:rFonts w:eastAsia="Calibri"/>
                <w:sz w:val="20"/>
              </w:rPr>
              <w:t>Federal Court</w:t>
            </w:r>
          </w:p>
          <w:p w:rsidR="002714AB" w:rsidRPr="00BE6616" w:rsidRDefault="002714AB" w:rsidP="00E12E48">
            <w:pPr>
              <w:jc w:val="both"/>
              <w:rPr>
                <w:rFonts w:eastAsia="Calibri"/>
                <w:sz w:val="20"/>
              </w:rPr>
            </w:pPr>
            <w:r w:rsidRPr="00BE6616">
              <w:rPr>
                <w:rFonts w:eastAsia="Calibri"/>
                <w:sz w:val="20"/>
              </w:rPr>
              <w:t>(Martineau J.)</w:t>
            </w:r>
          </w:p>
          <w:p w:rsidR="002714AB" w:rsidRPr="00BE6616" w:rsidRDefault="002714AB" w:rsidP="00E12E48">
            <w:pPr>
              <w:jc w:val="both"/>
              <w:rPr>
                <w:rFonts w:eastAsia="Calibri"/>
                <w:sz w:val="20"/>
              </w:rPr>
            </w:pPr>
            <w:r w:rsidRPr="00BE6616">
              <w:rPr>
                <w:rFonts w:eastAsia="Calibri"/>
                <w:sz w:val="20"/>
              </w:rPr>
              <w:t>2010 FC 43</w:t>
            </w:r>
          </w:p>
          <w:p w:rsidR="002714AB" w:rsidRPr="00BE6616" w:rsidRDefault="002714AB" w:rsidP="00E12E48">
            <w:pPr>
              <w:jc w:val="both"/>
              <w:rPr>
                <w:rFonts w:eastAsia="Calibri"/>
                <w:sz w:val="20"/>
              </w:rPr>
            </w:pPr>
          </w:p>
        </w:tc>
        <w:tc>
          <w:tcPr>
            <w:tcW w:w="243" w:type="pct"/>
          </w:tcPr>
          <w:p w:rsidR="002714AB" w:rsidRPr="00BE6616" w:rsidRDefault="002714AB" w:rsidP="00E12E48">
            <w:pPr>
              <w:jc w:val="both"/>
              <w:rPr>
                <w:rFonts w:eastAsia="Calibri"/>
                <w:sz w:val="20"/>
              </w:rPr>
            </w:pPr>
          </w:p>
        </w:tc>
        <w:tc>
          <w:tcPr>
            <w:tcW w:w="2330" w:type="pct"/>
          </w:tcPr>
          <w:p w:rsidR="002714AB" w:rsidRPr="00BE6616" w:rsidRDefault="002714AB" w:rsidP="00E12E48">
            <w:pPr>
              <w:jc w:val="both"/>
              <w:rPr>
                <w:rFonts w:eastAsia="Calibri"/>
                <w:sz w:val="20"/>
              </w:rPr>
            </w:pPr>
            <w:r w:rsidRPr="00BE6616">
              <w:rPr>
                <w:rFonts w:eastAsia="Calibri"/>
                <w:sz w:val="20"/>
              </w:rPr>
              <w:t xml:space="preserve">Application for judicial review granted; writs of </w:t>
            </w:r>
            <w:r w:rsidRPr="00BE6616">
              <w:rPr>
                <w:rFonts w:eastAsia="Calibri"/>
                <w:i/>
                <w:sz w:val="20"/>
              </w:rPr>
              <w:t>mandamus</w:t>
            </w:r>
            <w:r w:rsidRPr="00BE6616">
              <w:rPr>
                <w:rFonts w:eastAsia="Calibri"/>
                <w:sz w:val="20"/>
              </w:rPr>
              <w:t xml:space="preserve"> and/or </w:t>
            </w:r>
            <w:r w:rsidRPr="00BE6616">
              <w:rPr>
                <w:rFonts w:eastAsia="Calibri"/>
                <w:i/>
                <w:sz w:val="20"/>
              </w:rPr>
              <w:t>certiorari</w:t>
            </w:r>
            <w:r w:rsidRPr="00BE6616">
              <w:rPr>
                <w:rFonts w:eastAsia="Calibri"/>
                <w:sz w:val="20"/>
              </w:rPr>
              <w:t xml:space="preserve"> issued against Chief Electoral Officer of Canada</w:t>
            </w:r>
          </w:p>
          <w:p w:rsidR="002714AB" w:rsidRPr="00BE6616" w:rsidRDefault="002714AB" w:rsidP="00E12E48">
            <w:pPr>
              <w:jc w:val="both"/>
              <w:rPr>
                <w:rFonts w:eastAsia="Calibri"/>
                <w:sz w:val="20"/>
              </w:rPr>
            </w:pPr>
          </w:p>
        </w:tc>
      </w:tr>
      <w:tr w:rsidR="002714AB" w:rsidRPr="00BE6616" w:rsidTr="00E12E48">
        <w:tc>
          <w:tcPr>
            <w:tcW w:w="2427" w:type="pct"/>
          </w:tcPr>
          <w:p w:rsidR="002714AB" w:rsidRPr="00BE6616" w:rsidRDefault="002714AB" w:rsidP="00E12E48">
            <w:pPr>
              <w:jc w:val="both"/>
              <w:rPr>
                <w:rFonts w:eastAsia="Calibri"/>
                <w:sz w:val="20"/>
              </w:rPr>
            </w:pPr>
            <w:r w:rsidRPr="00BE6616">
              <w:rPr>
                <w:rFonts w:eastAsia="Calibri"/>
                <w:sz w:val="20"/>
              </w:rPr>
              <w:t>February 28, 2011</w:t>
            </w:r>
          </w:p>
          <w:p w:rsidR="002714AB" w:rsidRPr="00BE6616" w:rsidRDefault="002714AB" w:rsidP="00E12E48">
            <w:pPr>
              <w:jc w:val="both"/>
              <w:rPr>
                <w:rFonts w:eastAsia="Calibri"/>
                <w:sz w:val="20"/>
              </w:rPr>
            </w:pPr>
            <w:r w:rsidRPr="00BE6616">
              <w:rPr>
                <w:rFonts w:eastAsia="Calibri"/>
                <w:sz w:val="20"/>
              </w:rPr>
              <w:t>Federal Court of Appeal</w:t>
            </w:r>
          </w:p>
          <w:p w:rsidR="002714AB" w:rsidRPr="00BE6616" w:rsidRDefault="002714AB" w:rsidP="00E12E48">
            <w:pPr>
              <w:jc w:val="both"/>
              <w:rPr>
                <w:rFonts w:eastAsia="Calibri"/>
                <w:sz w:val="20"/>
              </w:rPr>
            </w:pPr>
            <w:r w:rsidRPr="00BE6616">
              <w:rPr>
                <w:rFonts w:eastAsia="Calibri"/>
                <w:sz w:val="20"/>
              </w:rPr>
              <w:t>(Evans, Dawson and Trudel JJ.A.)</w:t>
            </w:r>
          </w:p>
          <w:p w:rsidR="002714AB" w:rsidRPr="00BE6616" w:rsidRDefault="002714AB" w:rsidP="00E12E48">
            <w:pPr>
              <w:jc w:val="both"/>
              <w:rPr>
                <w:rFonts w:eastAsia="Calibri"/>
                <w:sz w:val="20"/>
              </w:rPr>
            </w:pPr>
            <w:r w:rsidRPr="00BE6616">
              <w:rPr>
                <w:rFonts w:eastAsia="Calibri"/>
                <w:sz w:val="20"/>
              </w:rPr>
              <w:t>2011 FCA 74</w:t>
            </w:r>
          </w:p>
          <w:p w:rsidR="002714AB" w:rsidRPr="00BE6616" w:rsidRDefault="002714AB" w:rsidP="00E12E48">
            <w:pPr>
              <w:jc w:val="both"/>
              <w:rPr>
                <w:rFonts w:eastAsia="Calibri"/>
                <w:sz w:val="20"/>
              </w:rPr>
            </w:pPr>
          </w:p>
        </w:tc>
        <w:tc>
          <w:tcPr>
            <w:tcW w:w="243" w:type="pct"/>
          </w:tcPr>
          <w:p w:rsidR="002714AB" w:rsidRPr="00BE6616" w:rsidRDefault="002714AB" w:rsidP="00E12E48">
            <w:pPr>
              <w:jc w:val="both"/>
              <w:rPr>
                <w:rFonts w:eastAsia="Calibri"/>
                <w:sz w:val="20"/>
              </w:rPr>
            </w:pPr>
          </w:p>
        </w:tc>
        <w:tc>
          <w:tcPr>
            <w:tcW w:w="2330" w:type="pct"/>
          </w:tcPr>
          <w:p w:rsidR="002714AB" w:rsidRPr="00BE6616" w:rsidRDefault="002714AB" w:rsidP="00E12E48">
            <w:pPr>
              <w:jc w:val="both"/>
              <w:rPr>
                <w:rFonts w:eastAsia="Calibri"/>
                <w:sz w:val="20"/>
              </w:rPr>
            </w:pPr>
            <w:r w:rsidRPr="00BE6616">
              <w:rPr>
                <w:rFonts w:eastAsia="Calibri"/>
                <w:sz w:val="20"/>
              </w:rPr>
              <w:t>Appeal allowed and application for judicial review dismissed</w:t>
            </w:r>
          </w:p>
        </w:tc>
      </w:tr>
    </w:tbl>
    <w:p w:rsidR="002E3508" w:rsidRDefault="002E3508"/>
    <w:p w:rsidR="002E3508" w:rsidRDefault="002E3508">
      <w:r>
        <w:br w:type="page"/>
      </w:r>
    </w:p>
    <w:tbl>
      <w:tblPr>
        <w:tblW w:w="4952" w:type="pct"/>
        <w:tblLayout w:type="fixed"/>
        <w:tblCellMar>
          <w:left w:w="0" w:type="dxa"/>
          <w:bottom w:w="99" w:type="dxa"/>
          <w:right w:w="0" w:type="dxa"/>
        </w:tblCellMar>
        <w:tblLook w:val="04A0"/>
      </w:tblPr>
      <w:tblGrid>
        <w:gridCol w:w="4624"/>
        <w:gridCol w:w="463"/>
        <w:gridCol w:w="4440"/>
      </w:tblGrid>
      <w:tr w:rsidR="002714AB" w:rsidRPr="00BE6616" w:rsidTr="002E3508">
        <w:trPr>
          <w:cantSplit/>
        </w:trPr>
        <w:tc>
          <w:tcPr>
            <w:tcW w:w="2427" w:type="pct"/>
          </w:tcPr>
          <w:p w:rsidR="002714AB" w:rsidRPr="00BE6616" w:rsidRDefault="002714AB" w:rsidP="00E12E48">
            <w:pPr>
              <w:jc w:val="both"/>
              <w:rPr>
                <w:rFonts w:eastAsia="Calibri"/>
                <w:sz w:val="20"/>
              </w:rPr>
            </w:pPr>
            <w:r w:rsidRPr="00BE6616">
              <w:rPr>
                <w:rFonts w:eastAsia="Calibri"/>
                <w:sz w:val="20"/>
              </w:rPr>
              <w:lastRenderedPageBreak/>
              <w:t>April 29, 2011</w:t>
            </w:r>
          </w:p>
          <w:p w:rsidR="002714AB" w:rsidRPr="00BE6616" w:rsidRDefault="002714AB" w:rsidP="002714AB">
            <w:pPr>
              <w:jc w:val="both"/>
              <w:rPr>
                <w:rFonts w:eastAsia="Calibri"/>
                <w:sz w:val="20"/>
              </w:rPr>
            </w:pPr>
            <w:r w:rsidRPr="00BE6616">
              <w:rPr>
                <w:rFonts w:eastAsia="Calibri"/>
                <w:sz w:val="20"/>
              </w:rPr>
              <w:t>Supreme Court of Canada</w:t>
            </w:r>
          </w:p>
        </w:tc>
        <w:tc>
          <w:tcPr>
            <w:tcW w:w="243" w:type="pct"/>
          </w:tcPr>
          <w:p w:rsidR="002714AB" w:rsidRPr="00BE6616" w:rsidRDefault="002714AB" w:rsidP="00E12E48">
            <w:pPr>
              <w:jc w:val="both"/>
              <w:rPr>
                <w:rFonts w:eastAsia="Calibri"/>
                <w:sz w:val="20"/>
              </w:rPr>
            </w:pPr>
          </w:p>
        </w:tc>
        <w:tc>
          <w:tcPr>
            <w:tcW w:w="2330" w:type="pct"/>
          </w:tcPr>
          <w:p w:rsidR="002714AB" w:rsidRPr="00BE6616" w:rsidRDefault="002714AB" w:rsidP="00E12E48">
            <w:pPr>
              <w:jc w:val="both"/>
              <w:rPr>
                <w:rFonts w:eastAsia="Calibri"/>
                <w:sz w:val="20"/>
              </w:rPr>
            </w:pPr>
            <w:r w:rsidRPr="00BE6616">
              <w:rPr>
                <w:rFonts w:eastAsia="Calibri"/>
                <w:sz w:val="20"/>
              </w:rPr>
              <w:t>Application for leave to appeal filed</w:t>
            </w:r>
          </w:p>
          <w:p w:rsidR="002714AB" w:rsidRPr="00BE6616" w:rsidRDefault="002714AB" w:rsidP="00E12E4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63"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2714AB" w:rsidRPr="00682661" w:rsidTr="00E12E48">
        <w:tc>
          <w:tcPr>
            <w:tcW w:w="5000" w:type="pct"/>
            <w:gridSpan w:val="3"/>
          </w:tcPr>
          <w:p w:rsidR="002714AB" w:rsidRPr="00BE6616" w:rsidRDefault="002714AB" w:rsidP="00E12E48">
            <w:pPr>
              <w:jc w:val="both"/>
              <w:rPr>
                <w:rFonts w:eastAsia="Calibri"/>
                <w:sz w:val="20"/>
                <w:lang w:val="fr-CA"/>
              </w:rPr>
            </w:pPr>
            <w:r w:rsidRPr="00BE6616">
              <w:rPr>
                <w:rFonts w:eastAsia="Calibri"/>
                <w:sz w:val="20"/>
                <w:lang w:val="fr-CA"/>
              </w:rPr>
              <w:t>Élections — Remboursement de dépenses électorales — Attributions du Directeur général des élections — Le Directeur général des élections est</w:t>
            </w:r>
            <w:r w:rsidRPr="00BE6616">
              <w:rPr>
                <w:rFonts w:eastAsia="Calibri"/>
                <w:sz w:val="20"/>
                <w:lang w:val="fr-CA"/>
              </w:rPr>
              <w:noBreakHyphen/>
              <w:t>il habilité à vérifier les dépenses électorales des candidats? — La documentation soumise au Directeur général des élections était</w:t>
            </w:r>
            <w:r w:rsidRPr="00BE6616">
              <w:rPr>
                <w:rFonts w:eastAsia="Calibri"/>
                <w:sz w:val="20"/>
                <w:lang w:val="fr-CA"/>
              </w:rPr>
              <w:noBreakHyphen/>
              <w:t>elle suffisante pour que celui</w:t>
            </w:r>
            <w:r w:rsidRPr="00BE6616">
              <w:rPr>
                <w:rFonts w:eastAsia="Calibri"/>
                <w:sz w:val="20"/>
                <w:lang w:val="fr-CA"/>
              </w:rPr>
              <w:noBreakHyphen/>
              <w:t>ci puisse raisonnablement refuser d’affirmer qu’il avait la conviction que les candidats demandeurs en l’espèce avaient engagé une partie des frais relatifs aux achats publicitaires dans des médias locaux déclarés dans leur dépenses électorales? —</w:t>
            </w:r>
            <w:r w:rsidRPr="00BE6616">
              <w:rPr>
                <w:rFonts w:eastAsia="Calibri"/>
                <w:i/>
                <w:sz w:val="20"/>
                <w:lang w:val="fr-CA"/>
              </w:rPr>
              <w:t xml:space="preserve"> Loi électorale du Canada</w:t>
            </w:r>
            <w:r w:rsidRPr="00BE6616">
              <w:rPr>
                <w:rFonts w:eastAsia="Calibri"/>
                <w:sz w:val="20"/>
                <w:lang w:val="fr-CA"/>
              </w:rPr>
              <w:t>, L.C. 2000, ch. 9, art. 407 et 465.</w:t>
            </w:r>
          </w:p>
        </w:tc>
      </w:tr>
      <w:tr w:rsidR="002714AB" w:rsidRPr="00682661" w:rsidTr="00E12E48">
        <w:tc>
          <w:tcPr>
            <w:tcW w:w="5000" w:type="pct"/>
            <w:gridSpan w:val="3"/>
          </w:tcPr>
          <w:p w:rsidR="002714AB" w:rsidRPr="00BE6616" w:rsidRDefault="002714AB" w:rsidP="00E12E48">
            <w:pPr>
              <w:jc w:val="both"/>
              <w:rPr>
                <w:rFonts w:eastAsia="Calibri"/>
                <w:sz w:val="20"/>
                <w:lang w:val="fr-CA"/>
              </w:rPr>
            </w:pPr>
          </w:p>
        </w:tc>
      </w:tr>
      <w:tr w:rsidR="002714AB" w:rsidRPr="00682661" w:rsidTr="00E12E48">
        <w:tc>
          <w:tcPr>
            <w:tcW w:w="5000" w:type="pct"/>
            <w:gridSpan w:val="3"/>
          </w:tcPr>
          <w:p w:rsidR="002714AB" w:rsidRPr="00BE6616" w:rsidRDefault="002714AB" w:rsidP="00E12E48">
            <w:pPr>
              <w:jc w:val="both"/>
              <w:rPr>
                <w:rFonts w:eastAsia="Calibri"/>
                <w:sz w:val="20"/>
                <w:lang w:val="fr-CA"/>
              </w:rPr>
            </w:pPr>
            <w:r w:rsidRPr="00BE6616">
              <w:rPr>
                <w:rFonts w:eastAsia="Calibri"/>
                <w:sz w:val="20"/>
                <w:lang w:val="fr-CA"/>
              </w:rPr>
              <w:t>Le présent litige découle de certaines dépenses électorales des demandeurs qui étaient candidats du Parti conservateur du Canada aux élections fédérales de 2006.  Les dépenses en cause étaient liées à des paiements effectués relativement aux frais engagés pour certaines annonces publicitaires de nature politique diffusées dans les circonscriptions des candidats.  Les candidats avaient fait les paiements en question au Parti avec des fonds que le Parti leur avait remis à cette fin, plus tôt le même jour.  Le Directeur général des élections a refusé d’attester les dépenses dont le remboursement était demandé.  Il était préoccupé entre autres de ce que les frais de publicité auraient pu être engagés non pas par les candidats, mais par le Parti, et de ce que le Parti, ayant presque atteint son plafond autorisé avait tout simplement transféré ces frais aux candidats au moyen des mouvements financiers réciproques.  Les candidats demandeurs ont contesté avec succès en Cour fédérale la décision du Directeur général des élections.  Toutefois, la Cour d'appel fédérale a accueilli l'appel et rejeté la demande de contrôle judiciaire.</w:t>
            </w:r>
          </w:p>
          <w:p w:rsidR="002714AB" w:rsidRPr="00BE6616" w:rsidRDefault="002714AB" w:rsidP="00E12E48">
            <w:pPr>
              <w:jc w:val="both"/>
              <w:rPr>
                <w:rFonts w:eastAsia="Calibri"/>
                <w:sz w:val="20"/>
                <w:lang w:val="fr-CA"/>
              </w:rPr>
            </w:pPr>
          </w:p>
        </w:tc>
      </w:tr>
      <w:tr w:rsidR="002714AB" w:rsidRPr="00682661" w:rsidTr="00E12E48">
        <w:tc>
          <w:tcPr>
            <w:tcW w:w="2427" w:type="pct"/>
          </w:tcPr>
          <w:p w:rsidR="002714AB" w:rsidRPr="00BE6616" w:rsidRDefault="002714AB" w:rsidP="00E12E48">
            <w:pPr>
              <w:jc w:val="both"/>
              <w:rPr>
                <w:rFonts w:eastAsia="Calibri"/>
                <w:sz w:val="20"/>
                <w:lang w:val="fr-CA"/>
              </w:rPr>
            </w:pPr>
            <w:r w:rsidRPr="00BE6616">
              <w:rPr>
                <w:rFonts w:eastAsia="Calibri"/>
                <w:sz w:val="20"/>
                <w:lang w:val="fr-CA"/>
              </w:rPr>
              <w:t>18 janvier 2010</w:t>
            </w:r>
          </w:p>
          <w:p w:rsidR="002714AB" w:rsidRPr="00BE6616" w:rsidRDefault="002714AB" w:rsidP="00E12E48">
            <w:pPr>
              <w:jc w:val="both"/>
              <w:rPr>
                <w:rFonts w:eastAsia="Calibri"/>
                <w:sz w:val="20"/>
                <w:lang w:val="fr-CA"/>
              </w:rPr>
            </w:pPr>
            <w:r w:rsidRPr="00BE6616">
              <w:rPr>
                <w:rFonts w:eastAsia="Calibri"/>
                <w:sz w:val="20"/>
                <w:lang w:val="fr-CA"/>
              </w:rPr>
              <w:t xml:space="preserve">Cour fédérale </w:t>
            </w:r>
          </w:p>
          <w:p w:rsidR="002714AB" w:rsidRPr="00BE6616" w:rsidRDefault="002714AB" w:rsidP="00E12E48">
            <w:pPr>
              <w:jc w:val="both"/>
              <w:rPr>
                <w:rFonts w:eastAsia="Calibri"/>
                <w:sz w:val="20"/>
                <w:lang w:val="fr-CA"/>
              </w:rPr>
            </w:pPr>
            <w:r w:rsidRPr="00BE6616">
              <w:rPr>
                <w:rFonts w:eastAsia="Calibri"/>
                <w:sz w:val="20"/>
                <w:lang w:val="fr-CA"/>
              </w:rPr>
              <w:t>(Juge Martineau)</w:t>
            </w:r>
          </w:p>
          <w:p w:rsidR="002714AB" w:rsidRPr="00BE6616" w:rsidRDefault="002714AB" w:rsidP="00E12E48">
            <w:pPr>
              <w:jc w:val="both"/>
              <w:rPr>
                <w:rFonts w:eastAsia="Calibri"/>
                <w:sz w:val="20"/>
                <w:lang w:val="fr-CA"/>
              </w:rPr>
            </w:pPr>
            <w:r w:rsidRPr="00BE6616">
              <w:rPr>
                <w:rFonts w:eastAsia="Calibri"/>
                <w:sz w:val="20"/>
                <w:lang w:val="fr-CA"/>
              </w:rPr>
              <w:t>2010 FC 43</w:t>
            </w:r>
          </w:p>
          <w:p w:rsidR="002714AB" w:rsidRPr="00BE6616" w:rsidRDefault="002714AB" w:rsidP="00E12E48">
            <w:pPr>
              <w:jc w:val="both"/>
              <w:rPr>
                <w:rFonts w:eastAsia="Calibri"/>
                <w:sz w:val="20"/>
                <w:lang w:val="fr-CA"/>
              </w:rPr>
            </w:pPr>
          </w:p>
        </w:tc>
        <w:tc>
          <w:tcPr>
            <w:tcW w:w="243" w:type="pct"/>
          </w:tcPr>
          <w:p w:rsidR="002714AB" w:rsidRPr="00BE6616" w:rsidRDefault="002714AB" w:rsidP="00E12E48">
            <w:pPr>
              <w:jc w:val="both"/>
              <w:rPr>
                <w:rFonts w:eastAsia="Calibri"/>
                <w:sz w:val="20"/>
                <w:lang w:val="fr-CA"/>
              </w:rPr>
            </w:pPr>
          </w:p>
        </w:tc>
        <w:tc>
          <w:tcPr>
            <w:tcW w:w="2330" w:type="pct"/>
          </w:tcPr>
          <w:p w:rsidR="002714AB" w:rsidRPr="00BE6616" w:rsidRDefault="002714AB" w:rsidP="00E12E48">
            <w:pPr>
              <w:jc w:val="both"/>
              <w:rPr>
                <w:rFonts w:eastAsia="Calibri"/>
                <w:sz w:val="20"/>
                <w:lang w:val="fr-CA"/>
              </w:rPr>
            </w:pPr>
            <w:r w:rsidRPr="00BE6616">
              <w:rPr>
                <w:rFonts w:eastAsia="Calibri"/>
                <w:sz w:val="20"/>
                <w:lang w:val="fr-CA"/>
              </w:rPr>
              <w:t xml:space="preserve">Demande de contrôle judiciaire, accueillie; brefs de </w:t>
            </w:r>
            <w:r w:rsidRPr="00BE6616">
              <w:rPr>
                <w:rFonts w:eastAsia="Calibri"/>
                <w:i/>
                <w:sz w:val="20"/>
                <w:lang w:val="fr-CA"/>
              </w:rPr>
              <w:t>mandamus</w:t>
            </w:r>
            <w:r w:rsidRPr="00BE6616">
              <w:rPr>
                <w:rFonts w:eastAsia="Calibri"/>
                <w:sz w:val="20"/>
                <w:lang w:val="fr-CA"/>
              </w:rPr>
              <w:t>/</w:t>
            </w:r>
            <w:r w:rsidRPr="00BE6616">
              <w:rPr>
                <w:rFonts w:eastAsia="Calibri"/>
                <w:i/>
                <w:sz w:val="20"/>
                <w:lang w:val="fr-CA"/>
              </w:rPr>
              <w:t>certiorari</w:t>
            </w:r>
            <w:r w:rsidRPr="00BE6616">
              <w:rPr>
                <w:rFonts w:eastAsia="Calibri"/>
                <w:sz w:val="20"/>
                <w:lang w:val="fr-CA"/>
              </w:rPr>
              <w:t xml:space="preserve"> décernés contre le Directeur général des élections du Canada</w:t>
            </w:r>
          </w:p>
          <w:p w:rsidR="002714AB" w:rsidRPr="00BE6616" w:rsidRDefault="002714AB" w:rsidP="00E12E48">
            <w:pPr>
              <w:jc w:val="both"/>
              <w:rPr>
                <w:rFonts w:eastAsia="Calibri"/>
                <w:sz w:val="20"/>
                <w:lang w:val="fr-CA"/>
              </w:rPr>
            </w:pPr>
          </w:p>
        </w:tc>
      </w:tr>
      <w:tr w:rsidR="002714AB" w:rsidRPr="00682661" w:rsidTr="00E12E48">
        <w:tc>
          <w:tcPr>
            <w:tcW w:w="2427" w:type="pct"/>
          </w:tcPr>
          <w:p w:rsidR="002714AB" w:rsidRPr="00BE6616" w:rsidRDefault="002714AB" w:rsidP="00E12E48">
            <w:pPr>
              <w:jc w:val="both"/>
              <w:rPr>
                <w:rFonts w:eastAsia="Calibri"/>
                <w:sz w:val="20"/>
                <w:lang w:val="fr-CA"/>
              </w:rPr>
            </w:pPr>
            <w:r w:rsidRPr="00BE6616">
              <w:rPr>
                <w:rFonts w:eastAsia="Calibri"/>
                <w:sz w:val="20"/>
                <w:lang w:val="fr-CA"/>
              </w:rPr>
              <w:t>28 février 2011</w:t>
            </w:r>
          </w:p>
          <w:p w:rsidR="002714AB" w:rsidRPr="00BE6616" w:rsidRDefault="002714AB" w:rsidP="00E12E48">
            <w:pPr>
              <w:jc w:val="both"/>
              <w:rPr>
                <w:rFonts w:eastAsia="Calibri"/>
                <w:sz w:val="20"/>
                <w:lang w:val="fr-CA"/>
              </w:rPr>
            </w:pPr>
            <w:r w:rsidRPr="00BE6616">
              <w:rPr>
                <w:rFonts w:eastAsia="Calibri"/>
                <w:sz w:val="20"/>
                <w:lang w:val="fr-CA"/>
              </w:rPr>
              <w:t xml:space="preserve">Cour d’appel fédérale </w:t>
            </w:r>
          </w:p>
          <w:p w:rsidR="002714AB" w:rsidRPr="00BE6616" w:rsidRDefault="002714AB" w:rsidP="00E12E48">
            <w:pPr>
              <w:jc w:val="both"/>
              <w:rPr>
                <w:rFonts w:eastAsia="Calibri"/>
                <w:sz w:val="20"/>
                <w:lang w:val="fr-CA"/>
              </w:rPr>
            </w:pPr>
            <w:r w:rsidRPr="00BE6616">
              <w:rPr>
                <w:rFonts w:eastAsia="Calibri"/>
                <w:sz w:val="20"/>
                <w:lang w:val="fr-CA"/>
              </w:rPr>
              <w:t>(Juges Evans, Dawson et Trudel)</w:t>
            </w:r>
          </w:p>
          <w:p w:rsidR="002714AB" w:rsidRPr="00BE6616" w:rsidRDefault="002714AB" w:rsidP="00E12E48">
            <w:pPr>
              <w:jc w:val="both"/>
              <w:rPr>
                <w:rFonts w:eastAsia="Calibri"/>
                <w:sz w:val="20"/>
                <w:lang w:val="fr-CA"/>
              </w:rPr>
            </w:pPr>
            <w:r w:rsidRPr="00BE6616">
              <w:rPr>
                <w:rFonts w:eastAsia="Calibri"/>
                <w:sz w:val="20"/>
                <w:lang w:val="fr-CA"/>
              </w:rPr>
              <w:t>2011 FCA 74</w:t>
            </w:r>
          </w:p>
          <w:p w:rsidR="002714AB" w:rsidRPr="00BE6616" w:rsidRDefault="002714AB" w:rsidP="00E12E48">
            <w:pPr>
              <w:jc w:val="both"/>
              <w:rPr>
                <w:rFonts w:eastAsia="Calibri"/>
                <w:sz w:val="20"/>
                <w:lang w:val="fr-CA"/>
              </w:rPr>
            </w:pPr>
          </w:p>
        </w:tc>
        <w:tc>
          <w:tcPr>
            <w:tcW w:w="243" w:type="pct"/>
          </w:tcPr>
          <w:p w:rsidR="002714AB" w:rsidRPr="00BE6616" w:rsidRDefault="002714AB" w:rsidP="00E12E48">
            <w:pPr>
              <w:jc w:val="both"/>
              <w:rPr>
                <w:rFonts w:eastAsia="Calibri"/>
                <w:sz w:val="20"/>
                <w:lang w:val="fr-CA"/>
              </w:rPr>
            </w:pPr>
          </w:p>
        </w:tc>
        <w:tc>
          <w:tcPr>
            <w:tcW w:w="2330" w:type="pct"/>
          </w:tcPr>
          <w:p w:rsidR="002714AB" w:rsidRPr="00BE6616" w:rsidRDefault="002714AB" w:rsidP="00E12E48">
            <w:pPr>
              <w:jc w:val="both"/>
              <w:rPr>
                <w:rFonts w:eastAsia="Calibri"/>
                <w:sz w:val="20"/>
                <w:lang w:val="fr-CA"/>
              </w:rPr>
            </w:pPr>
            <w:r w:rsidRPr="00BE6616">
              <w:rPr>
                <w:rFonts w:eastAsia="Calibri"/>
                <w:sz w:val="20"/>
                <w:lang w:val="fr-CA"/>
              </w:rPr>
              <w:t>Appel accueilli et demande de contrôle judiciaire, rejetée</w:t>
            </w:r>
          </w:p>
        </w:tc>
      </w:tr>
      <w:tr w:rsidR="002714AB" w:rsidRPr="00BE6616" w:rsidTr="00E12E48">
        <w:tc>
          <w:tcPr>
            <w:tcW w:w="2427" w:type="pct"/>
          </w:tcPr>
          <w:p w:rsidR="002714AB" w:rsidRPr="00BE6616" w:rsidRDefault="002714AB" w:rsidP="00E12E48">
            <w:pPr>
              <w:jc w:val="both"/>
              <w:rPr>
                <w:rFonts w:eastAsia="Calibri"/>
                <w:sz w:val="20"/>
                <w:lang w:val="fr-CA"/>
              </w:rPr>
            </w:pPr>
            <w:r w:rsidRPr="00BE6616">
              <w:rPr>
                <w:rFonts w:eastAsia="Calibri"/>
                <w:sz w:val="20"/>
                <w:lang w:val="fr-CA"/>
              </w:rPr>
              <w:t>29 avril 2011</w:t>
            </w:r>
          </w:p>
          <w:p w:rsidR="002714AB" w:rsidRPr="00BE6616" w:rsidRDefault="002714AB" w:rsidP="002714AB">
            <w:pPr>
              <w:jc w:val="both"/>
              <w:rPr>
                <w:rFonts w:eastAsia="Calibri"/>
                <w:sz w:val="20"/>
                <w:lang w:val="fr-CA"/>
              </w:rPr>
            </w:pPr>
            <w:r w:rsidRPr="00BE6616">
              <w:rPr>
                <w:rFonts w:eastAsia="Calibri"/>
                <w:sz w:val="20"/>
                <w:lang w:val="fr-CA"/>
              </w:rPr>
              <w:t>Cour suprême du Canada</w:t>
            </w:r>
          </w:p>
        </w:tc>
        <w:tc>
          <w:tcPr>
            <w:tcW w:w="243" w:type="pct"/>
          </w:tcPr>
          <w:p w:rsidR="002714AB" w:rsidRPr="00BE6616" w:rsidRDefault="002714AB" w:rsidP="00E12E48">
            <w:pPr>
              <w:jc w:val="both"/>
              <w:rPr>
                <w:rFonts w:eastAsia="Calibri"/>
                <w:sz w:val="20"/>
                <w:lang w:val="fr-CA"/>
              </w:rPr>
            </w:pPr>
          </w:p>
        </w:tc>
        <w:tc>
          <w:tcPr>
            <w:tcW w:w="2330" w:type="pct"/>
          </w:tcPr>
          <w:p w:rsidR="002714AB" w:rsidRPr="00BE6616" w:rsidRDefault="002714AB" w:rsidP="00E12E48">
            <w:pPr>
              <w:jc w:val="both"/>
              <w:rPr>
                <w:rFonts w:eastAsia="Calibri"/>
                <w:sz w:val="20"/>
                <w:lang w:val="fr-CA"/>
              </w:rPr>
            </w:pPr>
            <w:r w:rsidRPr="00BE6616">
              <w:rPr>
                <w:rFonts w:eastAsia="Calibri"/>
                <w:sz w:val="20"/>
                <w:lang w:val="fr-CA"/>
              </w:rPr>
              <w:t>Demande d’autorisation d’appel, déposée</w:t>
            </w:r>
          </w:p>
          <w:p w:rsidR="002714AB" w:rsidRPr="00BE6616" w:rsidRDefault="002714AB" w:rsidP="00E12E4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64"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C5809" w:rsidRPr="009D5E94" w:rsidTr="002E3508">
        <w:trPr>
          <w:cantSplit/>
        </w:trPr>
        <w:tc>
          <w:tcPr>
            <w:tcW w:w="1458" w:type="dxa"/>
          </w:tcPr>
          <w:p w:rsidR="008C5809" w:rsidRPr="009D5E94" w:rsidRDefault="008C5809" w:rsidP="002E3508">
            <w:pPr>
              <w:rPr>
                <w:sz w:val="20"/>
                <w:szCs w:val="20"/>
              </w:rPr>
            </w:pPr>
            <w:r w:rsidRPr="009D5E94">
              <w:rPr>
                <w:rStyle w:val="SCCFileNumberChar"/>
                <w:sz w:val="20"/>
                <w:szCs w:val="20"/>
              </w:rPr>
              <w:t>34236</w:t>
            </w:r>
          </w:p>
          <w:p w:rsidR="008C5809" w:rsidRPr="009D5E94" w:rsidRDefault="008C5809" w:rsidP="002E3508">
            <w:pPr>
              <w:rPr>
                <w:b/>
                <w:sz w:val="20"/>
                <w:szCs w:val="20"/>
                <w:lang w:val="fr-CA"/>
              </w:rPr>
            </w:pPr>
          </w:p>
        </w:tc>
        <w:tc>
          <w:tcPr>
            <w:tcW w:w="8118" w:type="dxa"/>
          </w:tcPr>
          <w:p w:rsidR="008C5809" w:rsidRPr="009D5E94" w:rsidRDefault="008C5809" w:rsidP="002E3508">
            <w:pPr>
              <w:jc w:val="both"/>
              <w:rPr>
                <w:sz w:val="20"/>
                <w:szCs w:val="20"/>
              </w:rPr>
            </w:pPr>
            <w:r w:rsidRPr="008C5809">
              <w:rPr>
                <w:rStyle w:val="SCCLsocChar"/>
                <w:sz w:val="20"/>
                <w:szCs w:val="20"/>
                <w:lang w:val="en-CA"/>
              </w:rPr>
              <w:t>K.B. v. University of Regina Faculty Association</w:t>
            </w:r>
            <w:r w:rsidR="00FE0153">
              <w:rPr>
                <w:rStyle w:val="SCCLsocChar"/>
                <w:sz w:val="20"/>
                <w:szCs w:val="20"/>
                <w:lang w:val="en-CA"/>
              </w:rPr>
              <w:t xml:space="preserve"> and</w:t>
            </w:r>
            <w:r w:rsidRPr="008C5809">
              <w:rPr>
                <w:rStyle w:val="SCCLsocChar"/>
                <w:sz w:val="20"/>
                <w:szCs w:val="20"/>
                <w:lang w:val="en-CA"/>
              </w:rPr>
              <w:t xml:space="preserve"> Saskatchewan Labour Relations Board</w:t>
            </w:r>
            <w:r w:rsidRPr="009D5E94">
              <w:rPr>
                <w:sz w:val="20"/>
                <w:szCs w:val="20"/>
              </w:rPr>
              <w:t xml:space="preserve"> (Sask.) (Civil) (By Leave)</w:t>
            </w:r>
          </w:p>
          <w:p w:rsidR="008C5809" w:rsidRPr="009D5E94" w:rsidRDefault="008C5809" w:rsidP="002E3508">
            <w:pPr>
              <w:rPr>
                <w:sz w:val="20"/>
                <w:szCs w:val="20"/>
              </w:rPr>
            </w:pPr>
          </w:p>
        </w:tc>
      </w:tr>
      <w:tr w:rsidR="008C5809" w:rsidRPr="009D5E94" w:rsidTr="002E3508">
        <w:trPr>
          <w:cantSplit/>
        </w:trPr>
        <w:tc>
          <w:tcPr>
            <w:tcW w:w="1458" w:type="dxa"/>
          </w:tcPr>
          <w:p w:rsidR="008C5809" w:rsidRPr="009D5E94" w:rsidRDefault="008C5809" w:rsidP="002E3508">
            <w:pPr>
              <w:rPr>
                <w:sz w:val="20"/>
                <w:szCs w:val="20"/>
              </w:rPr>
            </w:pPr>
            <w:r w:rsidRPr="009D5E94">
              <w:rPr>
                <w:sz w:val="20"/>
                <w:szCs w:val="20"/>
              </w:rPr>
              <w:t>Coram :</w:t>
            </w:r>
          </w:p>
        </w:tc>
        <w:tc>
          <w:tcPr>
            <w:tcW w:w="8118" w:type="dxa"/>
          </w:tcPr>
          <w:p w:rsidR="008C5809" w:rsidRPr="009D5E94" w:rsidRDefault="008C5809" w:rsidP="002E3508">
            <w:pPr>
              <w:rPr>
                <w:sz w:val="20"/>
                <w:szCs w:val="20"/>
              </w:rPr>
            </w:pPr>
            <w:r w:rsidRPr="009D5E94">
              <w:rPr>
                <w:rStyle w:val="SCCCoramChar"/>
                <w:sz w:val="20"/>
                <w:szCs w:val="20"/>
              </w:rPr>
              <w:t>McLachlin C.J. and Deschamps and Abella JJ.</w:t>
            </w:r>
          </w:p>
          <w:p w:rsidR="008C5809" w:rsidRPr="009D5E94" w:rsidRDefault="008C5809" w:rsidP="002E3508">
            <w:pPr>
              <w:rPr>
                <w:sz w:val="20"/>
                <w:szCs w:val="20"/>
                <w:u w:val="single"/>
              </w:rPr>
            </w:pPr>
          </w:p>
        </w:tc>
      </w:tr>
      <w:tr w:rsidR="008C5809" w:rsidRPr="00682661" w:rsidTr="002E3508">
        <w:trPr>
          <w:cantSplit/>
        </w:trPr>
        <w:tc>
          <w:tcPr>
            <w:tcW w:w="9576" w:type="dxa"/>
            <w:gridSpan w:val="2"/>
          </w:tcPr>
          <w:p w:rsidR="008C5809" w:rsidRPr="009D5E94" w:rsidRDefault="008C5809" w:rsidP="002E3508">
            <w:pPr>
              <w:pStyle w:val="SCCShortJudgment"/>
              <w:rPr>
                <w:szCs w:val="20"/>
              </w:rPr>
            </w:pPr>
            <w:r w:rsidRPr="009D5E94">
              <w:rPr>
                <w:szCs w:val="20"/>
              </w:rPr>
              <w:lastRenderedPageBreak/>
              <w:t>The motion to adduce fresh evidence is dismissed with costs to the respondent University of Regina Faculty Association.  The motion to add parties is dismissed with costs to the respondent University of Regina Faculty Association and to the Attorney General of Canada.  The application for leave to appeal from the judgment of the Court of Appeal for Saskatchewan, Number CACV1977, 2011 SKCA 27, dated March 3, 2011, is dismissed with costs to the respondent University of Regina Faculty Association.</w:t>
            </w:r>
          </w:p>
          <w:p w:rsidR="008C5809" w:rsidRPr="009D5E94" w:rsidRDefault="008C5809" w:rsidP="002E3508">
            <w:pPr>
              <w:pStyle w:val="SCCShortJudgment"/>
              <w:ind w:firstLine="0"/>
              <w:rPr>
                <w:szCs w:val="20"/>
              </w:rPr>
            </w:pPr>
          </w:p>
          <w:p w:rsidR="008C5809" w:rsidRPr="009D5E94" w:rsidRDefault="008C5809" w:rsidP="002E3508">
            <w:pPr>
              <w:pStyle w:val="SCCShortJudgment"/>
              <w:rPr>
                <w:szCs w:val="20"/>
                <w:lang w:val="fr-CA"/>
              </w:rPr>
            </w:pPr>
            <w:r w:rsidRPr="009D5E94">
              <w:rPr>
                <w:szCs w:val="20"/>
                <w:lang w:val="fr-CA"/>
              </w:rPr>
              <w:t>La requête pour déposer de nouveaux éléments de preuve est rejetée avec dépens en faveur de l’intimée University of Regina Faculty Association.  La requête visant à ajouter des parties est rejetée avec dépens en faveur de l’intimée University of Regina Faculty Association et en faveur du Procureur général du Canada. La demande d’autorisation d’appel de l’arrêt de la Cour d’appel de la Saskatchewan, numéro CACV1977, 2011 SKCA 27, daté du 3 mars 2011, est rejetée avec dépens en faveur de l’intimée University of Regina Faculty Association.</w:t>
            </w:r>
          </w:p>
        </w:tc>
      </w:tr>
    </w:tbl>
    <w:p w:rsidR="007B50F9" w:rsidRPr="008C5809" w:rsidRDefault="007B50F9" w:rsidP="007B50F9">
      <w:pPr>
        <w:rPr>
          <w:sz w:val="20"/>
          <w:szCs w:val="20"/>
          <w:lang w:val="fr-CA"/>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44026" w:rsidRPr="00BE6616" w:rsidTr="002E3508">
        <w:tc>
          <w:tcPr>
            <w:tcW w:w="5000" w:type="pct"/>
            <w:gridSpan w:val="3"/>
          </w:tcPr>
          <w:p w:rsidR="00A44026" w:rsidRPr="00BE6616" w:rsidRDefault="00A44026" w:rsidP="002E3508">
            <w:pPr>
              <w:jc w:val="both"/>
              <w:rPr>
                <w:rFonts w:eastAsia="Calibri"/>
                <w:smallCaps/>
                <w:sz w:val="20"/>
              </w:rPr>
            </w:pPr>
            <w:r w:rsidRPr="00BE6616">
              <w:rPr>
                <w:rFonts w:eastAsia="Calibri"/>
                <w:smallCaps/>
                <w:sz w:val="20"/>
              </w:rPr>
              <w:t>(Publication ban on party) (</w:t>
            </w:r>
            <w:r w:rsidRPr="00BB4E85">
              <w:rPr>
                <w:rFonts w:eastAsia="Calibri"/>
                <w:smallCaps/>
                <w:sz w:val="20"/>
              </w:rPr>
              <w:t>Sealed</w:t>
            </w:r>
            <w:r w:rsidRPr="00BE6616">
              <w:rPr>
                <w:rFonts w:eastAsia="Calibri"/>
                <w:smallCaps/>
                <w:sz w:val="20"/>
              </w:rPr>
              <w:t>)</w:t>
            </w:r>
          </w:p>
          <w:p w:rsidR="00A44026" w:rsidRPr="00BE6616" w:rsidRDefault="00A44026" w:rsidP="002E3508">
            <w:pPr>
              <w:jc w:val="both"/>
              <w:rPr>
                <w:rFonts w:eastAsia="Calibri"/>
                <w:smallCaps/>
                <w:sz w:val="20"/>
              </w:rPr>
            </w:pPr>
          </w:p>
          <w:p w:rsidR="00A44026" w:rsidRPr="00BE6616" w:rsidRDefault="00A44026" w:rsidP="002E3508">
            <w:pPr>
              <w:jc w:val="both"/>
              <w:rPr>
                <w:rFonts w:eastAsia="Calibri"/>
                <w:sz w:val="20"/>
              </w:rPr>
            </w:pPr>
            <w:r w:rsidRPr="00BE6616">
              <w:rPr>
                <w:rFonts w:eastAsia="Calibri"/>
                <w:sz w:val="20"/>
              </w:rPr>
              <w:t xml:space="preserve">Labour law — Grievances — Court appointing independent counsel for Applicant — Applicant’s motion to require Respondent to pay Applicant’s costs of legal counsel dismissed </w:t>
            </w:r>
            <w:r w:rsidRPr="00BE6616">
              <w:rPr>
                <w:rFonts w:eastAsia="Calibri"/>
                <w:iCs/>
                <w:sz w:val="20"/>
              </w:rPr>
              <w:t>—</w:t>
            </w:r>
            <w:r w:rsidRPr="00BE6616">
              <w:rPr>
                <w:rFonts w:eastAsia="Calibri"/>
                <w:sz w:val="20"/>
              </w:rPr>
              <w:t xml:space="preserve"> Whether Applicant was denied a hearing of main issues — Whether court of appeal dismissed his case without reviewing facts</w:t>
            </w:r>
          </w:p>
          <w:p w:rsidR="00A44026" w:rsidRPr="00BE6616" w:rsidRDefault="00A44026" w:rsidP="002E3508">
            <w:pPr>
              <w:jc w:val="both"/>
              <w:rPr>
                <w:rFonts w:eastAsia="Calibri"/>
                <w:sz w:val="20"/>
              </w:rPr>
            </w:pPr>
          </w:p>
        </w:tc>
      </w:tr>
      <w:tr w:rsidR="00A44026" w:rsidRPr="00BE6616" w:rsidTr="002E3508">
        <w:trPr>
          <w:trHeight w:val="1260"/>
        </w:trPr>
        <w:tc>
          <w:tcPr>
            <w:tcW w:w="5000" w:type="pct"/>
            <w:gridSpan w:val="3"/>
          </w:tcPr>
          <w:p w:rsidR="00A44026" w:rsidRPr="00BE6616" w:rsidRDefault="00A44026" w:rsidP="002E3508">
            <w:pPr>
              <w:jc w:val="both"/>
              <w:rPr>
                <w:rFonts w:eastAsia="Calibri"/>
                <w:sz w:val="20"/>
              </w:rPr>
            </w:pPr>
            <w:r w:rsidRPr="00BE6616">
              <w:rPr>
                <w:rFonts w:eastAsia="Calibri"/>
                <w:sz w:val="20"/>
              </w:rPr>
              <w:t xml:space="preserve">K.B. was a professor at the University of Regina.  He was suspended without pay in April 2002 and dismissed from his position in December 2002.  The Respondent Faculty Association (“URFA”) filed five grievances on his behalf related to the suspension and dismissal.  K.B. applied to the Labour Relations Board, alleging that the URFA had failed to represent him in good faith, contrary to s. 25.1 of </w:t>
            </w:r>
            <w:r w:rsidRPr="00BE6616">
              <w:rPr>
                <w:rFonts w:eastAsia="Calibri"/>
                <w:i/>
                <w:sz w:val="20"/>
              </w:rPr>
              <w:t>The Trade Union Act</w:t>
            </w:r>
            <w:r w:rsidRPr="00BE6616">
              <w:rPr>
                <w:rFonts w:eastAsia="Calibri"/>
                <w:sz w:val="20"/>
              </w:rPr>
              <w:t>, R.S.S. 1978, c. T</w:t>
            </w:r>
            <w:r w:rsidRPr="00BE6616">
              <w:rPr>
                <w:rFonts w:eastAsia="Calibri"/>
                <w:sz w:val="20"/>
              </w:rPr>
              <w:noBreakHyphen/>
              <w:t>17.  He sought an order for independent legal counsel and an order requiring the UFRA to pay for his legal costs in the grievance proceedings.  The Board concluded that he was entitled to independent legal counsel, but that it was not appropriate to make an order requiring the URFA to pay his legal costs</w:t>
            </w:r>
            <w:proofErr w:type="gramStart"/>
            <w:r w:rsidRPr="00BE6616">
              <w:rPr>
                <w:rFonts w:eastAsia="Calibri"/>
                <w:sz w:val="20"/>
              </w:rPr>
              <w:t>..</w:t>
            </w:r>
            <w:proofErr w:type="gramEnd"/>
            <w:r w:rsidRPr="00BE6616">
              <w:rPr>
                <w:rFonts w:eastAsia="Calibri"/>
                <w:sz w:val="20"/>
              </w:rPr>
              <w:t xml:space="preserve">  He sought judicial review of that decision.</w:t>
            </w:r>
          </w:p>
          <w:p w:rsidR="00A44026" w:rsidRPr="00BE6616" w:rsidRDefault="00A44026" w:rsidP="002E3508">
            <w:pPr>
              <w:jc w:val="both"/>
              <w:rPr>
                <w:rFonts w:eastAsia="Calibri"/>
                <w:sz w:val="20"/>
              </w:rPr>
            </w:pPr>
          </w:p>
        </w:tc>
      </w:tr>
      <w:tr w:rsidR="00A44026" w:rsidRPr="00BE6616" w:rsidTr="002E3508">
        <w:tc>
          <w:tcPr>
            <w:tcW w:w="2427" w:type="pct"/>
          </w:tcPr>
          <w:p w:rsidR="00A44026" w:rsidRPr="00BE6616" w:rsidRDefault="00A44026" w:rsidP="002E3508">
            <w:pPr>
              <w:jc w:val="both"/>
              <w:rPr>
                <w:rFonts w:eastAsia="Calibri"/>
                <w:sz w:val="20"/>
              </w:rPr>
            </w:pPr>
            <w:r w:rsidRPr="00BE6616">
              <w:rPr>
                <w:rFonts w:eastAsia="Calibri"/>
                <w:sz w:val="20"/>
              </w:rPr>
              <w:t>July 7, 2010</w:t>
            </w:r>
          </w:p>
          <w:p w:rsidR="00A44026" w:rsidRPr="00BE6616" w:rsidRDefault="00A44026" w:rsidP="002E3508">
            <w:pPr>
              <w:jc w:val="both"/>
              <w:rPr>
                <w:rFonts w:eastAsia="Calibri"/>
                <w:sz w:val="20"/>
              </w:rPr>
            </w:pPr>
            <w:r w:rsidRPr="00BE6616">
              <w:rPr>
                <w:rFonts w:eastAsia="Calibri"/>
                <w:sz w:val="20"/>
              </w:rPr>
              <w:t>Court of Queen’s Bench of Saskatchewan</w:t>
            </w:r>
          </w:p>
          <w:p w:rsidR="00A44026" w:rsidRPr="00BE6616" w:rsidRDefault="00A44026" w:rsidP="002E3508">
            <w:pPr>
              <w:jc w:val="both"/>
              <w:rPr>
                <w:rFonts w:eastAsia="Calibri"/>
                <w:sz w:val="20"/>
              </w:rPr>
            </w:pPr>
            <w:r w:rsidRPr="00BE6616">
              <w:rPr>
                <w:rFonts w:eastAsia="Calibri"/>
                <w:sz w:val="20"/>
              </w:rPr>
              <w:t>(Herauf J.)</w:t>
            </w:r>
          </w:p>
          <w:p w:rsidR="00A44026" w:rsidRPr="00BE6616" w:rsidRDefault="00A44026" w:rsidP="002E3508">
            <w:pPr>
              <w:jc w:val="both"/>
              <w:rPr>
                <w:rFonts w:eastAsia="Calibri"/>
                <w:sz w:val="20"/>
              </w:rPr>
            </w:pPr>
            <w:r w:rsidRPr="00BE6616">
              <w:rPr>
                <w:rFonts w:eastAsia="Calibri"/>
                <w:sz w:val="20"/>
              </w:rPr>
              <w:t>2010 SKQB 241</w:t>
            </w:r>
          </w:p>
          <w:p w:rsidR="00A44026" w:rsidRPr="00BE6616" w:rsidRDefault="00A44026" w:rsidP="002E3508">
            <w:pPr>
              <w:jc w:val="both"/>
              <w:rPr>
                <w:rFonts w:eastAsia="Calibri"/>
                <w:sz w:val="20"/>
              </w:rPr>
            </w:pPr>
          </w:p>
        </w:tc>
        <w:tc>
          <w:tcPr>
            <w:tcW w:w="243" w:type="pct"/>
          </w:tcPr>
          <w:p w:rsidR="00A44026" w:rsidRPr="00BE6616" w:rsidRDefault="00A44026" w:rsidP="002E3508">
            <w:pPr>
              <w:jc w:val="both"/>
              <w:rPr>
                <w:rFonts w:eastAsia="Calibri"/>
                <w:sz w:val="20"/>
              </w:rPr>
            </w:pPr>
          </w:p>
        </w:tc>
        <w:tc>
          <w:tcPr>
            <w:tcW w:w="2330" w:type="pct"/>
          </w:tcPr>
          <w:p w:rsidR="00A44026" w:rsidRPr="00BE6616" w:rsidRDefault="00A44026" w:rsidP="002E3508">
            <w:pPr>
              <w:jc w:val="both"/>
              <w:rPr>
                <w:rFonts w:eastAsia="Calibri"/>
                <w:sz w:val="20"/>
              </w:rPr>
            </w:pPr>
            <w:r w:rsidRPr="00BE6616">
              <w:rPr>
                <w:rFonts w:eastAsia="Calibri"/>
                <w:sz w:val="20"/>
              </w:rPr>
              <w:t>Application dismissed.</w:t>
            </w:r>
          </w:p>
          <w:p w:rsidR="00A44026" w:rsidRPr="00BE6616" w:rsidRDefault="00A44026" w:rsidP="002E3508">
            <w:pPr>
              <w:jc w:val="both"/>
              <w:rPr>
                <w:rFonts w:eastAsia="Calibri"/>
                <w:sz w:val="20"/>
              </w:rPr>
            </w:pPr>
          </w:p>
        </w:tc>
      </w:tr>
      <w:tr w:rsidR="00A44026" w:rsidRPr="00BE6616" w:rsidTr="002E3508">
        <w:tc>
          <w:tcPr>
            <w:tcW w:w="2427" w:type="pct"/>
          </w:tcPr>
          <w:p w:rsidR="00A44026" w:rsidRPr="00BE6616" w:rsidRDefault="00A44026" w:rsidP="002E3508">
            <w:pPr>
              <w:jc w:val="both"/>
              <w:rPr>
                <w:rFonts w:eastAsia="Calibri"/>
                <w:sz w:val="20"/>
              </w:rPr>
            </w:pPr>
            <w:r w:rsidRPr="00BE6616">
              <w:rPr>
                <w:rFonts w:eastAsia="Calibri"/>
                <w:sz w:val="20"/>
              </w:rPr>
              <w:t>March 3, 2011</w:t>
            </w:r>
          </w:p>
          <w:p w:rsidR="00A44026" w:rsidRPr="00BE6616" w:rsidRDefault="00A44026" w:rsidP="002E3508">
            <w:pPr>
              <w:jc w:val="both"/>
              <w:rPr>
                <w:rFonts w:eastAsia="Calibri"/>
                <w:sz w:val="20"/>
              </w:rPr>
            </w:pPr>
            <w:r w:rsidRPr="00BE6616">
              <w:rPr>
                <w:rFonts w:eastAsia="Calibri"/>
                <w:sz w:val="20"/>
              </w:rPr>
              <w:t>Court of Appeal for Saskatchewan</w:t>
            </w:r>
          </w:p>
          <w:p w:rsidR="00A44026" w:rsidRPr="00BE6616" w:rsidRDefault="00A44026" w:rsidP="002E3508">
            <w:pPr>
              <w:jc w:val="both"/>
              <w:rPr>
                <w:rFonts w:eastAsia="Calibri"/>
                <w:sz w:val="20"/>
              </w:rPr>
            </w:pPr>
            <w:r w:rsidRPr="00BE6616">
              <w:rPr>
                <w:rFonts w:eastAsia="Calibri"/>
                <w:sz w:val="20"/>
              </w:rPr>
              <w:t>(Lane, Richards and Caldwell JJ.A.)</w:t>
            </w:r>
          </w:p>
          <w:p w:rsidR="00A44026" w:rsidRPr="00BE6616" w:rsidRDefault="00A44026" w:rsidP="002E3508">
            <w:pPr>
              <w:jc w:val="both"/>
              <w:rPr>
                <w:rFonts w:eastAsia="Calibri"/>
                <w:sz w:val="20"/>
              </w:rPr>
            </w:pPr>
            <w:r w:rsidRPr="00BE6616">
              <w:rPr>
                <w:rFonts w:eastAsia="Calibri"/>
                <w:sz w:val="20"/>
              </w:rPr>
              <w:t>2011 SKCA 27</w:t>
            </w:r>
          </w:p>
          <w:p w:rsidR="00A44026" w:rsidRPr="00BE6616" w:rsidRDefault="00A44026" w:rsidP="002E3508">
            <w:pPr>
              <w:jc w:val="both"/>
              <w:rPr>
                <w:rFonts w:eastAsia="Calibri"/>
                <w:sz w:val="20"/>
              </w:rPr>
            </w:pPr>
          </w:p>
        </w:tc>
        <w:tc>
          <w:tcPr>
            <w:tcW w:w="243" w:type="pct"/>
          </w:tcPr>
          <w:p w:rsidR="00A44026" w:rsidRPr="00BE6616" w:rsidRDefault="00A44026" w:rsidP="002E3508">
            <w:pPr>
              <w:jc w:val="both"/>
              <w:rPr>
                <w:rFonts w:eastAsia="Calibri"/>
                <w:sz w:val="20"/>
              </w:rPr>
            </w:pPr>
          </w:p>
        </w:tc>
        <w:tc>
          <w:tcPr>
            <w:tcW w:w="2330" w:type="pct"/>
          </w:tcPr>
          <w:p w:rsidR="00A44026" w:rsidRPr="00BE6616" w:rsidRDefault="00A44026" w:rsidP="002E3508">
            <w:pPr>
              <w:jc w:val="both"/>
              <w:rPr>
                <w:rFonts w:eastAsia="Calibri"/>
                <w:sz w:val="20"/>
              </w:rPr>
            </w:pPr>
            <w:r w:rsidRPr="00BE6616">
              <w:rPr>
                <w:rFonts w:eastAsia="Calibri"/>
                <w:sz w:val="20"/>
              </w:rPr>
              <w:t>Appeal dismissed</w:t>
            </w:r>
          </w:p>
          <w:p w:rsidR="00A44026" w:rsidRPr="00BE6616" w:rsidRDefault="00A44026" w:rsidP="002E3508">
            <w:pPr>
              <w:jc w:val="both"/>
              <w:rPr>
                <w:rFonts w:eastAsia="Calibri"/>
                <w:sz w:val="20"/>
              </w:rPr>
            </w:pPr>
          </w:p>
        </w:tc>
      </w:tr>
      <w:tr w:rsidR="00A44026" w:rsidRPr="00BE6616" w:rsidTr="002E3508">
        <w:tc>
          <w:tcPr>
            <w:tcW w:w="2427" w:type="pct"/>
          </w:tcPr>
          <w:p w:rsidR="00A44026" w:rsidRPr="00BE6616" w:rsidRDefault="00A44026" w:rsidP="002E3508">
            <w:pPr>
              <w:jc w:val="both"/>
              <w:rPr>
                <w:rFonts w:eastAsia="Calibri"/>
                <w:sz w:val="20"/>
              </w:rPr>
            </w:pPr>
            <w:r w:rsidRPr="00BE6616">
              <w:rPr>
                <w:rFonts w:eastAsia="Calibri"/>
                <w:sz w:val="20"/>
              </w:rPr>
              <w:t>April 29, 2011</w:t>
            </w:r>
          </w:p>
          <w:p w:rsidR="00A44026" w:rsidRPr="00BE6616" w:rsidRDefault="00A44026" w:rsidP="002E3508">
            <w:pPr>
              <w:jc w:val="both"/>
              <w:rPr>
                <w:rFonts w:eastAsia="Calibri"/>
                <w:sz w:val="20"/>
              </w:rPr>
            </w:pPr>
            <w:r w:rsidRPr="00BE6616">
              <w:rPr>
                <w:rFonts w:eastAsia="Calibri"/>
                <w:sz w:val="20"/>
              </w:rPr>
              <w:t>Supreme Court of Canada</w:t>
            </w:r>
          </w:p>
        </w:tc>
        <w:tc>
          <w:tcPr>
            <w:tcW w:w="243" w:type="pct"/>
          </w:tcPr>
          <w:p w:rsidR="00A44026" w:rsidRPr="00BE6616" w:rsidRDefault="00A44026" w:rsidP="002E3508">
            <w:pPr>
              <w:jc w:val="both"/>
              <w:rPr>
                <w:rFonts w:eastAsia="Calibri"/>
                <w:sz w:val="20"/>
              </w:rPr>
            </w:pPr>
          </w:p>
        </w:tc>
        <w:tc>
          <w:tcPr>
            <w:tcW w:w="2330" w:type="pct"/>
          </w:tcPr>
          <w:p w:rsidR="00A44026" w:rsidRPr="00BE6616" w:rsidRDefault="00A44026" w:rsidP="002E3508">
            <w:pPr>
              <w:jc w:val="both"/>
              <w:rPr>
                <w:rFonts w:eastAsia="Calibri"/>
                <w:sz w:val="20"/>
              </w:rPr>
            </w:pPr>
            <w:r w:rsidRPr="00BE6616">
              <w:rPr>
                <w:rFonts w:eastAsia="Calibri"/>
                <w:sz w:val="20"/>
              </w:rPr>
              <w:t>Application for leave to appeal filed</w:t>
            </w:r>
          </w:p>
          <w:p w:rsidR="00A44026" w:rsidRPr="00BE6616" w:rsidRDefault="00A44026" w:rsidP="002E350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65"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A44026" w:rsidRPr="00682661" w:rsidTr="002E3508">
        <w:tc>
          <w:tcPr>
            <w:tcW w:w="5000" w:type="pct"/>
            <w:gridSpan w:val="3"/>
          </w:tcPr>
          <w:p w:rsidR="00A44026" w:rsidRPr="00BE6616" w:rsidRDefault="00A44026" w:rsidP="002E3508">
            <w:pPr>
              <w:jc w:val="both"/>
              <w:rPr>
                <w:rFonts w:eastAsia="Calibri"/>
                <w:smallCaps/>
                <w:sz w:val="20"/>
                <w:lang w:val="fr-CA"/>
              </w:rPr>
            </w:pPr>
            <w:r w:rsidRPr="00BE6616">
              <w:rPr>
                <w:rFonts w:eastAsia="Calibri"/>
                <w:smallCaps/>
                <w:sz w:val="20"/>
                <w:lang w:val="fr-CA"/>
              </w:rPr>
              <w:t>(Ordonnance de non publication visant une partie) (Mis sous scellés)</w:t>
            </w:r>
          </w:p>
          <w:p w:rsidR="00A44026" w:rsidRPr="00BE6616" w:rsidRDefault="00A44026" w:rsidP="002E3508">
            <w:pPr>
              <w:jc w:val="both"/>
              <w:rPr>
                <w:rFonts w:eastAsia="Calibri"/>
                <w:sz w:val="20"/>
                <w:lang w:val="fr-CA"/>
              </w:rPr>
            </w:pPr>
          </w:p>
          <w:p w:rsidR="00A44026" w:rsidRPr="00BE6616" w:rsidRDefault="00A44026" w:rsidP="002E3508">
            <w:pPr>
              <w:jc w:val="both"/>
              <w:rPr>
                <w:rFonts w:eastAsia="Calibri"/>
                <w:sz w:val="20"/>
                <w:lang w:val="fr-CA"/>
              </w:rPr>
            </w:pPr>
            <w:r w:rsidRPr="00BE6616">
              <w:rPr>
                <w:rFonts w:eastAsia="Calibri"/>
                <w:sz w:val="20"/>
                <w:lang w:val="fr-CA"/>
              </w:rPr>
              <w:t xml:space="preserve">Droit du travail — Griefs — Le tribunal a nommé un avocat indépendant pour représenter le demandeur — La requête du demandeur pour obliger l’intimée à payer les frais d’avocats du demandeur a été rejetée </w:t>
            </w:r>
            <w:r w:rsidRPr="00BE6616">
              <w:rPr>
                <w:rFonts w:eastAsia="Calibri"/>
                <w:iCs/>
                <w:sz w:val="20"/>
                <w:lang w:val="fr-CA"/>
              </w:rPr>
              <w:t>—</w:t>
            </w:r>
            <w:r w:rsidRPr="00BE6616">
              <w:rPr>
                <w:rFonts w:eastAsia="Calibri"/>
                <w:sz w:val="20"/>
                <w:lang w:val="fr-CA"/>
              </w:rPr>
              <w:t xml:space="preserve"> Le demandeur s'est</w:t>
            </w:r>
            <w:r w:rsidRPr="00BE6616">
              <w:rPr>
                <w:rFonts w:eastAsia="Calibri"/>
                <w:sz w:val="20"/>
                <w:lang w:val="fr-CA"/>
              </w:rPr>
              <w:noBreakHyphen/>
              <w:t>il vu refuser une instruction sur le fond? — La Cour d'appel a</w:t>
            </w:r>
            <w:r w:rsidRPr="00BE6616">
              <w:rPr>
                <w:rFonts w:eastAsia="Calibri"/>
                <w:sz w:val="20"/>
                <w:lang w:val="fr-CA"/>
              </w:rPr>
              <w:noBreakHyphen/>
              <w:t>t</w:t>
            </w:r>
            <w:r w:rsidRPr="00BE6616">
              <w:rPr>
                <w:rFonts w:eastAsia="Calibri"/>
                <w:sz w:val="20"/>
                <w:lang w:val="fr-CA"/>
              </w:rPr>
              <w:noBreakHyphen/>
              <w:t>elle rejeté sa demande sans avoir examiné les faits?</w:t>
            </w:r>
          </w:p>
          <w:p w:rsidR="00A44026" w:rsidRPr="00BE6616" w:rsidRDefault="00A44026" w:rsidP="002E3508">
            <w:pPr>
              <w:jc w:val="both"/>
              <w:rPr>
                <w:rFonts w:eastAsia="Calibri"/>
                <w:sz w:val="20"/>
                <w:lang w:val="fr-CA"/>
              </w:rPr>
            </w:pPr>
          </w:p>
        </w:tc>
      </w:tr>
      <w:tr w:rsidR="00A44026" w:rsidRPr="00682661" w:rsidTr="002E3508">
        <w:trPr>
          <w:trHeight w:val="1260"/>
        </w:trPr>
        <w:tc>
          <w:tcPr>
            <w:tcW w:w="5000" w:type="pct"/>
            <w:gridSpan w:val="3"/>
          </w:tcPr>
          <w:p w:rsidR="00A44026" w:rsidRPr="00BE6616" w:rsidRDefault="00A44026" w:rsidP="002E3508">
            <w:pPr>
              <w:jc w:val="both"/>
              <w:rPr>
                <w:rFonts w:eastAsia="Calibri"/>
                <w:sz w:val="20"/>
                <w:lang w:val="fr-CA"/>
              </w:rPr>
            </w:pPr>
            <w:r w:rsidRPr="00BE6616">
              <w:rPr>
                <w:rFonts w:eastAsia="Calibri"/>
                <w:sz w:val="20"/>
                <w:lang w:val="fr-CA"/>
              </w:rPr>
              <w:lastRenderedPageBreak/>
              <w:t>K.B. était professeur à l'Université de Regina.  Il a été suspendu sans solde en avril 2002 et renvoyé de son poste en décembre 2002.  L'association des professeurs intimée (« URFA ») a déposé cinq griefs en son nom en lien avec la suspension et le renvoi. K.B. a présenté une demande à la commission des relations de travail, alléguant que l’URFA avait omis de le représenter de bonne foi, contrairement à l'art. </w:t>
            </w:r>
            <w:r w:rsidRPr="00BE6616">
              <w:rPr>
                <w:rFonts w:eastAsia="Calibri"/>
                <w:sz w:val="20"/>
              </w:rPr>
              <w:t xml:space="preserve">25.1 de </w:t>
            </w:r>
            <w:r w:rsidRPr="00BE6616">
              <w:rPr>
                <w:rFonts w:eastAsia="Calibri"/>
                <w:i/>
                <w:sz w:val="20"/>
              </w:rPr>
              <w:t>The Trade Union Act</w:t>
            </w:r>
            <w:r w:rsidRPr="00BE6616">
              <w:rPr>
                <w:rFonts w:eastAsia="Calibri"/>
                <w:sz w:val="20"/>
              </w:rPr>
              <w:t>, R.S.S. 1978, ch. T</w:t>
            </w:r>
            <w:r w:rsidRPr="00BE6616">
              <w:rPr>
                <w:rFonts w:eastAsia="Calibri"/>
                <w:sz w:val="20"/>
              </w:rPr>
              <w:noBreakHyphen/>
              <w:t xml:space="preserve">17.  </w:t>
            </w:r>
            <w:r w:rsidRPr="00BE6616">
              <w:rPr>
                <w:rFonts w:eastAsia="Calibri"/>
                <w:sz w:val="20"/>
                <w:lang w:val="fr-CA"/>
              </w:rPr>
              <w:t>Il a sollicité une ordonnance lui désignant un avocat indépendant et obligeant l’URFA à payer ses frais d'avocat dans la procédure de grief. La commission a conclu qu'il avait droit à un avocat indépendant mais qu'il ne convenait pas de rendre une ordonnance obligeant l’URFA à payer ses frais d'avocat.  Le demandeur a demandé le contrôle judiciaire de cette décision.</w:t>
            </w:r>
          </w:p>
          <w:p w:rsidR="00A44026" w:rsidRPr="00BE6616" w:rsidRDefault="00A44026" w:rsidP="002E3508">
            <w:pPr>
              <w:jc w:val="both"/>
              <w:rPr>
                <w:rFonts w:eastAsia="Calibri"/>
                <w:sz w:val="20"/>
                <w:lang w:val="fr-CA"/>
              </w:rPr>
            </w:pPr>
          </w:p>
        </w:tc>
      </w:tr>
      <w:tr w:rsidR="00A44026" w:rsidRPr="00BE6616" w:rsidTr="002E3508">
        <w:tc>
          <w:tcPr>
            <w:tcW w:w="2427" w:type="pct"/>
          </w:tcPr>
          <w:p w:rsidR="00A44026" w:rsidRPr="00BE6616" w:rsidRDefault="00A44026" w:rsidP="002E3508">
            <w:pPr>
              <w:jc w:val="both"/>
              <w:rPr>
                <w:rFonts w:eastAsia="Calibri"/>
                <w:sz w:val="20"/>
                <w:lang w:val="fr-CA"/>
              </w:rPr>
            </w:pPr>
            <w:r w:rsidRPr="00BE6616">
              <w:rPr>
                <w:rFonts w:eastAsia="Calibri"/>
                <w:sz w:val="20"/>
                <w:lang w:val="fr-CA"/>
              </w:rPr>
              <w:t>7 juillet 2010</w:t>
            </w:r>
          </w:p>
          <w:p w:rsidR="00A44026" w:rsidRPr="00BE6616" w:rsidRDefault="00A44026" w:rsidP="002E3508">
            <w:pPr>
              <w:jc w:val="both"/>
              <w:rPr>
                <w:rFonts w:eastAsia="Calibri"/>
                <w:sz w:val="20"/>
                <w:lang w:val="fr-CA"/>
              </w:rPr>
            </w:pPr>
            <w:r w:rsidRPr="00BE6616">
              <w:rPr>
                <w:rFonts w:eastAsia="Calibri"/>
                <w:sz w:val="20"/>
                <w:lang w:val="fr-CA"/>
              </w:rPr>
              <w:t xml:space="preserve">Cour du Banc de la Reine de la Saskatchewan </w:t>
            </w:r>
          </w:p>
          <w:p w:rsidR="00A44026" w:rsidRPr="00BE6616" w:rsidRDefault="00A44026" w:rsidP="002E3508">
            <w:pPr>
              <w:jc w:val="both"/>
              <w:rPr>
                <w:rFonts w:eastAsia="Calibri"/>
                <w:sz w:val="20"/>
                <w:lang w:val="fr-CA"/>
              </w:rPr>
            </w:pPr>
            <w:r w:rsidRPr="00BE6616">
              <w:rPr>
                <w:rFonts w:eastAsia="Calibri"/>
                <w:sz w:val="20"/>
                <w:lang w:val="fr-CA"/>
              </w:rPr>
              <w:t>(Juge Herauf J.)</w:t>
            </w:r>
          </w:p>
          <w:p w:rsidR="00A44026" w:rsidRPr="00BE6616" w:rsidRDefault="00A44026" w:rsidP="002E3508">
            <w:pPr>
              <w:jc w:val="both"/>
              <w:rPr>
                <w:rFonts w:eastAsia="Calibri"/>
                <w:sz w:val="20"/>
                <w:lang w:val="fr-CA"/>
              </w:rPr>
            </w:pPr>
            <w:r w:rsidRPr="00BE6616">
              <w:rPr>
                <w:rFonts w:eastAsia="Calibri"/>
                <w:sz w:val="20"/>
                <w:lang w:val="fr-CA"/>
              </w:rPr>
              <w:t>2010 SKQB 241</w:t>
            </w:r>
          </w:p>
          <w:p w:rsidR="00A44026" w:rsidRPr="00BE6616" w:rsidRDefault="00A44026" w:rsidP="002E3508">
            <w:pPr>
              <w:jc w:val="both"/>
              <w:rPr>
                <w:rFonts w:eastAsia="Calibri"/>
                <w:sz w:val="20"/>
                <w:lang w:val="fr-CA"/>
              </w:rPr>
            </w:pPr>
          </w:p>
        </w:tc>
        <w:tc>
          <w:tcPr>
            <w:tcW w:w="243" w:type="pct"/>
          </w:tcPr>
          <w:p w:rsidR="00A44026" w:rsidRPr="00BE6616" w:rsidRDefault="00A44026" w:rsidP="002E3508">
            <w:pPr>
              <w:jc w:val="both"/>
              <w:rPr>
                <w:rFonts w:eastAsia="Calibri"/>
                <w:sz w:val="20"/>
                <w:lang w:val="fr-CA"/>
              </w:rPr>
            </w:pPr>
          </w:p>
        </w:tc>
        <w:tc>
          <w:tcPr>
            <w:tcW w:w="2330" w:type="pct"/>
          </w:tcPr>
          <w:p w:rsidR="00A44026" w:rsidRPr="00BE6616" w:rsidRDefault="00A44026" w:rsidP="002E3508">
            <w:pPr>
              <w:jc w:val="both"/>
              <w:rPr>
                <w:rFonts w:eastAsia="Calibri"/>
                <w:sz w:val="20"/>
                <w:lang w:val="fr-CA"/>
              </w:rPr>
            </w:pPr>
            <w:r w:rsidRPr="00BE6616">
              <w:rPr>
                <w:rFonts w:eastAsia="Calibri"/>
                <w:sz w:val="20"/>
                <w:lang w:val="fr-CA"/>
              </w:rPr>
              <w:t>Demande rejetée.</w:t>
            </w:r>
          </w:p>
          <w:p w:rsidR="00A44026" w:rsidRPr="00BE6616" w:rsidRDefault="00A44026" w:rsidP="002E3508">
            <w:pPr>
              <w:jc w:val="both"/>
              <w:rPr>
                <w:rFonts w:eastAsia="Calibri"/>
                <w:sz w:val="20"/>
                <w:lang w:val="fr-CA"/>
              </w:rPr>
            </w:pPr>
          </w:p>
        </w:tc>
      </w:tr>
      <w:tr w:rsidR="00A44026" w:rsidRPr="00BE6616" w:rsidTr="002E3508">
        <w:tc>
          <w:tcPr>
            <w:tcW w:w="2427" w:type="pct"/>
          </w:tcPr>
          <w:p w:rsidR="00A44026" w:rsidRPr="00BE6616" w:rsidRDefault="00A44026" w:rsidP="002E3508">
            <w:pPr>
              <w:jc w:val="both"/>
              <w:rPr>
                <w:rFonts w:eastAsia="Calibri"/>
                <w:sz w:val="20"/>
                <w:lang w:val="fr-CA"/>
              </w:rPr>
            </w:pPr>
            <w:r w:rsidRPr="00BE6616">
              <w:rPr>
                <w:rFonts w:eastAsia="Calibri"/>
                <w:sz w:val="20"/>
                <w:lang w:val="fr-CA"/>
              </w:rPr>
              <w:t>3 mars 2011</w:t>
            </w:r>
          </w:p>
          <w:p w:rsidR="00A44026" w:rsidRPr="00BE6616" w:rsidRDefault="00A44026" w:rsidP="002E3508">
            <w:pPr>
              <w:jc w:val="both"/>
              <w:rPr>
                <w:rFonts w:eastAsia="Calibri"/>
                <w:sz w:val="20"/>
                <w:lang w:val="fr-CA"/>
              </w:rPr>
            </w:pPr>
            <w:r w:rsidRPr="00BE6616">
              <w:rPr>
                <w:rFonts w:eastAsia="Calibri"/>
                <w:sz w:val="20"/>
                <w:lang w:val="fr-CA"/>
              </w:rPr>
              <w:t xml:space="preserve">Cour d'appel de la Saskatchewan </w:t>
            </w:r>
          </w:p>
          <w:p w:rsidR="00A44026" w:rsidRPr="00BE6616" w:rsidRDefault="00A44026" w:rsidP="002E3508">
            <w:pPr>
              <w:jc w:val="both"/>
              <w:rPr>
                <w:rFonts w:eastAsia="Calibri"/>
                <w:sz w:val="20"/>
                <w:lang w:val="fr-CA"/>
              </w:rPr>
            </w:pPr>
            <w:r w:rsidRPr="00BE6616">
              <w:rPr>
                <w:rFonts w:eastAsia="Calibri"/>
                <w:sz w:val="20"/>
                <w:lang w:val="fr-CA"/>
              </w:rPr>
              <w:t>(Juges Lane, Richards et Caldwell)</w:t>
            </w:r>
          </w:p>
          <w:p w:rsidR="00A44026" w:rsidRPr="00BE6616" w:rsidRDefault="00A44026" w:rsidP="002E3508">
            <w:pPr>
              <w:jc w:val="both"/>
              <w:rPr>
                <w:rFonts w:eastAsia="Calibri"/>
                <w:sz w:val="20"/>
                <w:lang w:val="fr-CA"/>
              </w:rPr>
            </w:pPr>
            <w:r w:rsidRPr="00BE6616">
              <w:rPr>
                <w:rFonts w:eastAsia="Calibri"/>
                <w:sz w:val="20"/>
                <w:lang w:val="fr-CA"/>
              </w:rPr>
              <w:t>2011 SKCA 27</w:t>
            </w:r>
          </w:p>
          <w:p w:rsidR="00A44026" w:rsidRPr="00BE6616" w:rsidRDefault="00A44026" w:rsidP="002E3508">
            <w:pPr>
              <w:jc w:val="both"/>
              <w:rPr>
                <w:rFonts w:eastAsia="Calibri"/>
                <w:sz w:val="20"/>
                <w:lang w:val="fr-CA"/>
              </w:rPr>
            </w:pPr>
          </w:p>
        </w:tc>
        <w:tc>
          <w:tcPr>
            <w:tcW w:w="243" w:type="pct"/>
          </w:tcPr>
          <w:p w:rsidR="00A44026" w:rsidRPr="00BE6616" w:rsidRDefault="00A44026" w:rsidP="002E3508">
            <w:pPr>
              <w:jc w:val="both"/>
              <w:rPr>
                <w:rFonts w:eastAsia="Calibri"/>
                <w:sz w:val="20"/>
                <w:lang w:val="fr-CA"/>
              </w:rPr>
            </w:pPr>
          </w:p>
        </w:tc>
        <w:tc>
          <w:tcPr>
            <w:tcW w:w="2330" w:type="pct"/>
          </w:tcPr>
          <w:p w:rsidR="00A44026" w:rsidRPr="00BE6616" w:rsidRDefault="00A44026" w:rsidP="002E3508">
            <w:pPr>
              <w:jc w:val="both"/>
              <w:rPr>
                <w:rFonts w:eastAsia="Calibri"/>
                <w:sz w:val="20"/>
                <w:lang w:val="fr-CA"/>
              </w:rPr>
            </w:pPr>
            <w:r w:rsidRPr="00BE6616">
              <w:rPr>
                <w:rFonts w:eastAsia="Calibri"/>
                <w:sz w:val="20"/>
                <w:lang w:val="fr-CA"/>
              </w:rPr>
              <w:t>Appel rejeté</w:t>
            </w:r>
          </w:p>
          <w:p w:rsidR="00A44026" w:rsidRPr="00BE6616" w:rsidRDefault="00A44026" w:rsidP="002E3508">
            <w:pPr>
              <w:jc w:val="both"/>
              <w:rPr>
                <w:rFonts w:eastAsia="Calibri"/>
                <w:sz w:val="20"/>
                <w:lang w:val="fr-CA"/>
              </w:rPr>
            </w:pPr>
          </w:p>
        </w:tc>
      </w:tr>
      <w:tr w:rsidR="00A44026" w:rsidRPr="00BE6616" w:rsidTr="002E3508">
        <w:tc>
          <w:tcPr>
            <w:tcW w:w="2427" w:type="pct"/>
          </w:tcPr>
          <w:p w:rsidR="00A44026" w:rsidRPr="00BE6616" w:rsidRDefault="00A44026" w:rsidP="002E3508">
            <w:pPr>
              <w:jc w:val="both"/>
              <w:rPr>
                <w:rFonts w:eastAsia="Calibri"/>
                <w:sz w:val="20"/>
                <w:lang w:val="fr-CA"/>
              </w:rPr>
            </w:pPr>
            <w:r w:rsidRPr="00BE6616">
              <w:rPr>
                <w:rFonts w:eastAsia="Calibri"/>
                <w:sz w:val="20"/>
                <w:lang w:val="fr-CA"/>
              </w:rPr>
              <w:t>29 avril 2011</w:t>
            </w:r>
          </w:p>
          <w:p w:rsidR="00A44026" w:rsidRPr="00BE6616" w:rsidRDefault="00A44026" w:rsidP="002E3508">
            <w:pPr>
              <w:jc w:val="both"/>
              <w:rPr>
                <w:rFonts w:eastAsia="Calibri"/>
                <w:sz w:val="20"/>
                <w:lang w:val="fr-CA"/>
              </w:rPr>
            </w:pPr>
            <w:r w:rsidRPr="00BE6616">
              <w:rPr>
                <w:rFonts w:eastAsia="Calibri"/>
                <w:sz w:val="20"/>
                <w:lang w:val="fr-CA"/>
              </w:rPr>
              <w:t>Cour suprême du Canada</w:t>
            </w:r>
          </w:p>
        </w:tc>
        <w:tc>
          <w:tcPr>
            <w:tcW w:w="243" w:type="pct"/>
          </w:tcPr>
          <w:p w:rsidR="00A44026" w:rsidRPr="00BE6616" w:rsidRDefault="00A44026" w:rsidP="002E3508">
            <w:pPr>
              <w:jc w:val="both"/>
              <w:rPr>
                <w:rFonts w:eastAsia="Calibri"/>
                <w:sz w:val="20"/>
                <w:lang w:val="fr-CA"/>
              </w:rPr>
            </w:pPr>
          </w:p>
        </w:tc>
        <w:tc>
          <w:tcPr>
            <w:tcW w:w="2330" w:type="pct"/>
          </w:tcPr>
          <w:p w:rsidR="00A44026" w:rsidRPr="00BE6616" w:rsidRDefault="00A44026" w:rsidP="002E3508">
            <w:pPr>
              <w:jc w:val="both"/>
              <w:rPr>
                <w:rFonts w:eastAsia="Calibri"/>
                <w:sz w:val="20"/>
                <w:lang w:val="fr-CA"/>
              </w:rPr>
            </w:pPr>
            <w:r w:rsidRPr="00BE6616">
              <w:rPr>
                <w:rFonts w:eastAsia="Calibri"/>
                <w:sz w:val="20"/>
                <w:lang w:val="fr-CA"/>
              </w:rPr>
              <w:t>Demande d'autorisation d'appel, déposée</w:t>
            </w:r>
          </w:p>
          <w:p w:rsidR="00A44026" w:rsidRPr="00BE6616" w:rsidRDefault="00A44026" w:rsidP="002E350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66"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D7C3A" w:rsidRPr="00682661" w:rsidTr="002E3508">
        <w:trPr>
          <w:cantSplit/>
        </w:trPr>
        <w:tc>
          <w:tcPr>
            <w:tcW w:w="1458" w:type="dxa"/>
          </w:tcPr>
          <w:p w:rsidR="009D7C3A" w:rsidRPr="009D5E94" w:rsidRDefault="009D7C3A" w:rsidP="002E3508">
            <w:pPr>
              <w:rPr>
                <w:sz w:val="20"/>
                <w:szCs w:val="20"/>
              </w:rPr>
            </w:pPr>
            <w:r w:rsidRPr="009D5E94">
              <w:rPr>
                <w:rStyle w:val="SCCFileNumberChar"/>
                <w:sz w:val="20"/>
                <w:szCs w:val="20"/>
              </w:rPr>
              <w:t>34239</w:t>
            </w:r>
          </w:p>
          <w:p w:rsidR="009D7C3A" w:rsidRPr="009D5E94" w:rsidRDefault="009D7C3A" w:rsidP="002E3508">
            <w:pPr>
              <w:rPr>
                <w:b/>
                <w:sz w:val="20"/>
                <w:szCs w:val="20"/>
                <w:lang w:val="fr-CA"/>
              </w:rPr>
            </w:pPr>
          </w:p>
        </w:tc>
        <w:tc>
          <w:tcPr>
            <w:tcW w:w="8118" w:type="dxa"/>
          </w:tcPr>
          <w:p w:rsidR="009D7C3A" w:rsidRPr="009D5E94" w:rsidRDefault="009D7C3A" w:rsidP="002E3508">
            <w:pPr>
              <w:rPr>
                <w:sz w:val="20"/>
                <w:szCs w:val="20"/>
                <w:lang w:val="fr-CA"/>
              </w:rPr>
            </w:pPr>
            <w:r w:rsidRPr="009D5E94">
              <w:rPr>
                <w:rStyle w:val="SCCLsocChar"/>
                <w:sz w:val="20"/>
                <w:szCs w:val="20"/>
              </w:rPr>
              <w:t>Mohamed Sall c. Sa Majesté la Reine</w:t>
            </w:r>
            <w:r w:rsidRPr="009D5E94">
              <w:rPr>
                <w:sz w:val="20"/>
                <w:szCs w:val="20"/>
                <w:lang w:val="fr-CA"/>
              </w:rPr>
              <w:t xml:space="preserve"> (Qc) (Criminelle) (Autorisation)</w:t>
            </w:r>
          </w:p>
          <w:p w:rsidR="009D7C3A" w:rsidRPr="009D5E94" w:rsidRDefault="009D7C3A" w:rsidP="002E3508">
            <w:pPr>
              <w:rPr>
                <w:sz w:val="20"/>
                <w:szCs w:val="20"/>
                <w:lang w:val="fr-CA"/>
              </w:rPr>
            </w:pPr>
          </w:p>
        </w:tc>
      </w:tr>
      <w:tr w:rsidR="009D7C3A" w:rsidRPr="00682661" w:rsidTr="002E3508">
        <w:trPr>
          <w:cantSplit/>
        </w:trPr>
        <w:tc>
          <w:tcPr>
            <w:tcW w:w="1458" w:type="dxa"/>
          </w:tcPr>
          <w:p w:rsidR="009D7C3A" w:rsidRPr="009D5E94" w:rsidRDefault="009D7C3A" w:rsidP="002E3508">
            <w:pPr>
              <w:rPr>
                <w:sz w:val="20"/>
                <w:szCs w:val="20"/>
              </w:rPr>
            </w:pPr>
            <w:r w:rsidRPr="009D5E94">
              <w:rPr>
                <w:sz w:val="20"/>
                <w:szCs w:val="20"/>
              </w:rPr>
              <w:t>Coram :</w:t>
            </w:r>
          </w:p>
        </w:tc>
        <w:tc>
          <w:tcPr>
            <w:tcW w:w="8118" w:type="dxa"/>
          </w:tcPr>
          <w:p w:rsidR="009D7C3A" w:rsidRPr="009D5E94" w:rsidRDefault="009D7C3A" w:rsidP="002E3508">
            <w:pPr>
              <w:rPr>
                <w:sz w:val="20"/>
                <w:szCs w:val="20"/>
                <w:lang w:val="fr-CA"/>
              </w:rPr>
            </w:pPr>
            <w:r w:rsidRPr="009D7C3A">
              <w:rPr>
                <w:rStyle w:val="SCCCoramChar"/>
                <w:sz w:val="20"/>
                <w:szCs w:val="20"/>
                <w:lang w:val="fr-CA"/>
              </w:rPr>
              <w:t>La juge en chef McLachlin et les juges Deschamps et Fish</w:t>
            </w:r>
          </w:p>
          <w:p w:rsidR="009D7C3A" w:rsidRPr="009D5E94" w:rsidRDefault="009D7C3A" w:rsidP="002E3508">
            <w:pPr>
              <w:rPr>
                <w:sz w:val="20"/>
                <w:szCs w:val="20"/>
                <w:u w:val="single"/>
                <w:lang w:val="fr-CA"/>
              </w:rPr>
            </w:pPr>
          </w:p>
        </w:tc>
      </w:tr>
      <w:tr w:rsidR="009D7C3A" w:rsidRPr="009D5E94" w:rsidTr="002E3508">
        <w:trPr>
          <w:cantSplit/>
        </w:trPr>
        <w:tc>
          <w:tcPr>
            <w:tcW w:w="9576" w:type="dxa"/>
            <w:gridSpan w:val="2"/>
          </w:tcPr>
          <w:p w:rsidR="009D7C3A" w:rsidRPr="009D5E94" w:rsidRDefault="009D7C3A" w:rsidP="002E3508">
            <w:pPr>
              <w:pStyle w:val="SCCShortJudgment"/>
              <w:rPr>
                <w:szCs w:val="20"/>
                <w:lang w:val="fr-CA"/>
              </w:rPr>
            </w:pPr>
            <w:r w:rsidRPr="009D5E94">
              <w:rPr>
                <w:szCs w:val="20"/>
                <w:lang w:val="fr-CA"/>
              </w:rPr>
              <w:t>La requête en prorogation du délai de signification et de dépôt de la demande d’autorisation d’appel est accordée.  La demande d’autorisation d’appel de l’arrêt de la Cour d’appel du Québec (Québec), numéro 200-10-002418-098, 2010 QCCA 851, daté du 4 mai 2010, est rejetée sans dépens.</w:t>
            </w:r>
          </w:p>
          <w:p w:rsidR="009D7C3A" w:rsidRPr="009D5E94" w:rsidRDefault="009D7C3A" w:rsidP="002E3508">
            <w:pPr>
              <w:pStyle w:val="SCCShortJudgment"/>
              <w:ind w:firstLine="0"/>
              <w:rPr>
                <w:szCs w:val="20"/>
                <w:lang w:val="fr-CA"/>
              </w:rPr>
            </w:pPr>
          </w:p>
          <w:p w:rsidR="009D7C3A" w:rsidRPr="009D5E94" w:rsidRDefault="009D7C3A" w:rsidP="002E3508">
            <w:pPr>
              <w:pStyle w:val="SCCShortJudgment"/>
              <w:rPr>
                <w:szCs w:val="20"/>
              </w:rPr>
            </w:pPr>
            <w:r w:rsidRPr="009D5E94">
              <w:rPr>
                <w:szCs w:val="20"/>
              </w:rPr>
              <w:t>The motion for an extension of time to serve and file the application for leave to appeal is granted.  The application for leave to appeal from the judgment of the Court of Appeal of Quebec (Québec), Number 200-10-002418-098, 2010 QCCA 851, dated May 4, 2010 is dismissed without costs.</w:t>
            </w:r>
          </w:p>
        </w:tc>
      </w:tr>
    </w:tbl>
    <w:p w:rsidR="007B50F9" w:rsidRDefault="007B50F9" w:rsidP="007B50F9">
      <w:pPr>
        <w:rPr>
          <w:sz w:val="20"/>
          <w:szCs w:val="20"/>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518DE" w:rsidRPr="00BE6616" w:rsidTr="002E3508">
        <w:tc>
          <w:tcPr>
            <w:tcW w:w="5000" w:type="pct"/>
            <w:gridSpan w:val="3"/>
          </w:tcPr>
          <w:p w:rsidR="00A518DE" w:rsidRPr="00BE6616" w:rsidRDefault="00A518DE" w:rsidP="002E3508">
            <w:pPr>
              <w:jc w:val="both"/>
              <w:rPr>
                <w:rFonts w:eastAsia="Calibri"/>
                <w:sz w:val="20"/>
              </w:rPr>
            </w:pPr>
            <w:r w:rsidRPr="00BE6616">
              <w:rPr>
                <w:rFonts w:eastAsia="Calibri"/>
                <w:sz w:val="20"/>
              </w:rPr>
              <w:t>Criminal law — Evidence — Expert evidence — Whether trial judge erred in failing to order Crown to “produce” complainant and thus give effect to her consent to meet with expert to have injury to her nose examined — Whether this failure precluded applicant from making full answer and defence by preventing him from conducting potentially exculpatory expert assessment and whether it affected way in which applicant conducted his defence — Whether this error was potentially determinative of outcome of trial.</w:t>
            </w:r>
          </w:p>
          <w:p w:rsidR="00A518DE" w:rsidRPr="00BE6616" w:rsidRDefault="00A518DE" w:rsidP="002E3508">
            <w:pPr>
              <w:jc w:val="both"/>
              <w:rPr>
                <w:rFonts w:eastAsia="Calibri"/>
                <w:sz w:val="20"/>
              </w:rPr>
            </w:pPr>
          </w:p>
        </w:tc>
      </w:tr>
      <w:tr w:rsidR="00A518DE" w:rsidRPr="00BE6616" w:rsidTr="002E3508">
        <w:tc>
          <w:tcPr>
            <w:tcW w:w="5000" w:type="pct"/>
            <w:gridSpan w:val="3"/>
          </w:tcPr>
          <w:p w:rsidR="00A518DE" w:rsidRPr="00BE6616" w:rsidRDefault="00A518DE" w:rsidP="002E3508">
            <w:pPr>
              <w:jc w:val="both"/>
              <w:rPr>
                <w:rFonts w:eastAsia="Calibri"/>
                <w:sz w:val="20"/>
              </w:rPr>
            </w:pPr>
            <w:r w:rsidRPr="00BE6616">
              <w:rPr>
                <w:rFonts w:eastAsia="Calibri"/>
                <w:sz w:val="20"/>
              </w:rPr>
              <w:t xml:space="preserve">The applicant Mr. Sall was tried in four cases at the same time.  He was charged with offences that involved violent acts and threats against his then spouse as well as breaches of a recognizance and death threats and harassment against two other people.  The evidence on all the counts involving the spouse consisted mainly of the contradictory accounts given by her and Mr. Sall.  After the Crown refused to allow the spouse to be examined by Mr. Sall’s expert, Mr. Sall asked the judge to make an order permitting his expert to contact the spouse, whose contact information had not been disclosed.  The judge denied the request on the ground that he had no jurisdiction to do so.  Mr. Sall therefore moved </w:t>
            </w:r>
            <w:r w:rsidRPr="00BE6616">
              <w:rPr>
                <w:rFonts w:eastAsia="Calibri"/>
                <w:sz w:val="20"/>
              </w:rPr>
              <w:lastRenderedPageBreak/>
              <w:t xml:space="preserve">for a stay of proceedings, but the motion was dismissed.  Mr. Sall was convicted of assault, assault causing bodily harm, sexual assault, breaking and entering, uttering threats to cause death, forcible confinement, </w:t>
            </w:r>
            <w:proofErr w:type="gramStart"/>
            <w:r w:rsidRPr="00BE6616">
              <w:rPr>
                <w:rFonts w:eastAsia="Calibri"/>
                <w:sz w:val="20"/>
              </w:rPr>
              <w:t>sexual</w:t>
            </w:r>
            <w:proofErr w:type="gramEnd"/>
            <w:r w:rsidRPr="00BE6616">
              <w:rPr>
                <w:rFonts w:eastAsia="Calibri"/>
                <w:sz w:val="20"/>
              </w:rPr>
              <w:t xml:space="preserve"> assault with a weapon, breach of a recognizance and harassment.  The Court of Appeal dismissed the motion for leave to appeal.  It also dismissed the motion for review of that decision.</w:t>
            </w:r>
          </w:p>
        </w:tc>
      </w:tr>
      <w:tr w:rsidR="00A518DE" w:rsidRPr="00BE6616" w:rsidTr="002E3508">
        <w:tc>
          <w:tcPr>
            <w:tcW w:w="5000" w:type="pct"/>
            <w:gridSpan w:val="3"/>
          </w:tcPr>
          <w:p w:rsidR="00A518DE" w:rsidRPr="00BE6616" w:rsidRDefault="00A518DE" w:rsidP="002E3508">
            <w:pPr>
              <w:jc w:val="both"/>
              <w:rPr>
                <w:rFonts w:eastAsia="Calibri"/>
                <w:sz w:val="20"/>
              </w:rPr>
            </w:pPr>
          </w:p>
        </w:tc>
      </w:tr>
      <w:tr w:rsidR="00A518DE" w:rsidRPr="00BE6616" w:rsidTr="002E3508">
        <w:tc>
          <w:tcPr>
            <w:tcW w:w="2427" w:type="pct"/>
          </w:tcPr>
          <w:p w:rsidR="00A518DE" w:rsidRPr="00BE6616" w:rsidRDefault="00A518DE" w:rsidP="002E3508">
            <w:pPr>
              <w:jc w:val="both"/>
              <w:rPr>
                <w:rFonts w:eastAsia="Calibri"/>
                <w:sz w:val="20"/>
              </w:rPr>
            </w:pPr>
            <w:r w:rsidRPr="00BE6616">
              <w:rPr>
                <w:rFonts w:eastAsia="Calibri"/>
                <w:sz w:val="20"/>
              </w:rPr>
              <w:t>June 19, 2009</w:t>
            </w:r>
          </w:p>
          <w:p w:rsidR="00A518DE" w:rsidRPr="00BE6616" w:rsidRDefault="00A518DE" w:rsidP="002E3508">
            <w:pPr>
              <w:jc w:val="both"/>
              <w:rPr>
                <w:rFonts w:eastAsia="Calibri"/>
                <w:sz w:val="20"/>
              </w:rPr>
            </w:pPr>
            <w:r w:rsidRPr="00BE6616">
              <w:rPr>
                <w:rFonts w:eastAsia="Calibri"/>
                <w:sz w:val="20"/>
              </w:rPr>
              <w:t>Court of Québec</w:t>
            </w:r>
          </w:p>
          <w:p w:rsidR="00A518DE" w:rsidRPr="00BE6616" w:rsidRDefault="00A518DE" w:rsidP="002E3508">
            <w:pPr>
              <w:jc w:val="both"/>
              <w:rPr>
                <w:rFonts w:eastAsia="Calibri"/>
                <w:sz w:val="20"/>
              </w:rPr>
            </w:pPr>
            <w:r w:rsidRPr="00BE6616">
              <w:rPr>
                <w:rFonts w:eastAsia="Calibri"/>
                <w:sz w:val="20"/>
              </w:rPr>
              <w:t>(Judge Babin)</w:t>
            </w:r>
          </w:p>
          <w:p w:rsidR="00A518DE" w:rsidRPr="00BE6616" w:rsidRDefault="00A518DE" w:rsidP="002E3508">
            <w:pPr>
              <w:jc w:val="both"/>
              <w:rPr>
                <w:rFonts w:eastAsia="Calibri"/>
                <w:sz w:val="20"/>
              </w:rPr>
            </w:pPr>
            <w:r w:rsidRPr="00BE6616">
              <w:rPr>
                <w:rFonts w:eastAsia="Calibri"/>
                <w:sz w:val="20"/>
              </w:rPr>
              <w:t>2009 QCCQ 7784</w:t>
            </w:r>
          </w:p>
          <w:p w:rsidR="00A518DE" w:rsidRPr="00BE6616" w:rsidRDefault="00A518DE" w:rsidP="002E3508">
            <w:pPr>
              <w:jc w:val="both"/>
              <w:rPr>
                <w:rFonts w:eastAsia="Calibri"/>
                <w:sz w:val="20"/>
              </w:rPr>
            </w:pPr>
          </w:p>
        </w:tc>
        <w:tc>
          <w:tcPr>
            <w:tcW w:w="243" w:type="pct"/>
          </w:tcPr>
          <w:p w:rsidR="00A518DE" w:rsidRPr="00BE6616" w:rsidRDefault="00A518DE" w:rsidP="002E3508">
            <w:pPr>
              <w:jc w:val="both"/>
              <w:rPr>
                <w:rFonts w:eastAsia="Calibri"/>
                <w:sz w:val="20"/>
              </w:rPr>
            </w:pPr>
          </w:p>
        </w:tc>
        <w:tc>
          <w:tcPr>
            <w:tcW w:w="2330" w:type="pct"/>
          </w:tcPr>
          <w:p w:rsidR="00A518DE" w:rsidRPr="00BE6616" w:rsidRDefault="00A518DE" w:rsidP="002E3508">
            <w:pPr>
              <w:jc w:val="both"/>
              <w:rPr>
                <w:rFonts w:eastAsia="Calibri"/>
                <w:sz w:val="20"/>
              </w:rPr>
            </w:pPr>
            <w:r w:rsidRPr="00BE6616">
              <w:rPr>
                <w:rFonts w:eastAsia="Calibri"/>
                <w:sz w:val="20"/>
              </w:rPr>
              <w:t>Applicant convicted of assault, assault causing bodily harm, sexual assault, breaking and entering, uttering threats to cause death, forcible confinement, sexual assault with weapon, breach of recognizance and harassment</w:t>
            </w:r>
          </w:p>
          <w:p w:rsidR="00A518DE" w:rsidRPr="00BE6616" w:rsidRDefault="00A518DE" w:rsidP="002E3508">
            <w:pPr>
              <w:jc w:val="both"/>
              <w:rPr>
                <w:rFonts w:eastAsia="Calibri"/>
                <w:sz w:val="20"/>
              </w:rPr>
            </w:pPr>
          </w:p>
        </w:tc>
      </w:tr>
      <w:tr w:rsidR="00A518DE" w:rsidRPr="00BE6616" w:rsidTr="002E3508">
        <w:tc>
          <w:tcPr>
            <w:tcW w:w="2427" w:type="pct"/>
          </w:tcPr>
          <w:p w:rsidR="00A518DE" w:rsidRPr="00BE6616" w:rsidRDefault="00A518DE" w:rsidP="002E3508">
            <w:pPr>
              <w:jc w:val="both"/>
              <w:rPr>
                <w:rFonts w:eastAsia="Calibri"/>
                <w:sz w:val="20"/>
              </w:rPr>
            </w:pPr>
            <w:r w:rsidRPr="00BE6616">
              <w:rPr>
                <w:rFonts w:eastAsia="Calibri"/>
                <w:sz w:val="20"/>
              </w:rPr>
              <w:t>August 26, 2009</w:t>
            </w:r>
          </w:p>
          <w:p w:rsidR="00A518DE" w:rsidRPr="00BE6616" w:rsidRDefault="00A518DE" w:rsidP="002E3508">
            <w:pPr>
              <w:jc w:val="both"/>
              <w:rPr>
                <w:rFonts w:eastAsia="Calibri"/>
                <w:sz w:val="20"/>
              </w:rPr>
            </w:pPr>
            <w:r w:rsidRPr="00BE6616">
              <w:rPr>
                <w:rFonts w:eastAsia="Calibri"/>
                <w:sz w:val="20"/>
              </w:rPr>
              <w:t>Quebec Court of Appeal (Québec)</w:t>
            </w:r>
          </w:p>
          <w:p w:rsidR="00A518DE" w:rsidRPr="00BE6616" w:rsidRDefault="00A518DE" w:rsidP="002E3508">
            <w:pPr>
              <w:jc w:val="both"/>
              <w:rPr>
                <w:rFonts w:eastAsia="Calibri"/>
                <w:sz w:val="20"/>
              </w:rPr>
            </w:pPr>
            <w:r w:rsidRPr="00BE6616">
              <w:rPr>
                <w:rFonts w:eastAsia="Calibri"/>
                <w:sz w:val="20"/>
              </w:rPr>
              <w:t>(Dutil J.A.)</w:t>
            </w:r>
          </w:p>
          <w:p w:rsidR="00A518DE" w:rsidRPr="00BE6616" w:rsidRDefault="00A518DE" w:rsidP="002E3508">
            <w:pPr>
              <w:jc w:val="both"/>
              <w:rPr>
                <w:rFonts w:eastAsia="Calibri"/>
                <w:sz w:val="20"/>
              </w:rPr>
            </w:pPr>
            <w:r w:rsidRPr="00BE6616">
              <w:rPr>
                <w:rFonts w:eastAsia="Calibri"/>
                <w:sz w:val="20"/>
              </w:rPr>
              <w:t>2009 QCCA 1592</w:t>
            </w:r>
          </w:p>
          <w:p w:rsidR="00A518DE" w:rsidRPr="00BE6616" w:rsidRDefault="00A518DE" w:rsidP="002E3508">
            <w:pPr>
              <w:jc w:val="both"/>
              <w:rPr>
                <w:rFonts w:eastAsia="Calibri"/>
                <w:sz w:val="20"/>
              </w:rPr>
            </w:pPr>
          </w:p>
        </w:tc>
        <w:tc>
          <w:tcPr>
            <w:tcW w:w="243" w:type="pct"/>
          </w:tcPr>
          <w:p w:rsidR="00A518DE" w:rsidRPr="00BE6616" w:rsidRDefault="00A518DE" w:rsidP="002E3508">
            <w:pPr>
              <w:jc w:val="both"/>
              <w:rPr>
                <w:rFonts w:eastAsia="Calibri"/>
                <w:sz w:val="20"/>
              </w:rPr>
            </w:pPr>
          </w:p>
        </w:tc>
        <w:tc>
          <w:tcPr>
            <w:tcW w:w="2330" w:type="pct"/>
          </w:tcPr>
          <w:p w:rsidR="00A518DE" w:rsidRPr="00BE6616" w:rsidRDefault="00A518DE" w:rsidP="002E3508">
            <w:pPr>
              <w:jc w:val="both"/>
              <w:rPr>
                <w:rFonts w:eastAsia="Calibri"/>
                <w:sz w:val="20"/>
              </w:rPr>
            </w:pPr>
            <w:r w:rsidRPr="00BE6616">
              <w:rPr>
                <w:rFonts w:eastAsia="Calibri"/>
                <w:sz w:val="20"/>
              </w:rPr>
              <w:t>Motion for leave to appeal dismissed</w:t>
            </w:r>
          </w:p>
          <w:p w:rsidR="00A518DE" w:rsidRPr="00BE6616" w:rsidRDefault="00A518DE" w:rsidP="002E3508">
            <w:pPr>
              <w:jc w:val="both"/>
              <w:rPr>
                <w:rFonts w:eastAsia="Calibri"/>
                <w:sz w:val="20"/>
              </w:rPr>
            </w:pPr>
          </w:p>
        </w:tc>
      </w:tr>
      <w:tr w:rsidR="00A518DE" w:rsidRPr="00BE6616" w:rsidTr="002E3508">
        <w:tc>
          <w:tcPr>
            <w:tcW w:w="2427" w:type="pct"/>
          </w:tcPr>
          <w:p w:rsidR="00A518DE" w:rsidRPr="00BE6616" w:rsidRDefault="00A518DE" w:rsidP="002E3508">
            <w:pPr>
              <w:jc w:val="both"/>
              <w:rPr>
                <w:rFonts w:eastAsia="Calibri"/>
                <w:sz w:val="20"/>
              </w:rPr>
            </w:pPr>
            <w:r w:rsidRPr="00BE6616">
              <w:rPr>
                <w:rFonts w:eastAsia="Calibri"/>
                <w:sz w:val="20"/>
              </w:rPr>
              <w:t>May 4, 2010</w:t>
            </w:r>
          </w:p>
          <w:p w:rsidR="00A518DE" w:rsidRPr="00BE6616" w:rsidRDefault="00A518DE" w:rsidP="002E3508">
            <w:pPr>
              <w:jc w:val="both"/>
              <w:rPr>
                <w:rFonts w:eastAsia="Calibri"/>
                <w:sz w:val="20"/>
              </w:rPr>
            </w:pPr>
            <w:r w:rsidRPr="00BE6616">
              <w:rPr>
                <w:rFonts w:eastAsia="Calibri"/>
                <w:sz w:val="20"/>
              </w:rPr>
              <w:t>Quebec Court of Appeal (Québec)</w:t>
            </w:r>
          </w:p>
          <w:p w:rsidR="00A518DE" w:rsidRPr="00BE6616" w:rsidRDefault="00A518DE" w:rsidP="002E3508">
            <w:pPr>
              <w:jc w:val="both"/>
              <w:rPr>
                <w:rFonts w:eastAsia="Calibri"/>
                <w:sz w:val="20"/>
              </w:rPr>
            </w:pPr>
            <w:r w:rsidRPr="00BE6616">
              <w:rPr>
                <w:rFonts w:eastAsia="Calibri"/>
                <w:sz w:val="20"/>
              </w:rPr>
              <w:t>(Brossard, Thibault and Vézina JJ.A.)</w:t>
            </w:r>
          </w:p>
          <w:p w:rsidR="00A518DE" w:rsidRPr="00BE6616" w:rsidRDefault="00A518DE" w:rsidP="002E3508">
            <w:pPr>
              <w:jc w:val="both"/>
              <w:rPr>
                <w:rFonts w:eastAsia="Calibri"/>
                <w:sz w:val="20"/>
              </w:rPr>
            </w:pPr>
            <w:r w:rsidRPr="00BE6616">
              <w:rPr>
                <w:rFonts w:eastAsia="Calibri"/>
                <w:sz w:val="20"/>
              </w:rPr>
              <w:t>2010 QCCA 851</w:t>
            </w:r>
          </w:p>
          <w:p w:rsidR="00A518DE" w:rsidRPr="00BE6616" w:rsidRDefault="00A518DE" w:rsidP="002E3508">
            <w:pPr>
              <w:jc w:val="both"/>
              <w:rPr>
                <w:rFonts w:eastAsia="Calibri"/>
                <w:sz w:val="20"/>
              </w:rPr>
            </w:pPr>
          </w:p>
        </w:tc>
        <w:tc>
          <w:tcPr>
            <w:tcW w:w="243" w:type="pct"/>
          </w:tcPr>
          <w:p w:rsidR="00A518DE" w:rsidRPr="00BE6616" w:rsidRDefault="00A518DE" w:rsidP="002E3508">
            <w:pPr>
              <w:jc w:val="both"/>
              <w:rPr>
                <w:rFonts w:eastAsia="Calibri"/>
                <w:sz w:val="20"/>
              </w:rPr>
            </w:pPr>
          </w:p>
        </w:tc>
        <w:tc>
          <w:tcPr>
            <w:tcW w:w="2330" w:type="pct"/>
          </w:tcPr>
          <w:p w:rsidR="00A518DE" w:rsidRPr="00BE6616" w:rsidRDefault="00A518DE" w:rsidP="002E3508">
            <w:pPr>
              <w:jc w:val="both"/>
              <w:rPr>
                <w:rFonts w:eastAsia="Calibri"/>
                <w:sz w:val="20"/>
              </w:rPr>
            </w:pPr>
            <w:r w:rsidRPr="00BE6616">
              <w:rPr>
                <w:rFonts w:eastAsia="Calibri"/>
                <w:sz w:val="20"/>
              </w:rPr>
              <w:t xml:space="preserve">Motion for review under s. 675(4) of </w:t>
            </w:r>
            <w:r w:rsidRPr="00BE6616">
              <w:rPr>
                <w:rFonts w:eastAsia="Calibri"/>
                <w:i/>
                <w:sz w:val="20"/>
              </w:rPr>
              <w:t>Criminal Code</w:t>
            </w:r>
            <w:r w:rsidRPr="00BE6616">
              <w:rPr>
                <w:rFonts w:eastAsia="Calibri"/>
                <w:sz w:val="20"/>
              </w:rPr>
              <w:t xml:space="preserve"> dismissed </w:t>
            </w:r>
          </w:p>
        </w:tc>
      </w:tr>
      <w:tr w:rsidR="00A518DE" w:rsidRPr="00BE6616" w:rsidTr="002E3508">
        <w:trPr>
          <w:trHeight w:val="495"/>
        </w:trPr>
        <w:tc>
          <w:tcPr>
            <w:tcW w:w="2427" w:type="pct"/>
          </w:tcPr>
          <w:p w:rsidR="00A518DE" w:rsidRPr="00BE6616" w:rsidRDefault="00A518DE" w:rsidP="002E3508">
            <w:pPr>
              <w:jc w:val="both"/>
              <w:rPr>
                <w:rFonts w:eastAsia="Calibri"/>
                <w:sz w:val="20"/>
              </w:rPr>
            </w:pPr>
            <w:r w:rsidRPr="00BE6616">
              <w:rPr>
                <w:rFonts w:eastAsia="Calibri"/>
                <w:sz w:val="20"/>
              </w:rPr>
              <w:t>May 2, 2011</w:t>
            </w:r>
          </w:p>
          <w:p w:rsidR="00A518DE" w:rsidRPr="00BE6616" w:rsidRDefault="00A518DE" w:rsidP="002E3508">
            <w:pPr>
              <w:jc w:val="both"/>
              <w:rPr>
                <w:rFonts w:eastAsia="Calibri"/>
                <w:sz w:val="20"/>
              </w:rPr>
            </w:pPr>
            <w:r w:rsidRPr="00BE6616">
              <w:rPr>
                <w:rFonts w:eastAsia="Calibri"/>
                <w:sz w:val="20"/>
              </w:rPr>
              <w:t>Supreme Court of Canada</w:t>
            </w:r>
          </w:p>
        </w:tc>
        <w:tc>
          <w:tcPr>
            <w:tcW w:w="243" w:type="pct"/>
          </w:tcPr>
          <w:p w:rsidR="00A518DE" w:rsidRPr="00BE6616" w:rsidRDefault="00A518DE" w:rsidP="002E3508">
            <w:pPr>
              <w:jc w:val="both"/>
              <w:rPr>
                <w:rFonts w:eastAsia="Calibri"/>
                <w:sz w:val="20"/>
              </w:rPr>
            </w:pPr>
          </w:p>
        </w:tc>
        <w:tc>
          <w:tcPr>
            <w:tcW w:w="2330" w:type="pct"/>
          </w:tcPr>
          <w:p w:rsidR="00A518DE" w:rsidRPr="00BE6616" w:rsidRDefault="00A518DE" w:rsidP="002E3508">
            <w:pPr>
              <w:jc w:val="both"/>
              <w:rPr>
                <w:rFonts w:eastAsia="Calibri"/>
                <w:sz w:val="20"/>
              </w:rPr>
            </w:pPr>
            <w:r w:rsidRPr="00BE6616">
              <w:rPr>
                <w:rFonts w:eastAsia="Calibri"/>
                <w:sz w:val="20"/>
              </w:rPr>
              <w:t>Motion to extend time and application for leave to appeal filed</w:t>
            </w: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67"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A518DE" w:rsidRPr="00682661" w:rsidTr="002E3508">
        <w:tc>
          <w:tcPr>
            <w:tcW w:w="5000" w:type="pct"/>
            <w:gridSpan w:val="3"/>
          </w:tcPr>
          <w:p w:rsidR="00A518DE" w:rsidRPr="00BE6616" w:rsidRDefault="00A518DE" w:rsidP="002E3508">
            <w:pPr>
              <w:jc w:val="both"/>
              <w:rPr>
                <w:rFonts w:eastAsia="Calibri"/>
                <w:sz w:val="20"/>
                <w:lang w:val="fr-CA"/>
              </w:rPr>
            </w:pPr>
            <w:r w:rsidRPr="00BE6616">
              <w:rPr>
                <w:rFonts w:eastAsia="Calibri"/>
                <w:sz w:val="20"/>
                <w:lang w:val="fr-CA"/>
              </w:rPr>
              <w:t>Droit criminel — Preuve — Preuve d’expert — Le premier juge a</w:t>
            </w:r>
            <w:r w:rsidRPr="00BE6616">
              <w:rPr>
                <w:rFonts w:eastAsia="Calibri"/>
                <w:sz w:val="20"/>
                <w:lang w:val="fr-CA"/>
              </w:rPr>
              <w:noBreakHyphen/>
              <w:t>t</w:t>
            </w:r>
            <w:r w:rsidRPr="00BE6616">
              <w:rPr>
                <w:rFonts w:eastAsia="Calibri"/>
                <w:sz w:val="20"/>
                <w:lang w:val="fr-CA"/>
              </w:rPr>
              <w:noBreakHyphen/>
              <w:t>il fait erreur en omettant d’ordonner au ministère public de « produire » la plaignante et ainsi donner suite à son consentement de rencontrer un expert pour examiner la blessure sur son nez? — Cette omission a</w:t>
            </w:r>
            <w:r w:rsidRPr="00BE6616">
              <w:rPr>
                <w:rFonts w:eastAsia="Calibri"/>
                <w:sz w:val="20"/>
                <w:lang w:val="fr-CA"/>
              </w:rPr>
              <w:noBreakHyphen/>
              <w:t>t</w:t>
            </w:r>
            <w:r w:rsidRPr="00BE6616">
              <w:rPr>
                <w:rFonts w:eastAsia="Calibri"/>
                <w:sz w:val="20"/>
                <w:lang w:val="fr-CA"/>
              </w:rPr>
              <w:noBreakHyphen/>
              <w:t>elle privé le demandeur d’une défense pleine et entière en l’empêchant de procéder à une expertise potentiellement disculpatoire et a</w:t>
            </w:r>
            <w:r w:rsidRPr="00BE6616">
              <w:rPr>
                <w:rFonts w:eastAsia="Calibri"/>
                <w:sz w:val="20"/>
                <w:lang w:val="fr-CA"/>
              </w:rPr>
              <w:noBreakHyphen/>
              <w:t>t</w:t>
            </w:r>
            <w:r w:rsidRPr="00BE6616">
              <w:rPr>
                <w:rFonts w:eastAsia="Calibri"/>
                <w:sz w:val="20"/>
                <w:lang w:val="fr-CA"/>
              </w:rPr>
              <w:noBreakHyphen/>
              <w:t>elle eu une incidence sur la manière dont le demandeur a mené sa défense? — Cette erreur était</w:t>
            </w:r>
            <w:r w:rsidRPr="00BE6616">
              <w:rPr>
                <w:rFonts w:eastAsia="Calibri"/>
                <w:sz w:val="20"/>
                <w:lang w:val="fr-CA"/>
              </w:rPr>
              <w:noBreakHyphen/>
              <w:t>elle potentiellement déterminante sur l’issue du procès?</w:t>
            </w:r>
          </w:p>
          <w:p w:rsidR="00A518DE" w:rsidRPr="00BE6616" w:rsidRDefault="00A518DE" w:rsidP="002E3508">
            <w:pPr>
              <w:jc w:val="both"/>
              <w:rPr>
                <w:rFonts w:eastAsia="Calibri"/>
                <w:sz w:val="20"/>
                <w:lang w:val="fr-CA"/>
              </w:rPr>
            </w:pPr>
          </w:p>
        </w:tc>
      </w:tr>
      <w:tr w:rsidR="00A518DE" w:rsidRPr="00682661" w:rsidTr="002E3508">
        <w:tc>
          <w:tcPr>
            <w:tcW w:w="5000" w:type="pct"/>
            <w:gridSpan w:val="3"/>
          </w:tcPr>
          <w:p w:rsidR="00A518DE" w:rsidRPr="00BE6616" w:rsidRDefault="00A518DE" w:rsidP="002E3508">
            <w:pPr>
              <w:jc w:val="both"/>
              <w:rPr>
                <w:rFonts w:eastAsia="Calibri"/>
                <w:sz w:val="20"/>
                <w:lang w:val="fr-CA"/>
              </w:rPr>
            </w:pPr>
            <w:r w:rsidRPr="00BE6616">
              <w:rPr>
                <w:rFonts w:eastAsia="Calibri"/>
                <w:sz w:val="20"/>
                <w:lang w:val="fr-CA"/>
              </w:rPr>
              <w:t>Monsieur Sall, demandeur, subit un procès tenu conjointement dans quatre dossiers.  Les infractions reprochées consistent, d’une part, en des actes de violence et des menaces contre sa conjointe de l’époque et, d’autre part, en des bris d’engagement ainsi que des menaces de mort et harcèlement envers deux autres personnes.  La preuve sur l’ensemble des chefs impliquant la conjointe est composée essentiellement des versions contradictoires de cette dernière et de M. Sall.  Suite au refus du ministère public de permettre la conjointe de se soumettre à l’examen de l’expert de M. Sall, ce dernier demande au juge de rendre une ordonnance qui permettrait à son expert d’entrer en contact avec la conjointe dont les coordonnées n’étaient pas divulguées. Le juge rejette la demande au motif qu’il n’a pas compétence pour ce faire.  Monsieur Sall présente en conséquence une requête en arrêt des procédures.  La requête est rejetée.  Monsieur Sall est déclaré coupable de voies de fait, de voies de fait causant des lésions corporelles, d’agression sexuelle, d’introduction par effraction, d’avoir proféré des menaces de mort, de séquestration, d’agression sexuelle armée, de bris d’engagement et de harcèlement.  La Cour d’appel rejette la requête pour permission d’appeler.  Elle rejette également la requête en révision de cette décision.</w:t>
            </w:r>
          </w:p>
        </w:tc>
      </w:tr>
      <w:tr w:rsidR="00A518DE" w:rsidRPr="00682661" w:rsidTr="002E3508">
        <w:tc>
          <w:tcPr>
            <w:tcW w:w="5000" w:type="pct"/>
            <w:gridSpan w:val="3"/>
          </w:tcPr>
          <w:p w:rsidR="00A518DE" w:rsidRPr="00BE6616" w:rsidRDefault="00A518DE" w:rsidP="002E3508">
            <w:pPr>
              <w:jc w:val="both"/>
              <w:rPr>
                <w:rFonts w:eastAsia="Calibri"/>
                <w:sz w:val="20"/>
                <w:lang w:val="fr-CA"/>
              </w:rPr>
            </w:pPr>
          </w:p>
        </w:tc>
      </w:tr>
      <w:tr w:rsidR="00A518DE" w:rsidRPr="00682661" w:rsidTr="00DF0F65">
        <w:trPr>
          <w:cantSplit/>
        </w:trPr>
        <w:tc>
          <w:tcPr>
            <w:tcW w:w="2427" w:type="pct"/>
          </w:tcPr>
          <w:p w:rsidR="00A518DE" w:rsidRPr="00BE6616" w:rsidRDefault="00A518DE" w:rsidP="002E3508">
            <w:pPr>
              <w:jc w:val="both"/>
              <w:rPr>
                <w:rFonts w:eastAsia="Calibri"/>
                <w:sz w:val="20"/>
                <w:lang w:val="fr-CA"/>
              </w:rPr>
            </w:pPr>
            <w:r w:rsidRPr="00BE6616">
              <w:rPr>
                <w:rFonts w:eastAsia="Calibri"/>
                <w:sz w:val="20"/>
                <w:lang w:val="fr-CA"/>
              </w:rPr>
              <w:lastRenderedPageBreak/>
              <w:t>Le 19 juin 2009</w:t>
            </w:r>
          </w:p>
          <w:p w:rsidR="00A518DE" w:rsidRPr="00BE6616" w:rsidRDefault="00A518DE" w:rsidP="002E3508">
            <w:pPr>
              <w:jc w:val="both"/>
              <w:rPr>
                <w:rFonts w:eastAsia="Calibri"/>
                <w:sz w:val="20"/>
                <w:lang w:val="fr-CA"/>
              </w:rPr>
            </w:pPr>
            <w:r w:rsidRPr="00BE6616">
              <w:rPr>
                <w:rFonts w:eastAsia="Calibri"/>
                <w:sz w:val="20"/>
                <w:lang w:val="fr-CA"/>
              </w:rPr>
              <w:t>Cour du Québec</w:t>
            </w:r>
          </w:p>
          <w:p w:rsidR="00A518DE" w:rsidRPr="00BE6616" w:rsidRDefault="00A518DE" w:rsidP="002E3508">
            <w:pPr>
              <w:jc w:val="both"/>
              <w:rPr>
                <w:rFonts w:eastAsia="Calibri"/>
                <w:sz w:val="20"/>
                <w:lang w:val="fr-CA"/>
              </w:rPr>
            </w:pPr>
            <w:r w:rsidRPr="00BE6616">
              <w:rPr>
                <w:rFonts w:eastAsia="Calibri"/>
                <w:sz w:val="20"/>
                <w:lang w:val="fr-CA"/>
              </w:rPr>
              <w:t>(Le juge Babin)</w:t>
            </w:r>
          </w:p>
          <w:p w:rsidR="00A518DE" w:rsidRPr="00BE6616" w:rsidRDefault="00A518DE" w:rsidP="002E3508">
            <w:pPr>
              <w:jc w:val="both"/>
              <w:rPr>
                <w:rFonts w:eastAsia="Calibri"/>
                <w:sz w:val="20"/>
                <w:lang w:val="fr-CA"/>
              </w:rPr>
            </w:pPr>
            <w:r w:rsidRPr="00BE6616">
              <w:rPr>
                <w:rFonts w:eastAsia="Calibri"/>
                <w:sz w:val="20"/>
                <w:lang w:val="fr-CA"/>
              </w:rPr>
              <w:t>2009 QCCQ 7784</w:t>
            </w:r>
          </w:p>
          <w:p w:rsidR="00A518DE" w:rsidRPr="00BE6616" w:rsidRDefault="00A518DE" w:rsidP="002E3508">
            <w:pPr>
              <w:jc w:val="both"/>
              <w:rPr>
                <w:rFonts w:eastAsia="Calibri"/>
                <w:sz w:val="20"/>
                <w:lang w:val="fr-CA"/>
              </w:rPr>
            </w:pPr>
          </w:p>
        </w:tc>
        <w:tc>
          <w:tcPr>
            <w:tcW w:w="243" w:type="pct"/>
          </w:tcPr>
          <w:p w:rsidR="00A518DE" w:rsidRPr="00BE6616" w:rsidRDefault="00A518DE" w:rsidP="002E3508">
            <w:pPr>
              <w:jc w:val="both"/>
              <w:rPr>
                <w:rFonts w:eastAsia="Calibri"/>
                <w:sz w:val="20"/>
                <w:lang w:val="fr-CA"/>
              </w:rPr>
            </w:pPr>
          </w:p>
        </w:tc>
        <w:tc>
          <w:tcPr>
            <w:tcW w:w="2330" w:type="pct"/>
          </w:tcPr>
          <w:p w:rsidR="00A518DE" w:rsidRDefault="00A518DE" w:rsidP="002E3508">
            <w:pPr>
              <w:jc w:val="both"/>
              <w:rPr>
                <w:rFonts w:eastAsia="Calibri"/>
                <w:sz w:val="20"/>
                <w:lang w:val="fr-CA"/>
              </w:rPr>
            </w:pPr>
            <w:r w:rsidRPr="00BE6616">
              <w:rPr>
                <w:rFonts w:eastAsia="Calibri"/>
                <w:sz w:val="20"/>
                <w:lang w:val="fr-CA"/>
              </w:rPr>
              <w:t>Demandeur déclaré coupable de voies de fait, de voies de fait causant des lésions corporelles, d’agression sexuelle, d’introduction par effraction, d’avoir proféré des menaces de mort, de séquestration, d’agression sexuelle armée, de bris d’engagement et de harcèlement</w:t>
            </w:r>
          </w:p>
          <w:p w:rsidR="00A518DE" w:rsidRPr="00BE6616" w:rsidRDefault="00A518DE" w:rsidP="002E3508">
            <w:pPr>
              <w:jc w:val="both"/>
              <w:rPr>
                <w:rFonts w:eastAsia="Calibri"/>
                <w:sz w:val="20"/>
                <w:lang w:val="fr-CA"/>
              </w:rPr>
            </w:pPr>
          </w:p>
        </w:tc>
      </w:tr>
      <w:tr w:rsidR="00A518DE" w:rsidRPr="00BE6616" w:rsidTr="00DF0F65">
        <w:trPr>
          <w:cantSplit/>
        </w:trPr>
        <w:tc>
          <w:tcPr>
            <w:tcW w:w="2427" w:type="pct"/>
          </w:tcPr>
          <w:p w:rsidR="00A518DE" w:rsidRPr="00BE6616" w:rsidRDefault="00A518DE" w:rsidP="002E3508">
            <w:pPr>
              <w:jc w:val="both"/>
              <w:rPr>
                <w:rFonts w:eastAsia="Calibri"/>
                <w:sz w:val="20"/>
                <w:lang w:val="fr-CA"/>
              </w:rPr>
            </w:pPr>
            <w:r w:rsidRPr="00BE6616">
              <w:rPr>
                <w:rFonts w:eastAsia="Calibri"/>
                <w:sz w:val="20"/>
                <w:lang w:val="fr-CA"/>
              </w:rPr>
              <w:t>Le 26 août 2009</w:t>
            </w:r>
          </w:p>
          <w:p w:rsidR="00A518DE" w:rsidRPr="00BE6616" w:rsidRDefault="00A518DE" w:rsidP="002E3508">
            <w:pPr>
              <w:jc w:val="both"/>
              <w:rPr>
                <w:rFonts w:eastAsia="Calibri"/>
                <w:sz w:val="20"/>
                <w:lang w:val="fr-CA"/>
              </w:rPr>
            </w:pPr>
            <w:r w:rsidRPr="00BE6616">
              <w:rPr>
                <w:rFonts w:eastAsia="Calibri"/>
                <w:sz w:val="20"/>
                <w:lang w:val="fr-CA"/>
              </w:rPr>
              <w:t>Cour d’appel du Québec (Québec)</w:t>
            </w:r>
          </w:p>
          <w:p w:rsidR="00A518DE" w:rsidRPr="00BE6616" w:rsidRDefault="00A518DE" w:rsidP="002E3508">
            <w:pPr>
              <w:jc w:val="both"/>
              <w:rPr>
                <w:rFonts w:eastAsia="Calibri"/>
                <w:sz w:val="20"/>
                <w:lang w:val="fr-CA"/>
              </w:rPr>
            </w:pPr>
            <w:r w:rsidRPr="00BE6616">
              <w:rPr>
                <w:rFonts w:eastAsia="Calibri"/>
                <w:sz w:val="20"/>
                <w:lang w:val="fr-CA"/>
              </w:rPr>
              <w:t>(La juge Dutil)</w:t>
            </w:r>
          </w:p>
          <w:p w:rsidR="00A518DE" w:rsidRPr="00BE6616" w:rsidRDefault="00A518DE" w:rsidP="002E3508">
            <w:pPr>
              <w:jc w:val="both"/>
              <w:rPr>
                <w:rFonts w:eastAsia="Calibri"/>
                <w:sz w:val="20"/>
                <w:lang w:val="fr-CA"/>
              </w:rPr>
            </w:pPr>
            <w:r w:rsidRPr="00BE6616">
              <w:rPr>
                <w:rFonts w:eastAsia="Calibri"/>
                <w:sz w:val="20"/>
                <w:lang w:val="fr-CA"/>
              </w:rPr>
              <w:t>2009 QCCA 1592</w:t>
            </w:r>
          </w:p>
          <w:p w:rsidR="00A518DE" w:rsidRPr="00BE6616" w:rsidRDefault="00A518DE" w:rsidP="002E3508">
            <w:pPr>
              <w:jc w:val="both"/>
              <w:rPr>
                <w:rFonts w:eastAsia="Calibri"/>
                <w:sz w:val="20"/>
              </w:rPr>
            </w:pPr>
          </w:p>
        </w:tc>
        <w:tc>
          <w:tcPr>
            <w:tcW w:w="243" w:type="pct"/>
          </w:tcPr>
          <w:p w:rsidR="00A518DE" w:rsidRPr="00BE6616" w:rsidRDefault="00A518DE" w:rsidP="002E3508">
            <w:pPr>
              <w:jc w:val="both"/>
              <w:rPr>
                <w:rFonts w:eastAsia="Calibri"/>
                <w:sz w:val="20"/>
              </w:rPr>
            </w:pPr>
          </w:p>
        </w:tc>
        <w:tc>
          <w:tcPr>
            <w:tcW w:w="2330" w:type="pct"/>
          </w:tcPr>
          <w:p w:rsidR="00A518DE" w:rsidRPr="00BE6616" w:rsidRDefault="00A518DE" w:rsidP="002E3508">
            <w:pPr>
              <w:jc w:val="both"/>
              <w:rPr>
                <w:rFonts w:eastAsia="Calibri"/>
                <w:sz w:val="20"/>
                <w:lang w:val="fr-CA"/>
              </w:rPr>
            </w:pPr>
            <w:r w:rsidRPr="00BE6616">
              <w:rPr>
                <w:rFonts w:eastAsia="Calibri"/>
                <w:sz w:val="20"/>
                <w:lang w:val="fr-CA"/>
              </w:rPr>
              <w:t>Requête pour permission d’appeler rejetée</w:t>
            </w:r>
          </w:p>
          <w:p w:rsidR="00A518DE" w:rsidRPr="00BE6616" w:rsidRDefault="00A518DE" w:rsidP="002E3508">
            <w:pPr>
              <w:jc w:val="both"/>
              <w:rPr>
                <w:rFonts w:eastAsia="Calibri"/>
                <w:sz w:val="20"/>
                <w:lang w:val="fr-CA"/>
              </w:rPr>
            </w:pPr>
          </w:p>
        </w:tc>
      </w:tr>
      <w:tr w:rsidR="00A518DE" w:rsidRPr="00682661" w:rsidTr="00DF0F65">
        <w:trPr>
          <w:cantSplit/>
        </w:trPr>
        <w:tc>
          <w:tcPr>
            <w:tcW w:w="2427" w:type="pct"/>
          </w:tcPr>
          <w:p w:rsidR="00A518DE" w:rsidRPr="00BE6616" w:rsidRDefault="00A518DE" w:rsidP="002E3508">
            <w:pPr>
              <w:jc w:val="both"/>
              <w:rPr>
                <w:rFonts w:eastAsia="Calibri"/>
                <w:sz w:val="20"/>
                <w:lang w:val="fr-CA"/>
              </w:rPr>
            </w:pPr>
            <w:r w:rsidRPr="00BE6616">
              <w:rPr>
                <w:rFonts w:eastAsia="Calibri"/>
                <w:sz w:val="20"/>
                <w:lang w:val="fr-CA"/>
              </w:rPr>
              <w:t>Le 4 mai 2010</w:t>
            </w:r>
          </w:p>
          <w:p w:rsidR="00A518DE" w:rsidRPr="00BE6616" w:rsidRDefault="00A518DE" w:rsidP="002E3508">
            <w:pPr>
              <w:jc w:val="both"/>
              <w:rPr>
                <w:rFonts w:eastAsia="Calibri"/>
                <w:sz w:val="20"/>
                <w:lang w:val="fr-CA"/>
              </w:rPr>
            </w:pPr>
            <w:r w:rsidRPr="00BE6616">
              <w:rPr>
                <w:rFonts w:eastAsia="Calibri"/>
                <w:sz w:val="20"/>
                <w:lang w:val="fr-CA"/>
              </w:rPr>
              <w:t>Cour d’appel du Québec (Québec)</w:t>
            </w:r>
          </w:p>
          <w:p w:rsidR="00A518DE" w:rsidRPr="00BE6616" w:rsidRDefault="00A518DE" w:rsidP="002E3508">
            <w:pPr>
              <w:jc w:val="both"/>
              <w:rPr>
                <w:rFonts w:eastAsia="Calibri"/>
                <w:sz w:val="20"/>
                <w:lang w:val="fr-CA"/>
              </w:rPr>
            </w:pPr>
            <w:r w:rsidRPr="00BE6616">
              <w:rPr>
                <w:rFonts w:eastAsia="Calibri"/>
                <w:sz w:val="20"/>
                <w:lang w:val="fr-CA"/>
              </w:rPr>
              <w:t>(Les juges Brossard, Thibault et Vézina)</w:t>
            </w:r>
          </w:p>
          <w:p w:rsidR="00A518DE" w:rsidRPr="00BE6616" w:rsidRDefault="00A518DE" w:rsidP="002E3508">
            <w:pPr>
              <w:jc w:val="both"/>
              <w:rPr>
                <w:rFonts w:eastAsia="Calibri"/>
                <w:sz w:val="20"/>
              </w:rPr>
            </w:pPr>
            <w:r w:rsidRPr="00BE6616">
              <w:rPr>
                <w:rFonts w:eastAsia="Calibri"/>
                <w:sz w:val="20"/>
              </w:rPr>
              <w:t>2010 QCCA 851</w:t>
            </w:r>
          </w:p>
          <w:p w:rsidR="00A518DE" w:rsidRPr="00BE6616" w:rsidRDefault="00A518DE" w:rsidP="002E3508">
            <w:pPr>
              <w:jc w:val="both"/>
              <w:rPr>
                <w:rFonts w:eastAsia="Calibri"/>
                <w:sz w:val="20"/>
                <w:lang w:val="fr-CA"/>
              </w:rPr>
            </w:pPr>
          </w:p>
        </w:tc>
        <w:tc>
          <w:tcPr>
            <w:tcW w:w="243" w:type="pct"/>
          </w:tcPr>
          <w:p w:rsidR="00A518DE" w:rsidRPr="00BE6616" w:rsidRDefault="00A518DE" w:rsidP="002E3508">
            <w:pPr>
              <w:jc w:val="both"/>
              <w:rPr>
                <w:rFonts w:eastAsia="Calibri"/>
                <w:sz w:val="20"/>
                <w:lang w:val="fr-CA"/>
              </w:rPr>
            </w:pPr>
          </w:p>
        </w:tc>
        <w:tc>
          <w:tcPr>
            <w:tcW w:w="2330" w:type="pct"/>
          </w:tcPr>
          <w:p w:rsidR="00A518DE" w:rsidRPr="00BE6616" w:rsidRDefault="00A518DE" w:rsidP="002E3508">
            <w:pPr>
              <w:jc w:val="both"/>
              <w:rPr>
                <w:rFonts w:eastAsia="Calibri"/>
                <w:sz w:val="20"/>
                <w:lang w:val="fr-CA"/>
              </w:rPr>
            </w:pPr>
            <w:r w:rsidRPr="00BE6616">
              <w:rPr>
                <w:rFonts w:eastAsia="Calibri"/>
                <w:sz w:val="20"/>
                <w:lang w:val="fr-CA"/>
              </w:rPr>
              <w:t xml:space="preserve">Requête en révision en vertu de l’art. 675(4) du </w:t>
            </w:r>
            <w:r w:rsidRPr="00BE6616">
              <w:rPr>
                <w:rFonts w:eastAsia="Calibri"/>
                <w:i/>
                <w:sz w:val="20"/>
                <w:lang w:val="fr-CA"/>
              </w:rPr>
              <w:t>Code criminel</w:t>
            </w:r>
            <w:r w:rsidRPr="00BE6616">
              <w:rPr>
                <w:rFonts w:eastAsia="Calibri"/>
                <w:sz w:val="20"/>
                <w:lang w:val="fr-CA"/>
              </w:rPr>
              <w:t xml:space="preserve"> rejetée </w:t>
            </w:r>
          </w:p>
        </w:tc>
      </w:tr>
      <w:tr w:rsidR="00A518DE" w:rsidRPr="00FC7FF3" w:rsidTr="00DF0F65">
        <w:trPr>
          <w:cantSplit/>
          <w:trHeight w:val="495"/>
        </w:trPr>
        <w:tc>
          <w:tcPr>
            <w:tcW w:w="2427" w:type="pct"/>
          </w:tcPr>
          <w:p w:rsidR="00A518DE" w:rsidRPr="00BE6616" w:rsidRDefault="00A518DE" w:rsidP="002E3508">
            <w:pPr>
              <w:jc w:val="both"/>
              <w:rPr>
                <w:rFonts w:eastAsia="Calibri"/>
                <w:sz w:val="20"/>
                <w:lang w:val="fr-CA"/>
              </w:rPr>
            </w:pPr>
            <w:r w:rsidRPr="00BE6616">
              <w:rPr>
                <w:rFonts w:eastAsia="Calibri"/>
                <w:sz w:val="20"/>
                <w:lang w:val="fr-CA"/>
              </w:rPr>
              <w:t>Le 2 mai 2011</w:t>
            </w:r>
          </w:p>
          <w:p w:rsidR="00A518DE" w:rsidRPr="00BE6616" w:rsidRDefault="00A518DE" w:rsidP="002E3508">
            <w:pPr>
              <w:jc w:val="both"/>
              <w:rPr>
                <w:rFonts w:eastAsia="Calibri"/>
                <w:sz w:val="20"/>
                <w:lang w:val="fr-CA"/>
              </w:rPr>
            </w:pPr>
            <w:r w:rsidRPr="00BE6616">
              <w:rPr>
                <w:rFonts w:eastAsia="Calibri"/>
                <w:sz w:val="20"/>
                <w:lang w:val="fr-CA"/>
              </w:rPr>
              <w:t>Cour suprême du Canada</w:t>
            </w:r>
          </w:p>
        </w:tc>
        <w:tc>
          <w:tcPr>
            <w:tcW w:w="243" w:type="pct"/>
          </w:tcPr>
          <w:p w:rsidR="00A518DE" w:rsidRPr="00BE6616" w:rsidRDefault="00A518DE" w:rsidP="002E3508">
            <w:pPr>
              <w:jc w:val="both"/>
              <w:rPr>
                <w:rFonts w:eastAsia="Calibri"/>
                <w:sz w:val="20"/>
                <w:lang w:val="fr-CA"/>
              </w:rPr>
            </w:pPr>
          </w:p>
        </w:tc>
        <w:tc>
          <w:tcPr>
            <w:tcW w:w="2330" w:type="pct"/>
          </w:tcPr>
          <w:p w:rsidR="00A518DE" w:rsidRPr="00BE6616" w:rsidRDefault="00A518DE" w:rsidP="002E3508">
            <w:pPr>
              <w:jc w:val="both"/>
              <w:rPr>
                <w:rFonts w:eastAsia="Calibri"/>
                <w:sz w:val="20"/>
                <w:lang w:val="fr-CA"/>
              </w:rPr>
            </w:pPr>
            <w:r w:rsidRPr="00BE6616">
              <w:rPr>
                <w:rFonts w:eastAsia="Calibri"/>
                <w:sz w:val="20"/>
                <w:lang w:val="fr-CA"/>
              </w:rPr>
              <w:t xml:space="preserve">Requête en prorogation de délai et demande d'autorisation </w:t>
            </w:r>
            <w:proofErr w:type="gramStart"/>
            <w:r w:rsidRPr="00BE6616">
              <w:rPr>
                <w:rFonts w:eastAsia="Calibri"/>
                <w:sz w:val="20"/>
                <w:lang w:val="fr-CA"/>
              </w:rPr>
              <w:t>d'appel déposées</w:t>
            </w:r>
            <w:proofErr w:type="gramEnd"/>
          </w:p>
        </w:tc>
      </w:tr>
    </w:tbl>
    <w:p w:rsidR="00A518DE" w:rsidRDefault="00A518DE"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68"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F0F65" w:rsidRPr="00682661" w:rsidTr="0087505F">
        <w:trPr>
          <w:cantSplit/>
        </w:trPr>
        <w:tc>
          <w:tcPr>
            <w:tcW w:w="1458" w:type="dxa"/>
          </w:tcPr>
          <w:p w:rsidR="00DF0F65" w:rsidRPr="00DF0F65" w:rsidRDefault="00DF0F65" w:rsidP="0087505F">
            <w:pPr>
              <w:rPr>
                <w:sz w:val="20"/>
                <w:szCs w:val="20"/>
              </w:rPr>
            </w:pPr>
            <w:r w:rsidRPr="00DF0F65">
              <w:rPr>
                <w:rStyle w:val="SCCFileNumberChar"/>
                <w:sz w:val="20"/>
                <w:szCs w:val="20"/>
              </w:rPr>
              <w:t>34250</w:t>
            </w:r>
          </w:p>
          <w:p w:rsidR="00DF0F65" w:rsidRPr="00DF0F65" w:rsidRDefault="00DF0F65" w:rsidP="0087505F">
            <w:pPr>
              <w:rPr>
                <w:b/>
                <w:sz w:val="20"/>
                <w:szCs w:val="20"/>
                <w:lang w:val="fr-CA"/>
              </w:rPr>
            </w:pPr>
          </w:p>
        </w:tc>
        <w:tc>
          <w:tcPr>
            <w:tcW w:w="8118" w:type="dxa"/>
          </w:tcPr>
          <w:p w:rsidR="00DF0F65" w:rsidRPr="00DF0F65" w:rsidRDefault="00DF0F65" w:rsidP="0087505F">
            <w:pPr>
              <w:rPr>
                <w:sz w:val="20"/>
                <w:szCs w:val="20"/>
                <w:lang w:val="fr-CA"/>
              </w:rPr>
            </w:pPr>
            <w:r w:rsidRPr="00DF0F65">
              <w:rPr>
                <w:rStyle w:val="SCCLsocChar"/>
                <w:sz w:val="20"/>
                <w:szCs w:val="20"/>
              </w:rPr>
              <w:t>Aéroports de Montréal c. Compagnie d'Assurance St-Paul Garantie</w:t>
            </w:r>
            <w:r w:rsidRPr="00DF0F65">
              <w:rPr>
                <w:sz w:val="20"/>
                <w:szCs w:val="20"/>
                <w:lang w:val="fr-CA"/>
              </w:rPr>
              <w:t xml:space="preserve"> (Qc) (Civile) (Autorisation)</w:t>
            </w:r>
          </w:p>
          <w:p w:rsidR="00DF0F65" w:rsidRPr="00DF0F65" w:rsidRDefault="00DF0F65" w:rsidP="0087505F">
            <w:pPr>
              <w:rPr>
                <w:sz w:val="20"/>
                <w:szCs w:val="20"/>
                <w:lang w:val="fr-CA"/>
              </w:rPr>
            </w:pPr>
          </w:p>
        </w:tc>
      </w:tr>
      <w:tr w:rsidR="00DF0F65" w:rsidRPr="00682661" w:rsidTr="0087505F">
        <w:trPr>
          <w:cantSplit/>
        </w:trPr>
        <w:tc>
          <w:tcPr>
            <w:tcW w:w="1458" w:type="dxa"/>
          </w:tcPr>
          <w:p w:rsidR="00DF0F65" w:rsidRPr="00DF0F65" w:rsidRDefault="00DF0F65" w:rsidP="0087505F">
            <w:pPr>
              <w:rPr>
                <w:sz w:val="20"/>
                <w:szCs w:val="20"/>
              </w:rPr>
            </w:pPr>
            <w:r w:rsidRPr="00DF0F65">
              <w:rPr>
                <w:sz w:val="20"/>
                <w:szCs w:val="20"/>
              </w:rPr>
              <w:t>Coram :</w:t>
            </w:r>
          </w:p>
        </w:tc>
        <w:tc>
          <w:tcPr>
            <w:tcW w:w="8118" w:type="dxa"/>
          </w:tcPr>
          <w:p w:rsidR="00DF0F65" w:rsidRPr="00DF0F65" w:rsidRDefault="00DF0F65" w:rsidP="0087505F">
            <w:pPr>
              <w:rPr>
                <w:sz w:val="20"/>
                <w:szCs w:val="20"/>
                <w:lang w:val="fr-CA"/>
              </w:rPr>
            </w:pPr>
            <w:r w:rsidRPr="00DF0F65">
              <w:rPr>
                <w:rStyle w:val="SCCCoramChar"/>
                <w:sz w:val="20"/>
                <w:szCs w:val="20"/>
                <w:lang w:val="fr-CA"/>
              </w:rPr>
              <w:t>Les juges LeBel, Fish et Cromwell</w:t>
            </w:r>
          </w:p>
          <w:p w:rsidR="00DF0F65" w:rsidRPr="00DF0F65" w:rsidRDefault="00DF0F65" w:rsidP="0087505F">
            <w:pPr>
              <w:rPr>
                <w:sz w:val="20"/>
                <w:szCs w:val="20"/>
                <w:u w:val="single"/>
                <w:lang w:val="fr-CA"/>
              </w:rPr>
            </w:pPr>
          </w:p>
        </w:tc>
      </w:tr>
      <w:tr w:rsidR="00DF0F65" w:rsidRPr="00DF0F65" w:rsidTr="0087505F">
        <w:trPr>
          <w:cantSplit/>
        </w:trPr>
        <w:tc>
          <w:tcPr>
            <w:tcW w:w="9576" w:type="dxa"/>
            <w:gridSpan w:val="2"/>
          </w:tcPr>
          <w:p w:rsidR="00DF0F65" w:rsidRPr="00DF0F65" w:rsidRDefault="00DF0F65" w:rsidP="0087505F">
            <w:pPr>
              <w:pStyle w:val="SCCShortJudgment"/>
              <w:rPr>
                <w:szCs w:val="20"/>
                <w:lang w:val="fr-CA"/>
              </w:rPr>
            </w:pPr>
            <w:r w:rsidRPr="00DF0F65">
              <w:rPr>
                <w:szCs w:val="20"/>
                <w:lang w:val="fr-CA"/>
              </w:rPr>
              <w:t>La demande d’autorisation d’appel de l’arrêt de la Cour d’appel du Québec (Montréal) dans les dossiers numéros 500-09-021128-103 et 500-09-021157-102, 2011 QCCA 536, daté du 11 mars 2011, est rejetée avec dépens.</w:t>
            </w:r>
          </w:p>
          <w:p w:rsidR="00DF0F65" w:rsidRPr="00DF0F65" w:rsidRDefault="00DF0F65" w:rsidP="0087505F">
            <w:pPr>
              <w:pStyle w:val="SCCShortJudgment"/>
              <w:ind w:firstLine="0"/>
              <w:rPr>
                <w:szCs w:val="20"/>
                <w:lang w:val="fr-CA"/>
              </w:rPr>
            </w:pPr>
          </w:p>
          <w:p w:rsidR="00DF0F65" w:rsidRPr="00DF0F65" w:rsidRDefault="00DF0F65" w:rsidP="0087505F">
            <w:pPr>
              <w:pStyle w:val="SCCShortJudgment"/>
              <w:rPr>
                <w:szCs w:val="20"/>
              </w:rPr>
            </w:pPr>
            <w:r w:rsidRPr="00DF0F65">
              <w:rPr>
                <w:szCs w:val="20"/>
              </w:rPr>
              <w:t>The application for leave to appeal from the judgment of the Court of Appeal of Quebec (Montréal) in File Numbers 500-09-021128-103 and 500-09-021157-102, 2011 QCCA 536, dated March 11, 2011, is dismissed with costs.</w:t>
            </w:r>
          </w:p>
        </w:tc>
      </w:tr>
    </w:tbl>
    <w:p w:rsidR="007B50F9" w:rsidRDefault="007B50F9" w:rsidP="007B50F9">
      <w:pPr>
        <w:rPr>
          <w:sz w:val="20"/>
          <w:szCs w:val="20"/>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518DE" w:rsidRPr="00BE6616" w:rsidTr="002E3508">
        <w:tc>
          <w:tcPr>
            <w:tcW w:w="5000" w:type="pct"/>
            <w:gridSpan w:val="3"/>
          </w:tcPr>
          <w:p w:rsidR="00A518DE" w:rsidRPr="00BE6616" w:rsidRDefault="00A518DE" w:rsidP="002E3508">
            <w:pPr>
              <w:jc w:val="both"/>
              <w:rPr>
                <w:rFonts w:eastAsia="Calibri"/>
                <w:sz w:val="20"/>
              </w:rPr>
            </w:pPr>
            <w:r w:rsidRPr="00BE6616">
              <w:rPr>
                <w:rFonts w:eastAsia="Calibri"/>
                <w:sz w:val="20"/>
              </w:rPr>
              <w:t>Suretyship — Default notice to surety — Major work at airport — Dissatisfaction with work leading to additional work and legal proceedings — Whether Court of Appeal destabilized legal relationship between contractors, clients and sureties by requiring default notice prior to claim against surety.</w:t>
            </w:r>
          </w:p>
        </w:tc>
      </w:tr>
      <w:tr w:rsidR="00A518DE" w:rsidRPr="00BE6616" w:rsidTr="002E3508">
        <w:tc>
          <w:tcPr>
            <w:tcW w:w="5000" w:type="pct"/>
            <w:gridSpan w:val="3"/>
          </w:tcPr>
          <w:p w:rsidR="00A518DE" w:rsidRPr="00BE6616" w:rsidRDefault="00A518DE" w:rsidP="002E3508">
            <w:pPr>
              <w:jc w:val="both"/>
              <w:rPr>
                <w:rFonts w:eastAsia="Calibri"/>
                <w:sz w:val="20"/>
              </w:rPr>
            </w:pPr>
          </w:p>
        </w:tc>
      </w:tr>
      <w:tr w:rsidR="00A518DE" w:rsidRPr="00BE6616" w:rsidTr="002E3508">
        <w:tc>
          <w:tcPr>
            <w:tcW w:w="5000" w:type="pct"/>
            <w:gridSpan w:val="3"/>
          </w:tcPr>
          <w:p w:rsidR="00A518DE" w:rsidRPr="00BE6616" w:rsidRDefault="00A518DE" w:rsidP="002E3508">
            <w:pPr>
              <w:jc w:val="both"/>
              <w:rPr>
                <w:rFonts w:eastAsia="Calibri"/>
                <w:sz w:val="20"/>
              </w:rPr>
            </w:pPr>
            <w:r w:rsidRPr="00BE6616">
              <w:rPr>
                <w:rFonts w:eastAsia="Calibri"/>
                <w:sz w:val="20"/>
              </w:rPr>
              <w:t>In November 2006, the respondent became surety for a contract of enterprise between the applicant and Axor, a contractor.  Since the applicant was not satisfied with the progress of the work, it had the work completed as it went along and subsequently claimed the costs occasioned by the delays from the contractor and the surety jointly.</w:t>
            </w:r>
          </w:p>
          <w:p w:rsidR="00A518DE" w:rsidRPr="00BE6616" w:rsidRDefault="00A518DE" w:rsidP="002E3508">
            <w:pPr>
              <w:jc w:val="both"/>
              <w:rPr>
                <w:rFonts w:eastAsia="Calibri"/>
                <w:sz w:val="20"/>
              </w:rPr>
            </w:pPr>
          </w:p>
        </w:tc>
      </w:tr>
      <w:tr w:rsidR="00A518DE" w:rsidRPr="00BE6616" w:rsidTr="002E3508">
        <w:tc>
          <w:tcPr>
            <w:tcW w:w="2427" w:type="pct"/>
          </w:tcPr>
          <w:p w:rsidR="00A518DE" w:rsidRPr="00BE6616" w:rsidRDefault="00A518DE" w:rsidP="002E3508">
            <w:pPr>
              <w:jc w:val="both"/>
              <w:rPr>
                <w:rFonts w:eastAsia="Calibri"/>
                <w:sz w:val="20"/>
              </w:rPr>
            </w:pPr>
            <w:r w:rsidRPr="00BE6616">
              <w:rPr>
                <w:rFonts w:eastAsia="Calibri"/>
                <w:sz w:val="20"/>
              </w:rPr>
              <w:t>September 30, 2010</w:t>
            </w:r>
          </w:p>
          <w:p w:rsidR="00A518DE" w:rsidRPr="00BE6616" w:rsidRDefault="00A518DE" w:rsidP="002E3508">
            <w:pPr>
              <w:jc w:val="both"/>
              <w:rPr>
                <w:rFonts w:eastAsia="Calibri"/>
                <w:sz w:val="20"/>
              </w:rPr>
            </w:pPr>
            <w:r w:rsidRPr="00BE6616">
              <w:rPr>
                <w:rFonts w:eastAsia="Calibri"/>
                <w:sz w:val="20"/>
              </w:rPr>
              <w:t>Quebec Superior Court</w:t>
            </w:r>
          </w:p>
          <w:p w:rsidR="00A518DE" w:rsidRPr="00BE6616" w:rsidRDefault="00A518DE" w:rsidP="002E3508">
            <w:pPr>
              <w:jc w:val="both"/>
              <w:rPr>
                <w:rFonts w:eastAsia="Calibri"/>
                <w:sz w:val="20"/>
              </w:rPr>
            </w:pPr>
            <w:r w:rsidRPr="00BE6616">
              <w:rPr>
                <w:rFonts w:eastAsia="Calibri"/>
                <w:sz w:val="20"/>
              </w:rPr>
              <w:t>(Poirier J.)</w:t>
            </w:r>
          </w:p>
          <w:p w:rsidR="00A518DE" w:rsidRPr="00BE6616" w:rsidRDefault="00A518DE" w:rsidP="002E3508">
            <w:pPr>
              <w:jc w:val="both"/>
              <w:rPr>
                <w:rFonts w:eastAsia="Calibri"/>
                <w:sz w:val="20"/>
              </w:rPr>
            </w:pPr>
            <w:r w:rsidRPr="00BE6616">
              <w:rPr>
                <w:rFonts w:eastAsia="Calibri"/>
                <w:sz w:val="20"/>
              </w:rPr>
              <w:t>Neutral citation: 2010 QCCS 4606</w:t>
            </w:r>
          </w:p>
          <w:p w:rsidR="00A518DE" w:rsidRPr="00BE6616" w:rsidRDefault="00A518DE" w:rsidP="002E3508">
            <w:pPr>
              <w:jc w:val="both"/>
              <w:rPr>
                <w:rFonts w:eastAsia="Calibri"/>
                <w:sz w:val="20"/>
              </w:rPr>
            </w:pPr>
          </w:p>
        </w:tc>
        <w:tc>
          <w:tcPr>
            <w:tcW w:w="243" w:type="pct"/>
          </w:tcPr>
          <w:p w:rsidR="00A518DE" w:rsidRPr="00BE6616" w:rsidRDefault="00A518DE" w:rsidP="002E3508">
            <w:pPr>
              <w:jc w:val="both"/>
              <w:rPr>
                <w:rFonts w:eastAsia="Calibri"/>
                <w:sz w:val="20"/>
              </w:rPr>
            </w:pPr>
          </w:p>
        </w:tc>
        <w:tc>
          <w:tcPr>
            <w:tcW w:w="2330" w:type="pct"/>
          </w:tcPr>
          <w:p w:rsidR="00A518DE" w:rsidRPr="00BE6616" w:rsidRDefault="00A518DE" w:rsidP="002E3508">
            <w:pPr>
              <w:jc w:val="both"/>
              <w:rPr>
                <w:rFonts w:eastAsia="Calibri"/>
                <w:sz w:val="20"/>
              </w:rPr>
            </w:pPr>
            <w:r w:rsidRPr="00BE6616">
              <w:rPr>
                <w:rFonts w:eastAsia="Calibri"/>
                <w:sz w:val="20"/>
              </w:rPr>
              <w:t>Applicant’s action against contractor dismissed for lack of jurisdiction and referred to arbitration; applicant’s action against respondent surety dismissed based on lack of prior notice</w:t>
            </w:r>
          </w:p>
          <w:p w:rsidR="00A518DE" w:rsidRPr="00BE6616" w:rsidRDefault="00A518DE" w:rsidP="002E3508">
            <w:pPr>
              <w:jc w:val="both"/>
              <w:rPr>
                <w:rFonts w:eastAsia="Calibri"/>
                <w:sz w:val="20"/>
              </w:rPr>
            </w:pPr>
          </w:p>
        </w:tc>
      </w:tr>
      <w:tr w:rsidR="00A518DE" w:rsidRPr="00BE6616" w:rsidTr="00DF0F65">
        <w:trPr>
          <w:cantSplit/>
        </w:trPr>
        <w:tc>
          <w:tcPr>
            <w:tcW w:w="2427" w:type="pct"/>
          </w:tcPr>
          <w:p w:rsidR="00A518DE" w:rsidRPr="00BE6616" w:rsidRDefault="00A518DE" w:rsidP="002E3508">
            <w:pPr>
              <w:jc w:val="both"/>
              <w:rPr>
                <w:rFonts w:eastAsia="Calibri"/>
                <w:sz w:val="20"/>
              </w:rPr>
            </w:pPr>
            <w:r w:rsidRPr="00BE6616">
              <w:rPr>
                <w:rFonts w:eastAsia="Calibri"/>
                <w:sz w:val="20"/>
              </w:rPr>
              <w:lastRenderedPageBreak/>
              <w:t>March 11, 2011</w:t>
            </w:r>
          </w:p>
          <w:p w:rsidR="00A518DE" w:rsidRPr="00BE6616" w:rsidRDefault="00A518DE" w:rsidP="002E3508">
            <w:pPr>
              <w:jc w:val="both"/>
              <w:rPr>
                <w:rFonts w:eastAsia="Calibri"/>
                <w:sz w:val="20"/>
              </w:rPr>
            </w:pPr>
            <w:r w:rsidRPr="00BE6616">
              <w:rPr>
                <w:rFonts w:eastAsia="Calibri"/>
                <w:sz w:val="20"/>
              </w:rPr>
              <w:t>Quebec Court of Appeal (Montréal)</w:t>
            </w:r>
          </w:p>
          <w:p w:rsidR="00A518DE" w:rsidRPr="00BE6616" w:rsidRDefault="00A518DE" w:rsidP="002E3508">
            <w:pPr>
              <w:jc w:val="both"/>
              <w:rPr>
                <w:rFonts w:eastAsia="Calibri"/>
                <w:sz w:val="20"/>
              </w:rPr>
            </w:pPr>
            <w:r w:rsidRPr="00BE6616">
              <w:rPr>
                <w:rFonts w:eastAsia="Calibri"/>
                <w:sz w:val="20"/>
              </w:rPr>
              <w:t>(Rochon, Doyon and Duval Hesler JJ.A.)</w:t>
            </w:r>
          </w:p>
          <w:p w:rsidR="00A518DE" w:rsidRPr="00BE6616" w:rsidRDefault="00A518DE" w:rsidP="002E3508">
            <w:pPr>
              <w:jc w:val="both"/>
              <w:rPr>
                <w:rFonts w:eastAsia="Calibri"/>
                <w:sz w:val="20"/>
              </w:rPr>
            </w:pPr>
            <w:r w:rsidRPr="00BE6616">
              <w:rPr>
                <w:rFonts w:eastAsia="Calibri"/>
                <w:sz w:val="20"/>
              </w:rPr>
              <w:t>Neutral citation: 2011 QCCA 536</w:t>
            </w:r>
          </w:p>
          <w:p w:rsidR="00A518DE" w:rsidRPr="00BE6616" w:rsidRDefault="00A518DE" w:rsidP="002E3508">
            <w:pPr>
              <w:jc w:val="both"/>
              <w:rPr>
                <w:rFonts w:eastAsia="Calibri"/>
                <w:sz w:val="20"/>
              </w:rPr>
            </w:pPr>
          </w:p>
        </w:tc>
        <w:tc>
          <w:tcPr>
            <w:tcW w:w="243" w:type="pct"/>
          </w:tcPr>
          <w:p w:rsidR="00A518DE" w:rsidRPr="00BE6616" w:rsidRDefault="00A518DE" w:rsidP="002E3508">
            <w:pPr>
              <w:jc w:val="both"/>
              <w:rPr>
                <w:rFonts w:eastAsia="Calibri"/>
                <w:sz w:val="20"/>
              </w:rPr>
            </w:pPr>
          </w:p>
        </w:tc>
        <w:tc>
          <w:tcPr>
            <w:tcW w:w="2330" w:type="pct"/>
          </w:tcPr>
          <w:p w:rsidR="00A518DE" w:rsidRPr="00BE6616" w:rsidRDefault="00A518DE" w:rsidP="002E3508">
            <w:pPr>
              <w:jc w:val="both"/>
              <w:rPr>
                <w:rFonts w:eastAsia="Calibri"/>
                <w:sz w:val="20"/>
              </w:rPr>
            </w:pPr>
            <w:r w:rsidRPr="00BE6616">
              <w:rPr>
                <w:rFonts w:eastAsia="Calibri"/>
                <w:sz w:val="20"/>
              </w:rPr>
              <w:t>Appeal dismissed</w:t>
            </w:r>
          </w:p>
        </w:tc>
      </w:tr>
      <w:tr w:rsidR="00A518DE" w:rsidRPr="00BE6616" w:rsidTr="00DF0F65">
        <w:trPr>
          <w:cantSplit/>
        </w:trPr>
        <w:tc>
          <w:tcPr>
            <w:tcW w:w="2427" w:type="pct"/>
          </w:tcPr>
          <w:p w:rsidR="00A518DE" w:rsidRPr="00BE6616" w:rsidRDefault="00A518DE" w:rsidP="002E3508">
            <w:pPr>
              <w:jc w:val="both"/>
              <w:rPr>
                <w:rFonts w:eastAsia="Calibri"/>
                <w:sz w:val="20"/>
              </w:rPr>
            </w:pPr>
            <w:r w:rsidRPr="00BE6616">
              <w:rPr>
                <w:rFonts w:eastAsia="Calibri"/>
                <w:sz w:val="20"/>
              </w:rPr>
              <w:t>May 10, 2011</w:t>
            </w:r>
          </w:p>
          <w:p w:rsidR="00A518DE" w:rsidRPr="00BE6616" w:rsidRDefault="00A518DE" w:rsidP="002E3508">
            <w:pPr>
              <w:jc w:val="both"/>
              <w:rPr>
                <w:rFonts w:eastAsia="Calibri"/>
                <w:sz w:val="20"/>
              </w:rPr>
            </w:pPr>
            <w:r w:rsidRPr="00BE6616">
              <w:rPr>
                <w:rFonts w:eastAsia="Calibri"/>
                <w:sz w:val="20"/>
              </w:rPr>
              <w:t>Supreme Court of Canada</w:t>
            </w:r>
          </w:p>
        </w:tc>
        <w:tc>
          <w:tcPr>
            <w:tcW w:w="243" w:type="pct"/>
          </w:tcPr>
          <w:p w:rsidR="00A518DE" w:rsidRPr="00BE6616" w:rsidRDefault="00A518DE" w:rsidP="002E3508">
            <w:pPr>
              <w:jc w:val="both"/>
              <w:rPr>
                <w:rFonts w:eastAsia="Calibri"/>
                <w:sz w:val="20"/>
              </w:rPr>
            </w:pPr>
          </w:p>
        </w:tc>
        <w:tc>
          <w:tcPr>
            <w:tcW w:w="2330" w:type="pct"/>
          </w:tcPr>
          <w:p w:rsidR="00A518DE" w:rsidRPr="00BE6616" w:rsidRDefault="00A518DE" w:rsidP="002E3508">
            <w:pPr>
              <w:jc w:val="both"/>
              <w:rPr>
                <w:rFonts w:eastAsia="Calibri"/>
                <w:sz w:val="20"/>
              </w:rPr>
            </w:pPr>
            <w:r w:rsidRPr="00BE6616">
              <w:rPr>
                <w:rFonts w:eastAsia="Calibri"/>
                <w:sz w:val="20"/>
              </w:rPr>
              <w:t>Application for leave to appeal filed</w:t>
            </w:r>
          </w:p>
          <w:p w:rsidR="00A518DE" w:rsidRPr="00BE6616" w:rsidRDefault="00A518DE" w:rsidP="002E350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69"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A518DE" w:rsidRPr="00682661" w:rsidTr="002E3508">
        <w:tc>
          <w:tcPr>
            <w:tcW w:w="5000" w:type="pct"/>
            <w:gridSpan w:val="3"/>
          </w:tcPr>
          <w:p w:rsidR="00A518DE" w:rsidRPr="00BE6616" w:rsidRDefault="00A518DE" w:rsidP="002E3508">
            <w:pPr>
              <w:jc w:val="both"/>
              <w:rPr>
                <w:rFonts w:eastAsia="Calibri"/>
                <w:sz w:val="20"/>
                <w:lang w:val="fr-FR"/>
              </w:rPr>
            </w:pPr>
            <w:r w:rsidRPr="00BE6616">
              <w:rPr>
                <w:rFonts w:eastAsia="Calibri"/>
                <w:sz w:val="20"/>
                <w:lang w:val="fr-CA"/>
              </w:rPr>
              <w:t>Cautionnement — Avis de défaut à la caution — Travaux majeurs dans un aéroport — Insatisfaction à l’égard des travaux donnant lieu à un complément de travaux et des poursuites — La Cour d’appel a</w:t>
            </w:r>
            <w:r w:rsidRPr="00BE6616">
              <w:rPr>
                <w:rFonts w:eastAsia="Calibri"/>
                <w:sz w:val="20"/>
                <w:lang w:val="fr-CA"/>
              </w:rPr>
              <w:noBreakHyphen/>
              <w:t>t</w:t>
            </w:r>
            <w:r w:rsidRPr="00BE6616">
              <w:rPr>
                <w:rFonts w:eastAsia="Calibri"/>
                <w:sz w:val="20"/>
                <w:lang w:val="fr-CA"/>
              </w:rPr>
              <w:noBreakHyphen/>
              <w:t>elle déstabilisé les rapports juridiques entre entrepreneurs, donneurs d’ouvrage et cautions en exigeant un avis de défaut préalablement à une réclamation contre la caution?</w:t>
            </w:r>
          </w:p>
        </w:tc>
      </w:tr>
      <w:tr w:rsidR="00A518DE" w:rsidRPr="00682661" w:rsidTr="002E3508">
        <w:tc>
          <w:tcPr>
            <w:tcW w:w="5000" w:type="pct"/>
            <w:gridSpan w:val="3"/>
          </w:tcPr>
          <w:p w:rsidR="00A518DE" w:rsidRPr="00BE6616" w:rsidRDefault="00A518DE" w:rsidP="002E3508">
            <w:pPr>
              <w:jc w:val="both"/>
              <w:rPr>
                <w:rFonts w:eastAsia="Calibri"/>
                <w:sz w:val="20"/>
                <w:lang w:val="fr-CA"/>
              </w:rPr>
            </w:pPr>
          </w:p>
        </w:tc>
      </w:tr>
      <w:tr w:rsidR="00A518DE" w:rsidRPr="00682661" w:rsidTr="002E3508">
        <w:tc>
          <w:tcPr>
            <w:tcW w:w="5000" w:type="pct"/>
            <w:gridSpan w:val="3"/>
          </w:tcPr>
          <w:p w:rsidR="00A518DE" w:rsidRPr="00BE6616" w:rsidRDefault="00A518DE" w:rsidP="002E3508">
            <w:pPr>
              <w:jc w:val="both"/>
              <w:rPr>
                <w:rFonts w:eastAsia="Calibri"/>
                <w:sz w:val="20"/>
                <w:lang w:val="fr-CA"/>
              </w:rPr>
            </w:pPr>
            <w:r w:rsidRPr="00BE6616">
              <w:rPr>
                <w:rFonts w:eastAsia="Calibri"/>
                <w:sz w:val="20"/>
                <w:lang w:val="fr-CA"/>
              </w:rPr>
              <w:t>En novembre 2006, l’intimée a consenti un cautionnement dans le cadre d’un contrat d’entreprise liant la demanderesse et l’entrepreneur Axor.  Insatisfaite de l’état des travaux, la demanderesse les fait compléter en cours de route et réclame par la suite, de l’entrepreneur et de la caution conjointement, le montant des coûts occasionnés par les délais.</w:t>
            </w:r>
          </w:p>
          <w:p w:rsidR="00A518DE" w:rsidRPr="00BE6616" w:rsidRDefault="00A518DE" w:rsidP="002E3508">
            <w:pPr>
              <w:jc w:val="both"/>
              <w:rPr>
                <w:rFonts w:eastAsia="Calibri"/>
                <w:sz w:val="20"/>
                <w:lang w:val="fr-CA"/>
              </w:rPr>
            </w:pPr>
          </w:p>
        </w:tc>
      </w:tr>
      <w:tr w:rsidR="00A518DE" w:rsidRPr="00682661" w:rsidTr="002E3508">
        <w:tc>
          <w:tcPr>
            <w:tcW w:w="2427" w:type="pct"/>
          </w:tcPr>
          <w:p w:rsidR="00A518DE" w:rsidRPr="00BE6616" w:rsidRDefault="00A518DE" w:rsidP="002E3508">
            <w:pPr>
              <w:jc w:val="both"/>
              <w:rPr>
                <w:rFonts w:eastAsia="Calibri"/>
                <w:sz w:val="20"/>
                <w:lang w:val="fr-CA"/>
              </w:rPr>
            </w:pPr>
            <w:r w:rsidRPr="00BE6616">
              <w:rPr>
                <w:rFonts w:eastAsia="Calibri"/>
                <w:sz w:val="20"/>
                <w:lang w:val="fr-CA"/>
              </w:rPr>
              <w:t>Le 30 septembre 2010</w:t>
            </w:r>
          </w:p>
          <w:p w:rsidR="00A518DE" w:rsidRPr="00BE6616" w:rsidRDefault="00A518DE" w:rsidP="002E3508">
            <w:pPr>
              <w:jc w:val="both"/>
              <w:rPr>
                <w:rFonts w:eastAsia="Calibri"/>
                <w:sz w:val="20"/>
                <w:lang w:val="fr-CA"/>
              </w:rPr>
            </w:pPr>
            <w:r w:rsidRPr="00BE6616">
              <w:rPr>
                <w:rFonts w:eastAsia="Calibri"/>
                <w:sz w:val="20"/>
                <w:lang w:val="fr-CA"/>
              </w:rPr>
              <w:t>Cour supérieure du Québec</w:t>
            </w:r>
          </w:p>
          <w:p w:rsidR="00A518DE" w:rsidRPr="00BE6616" w:rsidRDefault="00A518DE" w:rsidP="002E3508">
            <w:pPr>
              <w:jc w:val="both"/>
              <w:rPr>
                <w:rFonts w:eastAsia="Calibri"/>
                <w:sz w:val="20"/>
                <w:lang w:val="fr-CA"/>
              </w:rPr>
            </w:pPr>
            <w:r w:rsidRPr="00BE6616">
              <w:rPr>
                <w:rFonts w:eastAsia="Calibri"/>
                <w:sz w:val="20"/>
                <w:lang w:val="fr-CA"/>
              </w:rPr>
              <w:t>(Le juge Poirier)</w:t>
            </w:r>
          </w:p>
          <w:p w:rsidR="00A518DE" w:rsidRPr="00BE6616" w:rsidRDefault="00A518DE" w:rsidP="002E3508">
            <w:pPr>
              <w:jc w:val="both"/>
              <w:rPr>
                <w:rFonts w:eastAsia="Calibri"/>
                <w:sz w:val="20"/>
                <w:lang w:val="fr-CA"/>
              </w:rPr>
            </w:pPr>
            <w:r w:rsidRPr="00BE6616">
              <w:rPr>
                <w:rFonts w:eastAsia="Calibri"/>
                <w:sz w:val="20"/>
                <w:lang w:val="fr-CA"/>
              </w:rPr>
              <w:t>Référence neutre : 2010 QCCS 4606</w:t>
            </w:r>
          </w:p>
          <w:p w:rsidR="00A518DE" w:rsidRPr="00BE6616" w:rsidRDefault="00A518DE" w:rsidP="002E3508">
            <w:pPr>
              <w:jc w:val="both"/>
              <w:rPr>
                <w:rFonts w:eastAsia="Calibri"/>
                <w:sz w:val="20"/>
                <w:lang w:val="fr-CA"/>
              </w:rPr>
            </w:pPr>
          </w:p>
        </w:tc>
        <w:tc>
          <w:tcPr>
            <w:tcW w:w="243" w:type="pct"/>
          </w:tcPr>
          <w:p w:rsidR="00A518DE" w:rsidRPr="00BE6616" w:rsidRDefault="00A518DE" w:rsidP="002E3508">
            <w:pPr>
              <w:jc w:val="both"/>
              <w:rPr>
                <w:rFonts w:eastAsia="Calibri"/>
                <w:sz w:val="20"/>
                <w:lang w:val="fr-FR"/>
              </w:rPr>
            </w:pPr>
          </w:p>
        </w:tc>
        <w:tc>
          <w:tcPr>
            <w:tcW w:w="2330" w:type="pct"/>
          </w:tcPr>
          <w:p w:rsidR="00A518DE" w:rsidRPr="00BE6616" w:rsidRDefault="00A518DE" w:rsidP="002E3508">
            <w:pPr>
              <w:jc w:val="both"/>
              <w:rPr>
                <w:rFonts w:eastAsia="Calibri"/>
                <w:sz w:val="20"/>
                <w:lang w:val="fr-CA"/>
              </w:rPr>
            </w:pPr>
            <w:r w:rsidRPr="00BE6616">
              <w:rPr>
                <w:rFonts w:eastAsia="Calibri"/>
                <w:sz w:val="20"/>
                <w:lang w:val="fr-CA"/>
              </w:rPr>
              <w:t>Recours de la demanderesse contre l’entrepreneur rejeté pour absence de compétence et renvoyé à l’arbitrage; recours de la demanderesse contre la caution, intimée, rejeté pour absence d’avis préalable.</w:t>
            </w:r>
          </w:p>
          <w:p w:rsidR="00A518DE" w:rsidRPr="00BE6616" w:rsidRDefault="00A518DE" w:rsidP="002E3508">
            <w:pPr>
              <w:jc w:val="both"/>
              <w:rPr>
                <w:rFonts w:eastAsia="Calibri"/>
                <w:sz w:val="20"/>
                <w:lang w:val="fr-CA"/>
              </w:rPr>
            </w:pPr>
          </w:p>
        </w:tc>
      </w:tr>
      <w:tr w:rsidR="00A518DE" w:rsidRPr="00BE6616" w:rsidTr="002E3508">
        <w:tc>
          <w:tcPr>
            <w:tcW w:w="2427" w:type="pct"/>
          </w:tcPr>
          <w:p w:rsidR="00A518DE" w:rsidRPr="00BE6616" w:rsidRDefault="00A518DE" w:rsidP="002E3508">
            <w:pPr>
              <w:jc w:val="both"/>
              <w:rPr>
                <w:rFonts w:eastAsia="Calibri"/>
                <w:sz w:val="20"/>
                <w:lang w:val="fr-CA"/>
              </w:rPr>
            </w:pPr>
            <w:r w:rsidRPr="00BE6616">
              <w:rPr>
                <w:rFonts w:eastAsia="Calibri"/>
                <w:sz w:val="20"/>
                <w:lang w:val="fr-CA"/>
              </w:rPr>
              <w:t>Le 11 mars 2011</w:t>
            </w:r>
          </w:p>
          <w:p w:rsidR="00A518DE" w:rsidRPr="00BE6616" w:rsidRDefault="00A518DE" w:rsidP="002E3508">
            <w:pPr>
              <w:jc w:val="both"/>
              <w:rPr>
                <w:rFonts w:eastAsia="Calibri"/>
                <w:sz w:val="20"/>
                <w:lang w:val="fr-CA"/>
              </w:rPr>
            </w:pPr>
            <w:r w:rsidRPr="00BE6616">
              <w:rPr>
                <w:rFonts w:eastAsia="Calibri"/>
                <w:sz w:val="20"/>
                <w:lang w:val="fr-CA"/>
              </w:rPr>
              <w:t>Cour d’appel du Québec (Montréal)</w:t>
            </w:r>
          </w:p>
          <w:p w:rsidR="00A518DE" w:rsidRPr="00BE6616" w:rsidRDefault="00A518DE" w:rsidP="002E3508">
            <w:pPr>
              <w:jc w:val="both"/>
              <w:rPr>
                <w:rFonts w:eastAsia="Calibri"/>
                <w:sz w:val="20"/>
                <w:lang w:val="fr-CA"/>
              </w:rPr>
            </w:pPr>
            <w:r w:rsidRPr="00BE6616">
              <w:rPr>
                <w:rFonts w:eastAsia="Calibri"/>
                <w:sz w:val="20"/>
                <w:lang w:val="fr-CA"/>
              </w:rPr>
              <w:t>(Les juges Rochon, Doyon et Duval Hesler)</w:t>
            </w:r>
          </w:p>
          <w:p w:rsidR="00A518DE" w:rsidRPr="00BE6616" w:rsidRDefault="00A518DE" w:rsidP="002E3508">
            <w:pPr>
              <w:jc w:val="both"/>
              <w:rPr>
                <w:rFonts w:eastAsia="Calibri"/>
                <w:sz w:val="20"/>
                <w:lang w:val="fr-CA"/>
              </w:rPr>
            </w:pPr>
            <w:r w:rsidRPr="00BE6616">
              <w:rPr>
                <w:rFonts w:eastAsia="Calibri"/>
                <w:sz w:val="20"/>
                <w:lang w:val="fr-CA"/>
              </w:rPr>
              <w:t>Référence neutre : 2011 QCCA 536</w:t>
            </w:r>
          </w:p>
          <w:p w:rsidR="00A518DE" w:rsidRPr="00BE6616" w:rsidRDefault="00A518DE" w:rsidP="002E3508">
            <w:pPr>
              <w:jc w:val="both"/>
              <w:rPr>
                <w:rFonts w:eastAsia="Calibri"/>
                <w:sz w:val="20"/>
                <w:lang w:val="fr-FR"/>
              </w:rPr>
            </w:pPr>
          </w:p>
        </w:tc>
        <w:tc>
          <w:tcPr>
            <w:tcW w:w="243" w:type="pct"/>
          </w:tcPr>
          <w:p w:rsidR="00A518DE" w:rsidRPr="00BE6616" w:rsidRDefault="00A518DE" w:rsidP="002E3508">
            <w:pPr>
              <w:jc w:val="both"/>
              <w:rPr>
                <w:rFonts w:eastAsia="Calibri"/>
                <w:sz w:val="20"/>
                <w:lang w:val="fr-FR"/>
              </w:rPr>
            </w:pPr>
          </w:p>
        </w:tc>
        <w:tc>
          <w:tcPr>
            <w:tcW w:w="2330" w:type="pct"/>
          </w:tcPr>
          <w:p w:rsidR="00A518DE" w:rsidRPr="00BE6616" w:rsidRDefault="00A518DE" w:rsidP="002E3508">
            <w:pPr>
              <w:jc w:val="both"/>
              <w:rPr>
                <w:rFonts w:eastAsia="Calibri"/>
                <w:sz w:val="20"/>
                <w:lang w:val="fr-CA"/>
              </w:rPr>
            </w:pPr>
            <w:r w:rsidRPr="00BE6616">
              <w:rPr>
                <w:rFonts w:eastAsia="Calibri"/>
                <w:sz w:val="20"/>
                <w:lang w:val="fr-CA"/>
              </w:rPr>
              <w:t>Appel rejeté.</w:t>
            </w:r>
          </w:p>
        </w:tc>
      </w:tr>
      <w:tr w:rsidR="00A518DE" w:rsidRPr="00BE6616" w:rsidTr="002E3508">
        <w:tc>
          <w:tcPr>
            <w:tcW w:w="2427" w:type="pct"/>
          </w:tcPr>
          <w:p w:rsidR="00A518DE" w:rsidRPr="00BE6616" w:rsidRDefault="00A518DE" w:rsidP="002E3508">
            <w:pPr>
              <w:jc w:val="both"/>
              <w:rPr>
                <w:rFonts w:eastAsia="Calibri"/>
                <w:sz w:val="20"/>
                <w:lang w:val="fr-CA"/>
              </w:rPr>
            </w:pPr>
            <w:r w:rsidRPr="00BE6616">
              <w:rPr>
                <w:rFonts w:eastAsia="Calibri"/>
                <w:sz w:val="20"/>
                <w:lang w:val="fr-CA"/>
              </w:rPr>
              <w:t>Le 10 mai 2011</w:t>
            </w:r>
          </w:p>
          <w:p w:rsidR="00A518DE" w:rsidRPr="00BE6616" w:rsidRDefault="00A518DE" w:rsidP="00A518DE">
            <w:pPr>
              <w:jc w:val="both"/>
              <w:rPr>
                <w:rFonts w:eastAsia="Calibri"/>
                <w:sz w:val="20"/>
                <w:lang w:val="fr-FR"/>
              </w:rPr>
            </w:pPr>
            <w:r w:rsidRPr="00BE6616">
              <w:rPr>
                <w:rFonts w:eastAsia="Calibri"/>
                <w:sz w:val="20"/>
                <w:lang w:val="fr-CA"/>
              </w:rPr>
              <w:t>Cour suprême du Canada</w:t>
            </w:r>
          </w:p>
        </w:tc>
        <w:tc>
          <w:tcPr>
            <w:tcW w:w="243" w:type="pct"/>
          </w:tcPr>
          <w:p w:rsidR="00A518DE" w:rsidRPr="00BE6616" w:rsidRDefault="00A518DE" w:rsidP="002E3508">
            <w:pPr>
              <w:jc w:val="both"/>
              <w:rPr>
                <w:rFonts w:eastAsia="Calibri"/>
                <w:sz w:val="20"/>
                <w:lang w:val="fr-FR"/>
              </w:rPr>
            </w:pPr>
          </w:p>
        </w:tc>
        <w:tc>
          <w:tcPr>
            <w:tcW w:w="2330" w:type="pct"/>
          </w:tcPr>
          <w:p w:rsidR="00A518DE" w:rsidRPr="00BE6616" w:rsidRDefault="00A518DE" w:rsidP="002E3508">
            <w:pPr>
              <w:jc w:val="both"/>
              <w:rPr>
                <w:rFonts w:eastAsia="Calibri"/>
                <w:sz w:val="20"/>
                <w:lang w:val="fr-CA"/>
              </w:rPr>
            </w:pPr>
            <w:r w:rsidRPr="00BE6616">
              <w:rPr>
                <w:rFonts w:eastAsia="Calibri"/>
                <w:sz w:val="20"/>
                <w:lang w:val="fr-CA"/>
              </w:rPr>
              <w:t>Demande d'autorisation d'appel déposée.</w:t>
            </w:r>
          </w:p>
          <w:p w:rsidR="00A518DE" w:rsidRPr="00BE6616" w:rsidRDefault="00A518DE" w:rsidP="002E350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70"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E78C6" w:rsidRPr="002E78C6" w:rsidTr="0087505F">
        <w:trPr>
          <w:cantSplit/>
        </w:trPr>
        <w:tc>
          <w:tcPr>
            <w:tcW w:w="1458" w:type="dxa"/>
          </w:tcPr>
          <w:p w:rsidR="002E78C6" w:rsidRPr="002E78C6" w:rsidRDefault="002E78C6" w:rsidP="0087505F">
            <w:pPr>
              <w:rPr>
                <w:sz w:val="20"/>
                <w:szCs w:val="20"/>
              </w:rPr>
            </w:pPr>
            <w:r w:rsidRPr="002E78C6">
              <w:rPr>
                <w:rStyle w:val="SCCFileNumberChar"/>
                <w:sz w:val="20"/>
                <w:szCs w:val="20"/>
              </w:rPr>
              <w:t>34252</w:t>
            </w:r>
          </w:p>
          <w:p w:rsidR="002E78C6" w:rsidRPr="002E78C6" w:rsidRDefault="002E78C6" w:rsidP="0087505F">
            <w:pPr>
              <w:rPr>
                <w:b/>
                <w:sz w:val="20"/>
                <w:szCs w:val="20"/>
                <w:lang w:val="fr-CA"/>
              </w:rPr>
            </w:pPr>
          </w:p>
        </w:tc>
        <w:tc>
          <w:tcPr>
            <w:tcW w:w="8118" w:type="dxa"/>
          </w:tcPr>
          <w:p w:rsidR="002E78C6" w:rsidRPr="002E78C6" w:rsidRDefault="002E78C6" w:rsidP="0087505F">
            <w:pPr>
              <w:rPr>
                <w:sz w:val="20"/>
                <w:szCs w:val="20"/>
              </w:rPr>
            </w:pPr>
            <w:r w:rsidRPr="002E78C6">
              <w:rPr>
                <w:rStyle w:val="SCCLsocChar"/>
                <w:sz w:val="20"/>
                <w:szCs w:val="20"/>
                <w:lang w:val="en-CA"/>
              </w:rPr>
              <w:t>Telus Communications Company v. Her Majesty the Queen</w:t>
            </w:r>
            <w:r w:rsidRPr="002E78C6">
              <w:rPr>
                <w:sz w:val="20"/>
                <w:szCs w:val="20"/>
              </w:rPr>
              <w:t xml:space="preserve"> (Ont.) (Criminal) (By Leave)</w:t>
            </w:r>
          </w:p>
          <w:p w:rsidR="002E78C6" w:rsidRPr="002E78C6" w:rsidRDefault="002E78C6" w:rsidP="0087505F">
            <w:pPr>
              <w:rPr>
                <w:sz w:val="20"/>
                <w:szCs w:val="20"/>
              </w:rPr>
            </w:pPr>
          </w:p>
        </w:tc>
      </w:tr>
      <w:tr w:rsidR="002E78C6" w:rsidRPr="002E78C6" w:rsidTr="0087505F">
        <w:trPr>
          <w:cantSplit/>
        </w:trPr>
        <w:tc>
          <w:tcPr>
            <w:tcW w:w="1458" w:type="dxa"/>
          </w:tcPr>
          <w:p w:rsidR="002E78C6" w:rsidRPr="002E78C6" w:rsidRDefault="002E78C6" w:rsidP="0087505F">
            <w:pPr>
              <w:rPr>
                <w:sz w:val="20"/>
                <w:szCs w:val="20"/>
              </w:rPr>
            </w:pPr>
            <w:r w:rsidRPr="002E78C6">
              <w:rPr>
                <w:sz w:val="20"/>
                <w:szCs w:val="20"/>
              </w:rPr>
              <w:t>Coram :</w:t>
            </w:r>
          </w:p>
        </w:tc>
        <w:tc>
          <w:tcPr>
            <w:tcW w:w="8118" w:type="dxa"/>
          </w:tcPr>
          <w:p w:rsidR="002E78C6" w:rsidRPr="002E78C6" w:rsidRDefault="002E78C6" w:rsidP="0087505F">
            <w:pPr>
              <w:rPr>
                <w:sz w:val="20"/>
                <w:szCs w:val="20"/>
              </w:rPr>
            </w:pPr>
            <w:r w:rsidRPr="002E78C6">
              <w:rPr>
                <w:rStyle w:val="SCCCoramChar"/>
                <w:sz w:val="20"/>
                <w:szCs w:val="20"/>
              </w:rPr>
              <w:t>Binnie, Abella and Rothstein JJ.</w:t>
            </w:r>
          </w:p>
          <w:p w:rsidR="002E78C6" w:rsidRPr="002E78C6" w:rsidRDefault="002E78C6" w:rsidP="0087505F">
            <w:pPr>
              <w:rPr>
                <w:sz w:val="20"/>
                <w:szCs w:val="20"/>
                <w:u w:val="single"/>
              </w:rPr>
            </w:pPr>
          </w:p>
        </w:tc>
      </w:tr>
      <w:tr w:rsidR="002E78C6" w:rsidRPr="00682661" w:rsidTr="0087505F">
        <w:trPr>
          <w:cantSplit/>
        </w:trPr>
        <w:tc>
          <w:tcPr>
            <w:tcW w:w="9576" w:type="dxa"/>
            <w:gridSpan w:val="2"/>
          </w:tcPr>
          <w:p w:rsidR="002E78C6" w:rsidRPr="002E78C6" w:rsidRDefault="002E78C6" w:rsidP="0087505F">
            <w:pPr>
              <w:pStyle w:val="SCCShortJudgment"/>
              <w:rPr>
                <w:szCs w:val="20"/>
              </w:rPr>
            </w:pPr>
            <w:r w:rsidRPr="002E78C6">
              <w:rPr>
                <w:szCs w:val="20"/>
              </w:rPr>
              <w:t>The motion for an extension of time to serve and file the application for leave to appeal is granted.  The application for leave to appeal from the judgment of the Ontario Superior Court of Justice, Number CR 10-152-00MO, 2011 ONSC 1143, dated March 4, 2011, is granted without costs.</w:t>
            </w:r>
          </w:p>
          <w:p w:rsidR="002E78C6" w:rsidRPr="002E78C6" w:rsidRDefault="002E78C6" w:rsidP="0087505F">
            <w:pPr>
              <w:pStyle w:val="SCCShortJudgment"/>
              <w:ind w:firstLine="0"/>
              <w:rPr>
                <w:szCs w:val="20"/>
              </w:rPr>
            </w:pPr>
          </w:p>
          <w:p w:rsidR="002E78C6" w:rsidRPr="002E78C6" w:rsidRDefault="002E78C6" w:rsidP="0087505F">
            <w:pPr>
              <w:pStyle w:val="SCCShortJudgment"/>
              <w:rPr>
                <w:szCs w:val="20"/>
                <w:lang w:val="fr-CA"/>
              </w:rPr>
            </w:pPr>
            <w:r w:rsidRPr="002E78C6">
              <w:rPr>
                <w:szCs w:val="20"/>
                <w:lang w:val="fr-CA"/>
              </w:rPr>
              <w:t xml:space="preserve">La requête en prorogation du délai de signification et de dépôt de la demande d’autorisation d’appel est accordée.  La demande d’autorisation d’appel du jugement de la Cour supérieure de justice de l’Ontario, numéro CR 10-152-00MO, 2011 ONSC 1143, daté du 4 mars 2011, est accordée sans dépens. </w:t>
            </w:r>
          </w:p>
        </w:tc>
      </w:tr>
    </w:tbl>
    <w:p w:rsidR="007B50F9" w:rsidRPr="002E78C6" w:rsidRDefault="007B50F9" w:rsidP="007B50F9">
      <w:pPr>
        <w:rPr>
          <w:sz w:val="20"/>
          <w:szCs w:val="20"/>
          <w:lang w:val="fr-CA"/>
        </w:rPr>
      </w:pPr>
    </w:p>
    <w:p w:rsidR="007B50F9" w:rsidRPr="007B50F9" w:rsidRDefault="007B50F9" w:rsidP="007B50F9">
      <w:pPr>
        <w:rPr>
          <w:sz w:val="20"/>
          <w:szCs w:val="20"/>
        </w:rPr>
      </w:pPr>
      <w:r>
        <w:rPr>
          <w:sz w:val="20"/>
          <w:szCs w:val="20"/>
          <w:u w:val="single"/>
        </w:rPr>
        <w:lastRenderedPageBreak/>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C23C85" w:rsidRPr="00BE6616" w:rsidTr="002E3508">
        <w:tc>
          <w:tcPr>
            <w:tcW w:w="5000" w:type="pct"/>
            <w:gridSpan w:val="3"/>
          </w:tcPr>
          <w:p w:rsidR="00C23C85" w:rsidRPr="00BE6616" w:rsidRDefault="00C23C85" w:rsidP="002E3508">
            <w:pPr>
              <w:jc w:val="both"/>
              <w:rPr>
                <w:rFonts w:eastAsia="Calibri"/>
                <w:sz w:val="20"/>
              </w:rPr>
            </w:pPr>
            <w:r w:rsidRPr="00BE6616">
              <w:rPr>
                <w:rFonts w:eastAsia="Calibri"/>
                <w:sz w:val="20"/>
              </w:rPr>
              <w:t xml:space="preserve">Criminal Law — Pre-trial procedure — General Warrant and Assistance Orders — Whether search and seizure authorized by a General Warrant and Assistance Order could be authorized by ss. 487.01 and 487.02 of the </w:t>
            </w:r>
            <w:r w:rsidRPr="00BE6616">
              <w:rPr>
                <w:rFonts w:eastAsia="Calibri"/>
                <w:i/>
                <w:sz w:val="20"/>
              </w:rPr>
              <w:t>Criminal Code</w:t>
            </w:r>
            <w:r w:rsidRPr="00BE6616">
              <w:rPr>
                <w:rFonts w:eastAsia="Calibri"/>
                <w:sz w:val="20"/>
              </w:rPr>
              <w:t xml:space="preserve"> — Interpretation of ‘intercept’ in s. 183 of the </w:t>
            </w:r>
            <w:r w:rsidRPr="00BE6616">
              <w:rPr>
                <w:rFonts w:eastAsia="Calibri"/>
                <w:i/>
                <w:sz w:val="20"/>
              </w:rPr>
              <w:t>Criminal Code</w:t>
            </w:r>
            <w:r w:rsidRPr="00BE6616">
              <w:rPr>
                <w:rFonts w:eastAsia="Calibri"/>
                <w:sz w:val="20"/>
              </w:rPr>
              <w:t xml:space="preserve"> — Interplay between search powers in the </w:t>
            </w:r>
            <w:r w:rsidRPr="00BE6616">
              <w:rPr>
                <w:rFonts w:eastAsia="Calibri"/>
                <w:i/>
                <w:sz w:val="20"/>
              </w:rPr>
              <w:t>Criminal Code</w:t>
            </w:r>
            <w:r w:rsidRPr="00BE6616">
              <w:rPr>
                <w:rFonts w:eastAsia="Calibri"/>
                <w:sz w:val="20"/>
              </w:rPr>
              <w:t xml:space="preserve"> and privacy interests in text based electronic communications. </w:t>
            </w:r>
          </w:p>
        </w:tc>
      </w:tr>
      <w:tr w:rsidR="00C23C85" w:rsidRPr="00BE6616" w:rsidTr="002E3508">
        <w:tc>
          <w:tcPr>
            <w:tcW w:w="5000" w:type="pct"/>
            <w:gridSpan w:val="3"/>
          </w:tcPr>
          <w:p w:rsidR="00C23C85" w:rsidRPr="00BE6616" w:rsidRDefault="00C23C85" w:rsidP="002E3508">
            <w:pPr>
              <w:jc w:val="both"/>
              <w:rPr>
                <w:rFonts w:eastAsia="Calibri"/>
                <w:sz w:val="20"/>
              </w:rPr>
            </w:pPr>
          </w:p>
        </w:tc>
      </w:tr>
      <w:tr w:rsidR="00C23C85" w:rsidRPr="00BE6616" w:rsidTr="002E3508">
        <w:tc>
          <w:tcPr>
            <w:tcW w:w="5000" w:type="pct"/>
            <w:gridSpan w:val="3"/>
          </w:tcPr>
          <w:p w:rsidR="00C23C85" w:rsidRPr="00BE6616" w:rsidRDefault="00C23C85" w:rsidP="002E3508">
            <w:pPr>
              <w:jc w:val="both"/>
              <w:rPr>
                <w:rFonts w:eastAsia="Calibri"/>
                <w:sz w:val="20"/>
              </w:rPr>
            </w:pPr>
            <w:r w:rsidRPr="00BE6616">
              <w:rPr>
                <w:rFonts w:eastAsia="Calibri"/>
                <w:sz w:val="20"/>
              </w:rPr>
              <w:t xml:space="preserve">The applicant seeks to have a General Warrant and Assistance Order quashed.  The General Warrant obliges the applicant to produce copies of all text messages sent and received by two of its subscribers over fourteen days and related subscriber information.  The applicant routinely creates copies of all text messages that are sent and received by any of its subscribers and it stores these copies in a database, usually for thirty days.  The copies are not intended to be transmitted.  Nor are they created and stored for a purpose related to transmitting the original text messages.  The police did not act pursuant to an authorization to intercept private communications.  With the Crown’s consent, the motions judge rescinded part of the General Warrant that required production of text messages sent or received before the date on which the General Warrant was issued.  He otherwise upheld the General Warrant.  </w:t>
            </w:r>
          </w:p>
          <w:p w:rsidR="00C23C85" w:rsidRPr="00BE6616" w:rsidRDefault="00C23C85" w:rsidP="002E3508">
            <w:pPr>
              <w:jc w:val="both"/>
              <w:rPr>
                <w:rFonts w:eastAsia="Calibri"/>
                <w:sz w:val="20"/>
              </w:rPr>
            </w:pPr>
          </w:p>
        </w:tc>
      </w:tr>
      <w:tr w:rsidR="00C23C85" w:rsidRPr="00BE6616" w:rsidTr="002E3508">
        <w:tblPrEx>
          <w:tblCellMar>
            <w:bottom w:w="0" w:type="dxa"/>
          </w:tblCellMar>
        </w:tblPrEx>
        <w:tc>
          <w:tcPr>
            <w:tcW w:w="2390" w:type="pct"/>
          </w:tcPr>
          <w:p w:rsidR="00C23C85" w:rsidRPr="00BE6616" w:rsidRDefault="00C23C85" w:rsidP="002E3508">
            <w:pPr>
              <w:jc w:val="both"/>
              <w:rPr>
                <w:rFonts w:eastAsia="Calibri"/>
                <w:sz w:val="20"/>
              </w:rPr>
            </w:pPr>
            <w:r w:rsidRPr="00BE6616">
              <w:rPr>
                <w:rFonts w:eastAsia="Calibri"/>
                <w:sz w:val="20"/>
              </w:rPr>
              <w:t>March 4, 2011</w:t>
            </w:r>
          </w:p>
          <w:p w:rsidR="00C23C85" w:rsidRPr="00BE6616" w:rsidRDefault="00C23C85" w:rsidP="002E3508">
            <w:pPr>
              <w:jc w:val="both"/>
              <w:rPr>
                <w:rFonts w:eastAsia="Calibri"/>
                <w:sz w:val="20"/>
              </w:rPr>
            </w:pPr>
            <w:r w:rsidRPr="00BE6616">
              <w:rPr>
                <w:rFonts w:eastAsia="Calibri"/>
                <w:sz w:val="20"/>
              </w:rPr>
              <w:t>Ontario Superior Court of Justice</w:t>
            </w:r>
          </w:p>
          <w:p w:rsidR="00C23C85" w:rsidRPr="00BE6616" w:rsidRDefault="00C23C85" w:rsidP="002E3508">
            <w:pPr>
              <w:jc w:val="both"/>
              <w:rPr>
                <w:rFonts w:eastAsia="Calibri"/>
                <w:sz w:val="20"/>
              </w:rPr>
            </w:pPr>
            <w:r w:rsidRPr="00BE6616">
              <w:rPr>
                <w:rFonts w:eastAsia="Calibri"/>
                <w:sz w:val="20"/>
              </w:rPr>
              <w:t xml:space="preserve">(Sproat J.) </w:t>
            </w:r>
          </w:p>
          <w:p w:rsidR="00C23C85" w:rsidRPr="00BE6616" w:rsidRDefault="00C23C85" w:rsidP="002E3508">
            <w:pPr>
              <w:jc w:val="both"/>
              <w:rPr>
                <w:rFonts w:eastAsia="Calibri"/>
                <w:sz w:val="20"/>
              </w:rPr>
            </w:pPr>
            <w:r w:rsidRPr="00BE6616">
              <w:rPr>
                <w:rFonts w:eastAsia="Calibri"/>
                <w:sz w:val="20"/>
              </w:rPr>
              <w:t>2011 ONSC 1143</w:t>
            </w:r>
          </w:p>
          <w:p w:rsidR="00C23C85" w:rsidRPr="00BE6616" w:rsidRDefault="00C23C85" w:rsidP="002E3508">
            <w:pPr>
              <w:jc w:val="both"/>
              <w:rPr>
                <w:rFonts w:eastAsia="Calibri"/>
                <w:sz w:val="20"/>
              </w:rPr>
            </w:pPr>
            <w:r w:rsidRPr="00BE6616">
              <w:rPr>
                <w:rFonts w:eastAsia="Calibri"/>
                <w:sz w:val="20"/>
              </w:rPr>
              <w:t>Docket: 10.152 (Owen Sound)</w:t>
            </w:r>
          </w:p>
          <w:p w:rsidR="00C23C85" w:rsidRPr="00BE6616" w:rsidRDefault="00C23C85" w:rsidP="002E3508">
            <w:pPr>
              <w:jc w:val="both"/>
              <w:rPr>
                <w:rFonts w:eastAsia="Calibri"/>
                <w:sz w:val="20"/>
              </w:rPr>
            </w:pPr>
          </w:p>
        </w:tc>
        <w:tc>
          <w:tcPr>
            <w:tcW w:w="270" w:type="pct"/>
          </w:tcPr>
          <w:p w:rsidR="00C23C85" w:rsidRPr="00BE6616" w:rsidRDefault="00C23C85" w:rsidP="002E3508">
            <w:pPr>
              <w:jc w:val="both"/>
              <w:rPr>
                <w:rFonts w:eastAsia="Calibri"/>
                <w:sz w:val="20"/>
              </w:rPr>
            </w:pPr>
          </w:p>
        </w:tc>
        <w:tc>
          <w:tcPr>
            <w:tcW w:w="2340" w:type="pct"/>
          </w:tcPr>
          <w:p w:rsidR="00C23C85" w:rsidRPr="00BE6616" w:rsidRDefault="00C23C85" w:rsidP="002E3508">
            <w:pPr>
              <w:jc w:val="both"/>
              <w:rPr>
                <w:rFonts w:eastAsia="Calibri"/>
                <w:sz w:val="20"/>
              </w:rPr>
            </w:pPr>
            <w:r w:rsidRPr="00BE6616">
              <w:rPr>
                <w:rFonts w:eastAsia="Calibri"/>
                <w:sz w:val="20"/>
              </w:rPr>
              <w:t>Application to quash General Warrant and Assistance Order allowed in part, General Warrant partially rescinded</w:t>
            </w:r>
          </w:p>
          <w:p w:rsidR="00C23C85" w:rsidRPr="00BE6616" w:rsidRDefault="00C23C85" w:rsidP="002E3508">
            <w:pPr>
              <w:jc w:val="both"/>
              <w:rPr>
                <w:rFonts w:eastAsia="Calibri"/>
                <w:sz w:val="20"/>
              </w:rPr>
            </w:pPr>
          </w:p>
        </w:tc>
      </w:tr>
      <w:tr w:rsidR="00C23C85" w:rsidRPr="00BE6616" w:rsidTr="002E3508">
        <w:tblPrEx>
          <w:tblCellMar>
            <w:bottom w:w="0" w:type="dxa"/>
          </w:tblCellMar>
        </w:tblPrEx>
        <w:tc>
          <w:tcPr>
            <w:tcW w:w="2390" w:type="pct"/>
          </w:tcPr>
          <w:p w:rsidR="00C23C85" w:rsidRPr="00BE6616" w:rsidRDefault="00C23C85" w:rsidP="002E3508">
            <w:pPr>
              <w:jc w:val="both"/>
              <w:rPr>
                <w:rFonts w:eastAsia="Calibri"/>
                <w:sz w:val="20"/>
              </w:rPr>
            </w:pPr>
            <w:r w:rsidRPr="00BE6616">
              <w:rPr>
                <w:rFonts w:eastAsia="Calibri"/>
                <w:sz w:val="20"/>
              </w:rPr>
              <w:t>May 5, 2011</w:t>
            </w:r>
          </w:p>
          <w:p w:rsidR="00C23C85" w:rsidRPr="00BE6616" w:rsidRDefault="00C23C85" w:rsidP="002E3508">
            <w:pPr>
              <w:jc w:val="both"/>
              <w:rPr>
                <w:rFonts w:eastAsia="Calibri"/>
                <w:sz w:val="20"/>
              </w:rPr>
            </w:pPr>
            <w:r w:rsidRPr="00BE6616">
              <w:rPr>
                <w:rFonts w:eastAsia="Calibri"/>
                <w:sz w:val="20"/>
              </w:rPr>
              <w:t>Supreme Court of Canada</w:t>
            </w:r>
          </w:p>
        </w:tc>
        <w:tc>
          <w:tcPr>
            <w:tcW w:w="270" w:type="pct"/>
          </w:tcPr>
          <w:p w:rsidR="00C23C85" w:rsidRPr="00BE6616" w:rsidRDefault="00C23C85" w:rsidP="002E3508">
            <w:pPr>
              <w:jc w:val="both"/>
              <w:rPr>
                <w:rFonts w:eastAsia="Calibri"/>
                <w:sz w:val="20"/>
              </w:rPr>
            </w:pPr>
          </w:p>
        </w:tc>
        <w:tc>
          <w:tcPr>
            <w:tcW w:w="2340" w:type="pct"/>
          </w:tcPr>
          <w:p w:rsidR="00C23C85" w:rsidRPr="00BE6616" w:rsidRDefault="00C23C85" w:rsidP="002E3508">
            <w:pPr>
              <w:jc w:val="both"/>
              <w:rPr>
                <w:rFonts w:eastAsia="Calibri"/>
                <w:sz w:val="20"/>
              </w:rPr>
            </w:pPr>
            <w:r w:rsidRPr="00BE6616">
              <w:rPr>
                <w:rFonts w:eastAsia="Calibri"/>
                <w:sz w:val="20"/>
              </w:rPr>
              <w:t>Application for extension of time to apply for leave to appeal and Application for leave to appeal filed</w:t>
            </w: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71"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0A0"/>
      </w:tblPr>
      <w:tblGrid>
        <w:gridCol w:w="4554"/>
        <w:gridCol w:w="514"/>
        <w:gridCol w:w="4459"/>
      </w:tblGrid>
      <w:tr w:rsidR="00C23C85" w:rsidRPr="00FC7FF3" w:rsidTr="002E3508">
        <w:tc>
          <w:tcPr>
            <w:tcW w:w="5000" w:type="pct"/>
            <w:gridSpan w:val="3"/>
          </w:tcPr>
          <w:p w:rsidR="00C23C85" w:rsidRPr="00BE6616" w:rsidRDefault="00C23C85" w:rsidP="002E3508">
            <w:pPr>
              <w:jc w:val="both"/>
              <w:rPr>
                <w:sz w:val="20"/>
                <w:lang w:val="fr-CA"/>
              </w:rPr>
            </w:pPr>
            <w:r w:rsidRPr="00BE6616">
              <w:rPr>
                <w:sz w:val="20"/>
                <w:lang w:val="fr-CA"/>
              </w:rPr>
              <w:t>Droit criminel — Procédure préliminaire — Mandat général et ordonnances d’assistance — La fouille, la perquisition et la saisie autorisées par un mandat général et une ordonnance d’assistance peuvent</w:t>
            </w:r>
            <w:r w:rsidRPr="00BE6616">
              <w:rPr>
                <w:sz w:val="20"/>
                <w:lang w:val="fr-CA"/>
              </w:rPr>
              <w:noBreakHyphen/>
              <w:t xml:space="preserve">elles être autorisées aux termes des </w:t>
            </w:r>
            <w:proofErr w:type="gramStart"/>
            <w:r w:rsidRPr="00BE6616">
              <w:rPr>
                <w:sz w:val="20"/>
                <w:lang w:val="fr-CA"/>
              </w:rPr>
              <w:t>art</w:t>
            </w:r>
            <w:proofErr w:type="gramEnd"/>
            <w:r w:rsidRPr="00BE6616">
              <w:rPr>
                <w:sz w:val="20"/>
                <w:lang w:val="fr-CA"/>
              </w:rPr>
              <w:t>. 487.01 et 487.02 du</w:t>
            </w:r>
            <w:r w:rsidRPr="00BE6616">
              <w:rPr>
                <w:i/>
                <w:sz w:val="20"/>
                <w:lang w:val="fr-CA"/>
              </w:rPr>
              <w:t xml:space="preserve"> Code criminel</w:t>
            </w:r>
            <w:r w:rsidRPr="00BE6616">
              <w:rPr>
                <w:sz w:val="20"/>
                <w:lang w:val="fr-CA"/>
              </w:rPr>
              <w:t>?</w:t>
            </w:r>
            <w:r w:rsidRPr="00BE6616">
              <w:rPr>
                <w:i/>
                <w:sz w:val="20"/>
                <w:lang w:val="fr-CA"/>
              </w:rPr>
              <w:t xml:space="preserve"> </w:t>
            </w:r>
            <w:r w:rsidRPr="00BE6616">
              <w:rPr>
                <w:sz w:val="20"/>
                <w:lang w:val="fr-CA"/>
              </w:rPr>
              <w:t>— Interprétation du mot « intercepter » à l’art. 183 du</w:t>
            </w:r>
            <w:r w:rsidRPr="00BE6616">
              <w:rPr>
                <w:i/>
                <w:sz w:val="20"/>
                <w:lang w:val="fr-CA"/>
              </w:rPr>
              <w:t xml:space="preserve"> Code criminel </w:t>
            </w:r>
            <w:r w:rsidRPr="00BE6616">
              <w:rPr>
                <w:sz w:val="20"/>
                <w:lang w:val="fr-CA"/>
              </w:rPr>
              <w:t>— Interaction entre les pouvoirs de fouille et de perquisition prévus au</w:t>
            </w:r>
            <w:r w:rsidRPr="00BE6616">
              <w:rPr>
                <w:i/>
                <w:sz w:val="20"/>
                <w:lang w:val="fr-CA"/>
              </w:rPr>
              <w:t xml:space="preserve"> Code criminel</w:t>
            </w:r>
            <w:r w:rsidRPr="00BE6616">
              <w:rPr>
                <w:sz w:val="20"/>
                <w:lang w:val="fr-CA"/>
              </w:rPr>
              <w:t xml:space="preserve"> et le droit à la protection des renseignements personnels dans des communications textuelles par voie électronique. </w:t>
            </w:r>
          </w:p>
        </w:tc>
      </w:tr>
      <w:tr w:rsidR="00C23C85" w:rsidRPr="00FC7FF3" w:rsidTr="002E3508">
        <w:tc>
          <w:tcPr>
            <w:tcW w:w="5000" w:type="pct"/>
            <w:gridSpan w:val="3"/>
          </w:tcPr>
          <w:p w:rsidR="00C23C85" w:rsidRPr="00BE6616" w:rsidRDefault="00C23C85" w:rsidP="002E3508">
            <w:pPr>
              <w:jc w:val="both"/>
              <w:rPr>
                <w:sz w:val="20"/>
                <w:lang w:val="fr-CA"/>
              </w:rPr>
            </w:pPr>
          </w:p>
        </w:tc>
      </w:tr>
      <w:tr w:rsidR="00C23C85" w:rsidRPr="00BE6616" w:rsidTr="002E3508">
        <w:tc>
          <w:tcPr>
            <w:tcW w:w="5000" w:type="pct"/>
            <w:gridSpan w:val="3"/>
          </w:tcPr>
          <w:p w:rsidR="00C23C85" w:rsidRPr="00BE6616" w:rsidRDefault="00C23C85" w:rsidP="002E3508">
            <w:pPr>
              <w:jc w:val="both"/>
              <w:rPr>
                <w:sz w:val="20"/>
                <w:lang w:val="fr-CA"/>
              </w:rPr>
            </w:pPr>
            <w:r w:rsidRPr="00BE6616">
              <w:rPr>
                <w:sz w:val="20"/>
                <w:lang w:val="fr-CA"/>
              </w:rPr>
              <w:t>La demanderesse sollicite l’annulation d’un mandat général et d’une ordonnance d’assistance.  Le mandat général oblige la demanderesse à produire des copies de tous les messages textes envoyés et reçus par deux de ses abonnés sur une période de quatorze jours et des renseignements connexes sur l’abonné.  La demanderesse crée habituellement des copies de tous les messages textes qui sont envoyés et reçus par ses abonnés et elle conserve ces copies dans une base de données, généralement pour une période de 30 jours.  Les copies ne sont pas destinées à être transmises.  Elles ne sont pas non plus créées et stockées dans un but lié à la transmission des messages textes originaux.  Les policiers n’ont pas agi conformément à une autorisation d’intercepter des communications privées.  Avec le consentement du ministère public, le juge de première instance a annulé une partie du mandat général qui obligeait la production de messages textes envoyés ou reçus avant la date à laquelle le mandat général a été décerné.  Il a confirmé par ailleurs le mandat général.</w:t>
            </w:r>
          </w:p>
          <w:p w:rsidR="00C23C85" w:rsidRPr="00BE6616" w:rsidRDefault="00C23C85" w:rsidP="002E3508">
            <w:pPr>
              <w:jc w:val="both"/>
              <w:rPr>
                <w:sz w:val="20"/>
                <w:lang w:val="fr-CA"/>
              </w:rPr>
            </w:pPr>
          </w:p>
        </w:tc>
      </w:tr>
      <w:tr w:rsidR="00C23C85" w:rsidRPr="00682661" w:rsidTr="002E3508">
        <w:tblPrEx>
          <w:tblCellMar>
            <w:bottom w:w="0" w:type="dxa"/>
          </w:tblCellMar>
        </w:tblPrEx>
        <w:tc>
          <w:tcPr>
            <w:tcW w:w="2390" w:type="pct"/>
          </w:tcPr>
          <w:p w:rsidR="00C23C85" w:rsidRPr="00BE6616" w:rsidRDefault="00C23C85" w:rsidP="002E3508">
            <w:pPr>
              <w:rPr>
                <w:sz w:val="20"/>
                <w:lang w:val="fr-CA"/>
              </w:rPr>
            </w:pPr>
            <w:r w:rsidRPr="00BE6616">
              <w:rPr>
                <w:sz w:val="20"/>
                <w:lang w:val="fr-CA"/>
              </w:rPr>
              <w:t>4 mars 2011</w:t>
            </w:r>
          </w:p>
          <w:p w:rsidR="00C23C85" w:rsidRPr="00BE6616" w:rsidRDefault="00C23C85" w:rsidP="002E3508">
            <w:pPr>
              <w:rPr>
                <w:sz w:val="20"/>
                <w:lang w:val="fr-CA"/>
              </w:rPr>
            </w:pPr>
            <w:r w:rsidRPr="00BE6616">
              <w:rPr>
                <w:sz w:val="20"/>
                <w:lang w:val="fr-CA"/>
              </w:rPr>
              <w:t xml:space="preserve">Cour supérieure de justice de l’Ontario </w:t>
            </w:r>
          </w:p>
          <w:p w:rsidR="00C23C85" w:rsidRPr="00BE6616" w:rsidRDefault="00C23C85" w:rsidP="002E3508">
            <w:pPr>
              <w:rPr>
                <w:sz w:val="20"/>
              </w:rPr>
            </w:pPr>
            <w:r w:rsidRPr="00BE6616">
              <w:rPr>
                <w:sz w:val="20"/>
              </w:rPr>
              <w:t xml:space="preserve">(Juge Sproat) </w:t>
            </w:r>
          </w:p>
          <w:p w:rsidR="00C23C85" w:rsidRPr="00BE6616" w:rsidRDefault="00C23C85" w:rsidP="002E3508">
            <w:pPr>
              <w:rPr>
                <w:sz w:val="20"/>
              </w:rPr>
            </w:pPr>
            <w:r w:rsidRPr="00BE6616">
              <w:rPr>
                <w:sz w:val="20"/>
              </w:rPr>
              <w:t>2011 ONSC 1143</w:t>
            </w:r>
          </w:p>
          <w:p w:rsidR="00C23C85" w:rsidRPr="00BE6616" w:rsidRDefault="00C23C85" w:rsidP="002E3508">
            <w:pPr>
              <w:rPr>
                <w:sz w:val="20"/>
              </w:rPr>
            </w:pPr>
            <w:r w:rsidRPr="00BE6616">
              <w:rPr>
                <w:sz w:val="20"/>
              </w:rPr>
              <w:t>N</w:t>
            </w:r>
            <w:r w:rsidRPr="00BE6616">
              <w:rPr>
                <w:sz w:val="20"/>
                <w:vertAlign w:val="superscript"/>
              </w:rPr>
              <w:t>o</w:t>
            </w:r>
            <w:r w:rsidRPr="00BE6616">
              <w:rPr>
                <w:sz w:val="20"/>
              </w:rPr>
              <w:t xml:space="preserve"> du greffe : 10.152 (Owen Sound)</w:t>
            </w:r>
          </w:p>
          <w:p w:rsidR="00C23C85" w:rsidRPr="00BE6616" w:rsidRDefault="00C23C85" w:rsidP="002E3508">
            <w:pPr>
              <w:rPr>
                <w:sz w:val="20"/>
              </w:rPr>
            </w:pPr>
          </w:p>
        </w:tc>
        <w:tc>
          <w:tcPr>
            <w:tcW w:w="270" w:type="pct"/>
          </w:tcPr>
          <w:p w:rsidR="00C23C85" w:rsidRPr="00BE6616" w:rsidRDefault="00C23C85" w:rsidP="002E3508">
            <w:pPr>
              <w:rPr>
                <w:sz w:val="20"/>
              </w:rPr>
            </w:pPr>
          </w:p>
        </w:tc>
        <w:tc>
          <w:tcPr>
            <w:tcW w:w="2340" w:type="pct"/>
          </w:tcPr>
          <w:p w:rsidR="00C23C85" w:rsidRPr="00BE6616" w:rsidRDefault="00C23C85" w:rsidP="002E3508">
            <w:pPr>
              <w:jc w:val="both"/>
              <w:rPr>
                <w:sz w:val="20"/>
                <w:lang w:val="fr-CA"/>
              </w:rPr>
            </w:pPr>
            <w:r w:rsidRPr="00BE6616">
              <w:rPr>
                <w:sz w:val="20"/>
                <w:lang w:val="fr-CA"/>
              </w:rPr>
              <w:t>Demande d’annulation du mandat général et de l’ordonnance d’assistance, accueillie en partie, mandat général annulé en partie</w:t>
            </w:r>
          </w:p>
          <w:p w:rsidR="00C23C85" w:rsidRPr="00BE6616" w:rsidRDefault="00C23C85" w:rsidP="002E3508">
            <w:pPr>
              <w:rPr>
                <w:sz w:val="20"/>
                <w:lang w:val="fr-CA"/>
              </w:rPr>
            </w:pPr>
          </w:p>
        </w:tc>
      </w:tr>
      <w:tr w:rsidR="00C23C85" w:rsidRPr="00682661" w:rsidTr="002E3508">
        <w:tblPrEx>
          <w:tblCellMar>
            <w:bottom w:w="0" w:type="dxa"/>
          </w:tblCellMar>
        </w:tblPrEx>
        <w:tc>
          <w:tcPr>
            <w:tcW w:w="2390" w:type="pct"/>
          </w:tcPr>
          <w:p w:rsidR="00C23C85" w:rsidRPr="00BE6616" w:rsidRDefault="00C23C85" w:rsidP="002E3508">
            <w:pPr>
              <w:rPr>
                <w:sz w:val="20"/>
                <w:lang w:val="fr-CA"/>
              </w:rPr>
            </w:pPr>
            <w:r w:rsidRPr="00BE6616">
              <w:rPr>
                <w:sz w:val="20"/>
                <w:lang w:val="fr-CA"/>
              </w:rPr>
              <w:lastRenderedPageBreak/>
              <w:t>5 mai 2011</w:t>
            </w:r>
          </w:p>
          <w:p w:rsidR="00C23C85" w:rsidRPr="00BE6616" w:rsidRDefault="00C23C85" w:rsidP="002E3508">
            <w:pPr>
              <w:rPr>
                <w:sz w:val="20"/>
                <w:lang w:val="fr-CA"/>
              </w:rPr>
            </w:pPr>
            <w:r w:rsidRPr="00BE6616">
              <w:rPr>
                <w:sz w:val="20"/>
                <w:lang w:val="fr-CA"/>
              </w:rPr>
              <w:t>Cour suprême du Canada</w:t>
            </w:r>
          </w:p>
        </w:tc>
        <w:tc>
          <w:tcPr>
            <w:tcW w:w="270" w:type="pct"/>
          </w:tcPr>
          <w:p w:rsidR="00C23C85" w:rsidRPr="00BE6616" w:rsidRDefault="00C23C85" w:rsidP="002E3508">
            <w:pPr>
              <w:rPr>
                <w:sz w:val="20"/>
                <w:lang w:val="fr-CA"/>
              </w:rPr>
            </w:pPr>
          </w:p>
        </w:tc>
        <w:tc>
          <w:tcPr>
            <w:tcW w:w="2340" w:type="pct"/>
          </w:tcPr>
          <w:p w:rsidR="00C23C85" w:rsidRPr="00BE6616" w:rsidRDefault="00C23C85" w:rsidP="002E3508">
            <w:pPr>
              <w:jc w:val="both"/>
              <w:rPr>
                <w:sz w:val="20"/>
                <w:lang w:val="fr-CA"/>
              </w:rPr>
            </w:pPr>
            <w:r w:rsidRPr="00BE6616">
              <w:rPr>
                <w:sz w:val="20"/>
                <w:lang w:val="fr-CA"/>
              </w:rPr>
              <w:t>Demande de prorogation du délai de dépôt de la demande d’autorisation d’appel et demande d’autorisation d’appel, déposées</w:t>
            </w: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72"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72879" w:rsidRPr="007C3AB2" w:rsidTr="0087505F">
        <w:trPr>
          <w:cantSplit/>
        </w:trPr>
        <w:tc>
          <w:tcPr>
            <w:tcW w:w="1458" w:type="dxa"/>
          </w:tcPr>
          <w:p w:rsidR="00772879" w:rsidRPr="007C3AB2" w:rsidRDefault="00772879" w:rsidP="0087505F">
            <w:pPr>
              <w:rPr>
                <w:sz w:val="20"/>
                <w:szCs w:val="20"/>
              </w:rPr>
            </w:pPr>
            <w:r w:rsidRPr="007C3AB2">
              <w:rPr>
                <w:rStyle w:val="SCCFileNumberChar"/>
                <w:sz w:val="20"/>
                <w:szCs w:val="20"/>
              </w:rPr>
              <w:t>34268</w:t>
            </w:r>
          </w:p>
          <w:p w:rsidR="00772879" w:rsidRPr="007C3AB2" w:rsidRDefault="00772879" w:rsidP="0087505F">
            <w:pPr>
              <w:rPr>
                <w:b/>
                <w:sz w:val="20"/>
                <w:szCs w:val="20"/>
                <w:lang w:val="fr-CA"/>
              </w:rPr>
            </w:pPr>
          </w:p>
        </w:tc>
        <w:tc>
          <w:tcPr>
            <w:tcW w:w="8118" w:type="dxa"/>
          </w:tcPr>
          <w:p w:rsidR="00772879" w:rsidRPr="007C3AB2" w:rsidRDefault="00772879" w:rsidP="0087505F">
            <w:pPr>
              <w:rPr>
                <w:sz w:val="20"/>
                <w:szCs w:val="20"/>
              </w:rPr>
            </w:pPr>
            <w:r w:rsidRPr="00772879">
              <w:rPr>
                <w:rStyle w:val="SCCLsocChar"/>
                <w:sz w:val="20"/>
                <w:szCs w:val="20"/>
                <w:lang w:val="en-CA"/>
              </w:rPr>
              <w:t>Her Majesty the Queen v. Richard Cole</w:t>
            </w:r>
            <w:r w:rsidRPr="007C3AB2">
              <w:rPr>
                <w:sz w:val="20"/>
                <w:szCs w:val="20"/>
              </w:rPr>
              <w:t xml:space="preserve"> (Ont.) (Criminal) (By Leave)</w:t>
            </w:r>
          </w:p>
          <w:p w:rsidR="00772879" w:rsidRPr="007C3AB2" w:rsidRDefault="00772879" w:rsidP="0087505F">
            <w:pPr>
              <w:rPr>
                <w:sz w:val="20"/>
                <w:szCs w:val="20"/>
              </w:rPr>
            </w:pPr>
          </w:p>
        </w:tc>
      </w:tr>
      <w:tr w:rsidR="00772879" w:rsidRPr="007C3AB2" w:rsidTr="0087505F">
        <w:trPr>
          <w:cantSplit/>
        </w:trPr>
        <w:tc>
          <w:tcPr>
            <w:tcW w:w="1458" w:type="dxa"/>
          </w:tcPr>
          <w:p w:rsidR="00772879" w:rsidRPr="007C3AB2" w:rsidRDefault="00772879" w:rsidP="0087505F">
            <w:pPr>
              <w:rPr>
                <w:sz w:val="20"/>
                <w:szCs w:val="20"/>
              </w:rPr>
            </w:pPr>
            <w:r w:rsidRPr="007C3AB2">
              <w:rPr>
                <w:sz w:val="20"/>
                <w:szCs w:val="20"/>
              </w:rPr>
              <w:t>Coram :</w:t>
            </w:r>
          </w:p>
        </w:tc>
        <w:tc>
          <w:tcPr>
            <w:tcW w:w="8118" w:type="dxa"/>
          </w:tcPr>
          <w:p w:rsidR="00772879" w:rsidRPr="007C3AB2" w:rsidRDefault="00772879" w:rsidP="0087505F">
            <w:pPr>
              <w:rPr>
                <w:sz w:val="20"/>
                <w:szCs w:val="20"/>
              </w:rPr>
            </w:pPr>
            <w:r w:rsidRPr="007C3AB2">
              <w:rPr>
                <w:rStyle w:val="SCCCoramChar"/>
                <w:sz w:val="20"/>
                <w:szCs w:val="20"/>
              </w:rPr>
              <w:t>Binnie, Abella and Rothstein JJ.</w:t>
            </w:r>
          </w:p>
          <w:p w:rsidR="00772879" w:rsidRPr="007C3AB2" w:rsidRDefault="00772879" w:rsidP="0087505F">
            <w:pPr>
              <w:rPr>
                <w:sz w:val="20"/>
                <w:szCs w:val="20"/>
                <w:u w:val="single"/>
              </w:rPr>
            </w:pPr>
          </w:p>
        </w:tc>
      </w:tr>
      <w:tr w:rsidR="00772879" w:rsidRPr="00682661" w:rsidTr="0087505F">
        <w:trPr>
          <w:cantSplit/>
        </w:trPr>
        <w:tc>
          <w:tcPr>
            <w:tcW w:w="9576" w:type="dxa"/>
            <w:gridSpan w:val="2"/>
          </w:tcPr>
          <w:p w:rsidR="00772879" w:rsidRPr="007C3AB2" w:rsidRDefault="00772879" w:rsidP="0087505F">
            <w:pPr>
              <w:pStyle w:val="SCCShortJudgment"/>
              <w:rPr>
                <w:szCs w:val="20"/>
              </w:rPr>
            </w:pPr>
            <w:r w:rsidRPr="007C3AB2">
              <w:rPr>
                <w:szCs w:val="20"/>
              </w:rPr>
              <w:t>The application for leave to appeal from the judgment of the Court of Appeal for Ontario, Number C50526, 2011 ONCA 218, dated March 22, 2011, is granted without costs.</w:t>
            </w:r>
          </w:p>
          <w:p w:rsidR="00772879" w:rsidRPr="007C3AB2" w:rsidRDefault="00772879" w:rsidP="0087505F">
            <w:pPr>
              <w:pStyle w:val="SCCShortJudgment"/>
              <w:ind w:firstLine="0"/>
              <w:rPr>
                <w:szCs w:val="20"/>
              </w:rPr>
            </w:pPr>
          </w:p>
          <w:p w:rsidR="00772879" w:rsidRPr="007C3AB2" w:rsidRDefault="00772879" w:rsidP="0087505F">
            <w:pPr>
              <w:pStyle w:val="SCCShortJudgment"/>
              <w:rPr>
                <w:szCs w:val="20"/>
                <w:lang w:val="fr-CA"/>
              </w:rPr>
            </w:pPr>
            <w:r w:rsidRPr="007C3AB2">
              <w:rPr>
                <w:szCs w:val="20"/>
                <w:lang w:val="fr-CA"/>
              </w:rPr>
              <w:t>La demande d’autorisation d’appel de l’arrêt de la Cour d’appel de l’Ontario, numéro C50526, 2011 ONCA 218, daté du 22 mars 2011, est accordée sans dépens.</w:t>
            </w:r>
          </w:p>
        </w:tc>
      </w:tr>
    </w:tbl>
    <w:p w:rsidR="007B50F9" w:rsidRPr="00772879" w:rsidRDefault="007B50F9" w:rsidP="007B50F9">
      <w:pPr>
        <w:rPr>
          <w:sz w:val="20"/>
          <w:szCs w:val="20"/>
          <w:lang w:val="fr-CA"/>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93696" w:rsidRPr="00BE6616" w:rsidTr="002E3508">
        <w:tc>
          <w:tcPr>
            <w:tcW w:w="5000" w:type="pct"/>
            <w:gridSpan w:val="3"/>
          </w:tcPr>
          <w:p w:rsidR="00993696" w:rsidRPr="00BE6616" w:rsidRDefault="00993696" w:rsidP="002E3508">
            <w:pPr>
              <w:jc w:val="both"/>
              <w:rPr>
                <w:rFonts w:eastAsia="Calibri"/>
                <w:smallCaps/>
                <w:sz w:val="20"/>
              </w:rPr>
            </w:pPr>
            <w:r w:rsidRPr="00BE6616">
              <w:rPr>
                <w:rFonts w:eastAsia="Calibri"/>
                <w:smallCaps/>
                <w:sz w:val="20"/>
              </w:rPr>
              <w:t>(Publication ban in case) (Publication ban on party)</w:t>
            </w:r>
          </w:p>
          <w:p w:rsidR="00993696" w:rsidRPr="00BE6616" w:rsidRDefault="00993696" w:rsidP="002E3508">
            <w:pPr>
              <w:jc w:val="both"/>
              <w:rPr>
                <w:rFonts w:eastAsia="Calibri"/>
                <w:sz w:val="20"/>
              </w:rPr>
            </w:pPr>
          </w:p>
          <w:p w:rsidR="00993696" w:rsidRPr="00BE6616" w:rsidRDefault="00993696" w:rsidP="002E3508">
            <w:pPr>
              <w:jc w:val="both"/>
              <w:rPr>
                <w:rFonts w:eastAsia="Calibri"/>
                <w:sz w:val="20"/>
              </w:rPr>
            </w:pPr>
            <w:r w:rsidRPr="00BE6616">
              <w:rPr>
                <w:rFonts w:eastAsia="Calibri"/>
                <w:i/>
                <w:sz w:val="20"/>
              </w:rPr>
              <w:t>Charter of Rights</w:t>
            </w:r>
            <w:r w:rsidRPr="00BE6616">
              <w:rPr>
                <w:rFonts w:eastAsia="Calibri"/>
                <w:sz w:val="20"/>
              </w:rPr>
              <w:t xml:space="preserve"> — Criminal law — Unreasonable search and seizure — Reasonable expectation of privacy — Employer issued computer — Whether the Court of Appeal erred in law in concluding that the accused possessed a reasonable expectation of privacy in his employer-issued work computer without due regard to the ownership of the computer, and the explicit employee use policies that established no such reasonable expectation of privacy — Should a diminished expectation of privacy in an employer-issued work computer impact upon the determination of whether there is a s. 8 </w:t>
            </w:r>
            <w:r w:rsidRPr="00BE6616">
              <w:rPr>
                <w:rFonts w:eastAsia="Calibri"/>
                <w:i/>
                <w:sz w:val="20"/>
              </w:rPr>
              <w:t>Charter</w:t>
            </w:r>
            <w:r w:rsidRPr="00BE6616">
              <w:rPr>
                <w:rFonts w:eastAsia="Calibri"/>
                <w:sz w:val="20"/>
              </w:rPr>
              <w:t xml:space="preserve"> breach by law enforcement officials who are subsequently provided the computer by the employer — Whether the legal analysis undertaken by the Court of Appeal in relation to the admissibility of the tendered digital evidence under s. 24(2) of the </w:t>
            </w:r>
            <w:r w:rsidRPr="00BE6616">
              <w:rPr>
                <w:rFonts w:eastAsia="Calibri"/>
                <w:i/>
                <w:sz w:val="20"/>
              </w:rPr>
              <w:t>Charter</w:t>
            </w:r>
            <w:r w:rsidRPr="00BE6616">
              <w:rPr>
                <w:rFonts w:eastAsia="Calibri"/>
                <w:sz w:val="20"/>
              </w:rPr>
              <w:t xml:space="preserve"> creates an impossible hurdle for law enforcement</w:t>
            </w:r>
          </w:p>
        </w:tc>
      </w:tr>
      <w:tr w:rsidR="00993696" w:rsidRPr="00BE6616" w:rsidTr="002E3508">
        <w:tc>
          <w:tcPr>
            <w:tcW w:w="5000" w:type="pct"/>
            <w:gridSpan w:val="3"/>
          </w:tcPr>
          <w:p w:rsidR="00993696" w:rsidRPr="00BE6616" w:rsidRDefault="00993696" w:rsidP="002E3508">
            <w:pPr>
              <w:jc w:val="both"/>
              <w:rPr>
                <w:rFonts w:eastAsia="Calibri"/>
                <w:sz w:val="20"/>
              </w:rPr>
            </w:pPr>
          </w:p>
        </w:tc>
      </w:tr>
      <w:tr w:rsidR="00993696" w:rsidRPr="00BE6616" w:rsidTr="002E3508">
        <w:tc>
          <w:tcPr>
            <w:tcW w:w="5000" w:type="pct"/>
            <w:gridSpan w:val="3"/>
          </w:tcPr>
          <w:p w:rsidR="00993696" w:rsidRPr="00BE6616" w:rsidRDefault="00993696" w:rsidP="002E3508">
            <w:pPr>
              <w:jc w:val="both"/>
              <w:rPr>
                <w:rFonts w:eastAsia="Calibri"/>
                <w:sz w:val="20"/>
              </w:rPr>
            </w:pPr>
            <w:r w:rsidRPr="00BE6616">
              <w:rPr>
                <w:rFonts w:eastAsia="Calibri"/>
                <w:sz w:val="20"/>
              </w:rPr>
              <w:t xml:space="preserve">Cole was a high school teacher who taught computer science.  He was issued a laptop computer by the school.  One of the school’s information technologists employed software to monitor the network to ensure its integrity.  The technologist noted a high level of connection to the school server from Cole’s computer.  In examining the usage, the technologist remotely accessed Cole’s history of internet access and one of his drives.  The technologist found a potentially dangerous hidden file he believed might destabilize the school’s network.  He opened the file and found nude photographic images of a young woman, who was a student of the school.  The student had sent the photographs to another student via email.  In the course of his supervisory duties, Cole had accessed the student’s email account, found the photographs, and copied them onto his computer.  Cole surrendered his computer to the principal upon request.  The school board’s technicians copied the photographs and internet file onto a disc and provided them to police with the computer.  Police determined that a search warrant was unnecessary, as the school authorities had represented that they owned the computer and the data thereon.  Police viewed the material and charged Cole with possession of child pornography and fraudulently obtaining data from another computer hard drive.  The trial judge excluded the evidence on the basis of a breach of Cole’s s. 8 </w:t>
            </w:r>
            <w:r w:rsidRPr="00BE6616">
              <w:rPr>
                <w:rFonts w:eastAsia="Calibri"/>
                <w:i/>
                <w:sz w:val="20"/>
              </w:rPr>
              <w:t>Charter</w:t>
            </w:r>
            <w:r w:rsidRPr="00BE6616">
              <w:rPr>
                <w:rFonts w:eastAsia="Calibri"/>
                <w:sz w:val="20"/>
              </w:rPr>
              <w:t xml:space="preserve"> rights.  In overturning the decision, the summary conviction appeal judge held that although Cole had a valid subjective expectation of privacy in his computer’s contents, the trial judge erred in determining that such expectation was reasonable.  The Court of Appeal allowed the appeal, set aside the decision of the summary conviction appeal judge and remitted the matter for trial.  The court concluded that the evidence of the disc containing the temporary internet files and the laptop computer and its mirror image was excluded.</w:t>
            </w:r>
          </w:p>
          <w:p w:rsidR="00993696" w:rsidRPr="00BE6616" w:rsidRDefault="00993696" w:rsidP="002E3508">
            <w:pPr>
              <w:jc w:val="both"/>
              <w:rPr>
                <w:rFonts w:eastAsia="Calibri"/>
                <w:sz w:val="20"/>
              </w:rPr>
            </w:pPr>
          </w:p>
        </w:tc>
      </w:tr>
      <w:tr w:rsidR="00993696" w:rsidRPr="00BE6616" w:rsidTr="00297F14">
        <w:trPr>
          <w:cantSplit/>
        </w:trPr>
        <w:tc>
          <w:tcPr>
            <w:tcW w:w="2427" w:type="pct"/>
          </w:tcPr>
          <w:p w:rsidR="00993696" w:rsidRPr="00BE6616" w:rsidRDefault="00993696" w:rsidP="002E3508">
            <w:pPr>
              <w:jc w:val="both"/>
              <w:rPr>
                <w:rFonts w:eastAsia="Calibri"/>
                <w:sz w:val="20"/>
              </w:rPr>
            </w:pPr>
            <w:r w:rsidRPr="00BE6616">
              <w:rPr>
                <w:rFonts w:eastAsia="Calibri"/>
                <w:sz w:val="20"/>
              </w:rPr>
              <w:lastRenderedPageBreak/>
              <w:t>May 12, 2008</w:t>
            </w:r>
          </w:p>
          <w:p w:rsidR="00993696" w:rsidRPr="00BE6616" w:rsidRDefault="00993696" w:rsidP="002E3508">
            <w:pPr>
              <w:jc w:val="both"/>
              <w:rPr>
                <w:rFonts w:eastAsia="Calibri"/>
                <w:sz w:val="20"/>
              </w:rPr>
            </w:pPr>
            <w:r w:rsidRPr="00BE6616">
              <w:rPr>
                <w:rFonts w:eastAsia="Calibri"/>
                <w:sz w:val="20"/>
              </w:rPr>
              <w:t>Ontario Court of Justice</w:t>
            </w:r>
          </w:p>
          <w:p w:rsidR="00993696" w:rsidRPr="00BE6616" w:rsidRDefault="00993696" w:rsidP="002E3508">
            <w:pPr>
              <w:jc w:val="both"/>
              <w:rPr>
                <w:rFonts w:eastAsia="Calibri"/>
                <w:sz w:val="20"/>
              </w:rPr>
            </w:pPr>
            <w:r w:rsidRPr="00BE6616">
              <w:rPr>
                <w:rFonts w:eastAsia="Calibri"/>
                <w:sz w:val="20"/>
              </w:rPr>
              <w:t>(Guay J.)</w:t>
            </w:r>
          </w:p>
          <w:p w:rsidR="00993696" w:rsidRPr="00BE6616" w:rsidRDefault="00993696" w:rsidP="002E3508">
            <w:pPr>
              <w:jc w:val="both"/>
              <w:rPr>
                <w:rFonts w:eastAsia="Calibri"/>
                <w:sz w:val="20"/>
              </w:rPr>
            </w:pPr>
            <w:r w:rsidRPr="00BE6616">
              <w:rPr>
                <w:rFonts w:eastAsia="Calibri"/>
                <w:sz w:val="20"/>
              </w:rPr>
              <w:t>Neutral citation: 2008 ONCJ 278</w:t>
            </w:r>
          </w:p>
          <w:p w:rsidR="00993696" w:rsidRPr="00BE6616" w:rsidRDefault="00993696" w:rsidP="002E3508">
            <w:pPr>
              <w:jc w:val="both"/>
              <w:rPr>
                <w:rFonts w:eastAsia="Calibri"/>
                <w:sz w:val="20"/>
              </w:rPr>
            </w:pPr>
          </w:p>
        </w:tc>
        <w:tc>
          <w:tcPr>
            <w:tcW w:w="243" w:type="pct"/>
          </w:tcPr>
          <w:p w:rsidR="00993696" w:rsidRPr="00BE6616" w:rsidRDefault="00993696" w:rsidP="002E3508">
            <w:pPr>
              <w:jc w:val="both"/>
              <w:rPr>
                <w:rFonts w:eastAsia="Calibri"/>
                <w:sz w:val="20"/>
              </w:rPr>
            </w:pPr>
          </w:p>
        </w:tc>
        <w:tc>
          <w:tcPr>
            <w:tcW w:w="2330" w:type="pct"/>
          </w:tcPr>
          <w:p w:rsidR="00993696" w:rsidRPr="00BE6616" w:rsidRDefault="00993696" w:rsidP="002E3508">
            <w:pPr>
              <w:jc w:val="both"/>
              <w:rPr>
                <w:rFonts w:eastAsia="Calibri"/>
                <w:sz w:val="20"/>
              </w:rPr>
            </w:pPr>
            <w:r w:rsidRPr="00BE6616">
              <w:rPr>
                <w:rFonts w:eastAsia="Calibri"/>
                <w:sz w:val="20"/>
              </w:rPr>
              <w:t xml:space="preserve">Respondent’s application under s. 8 of the </w:t>
            </w:r>
            <w:r w:rsidRPr="00BE6616">
              <w:rPr>
                <w:rFonts w:eastAsia="Calibri"/>
                <w:i/>
                <w:sz w:val="20"/>
              </w:rPr>
              <w:t>Charter</w:t>
            </w:r>
            <w:r w:rsidRPr="00BE6616">
              <w:rPr>
                <w:rFonts w:eastAsia="Calibri"/>
                <w:sz w:val="20"/>
              </w:rPr>
              <w:t xml:space="preserve"> to exclude evidence, granted</w:t>
            </w:r>
          </w:p>
          <w:p w:rsidR="00993696" w:rsidRPr="00BE6616" w:rsidRDefault="00993696" w:rsidP="002E3508">
            <w:pPr>
              <w:jc w:val="both"/>
              <w:rPr>
                <w:rFonts w:eastAsia="Calibri"/>
                <w:sz w:val="20"/>
              </w:rPr>
            </w:pPr>
          </w:p>
        </w:tc>
      </w:tr>
      <w:tr w:rsidR="00993696" w:rsidRPr="00BE6616" w:rsidTr="00297F14">
        <w:trPr>
          <w:cantSplit/>
        </w:trPr>
        <w:tc>
          <w:tcPr>
            <w:tcW w:w="2427" w:type="pct"/>
          </w:tcPr>
          <w:p w:rsidR="00993696" w:rsidRPr="00BE6616" w:rsidRDefault="00993696" w:rsidP="002E3508">
            <w:pPr>
              <w:jc w:val="both"/>
              <w:rPr>
                <w:rFonts w:eastAsia="Calibri"/>
                <w:sz w:val="20"/>
              </w:rPr>
            </w:pPr>
            <w:r w:rsidRPr="00BE6616">
              <w:rPr>
                <w:rFonts w:eastAsia="Calibri"/>
                <w:sz w:val="20"/>
              </w:rPr>
              <w:t>April 28, 2009</w:t>
            </w:r>
          </w:p>
          <w:p w:rsidR="00993696" w:rsidRPr="00BE6616" w:rsidRDefault="00993696" w:rsidP="002E3508">
            <w:pPr>
              <w:jc w:val="both"/>
              <w:rPr>
                <w:rFonts w:eastAsia="Calibri"/>
                <w:sz w:val="20"/>
              </w:rPr>
            </w:pPr>
            <w:r w:rsidRPr="00BE6616">
              <w:rPr>
                <w:rFonts w:eastAsia="Calibri"/>
                <w:sz w:val="20"/>
              </w:rPr>
              <w:t>Ontario Superior Court of Justice</w:t>
            </w:r>
          </w:p>
          <w:p w:rsidR="00993696" w:rsidRPr="00BE6616" w:rsidRDefault="00993696" w:rsidP="002E3508">
            <w:pPr>
              <w:jc w:val="both"/>
              <w:rPr>
                <w:rFonts w:eastAsia="Calibri"/>
                <w:sz w:val="20"/>
              </w:rPr>
            </w:pPr>
            <w:r w:rsidRPr="00BE6616">
              <w:rPr>
                <w:rFonts w:eastAsia="Calibri"/>
                <w:sz w:val="20"/>
              </w:rPr>
              <w:t>(Kane J.)</w:t>
            </w:r>
          </w:p>
          <w:p w:rsidR="00993696" w:rsidRPr="00BE6616" w:rsidRDefault="00993696" w:rsidP="002E3508">
            <w:pPr>
              <w:jc w:val="both"/>
              <w:rPr>
                <w:rFonts w:eastAsia="Calibri"/>
                <w:sz w:val="20"/>
              </w:rPr>
            </w:pPr>
          </w:p>
        </w:tc>
        <w:tc>
          <w:tcPr>
            <w:tcW w:w="243" w:type="pct"/>
          </w:tcPr>
          <w:p w:rsidR="00993696" w:rsidRPr="00BE6616" w:rsidRDefault="00993696" w:rsidP="002E3508">
            <w:pPr>
              <w:jc w:val="both"/>
              <w:rPr>
                <w:rFonts w:eastAsia="Calibri"/>
                <w:sz w:val="20"/>
              </w:rPr>
            </w:pPr>
          </w:p>
        </w:tc>
        <w:tc>
          <w:tcPr>
            <w:tcW w:w="2330" w:type="pct"/>
          </w:tcPr>
          <w:p w:rsidR="00993696" w:rsidRPr="00BE6616" w:rsidRDefault="00993696" w:rsidP="002E3508">
            <w:pPr>
              <w:jc w:val="both"/>
              <w:rPr>
                <w:rFonts w:eastAsia="Calibri"/>
                <w:sz w:val="20"/>
              </w:rPr>
            </w:pPr>
            <w:r w:rsidRPr="00BE6616">
              <w:rPr>
                <w:rFonts w:eastAsia="Calibri"/>
                <w:sz w:val="20"/>
              </w:rPr>
              <w:t>Appeal allowed; matter remitted back to trial</w:t>
            </w:r>
          </w:p>
          <w:p w:rsidR="00993696" w:rsidRPr="00BE6616" w:rsidRDefault="00993696" w:rsidP="002E3508">
            <w:pPr>
              <w:jc w:val="both"/>
              <w:rPr>
                <w:rFonts w:eastAsia="Calibri"/>
                <w:sz w:val="20"/>
              </w:rPr>
            </w:pPr>
          </w:p>
        </w:tc>
      </w:tr>
      <w:tr w:rsidR="00993696" w:rsidRPr="00BE6616" w:rsidTr="00297F14">
        <w:trPr>
          <w:cantSplit/>
        </w:trPr>
        <w:tc>
          <w:tcPr>
            <w:tcW w:w="2427" w:type="pct"/>
          </w:tcPr>
          <w:p w:rsidR="00993696" w:rsidRPr="00BE6616" w:rsidRDefault="00993696" w:rsidP="002E3508">
            <w:pPr>
              <w:jc w:val="both"/>
              <w:rPr>
                <w:rFonts w:eastAsia="Calibri"/>
                <w:sz w:val="20"/>
              </w:rPr>
            </w:pPr>
            <w:r w:rsidRPr="00BE6616">
              <w:rPr>
                <w:rFonts w:eastAsia="Calibri"/>
                <w:sz w:val="20"/>
              </w:rPr>
              <w:t>March 22, 2011</w:t>
            </w:r>
          </w:p>
          <w:p w:rsidR="00993696" w:rsidRPr="00BE6616" w:rsidRDefault="00993696" w:rsidP="002E3508">
            <w:pPr>
              <w:jc w:val="both"/>
              <w:rPr>
                <w:rFonts w:eastAsia="Calibri"/>
                <w:sz w:val="20"/>
              </w:rPr>
            </w:pPr>
            <w:r w:rsidRPr="00BE6616">
              <w:rPr>
                <w:rFonts w:eastAsia="Calibri"/>
                <w:sz w:val="20"/>
              </w:rPr>
              <w:t>Court of Appeal for Ontario</w:t>
            </w:r>
          </w:p>
          <w:p w:rsidR="00993696" w:rsidRPr="00BE6616" w:rsidRDefault="00993696" w:rsidP="002E3508">
            <w:pPr>
              <w:jc w:val="both"/>
              <w:rPr>
                <w:rFonts w:eastAsia="Calibri"/>
                <w:sz w:val="20"/>
              </w:rPr>
            </w:pPr>
            <w:r w:rsidRPr="00BE6616">
              <w:rPr>
                <w:rFonts w:eastAsia="Calibri"/>
                <w:sz w:val="20"/>
              </w:rPr>
              <w:t>(LeSage, Sharpe and Karakatsanis JJ.A.)</w:t>
            </w:r>
          </w:p>
          <w:p w:rsidR="00993696" w:rsidRPr="00BE6616" w:rsidRDefault="00993696" w:rsidP="002E3508">
            <w:pPr>
              <w:jc w:val="both"/>
              <w:rPr>
                <w:rFonts w:eastAsia="Calibri"/>
                <w:sz w:val="20"/>
              </w:rPr>
            </w:pPr>
            <w:r w:rsidRPr="00BE6616">
              <w:rPr>
                <w:rFonts w:eastAsia="Calibri"/>
                <w:sz w:val="20"/>
              </w:rPr>
              <w:t>Neutral citation: 2011 ONCA 218</w:t>
            </w:r>
          </w:p>
          <w:p w:rsidR="00993696" w:rsidRPr="00BE6616" w:rsidRDefault="00993696" w:rsidP="002E3508">
            <w:pPr>
              <w:jc w:val="both"/>
              <w:rPr>
                <w:rFonts w:eastAsia="Calibri"/>
                <w:sz w:val="20"/>
              </w:rPr>
            </w:pPr>
            <w:r w:rsidRPr="00BE6616">
              <w:rPr>
                <w:rFonts w:eastAsia="Calibri"/>
                <w:sz w:val="20"/>
              </w:rPr>
              <w:t>Docket: C50526</w:t>
            </w:r>
          </w:p>
          <w:p w:rsidR="00993696" w:rsidRPr="00BE6616" w:rsidRDefault="00993696" w:rsidP="002E3508">
            <w:pPr>
              <w:jc w:val="both"/>
              <w:rPr>
                <w:rFonts w:eastAsia="Calibri"/>
                <w:sz w:val="20"/>
              </w:rPr>
            </w:pPr>
          </w:p>
        </w:tc>
        <w:tc>
          <w:tcPr>
            <w:tcW w:w="243" w:type="pct"/>
          </w:tcPr>
          <w:p w:rsidR="00993696" w:rsidRPr="00BE6616" w:rsidRDefault="00993696" w:rsidP="002E3508">
            <w:pPr>
              <w:jc w:val="both"/>
              <w:rPr>
                <w:rFonts w:eastAsia="Calibri"/>
                <w:sz w:val="20"/>
              </w:rPr>
            </w:pPr>
          </w:p>
        </w:tc>
        <w:tc>
          <w:tcPr>
            <w:tcW w:w="2330" w:type="pct"/>
          </w:tcPr>
          <w:p w:rsidR="00993696" w:rsidRPr="00BE6616" w:rsidRDefault="00993696" w:rsidP="002E3508">
            <w:pPr>
              <w:jc w:val="both"/>
              <w:rPr>
                <w:rFonts w:eastAsia="Calibri"/>
                <w:sz w:val="20"/>
              </w:rPr>
            </w:pPr>
            <w:r w:rsidRPr="00BE6616">
              <w:rPr>
                <w:rFonts w:eastAsia="Calibri"/>
                <w:sz w:val="20"/>
              </w:rPr>
              <w:t xml:space="preserve">Appeal allowed; decision of the summary conviction appeal judge set aside; order substituted excluding evidence of disc containing temporary internet files, laptop computer and its mirror image; matter remitted back to trial </w:t>
            </w:r>
          </w:p>
          <w:p w:rsidR="00993696" w:rsidRPr="00BE6616" w:rsidRDefault="00993696" w:rsidP="002E3508">
            <w:pPr>
              <w:jc w:val="both"/>
              <w:rPr>
                <w:rFonts w:eastAsia="Calibri"/>
                <w:sz w:val="20"/>
              </w:rPr>
            </w:pPr>
          </w:p>
        </w:tc>
      </w:tr>
      <w:tr w:rsidR="00993696" w:rsidRPr="00BE6616" w:rsidTr="00297F14">
        <w:trPr>
          <w:cantSplit/>
        </w:trPr>
        <w:tc>
          <w:tcPr>
            <w:tcW w:w="2427" w:type="pct"/>
          </w:tcPr>
          <w:p w:rsidR="00993696" w:rsidRPr="00BE6616" w:rsidRDefault="00993696" w:rsidP="002E3508">
            <w:pPr>
              <w:jc w:val="both"/>
              <w:rPr>
                <w:rFonts w:eastAsia="Calibri"/>
                <w:sz w:val="20"/>
              </w:rPr>
            </w:pPr>
            <w:r w:rsidRPr="00BE6616">
              <w:rPr>
                <w:rFonts w:eastAsia="Calibri"/>
                <w:sz w:val="20"/>
              </w:rPr>
              <w:t>May 20, 2011-07-14</w:t>
            </w:r>
          </w:p>
          <w:p w:rsidR="00993696" w:rsidRPr="00BE6616" w:rsidRDefault="00993696" w:rsidP="002E3508">
            <w:pPr>
              <w:jc w:val="both"/>
              <w:rPr>
                <w:rFonts w:eastAsia="Calibri"/>
                <w:sz w:val="20"/>
              </w:rPr>
            </w:pPr>
            <w:r w:rsidRPr="00BE6616">
              <w:rPr>
                <w:rFonts w:eastAsia="Calibri"/>
                <w:sz w:val="20"/>
              </w:rPr>
              <w:t>Supreme Court of Canada</w:t>
            </w:r>
          </w:p>
        </w:tc>
        <w:tc>
          <w:tcPr>
            <w:tcW w:w="243" w:type="pct"/>
          </w:tcPr>
          <w:p w:rsidR="00993696" w:rsidRPr="00BE6616" w:rsidRDefault="00993696" w:rsidP="002E3508">
            <w:pPr>
              <w:jc w:val="both"/>
              <w:rPr>
                <w:rFonts w:eastAsia="Calibri"/>
                <w:sz w:val="20"/>
              </w:rPr>
            </w:pPr>
          </w:p>
        </w:tc>
        <w:tc>
          <w:tcPr>
            <w:tcW w:w="2330" w:type="pct"/>
          </w:tcPr>
          <w:p w:rsidR="00993696" w:rsidRPr="00BE6616" w:rsidRDefault="00993696" w:rsidP="002E3508">
            <w:pPr>
              <w:jc w:val="both"/>
              <w:rPr>
                <w:rFonts w:eastAsia="Calibri"/>
                <w:sz w:val="20"/>
              </w:rPr>
            </w:pPr>
            <w:r w:rsidRPr="00BE6616">
              <w:rPr>
                <w:rFonts w:eastAsia="Calibri"/>
                <w:sz w:val="20"/>
              </w:rPr>
              <w:t>Application for leave to appeal filed</w:t>
            </w: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73"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993696" w:rsidRPr="00682661" w:rsidTr="002E3508">
        <w:tc>
          <w:tcPr>
            <w:tcW w:w="5000" w:type="pct"/>
            <w:gridSpan w:val="3"/>
          </w:tcPr>
          <w:p w:rsidR="00993696" w:rsidRPr="00BE6616" w:rsidRDefault="00993696" w:rsidP="002E3508">
            <w:pPr>
              <w:jc w:val="both"/>
              <w:rPr>
                <w:rFonts w:eastAsia="Calibri"/>
                <w:smallCaps/>
                <w:sz w:val="20"/>
                <w:lang w:val="fr-CA"/>
              </w:rPr>
            </w:pPr>
            <w:r w:rsidRPr="00BE6616">
              <w:rPr>
                <w:rFonts w:eastAsia="Calibri"/>
                <w:smallCaps/>
                <w:sz w:val="20"/>
                <w:lang w:val="fr-CA"/>
              </w:rPr>
              <w:t>(Ordonnance de non</w:t>
            </w:r>
            <w:r w:rsidRPr="00BE6616">
              <w:rPr>
                <w:rFonts w:eastAsia="Calibri"/>
                <w:smallCaps/>
                <w:sz w:val="20"/>
                <w:lang w:val="fr-CA"/>
              </w:rPr>
              <w:noBreakHyphen/>
              <w:t>publication dans le dossier) (ordonnance de non</w:t>
            </w:r>
            <w:r w:rsidRPr="00BE6616">
              <w:rPr>
                <w:rFonts w:eastAsia="Calibri"/>
                <w:smallCaps/>
                <w:sz w:val="20"/>
                <w:lang w:val="fr-CA"/>
              </w:rPr>
              <w:noBreakHyphen/>
              <w:t>publication visant une partie)</w:t>
            </w:r>
          </w:p>
          <w:p w:rsidR="00993696" w:rsidRPr="00BE6616" w:rsidRDefault="00993696" w:rsidP="002E3508">
            <w:pPr>
              <w:jc w:val="both"/>
              <w:rPr>
                <w:rFonts w:eastAsia="Calibri"/>
                <w:sz w:val="20"/>
                <w:lang w:val="fr-CA"/>
              </w:rPr>
            </w:pPr>
          </w:p>
          <w:p w:rsidR="00993696" w:rsidRPr="00BE6616" w:rsidRDefault="00993696" w:rsidP="002E3508">
            <w:pPr>
              <w:jc w:val="both"/>
              <w:rPr>
                <w:rFonts w:eastAsia="Calibri"/>
                <w:sz w:val="20"/>
                <w:lang w:val="fr-CA"/>
              </w:rPr>
            </w:pPr>
            <w:r w:rsidRPr="00BE6616">
              <w:rPr>
                <w:rFonts w:eastAsia="Calibri"/>
                <w:i/>
                <w:sz w:val="20"/>
                <w:lang w:val="fr-CA"/>
              </w:rPr>
              <w:t xml:space="preserve">Charte des droits </w:t>
            </w:r>
            <w:r w:rsidRPr="00BE6616">
              <w:rPr>
                <w:rFonts w:eastAsia="Calibri"/>
                <w:sz w:val="20"/>
                <w:lang w:val="fr-CA"/>
              </w:rPr>
              <w:t>— Droit criminel — Perquisition, fouille et saisie abusives — Attente raisonnable de respect de la vie privée — Ordinateur fourni par l'employeur — La Cour d'appel a</w:t>
            </w:r>
            <w:r w:rsidRPr="00BE6616">
              <w:rPr>
                <w:rFonts w:eastAsia="Calibri"/>
                <w:sz w:val="20"/>
                <w:lang w:val="fr-CA"/>
              </w:rPr>
              <w:noBreakHyphen/>
              <w:t>t</w:t>
            </w:r>
            <w:r w:rsidRPr="00BE6616">
              <w:rPr>
                <w:rFonts w:eastAsia="Calibri"/>
                <w:sz w:val="20"/>
                <w:lang w:val="fr-CA"/>
              </w:rPr>
              <w:noBreakHyphen/>
              <w:t>elle commis une erreur de droit en concluant que l'accusé pouvait avoir une attente raisonnable de respect de la vie privée à l'égard de l'ordinateur que lui avait fourni son employeur pour le travail sans avoir dûment pris en compte la propriété de l'ordinateur et les politiques explicites de son utilisation par l'employé qui établissaient qu'il ne pouvait y avoir aucune attente raisonnable de respect de la vie privée? — Une attente réduite de respect de la vie privée à l'égard d'un ordinateur fourni par l'employeur pour le travail devrait</w:t>
            </w:r>
            <w:r w:rsidRPr="00BE6616">
              <w:rPr>
                <w:rFonts w:eastAsia="Calibri"/>
                <w:sz w:val="20"/>
                <w:lang w:val="fr-CA"/>
              </w:rPr>
              <w:noBreakHyphen/>
              <w:t xml:space="preserve">elle avoir une incidence sur la question de savoir si les responsables de l'application de la loi à qui l'employeur a remis l'ordinateur par la suite ont violé l’art. 8 de la </w:t>
            </w:r>
            <w:r w:rsidRPr="00BE6616">
              <w:rPr>
                <w:rFonts w:eastAsia="Calibri"/>
                <w:i/>
                <w:sz w:val="20"/>
                <w:lang w:val="fr-CA"/>
              </w:rPr>
              <w:t>Charte</w:t>
            </w:r>
            <w:r w:rsidRPr="00BE6616">
              <w:rPr>
                <w:rFonts w:eastAsia="Calibri"/>
                <w:sz w:val="20"/>
                <w:lang w:val="fr-CA"/>
              </w:rPr>
              <w:t xml:space="preserve">? — L'analyse juridique entreprise par la Cour d'appel en rapport avec l'admissibilité de la preuve numérique présentée au regard du par. 24(2) de la </w:t>
            </w:r>
            <w:r w:rsidRPr="00BE6616">
              <w:rPr>
                <w:rFonts w:eastAsia="Calibri"/>
                <w:i/>
                <w:sz w:val="20"/>
                <w:lang w:val="fr-CA"/>
              </w:rPr>
              <w:t>Charte</w:t>
            </w:r>
            <w:r w:rsidRPr="00BE6616">
              <w:rPr>
                <w:rFonts w:eastAsia="Calibri"/>
                <w:sz w:val="20"/>
                <w:lang w:val="fr-CA"/>
              </w:rPr>
              <w:t xml:space="preserve"> a</w:t>
            </w:r>
            <w:r w:rsidRPr="00BE6616">
              <w:rPr>
                <w:rFonts w:eastAsia="Calibri"/>
                <w:sz w:val="20"/>
                <w:lang w:val="fr-CA"/>
              </w:rPr>
              <w:noBreakHyphen/>
              <w:t>t</w:t>
            </w:r>
            <w:r w:rsidRPr="00BE6616">
              <w:rPr>
                <w:rFonts w:eastAsia="Calibri"/>
                <w:sz w:val="20"/>
                <w:lang w:val="fr-CA"/>
              </w:rPr>
              <w:noBreakHyphen/>
              <w:t>elle pour effet de créer un obstacle impossible à surmonter pour l'application de la loi?</w:t>
            </w:r>
          </w:p>
          <w:p w:rsidR="00993696" w:rsidRPr="00BE6616" w:rsidRDefault="00993696" w:rsidP="002E3508">
            <w:pPr>
              <w:jc w:val="both"/>
              <w:rPr>
                <w:rFonts w:eastAsia="Calibri"/>
                <w:sz w:val="20"/>
                <w:lang w:val="fr-CA"/>
              </w:rPr>
            </w:pPr>
          </w:p>
        </w:tc>
      </w:tr>
      <w:tr w:rsidR="00993696" w:rsidRPr="00682661" w:rsidTr="002E3508">
        <w:tc>
          <w:tcPr>
            <w:tcW w:w="5000" w:type="pct"/>
            <w:gridSpan w:val="3"/>
          </w:tcPr>
          <w:p w:rsidR="00993696" w:rsidRPr="00BE6616" w:rsidRDefault="00993696" w:rsidP="002E3508">
            <w:pPr>
              <w:jc w:val="both"/>
              <w:rPr>
                <w:rFonts w:eastAsia="Calibri"/>
                <w:sz w:val="20"/>
                <w:lang w:val="fr-CA"/>
              </w:rPr>
            </w:pPr>
            <w:r w:rsidRPr="00BE6616">
              <w:rPr>
                <w:rFonts w:eastAsia="Calibri"/>
                <w:sz w:val="20"/>
                <w:lang w:val="fr-CA"/>
              </w:rPr>
              <w:t xml:space="preserve">Monsieur Cole enseignait l'informatique dans une école secondaire. L'école lui a fourni un ordinateur portable. Un des techniciens en informatique de l'école utilisait un logiciel pour surveiller le réseau afin d’assurer son intégrité.  Le technicien a noté un degré élevé de connexions au serveur de l'école à partir de l'ordinateur de M. Cole. En examinant l'usage, le technicien a accédé à distance à l'historique de l'accès Internet de M. Cole et à un de ses lecteurs.  Le technicien a trouvé un fichier caché potentiellement dangereux qui pouvait à son avis déstabiliser le réseau de l'école.  Il a ouvert les fichiers et a trouvé des images photographiques d'une jeune femme nue qui était une étudiante de l'école.  L'étudiante avait envoyé les photographies à un autre étudiant par courrier électronique.  Dans le cadre de ses fonctions de surveillant, M. Cole avait accédé au compte de courrier électronique de l'étudiant, a trouvé les photographies et les a copiées dans son ordinateur.  Monsieur Cole a remis son ordinateur au directeur sur demande.  Les techniciens de la commission scolaire ont copié les photographies et les fichiers Internet sur un disque et les a fournis à la police avec l'ordinateur. Les policiers ont estimé qu’un mandat de perquisition était inutile, puisque les autorités scolaires leur avaient dit qu'elles s'étaient propriétaires de l'ordinateur et des données qui s'y trouvaient.  Les policiers ont examiné les fichiers et ont accusé M. Cole de possession de pornographie juvénile et d'avoir obtenu frauduleusement des données du disque dur d'un autre ordinateur.  Le juge du procès a exclu la preuve, statuant qu'il y avait eu atteinte aux droits de M. Cole garantis par l'art. 8 de la </w:t>
            </w:r>
            <w:r w:rsidRPr="00BE6616">
              <w:rPr>
                <w:rFonts w:eastAsia="Calibri"/>
                <w:i/>
                <w:sz w:val="20"/>
                <w:lang w:val="fr-CA"/>
              </w:rPr>
              <w:t>Charte</w:t>
            </w:r>
            <w:r w:rsidRPr="00BE6616">
              <w:rPr>
                <w:rFonts w:eastAsia="Calibri"/>
                <w:sz w:val="20"/>
                <w:lang w:val="fr-CA"/>
              </w:rPr>
              <w:t xml:space="preserve">.  En infirmant la décision, le juge de la cour d'appel en matière de poursuites sommaires a statué que même si M. Cole avait une attente subjective valable de respect de la vie privée à l'égard du contenu de son ordinateur, le juge du procès a eu tort de statuer que cette attente </w:t>
            </w:r>
            <w:r w:rsidRPr="00BE6616">
              <w:rPr>
                <w:rFonts w:eastAsia="Calibri"/>
                <w:sz w:val="20"/>
                <w:lang w:val="fr-CA"/>
              </w:rPr>
              <w:lastRenderedPageBreak/>
              <w:t>était raisonnable.  La Cour d'appel a accueilli l'appel, annulé la décision du juge de la cour d'appel en matière de poursuites sommaires et a renvoyé l'affaire à procès.  La Cour a conclu que la preuve du disque renfermant les fichiers Internet temporaires et l’ordinateur et son image</w:t>
            </w:r>
            <w:r w:rsidRPr="00BE6616">
              <w:rPr>
                <w:rFonts w:eastAsia="Calibri"/>
                <w:sz w:val="20"/>
                <w:lang w:val="fr-CA"/>
              </w:rPr>
              <w:noBreakHyphen/>
              <w:t>miroir était exclue.</w:t>
            </w:r>
          </w:p>
          <w:p w:rsidR="00993696" w:rsidRPr="00BE6616" w:rsidRDefault="00993696" w:rsidP="002E3508">
            <w:pPr>
              <w:jc w:val="both"/>
              <w:rPr>
                <w:rFonts w:eastAsia="Calibri"/>
                <w:sz w:val="20"/>
                <w:lang w:val="fr-CA"/>
              </w:rPr>
            </w:pPr>
          </w:p>
        </w:tc>
      </w:tr>
      <w:tr w:rsidR="00993696" w:rsidRPr="00682661" w:rsidTr="002E3508">
        <w:tc>
          <w:tcPr>
            <w:tcW w:w="2427" w:type="pct"/>
          </w:tcPr>
          <w:p w:rsidR="00993696" w:rsidRPr="00BE6616" w:rsidRDefault="00993696" w:rsidP="002E3508">
            <w:pPr>
              <w:jc w:val="both"/>
              <w:rPr>
                <w:rFonts w:eastAsia="Calibri"/>
                <w:sz w:val="20"/>
                <w:lang w:val="fr-CA"/>
              </w:rPr>
            </w:pPr>
            <w:r w:rsidRPr="00BE6616">
              <w:rPr>
                <w:rFonts w:eastAsia="Calibri"/>
                <w:sz w:val="20"/>
                <w:lang w:val="fr-CA"/>
              </w:rPr>
              <w:lastRenderedPageBreak/>
              <w:t>12 mai 2008</w:t>
            </w:r>
          </w:p>
          <w:p w:rsidR="00993696" w:rsidRPr="00BE6616" w:rsidRDefault="00993696" w:rsidP="002E3508">
            <w:pPr>
              <w:jc w:val="both"/>
              <w:rPr>
                <w:rFonts w:eastAsia="Calibri"/>
                <w:sz w:val="20"/>
                <w:lang w:val="fr-CA"/>
              </w:rPr>
            </w:pPr>
            <w:r w:rsidRPr="00BE6616">
              <w:rPr>
                <w:rFonts w:eastAsia="Calibri"/>
                <w:sz w:val="20"/>
                <w:lang w:val="fr-CA"/>
              </w:rPr>
              <w:t xml:space="preserve">Cour de justice de l'Ontario </w:t>
            </w:r>
          </w:p>
          <w:p w:rsidR="00993696" w:rsidRPr="00BE6616" w:rsidRDefault="00993696" w:rsidP="002E3508">
            <w:pPr>
              <w:jc w:val="both"/>
              <w:rPr>
                <w:rFonts w:eastAsia="Calibri"/>
                <w:sz w:val="20"/>
                <w:lang w:val="fr-CA"/>
              </w:rPr>
            </w:pPr>
            <w:r w:rsidRPr="00BE6616">
              <w:rPr>
                <w:rFonts w:eastAsia="Calibri"/>
                <w:sz w:val="20"/>
                <w:lang w:val="fr-CA"/>
              </w:rPr>
              <w:t>(Juge Guay)</w:t>
            </w:r>
          </w:p>
          <w:p w:rsidR="00993696" w:rsidRPr="00BE6616" w:rsidRDefault="00993696" w:rsidP="002E3508">
            <w:pPr>
              <w:jc w:val="both"/>
              <w:rPr>
                <w:rFonts w:eastAsia="Calibri"/>
                <w:sz w:val="20"/>
                <w:lang w:val="fr-CA"/>
              </w:rPr>
            </w:pPr>
            <w:r w:rsidRPr="00BE6616">
              <w:rPr>
                <w:rFonts w:eastAsia="Calibri"/>
                <w:sz w:val="20"/>
                <w:lang w:val="fr-CA"/>
              </w:rPr>
              <w:t>Référence neutre : 2008 ONCJ 278</w:t>
            </w:r>
          </w:p>
          <w:p w:rsidR="00993696" w:rsidRPr="00BE6616" w:rsidRDefault="00993696" w:rsidP="002E3508">
            <w:pPr>
              <w:jc w:val="both"/>
              <w:rPr>
                <w:rFonts w:eastAsia="Calibri"/>
                <w:sz w:val="20"/>
                <w:lang w:val="fr-CA"/>
              </w:rPr>
            </w:pPr>
          </w:p>
        </w:tc>
        <w:tc>
          <w:tcPr>
            <w:tcW w:w="243" w:type="pct"/>
          </w:tcPr>
          <w:p w:rsidR="00993696" w:rsidRPr="00BE6616" w:rsidRDefault="00993696" w:rsidP="002E3508">
            <w:pPr>
              <w:jc w:val="both"/>
              <w:rPr>
                <w:rFonts w:eastAsia="Calibri"/>
                <w:sz w:val="20"/>
                <w:lang w:val="fr-CA"/>
              </w:rPr>
            </w:pPr>
          </w:p>
        </w:tc>
        <w:tc>
          <w:tcPr>
            <w:tcW w:w="2330" w:type="pct"/>
          </w:tcPr>
          <w:p w:rsidR="00993696" w:rsidRPr="00BE6616" w:rsidRDefault="00993696" w:rsidP="002E3508">
            <w:pPr>
              <w:jc w:val="both"/>
              <w:rPr>
                <w:rFonts w:eastAsia="Calibri"/>
                <w:sz w:val="20"/>
                <w:lang w:val="fr-CA"/>
              </w:rPr>
            </w:pPr>
            <w:r w:rsidRPr="00BE6616">
              <w:rPr>
                <w:rFonts w:eastAsia="Calibri"/>
                <w:sz w:val="20"/>
                <w:lang w:val="fr-CA"/>
              </w:rPr>
              <w:t xml:space="preserve">Demande de l'intimé fondée sur l’art. 8 de la </w:t>
            </w:r>
            <w:r w:rsidRPr="00BE6616">
              <w:rPr>
                <w:rFonts w:eastAsia="Calibri"/>
                <w:i/>
                <w:sz w:val="20"/>
                <w:lang w:val="fr-CA"/>
              </w:rPr>
              <w:t>Charte</w:t>
            </w:r>
            <w:r w:rsidRPr="00BE6616">
              <w:rPr>
                <w:rFonts w:eastAsia="Calibri"/>
                <w:sz w:val="20"/>
                <w:lang w:val="fr-CA"/>
              </w:rPr>
              <w:t xml:space="preserve"> en vue d'exclure la preuve, accueillie</w:t>
            </w:r>
          </w:p>
          <w:p w:rsidR="00993696" w:rsidRPr="00BE6616" w:rsidRDefault="00993696" w:rsidP="002E3508">
            <w:pPr>
              <w:jc w:val="both"/>
              <w:rPr>
                <w:rFonts w:eastAsia="Calibri"/>
                <w:sz w:val="20"/>
                <w:lang w:val="fr-CA"/>
              </w:rPr>
            </w:pPr>
          </w:p>
        </w:tc>
      </w:tr>
      <w:tr w:rsidR="00993696" w:rsidRPr="00682661" w:rsidTr="002E3508">
        <w:tc>
          <w:tcPr>
            <w:tcW w:w="2427" w:type="pct"/>
          </w:tcPr>
          <w:p w:rsidR="00993696" w:rsidRPr="00BE6616" w:rsidRDefault="00993696" w:rsidP="002E3508">
            <w:pPr>
              <w:jc w:val="both"/>
              <w:rPr>
                <w:rFonts w:eastAsia="Calibri"/>
                <w:sz w:val="20"/>
                <w:lang w:val="fr-CA"/>
              </w:rPr>
            </w:pPr>
            <w:r w:rsidRPr="00BE6616">
              <w:rPr>
                <w:rFonts w:eastAsia="Calibri"/>
                <w:sz w:val="20"/>
                <w:lang w:val="fr-CA"/>
              </w:rPr>
              <w:t>28 avril 2009</w:t>
            </w:r>
          </w:p>
          <w:p w:rsidR="00993696" w:rsidRPr="00BE6616" w:rsidRDefault="00993696" w:rsidP="002E3508">
            <w:pPr>
              <w:jc w:val="both"/>
              <w:rPr>
                <w:rFonts w:eastAsia="Calibri"/>
                <w:sz w:val="20"/>
                <w:lang w:val="fr-CA"/>
              </w:rPr>
            </w:pPr>
            <w:r w:rsidRPr="00BE6616">
              <w:rPr>
                <w:rFonts w:eastAsia="Calibri"/>
                <w:sz w:val="20"/>
                <w:lang w:val="fr-CA"/>
              </w:rPr>
              <w:t xml:space="preserve">Cour supérieure de justice de l'Ontario </w:t>
            </w:r>
          </w:p>
          <w:p w:rsidR="00993696" w:rsidRPr="00BE6616" w:rsidRDefault="00993696" w:rsidP="002E3508">
            <w:pPr>
              <w:jc w:val="both"/>
              <w:rPr>
                <w:rFonts w:eastAsia="Calibri"/>
                <w:sz w:val="20"/>
                <w:lang w:val="fr-CA"/>
              </w:rPr>
            </w:pPr>
            <w:r w:rsidRPr="00BE6616">
              <w:rPr>
                <w:rFonts w:eastAsia="Calibri"/>
                <w:sz w:val="20"/>
                <w:lang w:val="fr-CA"/>
              </w:rPr>
              <w:t>(Juge Kane)</w:t>
            </w:r>
          </w:p>
          <w:p w:rsidR="00993696" w:rsidRPr="00BE6616" w:rsidRDefault="00993696" w:rsidP="002E3508">
            <w:pPr>
              <w:jc w:val="both"/>
              <w:rPr>
                <w:rFonts w:eastAsia="Calibri"/>
                <w:sz w:val="20"/>
                <w:lang w:val="fr-CA"/>
              </w:rPr>
            </w:pPr>
          </w:p>
        </w:tc>
        <w:tc>
          <w:tcPr>
            <w:tcW w:w="243" w:type="pct"/>
          </w:tcPr>
          <w:p w:rsidR="00993696" w:rsidRPr="00BE6616" w:rsidRDefault="00993696" w:rsidP="002E3508">
            <w:pPr>
              <w:jc w:val="both"/>
              <w:rPr>
                <w:rFonts w:eastAsia="Calibri"/>
                <w:sz w:val="20"/>
                <w:lang w:val="fr-CA"/>
              </w:rPr>
            </w:pPr>
          </w:p>
        </w:tc>
        <w:tc>
          <w:tcPr>
            <w:tcW w:w="2330" w:type="pct"/>
          </w:tcPr>
          <w:p w:rsidR="00993696" w:rsidRPr="00BE6616" w:rsidRDefault="00993696" w:rsidP="002E3508">
            <w:pPr>
              <w:jc w:val="both"/>
              <w:rPr>
                <w:rFonts w:eastAsia="Calibri"/>
                <w:sz w:val="20"/>
                <w:lang w:val="fr-CA"/>
              </w:rPr>
            </w:pPr>
            <w:r w:rsidRPr="00BE6616">
              <w:rPr>
                <w:rFonts w:eastAsia="Calibri"/>
                <w:sz w:val="20"/>
                <w:lang w:val="fr-CA"/>
              </w:rPr>
              <w:t>Appel accueilli; affaire renvoyée à procès</w:t>
            </w:r>
          </w:p>
          <w:p w:rsidR="00993696" w:rsidRPr="00BE6616" w:rsidRDefault="00993696" w:rsidP="002E3508">
            <w:pPr>
              <w:jc w:val="both"/>
              <w:rPr>
                <w:rFonts w:eastAsia="Calibri"/>
                <w:sz w:val="20"/>
                <w:lang w:val="fr-CA"/>
              </w:rPr>
            </w:pPr>
          </w:p>
        </w:tc>
      </w:tr>
      <w:tr w:rsidR="00993696" w:rsidRPr="00682661" w:rsidTr="002E3508">
        <w:tc>
          <w:tcPr>
            <w:tcW w:w="2427" w:type="pct"/>
          </w:tcPr>
          <w:p w:rsidR="00993696" w:rsidRPr="00BE6616" w:rsidRDefault="00993696" w:rsidP="002E3508">
            <w:pPr>
              <w:jc w:val="both"/>
              <w:rPr>
                <w:rFonts w:eastAsia="Calibri"/>
                <w:sz w:val="20"/>
                <w:lang w:val="fr-CA"/>
              </w:rPr>
            </w:pPr>
            <w:r w:rsidRPr="00BE6616">
              <w:rPr>
                <w:rFonts w:eastAsia="Calibri"/>
                <w:sz w:val="20"/>
                <w:lang w:val="fr-CA"/>
              </w:rPr>
              <w:t>22 mars 2011</w:t>
            </w:r>
          </w:p>
          <w:p w:rsidR="00993696" w:rsidRPr="00BE6616" w:rsidRDefault="00993696" w:rsidP="002E3508">
            <w:pPr>
              <w:jc w:val="both"/>
              <w:rPr>
                <w:rFonts w:eastAsia="Calibri"/>
                <w:sz w:val="20"/>
                <w:lang w:val="fr-CA"/>
              </w:rPr>
            </w:pPr>
            <w:r w:rsidRPr="00BE6616">
              <w:rPr>
                <w:rFonts w:eastAsia="Calibri"/>
                <w:sz w:val="20"/>
                <w:lang w:val="fr-CA"/>
              </w:rPr>
              <w:t>Cour d'appel de l'Ontario</w:t>
            </w:r>
          </w:p>
          <w:p w:rsidR="00993696" w:rsidRPr="00BE6616" w:rsidRDefault="00993696" w:rsidP="002E3508">
            <w:pPr>
              <w:jc w:val="both"/>
              <w:rPr>
                <w:rFonts w:eastAsia="Calibri"/>
                <w:sz w:val="20"/>
                <w:lang w:val="fr-CA"/>
              </w:rPr>
            </w:pPr>
            <w:r w:rsidRPr="00BE6616">
              <w:rPr>
                <w:rFonts w:eastAsia="Calibri"/>
                <w:sz w:val="20"/>
                <w:lang w:val="fr-CA"/>
              </w:rPr>
              <w:t>(Juges LeSage, Sharpe et Karakatsanis)</w:t>
            </w:r>
          </w:p>
          <w:p w:rsidR="00993696" w:rsidRPr="00BE6616" w:rsidRDefault="00993696" w:rsidP="002E3508">
            <w:pPr>
              <w:jc w:val="both"/>
              <w:rPr>
                <w:rFonts w:eastAsia="Calibri"/>
                <w:sz w:val="20"/>
                <w:lang w:val="fr-CA"/>
              </w:rPr>
            </w:pPr>
            <w:r w:rsidRPr="00BE6616">
              <w:rPr>
                <w:rFonts w:eastAsia="Calibri"/>
                <w:sz w:val="20"/>
                <w:lang w:val="fr-CA"/>
              </w:rPr>
              <w:t>Référence neutre : 2011 ONCA 218</w:t>
            </w:r>
          </w:p>
          <w:p w:rsidR="00993696" w:rsidRPr="00BE6616" w:rsidRDefault="00993696" w:rsidP="002E3508">
            <w:pPr>
              <w:jc w:val="both"/>
              <w:rPr>
                <w:rFonts w:eastAsia="Calibri"/>
                <w:sz w:val="20"/>
                <w:lang w:val="fr-CA"/>
              </w:rPr>
            </w:pPr>
            <w:r w:rsidRPr="00BE6616">
              <w:rPr>
                <w:rFonts w:eastAsia="Calibri"/>
                <w:sz w:val="20"/>
                <w:lang w:val="fr-CA"/>
              </w:rPr>
              <w:t>N</w:t>
            </w:r>
            <w:r w:rsidRPr="00BE6616">
              <w:rPr>
                <w:rFonts w:eastAsia="Calibri"/>
                <w:sz w:val="20"/>
                <w:vertAlign w:val="superscript"/>
                <w:lang w:val="fr-CA"/>
              </w:rPr>
              <w:t>o</w:t>
            </w:r>
            <w:r w:rsidRPr="00BE6616">
              <w:rPr>
                <w:rFonts w:eastAsia="Calibri"/>
                <w:sz w:val="20"/>
                <w:lang w:val="fr-CA"/>
              </w:rPr>
              <w:t xml:space="preserve"> du greffe : C50526</w:t>
            </w:r>
          </w:p>
          <w:p w:rsidR="00993696" w:rsidRPr="00BE6616" w:rsidRDefault="00993696" w:rsidP="002E3508">
            <w:pPr>
              <w:jc w:val="both"/>
              <w:rPr>
                <w:rFonts w:eastAsia="Calibri"/>
                <w:sz w:val="20"/>
                <w:lang w:val="fr-CA"/>
              </w:rPr>
            </w:pPr>
          </w:p>
        </w:tc>
        <w:tc>
          <w:tcPr>
            <w:tcW w:w="243" w:type="pct"/>
          </w:tcPr>
          <w:p w:rsidR="00993696" w:rsidRPr="00BE6616" w:rsidRDefault="00993696" w:rsidP="002E3508">
            <w:pPr>
              <w:jc w:val="both"/>
              <w:rPr>
                <w:rFonts w:eastAsia="Calibri"/>
                <w:sz w:val="20"/>
                <w:lang w:val="fr-CA"/>
              </w:rPr>
            </w:pPr>
          </w:p>
        </w:tc>
        <w:tc>
          <w:tcPr>
            <w:tcW w:w="2330" w:type="pct"/>
          </w:tcPr>
          <w:p w:rsidR="00993696" w:rsidRPr="00BE6616" w:rsidRDefault="00993696" w:rsidP="002E3508">
            <w:pPr>
              <w:jc w:val="both"/>
              <w:rPr>
                <w:rFonts w:eastAsia="Calibri"/>
                <w:sz w:val="20"/>
                <w:lang w:val="fr-CA"/>
              </w:rPr>
            </w:pPr>
            <w:r w:rsidRPr="00BE6616">
              <w:rPr>
                <w:rFonts w:eastAsia="Calibri"/>
                <w:sz w:val="20"/>
                <w:lang w:val="fr-CA"/>
              </w:rPr>
              <w:t>Appel accueilli; décision du juge de la cour d'appel en matière de poursuites sommaires, annulée; ordonnance substituée excluant la preuve du disque renfermant des fichiers Internet temporaires, l'ordinateur portable et son image</w:t>
            </w:r>
            <w:r w:rsidRPr="00BE6616">
              <w:rPr>
                <w:rFonts w:eastAsia="Calibri"/>
                <w:sz w:val="20"/>
                <w:lang w:val="fr-CA"/>
              </w:rPr>
              <w:noBreakHyphen/>
              <w:t>miroir; affaire renvoyée à procès</w:t>
            </w:r>
          </w:p>
          <w:p w:rsidR="00993696" w:rsidRPr="00BE6616" w:rsidRDefault="00993696" w:rsidP="002E3508">
            <w:pPr>
              <w:jc w:val="both"/>
              <w:rPr>
                <w:rFonts w:eastAsia="Calibri"/>
                <w:sz w:val="20"/>
                <w:lang w:val="fr-CA"/>
              </w:rPr>
            </w:pPr>
          </w:p>
        </w:tc>
      </w:tr>
      <w:tr w:rsidR="00993696" w:rsidRPr="00BE6616" w:rsidTr="002E3508">
        <w:tc>
          <w:tcPr>
            <w:tcW w:w="2427" w:type="pct"/>
          </w:tcPr>
          <w:p w:rsidR="00993696" w:rsidRPr="00BE6616" w:rsidRDefault="00993696" w:rsidP="002E3508">
            <w:pPr>
              <w:jc w:val="both"/>
              <w:rPr>
                <w:rFonts w:eastAsia="Calibri"/>
                <w:sz w:val="20"/>
                <w:lang w:val="fr-CA"/>
              </w:rPr>
            </w:pPr>
            <w:r w:rsidRPr="00BE6616">
              <w:rPr>
                <w:rFonts w:eastAsia="Calibri"/>
                <w:sz w:val="20"/>
                <w:lang w:val="fr-CA"/>
              </w:rPr>
              <w:t>20 mai 2011</w:t>
            </w:r>
          </w:p>
          <w:p w:rsidR="00993696" w:rsidRPr="00BE6616" w:rsidRDefault="00993696" w:rsidP="002E3508">
            <w:pPr>
              <w:jc w:val="both"/>
              <w:rPr>
                <w:rFonts w:eastAsia="Calibri"/>
                <w:sz w:val="20"/>
                <w:lang w:val="fr-CA"/>
              </w:rPr>
            </w:pPr>
            <w:r w:rsidRPr="00BE6616">
              <w:rPr>
                <w:rFonts w:eastAsia="Calibri"/>
                <w:sz w:val="20"/>
                <w:lang w:val="fr-CA"/>
              </w:rPr>
              <w:t>Cour suprême du Canada</w:t>
            </w:r>
          </w:p>
        </w:tc>
        <w:tc>
          <w:tcPr>
            <w:tcW w:w="243" w:type="pct"/>
          </w:tcPr>
          <w:p w:rsidR="00993696" w:rsidRPr="00BE6616" w:rsidRDefault="00993696" w:rsidP="002E3508">
            <w:pPr>
              <w:jc w:val="both"/>
              <w:rPr>
                <w:rFonts w:eastAsia="Calibri"/>
                <w:sz w:val="20"/>
                <w:lang w:val="fr-CA"/>
              </w:rPr>
            </w:pPr>
          </w:p>
        </w:tc>
        <w:tc>
          <w:tcPr>
            <w:tcW w:w="2330" w:type="pct"/>
          </w:tcPr>
          <w:p w:rsidR="00993696" w:rsidRPr="00BE6616" w:rsidRDefault="00993696" w:rsidP="002E3508">
            <w:pPr>
              <w:jc w:val="both"/>
              <w:rPr>
                <w:rFonts w:eastAsia="Calibri"/>
                <w:sz w:val="20"/>
                <w:lang w:val="fr-CA"/>
              </w:rPr>
            </w:pPr>
            <w:r w:rsidRPr="00BE6616">
              <w:rPr>
                <w:rFonts w:eastAsia="Calibri"/>
                <w:sz w:val="20"/>
                <w:lang w:val="fr-CA"/>
              </w:rPr>
              <w:t>Demande d'autorisation d'appel, déposée</w:t>
            </w: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74"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D7C3A" w:rsidRPr="009D5E94" w:rsidTr="002E3508">
        <w:trPr>
          <w:cantSplit/>
        </w:trPr>
        <w:tc>
          <w:tcPr>
            <w:tcW w:w="1458" w:type="dxa"/>
          </w:tcPr>
          <w:p w:rsidR="009D7C3A" w:rsidRPr="009D5E94" w:rsidRDefault="009D7C3A" w:rsidP="002E3508">
            <w:pPr>
              <w:rPr>
                <w:sz w:val="20"/>
                <w:szCs w:val="20"/>
              </w:rPr>
            </w:pPr>
            <w:r w:rsidRPr="009D5E94">
              <w:rPr>
                <w:rStyle w:val="SCCFileNumberChar"/>
                <w:sz w:val="20"/>
                <w:szCs w:val="20"/>
              </w:rPr>
              <w:t>34271</w:t>
            </w:r>
          </w:p>
          <w:p w:rsidR="009D7C3A" w:rsidRPr="009D5E94" w:rsidRDefault="009D7C3A" w:rsidP="002E3508">
            <w:pPr>
              <w:rPr>
                <w:b/>
                <w:sz w:val="20"/>
                <w:szCs w:val="20"/>
                <w:lang w:val="fr-CA"/>
              </w:rPr>
            </w:pPr>
          </w:p>
        </w:tc>
        <w:tc>
          <w:tcPr>
            <w:tcW w:w="8118" w:type="dxa"/>
          </w:tcPr>
          <w:p w:rsidR="009D7C3A" w:rsidRPr="009D5E94" w:rsidRDefault="009D7C3A" w:rsidP="002E3508">
            <w:pPr>
              <w:jc w:val="both"/>
              <w:rPr>
                <w:sz w:val="20"/>
                <w:szCs w:val="20"/>
              </w:rPr>
            </w:pPr>
            <w:r w:rsidRPr="009D7C3A">
              <w:rPr>
                <w:rStyle w:val="SCCLsocChar"/>
                <w:sz w:val="20"/>
                <w:szCs w:val="20"/>
                <w:lang w:val="en-CA"/>
              </w:rPr>
              <w:t>James Michael Bishop v. Christine Catherine Bishop</w:t>
            </w:r>
            <w:r w:rsidR="00A44175">
              <w:rPr>
                <w:rStyle w:val="SCCLsocChar"/>
                <w:sz w:val="20"/>
                <w:szCs w:val="20"/>
                <w:lang w:val="en-CA"/>
              </w:rPr>
              <w:t xml:space="preserve"> and</w:t>
            </w:r>
            <w:r w:rsidRPr="009D7C3A">
              <w:rPr>
                <w:rStyle w:val="SCCLsocChar"/>
                <w:sz w:val="20"/>
                <w:szCs w:val="20"/>
                <w:lang w:val="en-CA"/>
              </w:rPr>
              <w:t xml:space="preserve"> Anne Alma McGourty</w:t>
            </w:r>
            <w:r w:rsidRPr="009D5E94">
              <w:rPr>
                <w:sz w:val="20"/>
                <w:szCs w:val="20"/>
              </w:rPr>
              <w:t xml:space="preserve"> (Ont.) (Civil) (By Leave)</w:t>
            </w:r>
          </w:p>
          <w:p w:rsidR="009D7C3A" w:rsidRPr="009D5E94" w:rsidRDefault="009D7C3A" w:rsidP="002E3508">
            <w:pPr>
              <w:rPr>
                <w:sz w:val="20"/>
                <w:szCs w:val="20"/>
              </w:rPr>
            </w:pPr>
          </w:p>
        </w:tc>
      </w:tr>
      <w:tr w:rsidR="009D7C3A" w:rsidRPr="009D5E94" w:rsidTr="002E3508">
        <w:trPr>
          <w:cantSplit/>
        </w:trPr>
        <w:tc>
          <w:tcPr>
            <w:tcW w:w="1458" w:type="dxa"/>
          </w:tcPr>
          <w:p w:rsidR="009D7C3A" w:rsidRPr="009D5E94" w:rsidRDefault="009D7C3A" w:rsidP="002E3508">
            <w:pPr>
              <w:rPr>
                <w:sz w:val="20"/>
                <w:szCs w:val="20"/>
              </w:rPr>
            </w:pPr>
            <w:r w:rsidRPr="009D5E94">
              <w:rPr>
                <w:sz w:val="20"/>
                <w:szCs w:val="20"/>
              </w:rPr>
              <w:t>Coram :</w:t>
            </w:r>
          </w:p>
        </w:tc>
        <w:tc>
          <w:tcPr>
            <w:tcW w:w="8118" w:type="dxa"/>
          </w:tcPr>
          <w:p w:rsidR="009D7C3A" w:rsidRPr="009D5E94" w:rsidRDefault="009D7C3A" w:rsidP="002E3508">
            <w:pPr>
              <w:rPr>
                <w:sz w:val="20"/>
                <w:szCs w:val="20"/>
              </w:rPr>
            </w:pPr>
            <w:r w:rsidRPr="009D5E94">
              <w:rPr>
                <w:rStyle w:val="SCCCoramChar"/>
                <w:sz w:val="20"/>
                <w:szCs w:val="20"/>
              </w:rPr>
              <w:t>McLachlin C.J. and Deschamps and Cromwell JJ.</w:t>
            </w:r>
          </w:p>
          <w:p w:rsidR="009D7C3A" w:rsidRPr="009D5E94" w:rsidRDefault="009D7C3A" w:rsidP="002E3508">
            <w:pPr>
              <w:rPr>
                <w:sz w:val="20"/>
                <w:szCs w:val="20"/>
                <w:u w:val="single"/>
              </w:rPr>
            </w:pPr>
          </w:p>
        </w:tc>
      </w:tr>
      <w:tr w:rsidR="009D7C3A" w:rsidRPr="00682661" w:rsidTr="002E3508">
        <w:trPr>
          <w:cantSplit/>
        </w:trPr>
        <w:tc>
          <w:tcPr>
            <w:tcW w:w="9576" w:type="dxa"/>
            <w:gridSpan w:val="2"/>
          </w:tcPr>
          <w:p w:rsidR="009D7C3A" w:rsidRPr="009D5E94" w:rsidRDefault="009D7C3A" w:rsidP="002E3508">
            <w:pPr>
              <w:pStyle w:val="SCCShortJudgment"/>
              <w:rPr>
                <w:szCs w:val="20"/>
              </w:rPr>
            </w:pPr>
            <w:r w:rsidRPr="009D5E94">
              <w:rPr>
                <w:szCs w:val="20"/>
              </w:rPr>
              <w:t>The application for leave to appeal from the judgment of the Court of Appeal for Ontario, Number C52841, 2011 ONCA 211, dated March 17, 2011, is dismissed with costs.</w:t>
            </w:r>
          </w:p>
          <w:p w:rsidR="009D7C3A" w:rsidRPr="009D5E94" w:rsidRDefault="009D7C3A" w:rsidP="002E3508">
            <w:pPr>
              <w:pStyle w:val="SCCShortJudgment"/>
              <w:ind w:firstLine="0"/>
              <w:rPr>
                <w:szCs w:val="20"/>
              </w:rPr>
            </w:pPr>
          </w:p>
          <w:p w:rsidR="009D7C3A" w:rsidRPr="009D5E94" w:rsidRDefault="009D7C3A" w:rsidP="002E3508">
            <w:pPr>
              <w:pStyle w:val="SCCShortJudgment"/>
              <w:rPr>
                <w:szCs w:val="20"/>
                <w:lang w:val="fr-CA"/>
              </w:rPr>
            </w:pPr>
            <w:r w:rsidRPr="009D5E94">
              <w:rPr>
                <w:szCs w:val="20"/>
                <w:lang w:val="fr-CA"/>
              </w:rPr>
              <w:t>La demande d’autorisation d’appel de l’arrêt de la Cour d’appel de l’Ontario, numéro C52841, 2011 ONCA 211, daté du 17 mars 2011, est rejetée avec dépens.</w:t>
            </w:r>
          </w:p>
        </w:tc>
      </w:tr>
    </w:tbl>
    <w:p w:rsidR="007B50F9" w:rsidRPr="009D7C3A" w:rsidRDefault="007B50F9" w:rsidP="007B50F9">
      <w:pPr>
        <w:rPr>
          <w:sz w:val="20"/>
          <w:szCs w:val="20"/>
          <w:lang w:val="fr-CA"/>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67938" w:rsidRPr="00BE6616" w:rsidTr="002E3508">
        <w:tc>
          <w:tcPr>
            <w:tcW w:w="5000" w:type="pct"/>
            <w:gridSpan w:val="3"/>
          </w:tcPr>
          <w:p w:rsidR="00D67938" w:rsidRPr="00BE6616" w:rsidRDefault="00D67938" w:rsidP="002E3508">
            <w:pPr>
              <w:jc w:val="both"/>
              <w:rPr>
                <w:rFonts w:eastAsia="Calibri"/>
                <w:sz w:val="20"/>
              </w:rPr>
            </w:pPr>
            <w:r w:rsidRPr="00BE6616">
              <w:rPr>
                <w:rFonts w:eastAsia="Calibri"/>
                <w:sz w:val="20"/>
              </w:rPr>
              <w:t>Civil procedure — Parties — Vexatious litigants — Applicant declared a vexatious litigant — Whether court of appeal erred in its consideration of Applicant’s evidence and in failing to overturn decision declaring him to be a vexatious litigant — Whether court of appeal erred in failing to consider all of Applicant’s reasons</w:t>
            </w:r>
          </w:p>
        </w:tc>
      </w:tr>
      <w:tr w:rsidR="00D67938" w:rsidRPr="00BE6616" w:rsidTr="002E3508">
        <w:tc>
          <w:tcPr>
            <w:tcW w:w="5000" w:type="pct"/>
            <w:gridSpan w:val="3"/>
          </w:tcPr>
          <w:p w:rsidR="00D67938" w:rsidRPr="00BE6616" w:rsidRDefault="00D67938" w:rsidP="002E3508">
            <w:pPr>
              <w:jc w:val="both"/>
              <w:rPr>
                <w:rFonts w:eastAsia="Calibri"/>
                <w:sz w:val="20"/>
              </w:rPr>
            </w:pPr>
          </w:p>
        </w:tc>
      </w:tr>
      <w:tr w:rsidR="00D67938" w:rsidRPr="00BE6616" w:rsidTr="002E3508">
        <w:tc>
          <w:tcPr>
            <w:tcW w:w="5000" w:type="pct"/>
            <w:gridSpan w:val="3"/>
          </w:tcPr>
          <w:p w:rsidR="00D67938" w:rsidRPr="00BE6616" w:rsidRDefault="00D67938" w:rsidP="002E3508">
            <w:pPr>
              <w:jc w:val="both"/>
              <w:rPr>
                <w:rFonts w:eastAsia="Calibri"/>
                <w:sz w:val="20"/>
              </w:rPr>
            </w:pPr>
            <w:r w:rsidRPr="00BE6616">
              <w:rPr>
                <w:rFonts w:eastAsia="Calibri"/>
                <w:sz w:val="20"/>
              </w:rPr>
              <w:t xml:space="preserve">Mr. Bishop believed that the respondents, both his sisters, were misappropriating money from their mother before her death in 2009 at the age of 93.  In 1993, the mother had granted the respondents power of attorney.  In 2006, a court determined that Mr. Bishop’s allegations of theft, fraud and elder abuse were unfounded and he was declared a vexatious litigant.  The court of appeal overturned the vexatious litigant order.  Mr. Bishop then sought to have criminal charges brought against his sisters but after an eight month investigation, the conclusion was that all of Mr. Bishop’s allegations were unfounded.  He filed several complaints against his sisters, and various other individuals involved in the case to different professional bodies.  After his mother’s death, he filed an objection with the court to prevent his sisters from being appointed trustees.  When they were appointed by the court, he filed an appeal.  His </w:t>
            </w:r>
            <w:r w:rsidRPr="00BE6616">
              <w:rPr>
                <w:rFonts w:eastAsia="Calibri"/>
                <w:sz w:val="20"/>
              </w:rPr>
              <w:lastRenderedPageBreak/>
              <w:t>sisters applied to have him declared a vexatious litigant.</w:t>
            </w:r>
          </w:p>
          <w:p w:rsidR="00D67938" w:rsidRPr="00BE6616" w:rsidRDefault="00D67938" w:rsidP="002E3508">
            <w:pPr>
              <w:jc w:val="both"/>
              <w:rPr>
                <w:rFonts w:eastAsia="Calibri"/>
                <w:sz w:val="20"/>
              </w:rPr>
            </w:pPr>
          </w:p>
        </w:tc>
      </w:tr>
      <w:tr w:rsidR="00D67938" w:rsidRPr="00BE6616" w:rsidTr="002E3508">
        <w:tc>
          <w:tcPr>
            <w:tcW w:w="2427" w:type="pct"/>
          </w:tcPr>
          <w:p w:rsidR="00D67938" w:rsidRPr="00BE6616" w:rsidRDefault="00D67938" w:rsidP="002E3508">
            <w:pPr>
              <w:jc w:val="both"/>
              <w:rPr>
                <w:rFonts w:eastAsia="Calibri"/>
                <w:sz w:val="20"/>
              </w:rPr>
            </w:pPr>
            <w:r w:rsidRPr="00BE6616">
              <w:rPr>
                <w:rFonts w:eastAsia="Calibri"/>
                <w:sz w:val="20"/>
              </w:rPr>
              <w:lastRenderedPageBreak/>
              <w:t>October 5, 2010</w:t>
            </w:r>
          </w:p>
          <w:p w:rsidR="00D67938" w:rsidRPr="00BE6616" w:rsidRDefault="00D67938" w:rsidP="002E3508">
            <w:pPr>
              <w:jc w:val="both"/>
              <w:rPr>
                <w:rFonts w:eastAsia="Calibri"/>
                <w:sz w:val="20"/>
              </w:rPr>
            </w:pPr>
            <w:r w:rsidRPr="00BE6616">
              <w:rPr>
                <w:rFonts w:eastAsia="Calibri"/>
                <w:sz w:val="20"/>
              </w:rPr>
              <w:t>Ontario Superior Court of Justice</w:t>
            </w:r>
          </w:p>
          <w:p w:rsidR="00D67938" w:rsidRPr="00BE6616" w:rsidRDefault="00D67938" w:rsidP="002E3508">
            <w:pPr>
              <w:jc w:val="both"/>
              <w:rPr>
                <w:rFonts w:eastAsia="Calibri"/>
                <w:sz w:val="20"/>
              </w:rPr>
            </w:pPr>
            <w:r w:rsidRPr="00BE6616">
              <w:rPr>
                <w:rFonts w:eastAsia="Calibri"/>
                <w:sz w:val="20"/>
              </w:rPr>
              <w:t>(Cornell J.)</w:t>
            </w:r>
          </w:p>
          <w:p w:rsidR="00D67938" w:rsidRPr="00BE6616" w:rsidRDefault="00D67938" w:rsidP="002E3508">
            <w:pPr>
              <w:jc w:val="both"/>
              <w:rPr>
                <w:rFonts w:eastAsia="Calibri"/>
                <w:sz w:val="20"/>
              </w:rPr>
            </w:pPr>
            <w:r w:rsidRPr="00BE6616">
              <w:rPr>
                <w:rFonts w:eastAsia="Calibri"/>
                <w:sz w:val="20"/>
              </w:rPr>
              <w:t xml:space="preserve">2010 ONSC 6314 </w:t>
            </w:r>
          </w:p>
          <w:p w:rsidR="00D67938" w:rsidRPr="00BE6616" w:rsidRDefault="00D67938" w:rsidP="002E3508">
            <w:pPr>
              <w:jc w:val="both"/>
              <w:rPr>
                <w:rFonts w:eastAsia="Calibri"/>
                <w:sz w:val="20"/>
              </w:rPr>
            </w:pPr>
          </w:p>
        </w:tc>
        <w:tc>
          <w:tcPr>
            <w:tcW w:w="243" w:type="pct"/>
          </w:tcPr>
          <w:p w:rsidR="00D67938" w:rsidRPr="00BE6616" w:rsidRDefault="00D67938" w:rsidP="002E3508">
            <w:pPr>
              <w:jc w:val="both"/>
              <w:rPr>
                <w:rFonts w:eastAsia="Calibri"/>
                <w:sz w:val="20"/>
              </w:rPr>
            </w:pPr>
          </w:p>
        </w:tc>
        <w:tc>
          <w:tcPr>
            <w:tcW w:w="2330" w:type="pct"/>
          </w:tcPr>
          <w:p w:rsidR="00D67938" w:rsidRPr="00BE6616" w:rsidRDefault="00D67938" w:rsidP="002E3508">
            <w:pPr>
              <w:jc w:val="both"/>
              <w:rPr>
                <w:rFonts w:eastAsia="Calibri"/>
                <w:sz w:val="20"/>
              </w:rPr>
            </w:pPr>
            <w:r w:rsidRPr="00BE6616">
              <w:rPr>
                <w:rFonts w:eastAsia="Calibri"/>
                <w:sz w:val="20"/>
              </w:rPr>
              <w:t>Respondents’ motion to have Applicant declared a vexatious litigant granted</w:t>
            </w:r>
          </w:p>
          <w:p w:rsidR="00D67938" w:rsidRPr="00BE6616" w:rsidRDefault="00D67938" w:rsidP="002E3508">
            <w:pPr>
              <w:jc w:val="both"/>
              <w:rPr>
                <w:rFonts w:eastAsia="Calibri"/>
                <w:sz w:val="20"/>
              </w:rPr>
            </w:pPr>
          </w:p>
          <w:p w:rsidR="00D67938" w:rsidRPr="00BE6616" w:rsidRDefault="00D67938" w:rsidP="002E3508">
            <w:pPr>
              <w:jc w:val="both"/>
              <w:rPr>
                <w:rFonts w:eastAsia="Calibri"/>
                <w:sz w:val="20"/>
              </w:rPr>
            </w:pPr>
          </w:p>
        </w:tc>
      </w:tr>
      <w:tr w:rsidR="00D67938" w:rsidRPr="00BE6616" w:rsidTr="002E3508">
        <w:tc>
          <w:tcPr>
            <w:tcW w:w="2427" w:type="pct"/>
          </w:tcPr>
          <w:p w:rsidR="00D67938" w:rsidRPr="00BE6616" w:rsidRDefault="00D67938" w:rsidP="002E3508">
            <w:pPr>
              <w:jc w:val="both"/>
              <w:rPr>
                <w:rFonts w:eastAsia="Calibri"/>
                <w:sz w:val="20"/>
              </w:rPr>
            </w:pPr>
            <w:r w:rsidRPr="00BE6616">
              <w:rPr>
                <w:rFonts w:eastAsia="Calibri"/>
                <w:sz w:val="20"/>
              </w:rPr>
              <w:t>March 17, 2011</w:t>
            </w:r>
          </w:p>
          <w:p w:rsidR="00D67938" w:rsidRPr="00BE6616" w:rsidRDefault="00D67938" w:rsidP="002E3508">
            <w:pPr>
              <w:jc w:val="both"/>
              <w:rPr>
                <w:rFonts w:eastAsia="Calibri"/>
                <w:sz w:val="20"/>
              </w:rPr>
            </w:pPr>
            <w:r w:rsidRPr="00BE6616">
              <w:rPr>
                <w:rFonts w:eastAsia="Calibri"/>
                <w:sz w:val="20"/>
              </w:rPr>
              <w:t>Court of Appeal for Ontario</w:t>
            </w:r>
          </w:p>
          <w:p w:rsidR="00D67938" w:rsidRPr="00BE6616" w:rsidRDefault="00D67938" w:rsidP="002E3508">
            <w:pPr>
              <w:jc w:val="both"/>
              <w:rPr>
                <w:rFonts w:eastAsia="Calibri"/>
                <w:sz w:val="20"/>
              </w:rPr>
            </w:pPr>
            <w:r w:rsidRPr="00BE6616">
              <w:rPr>
                <w:rFonts w:eastAsia="Calibri"/>
                <w:sz w:val="20"/>
              </w:rPr>
              <w:t>(Rosenberg, Moldaver and Feldman JJ.A.)</w:t>
            </w:r>
          </w:p>
          <w:p w:rsidR="00D67938" w:rsidRPr="00BE6616" w:rsidRDefault="00D67938" w:rsidP="002E3508">
            <w:pPr>
              <w:jc w:val="both"/>
              <w:rPr>
                <w:rFonts w:eastAsia="Calibri"/>
                <w:sz w:val="20"/>
              </w:rPr>
            </w:pPr>
            <w:r w:rsidRPr="00BE6616">
              <w:rPr>
                <w:rFonts w:eastAsia="Calibri"/>
                <w:sz w:val="20"/>
              </w:rPr>
              <w:t>2011 ONCA 211</w:t>
            </w:r>
          </w:p>
          <w:p w:rsidR="00D67938" w:rsidRPr="00BE6616" w:rsidRDefault="00D67938" w:rsidP="002E3508">
            <w:pPr>
              <w:jc w:val="both"/>
              <w:rPr>
                <w:rFonts w:eastAsia="Calibri"/>
                <w:sz w:val="20"/>
              </w:rPr>
            </w:pPr>
          </w:p>
        </w:tc>
        <w:tc>
          <w:tcPr>
            <w:tcW w:w="243" w:type="pct"/>
          </w:tcPr>
          <w:p w:rsidR="00D67938" w:rsidRPr="00BE6616" w:rsidRDefault="00D67938" w:rsidP="002E3508">
            <w:pPr>
              <w:jc w:val="both"/>
              <w:rPr>
                <w:rFonts w:eastAsia="Calibri"/>
                <w:sz w:val="20"/>
              </w:rPr>
            </w:pPr>
          </w:p>
        </w:tc>
        <w:tc>
          <w:tcPr>
            <w:tcW w:w="2330" w:type="pct"/>
          </w:tcPr>
          <w:p w:rsidR="00D67938" w:rsidRPr="00BE6616" w:rsidRDefault="00D67938" w:rsidP="002E3508">
            <w:pPr>
              <w:jc w:val="both"/>
              <w:rPr>
                <w:rFonts w:eastAsia="Calibri"/>
                <w:sz w:val="20"/>
              </w:rPr>
            </w:pPr>
            <w:r w:rsidRPr="00BE6616">
              <w:rPr>
                <w:rFonts w:eastAsia="Calibri"/>
                <w:sz w:val="20"/>
              </w:rPr>
              <w:t>Appeal dismissed</w:t>
            </w:r>
          </w:p>
          <w:p w:rsidR="00D67938" w:rsidRPr="00BE6616" w:rsidRDefault="00D67938" w:rsidP="002E3508">
            <w:pPr>
              <w:jc w:val="both"/>
              <w:rPr>
                <w:rFonts w:eastAsia="Calibri"/>
                <w:sz w:val="20"/>
              </w:rPr>
            </w:pPr>
          </w:p>
        </w:tc>
      </w:tr>
      <w:tr w:rsidR="00D67938" w:rsidRPr="00BE6616" w:rsidTr="002E3508">
        <w:tc>
          <w:tcPr>
            <w:tcW w:w="2427" w:type="pct"/>
          </w:tcPr>
          <w:p w:rsidR="00D67938" w:rsidRPr="00BE6616" w:rsidRDefault="00D67938" w:rsidP="002E3508">
            <w:pPr>
              <w:jc w:val="both"/>
              <w:rPr>
                <w:rFonts w:eastAsia="Calibri"/>
                <w:sz w:val="20"/>
              </w:rPr>
            </w:pPr>
            <w:r w:rsidRPr="00BE6616">
              <w:rPr>
                <w:rFonts w:eastAsia="Calibri"/>
                <w:sz w:val="20"/>
              </w:rPr>
              <w:t>May 13, 2011</w:t>
            </w:r>
          </w:p>
          <w:p w:rsidR="00D67938" w:rsidRPr="00BE6616" w:rsidRDefault="00D67938" w:rsidP="002E3508">
            <w:pPr>
              <w:jc w:val="both"/>
              <w:rPr>
                <w:rFonts w:eastAsia="Calibri"/>
                <w:sz w:val="20"/>
              </w:rPr>
            </w:pPr>
            <w:r w:rsidRPr="00BE6616">
              <w:rPr>
                <w:rFonts w:eastAsia="Calibri"/>
                <w:sz w:val="20"/>
              </w:rPr>
              <w:t>Supreme Court of Canada</w:t>
            </w:r>
          </w:p>
        </w:tc>
        <w:tc>
          <w:tcPr>
            <w:tcW w:w="243" w:type="pct"/>
          </w:tcPr>
          <w:p w:rsidR="00D67938" w:rsidRPr="00BE6616" w:rsidRDefault="00D67938" w:rsidP="002E3508">
            <w:pPr>
              <w:jc w:val="both"/>
              <w:rPr>
                <w:rFonts w:eastAsia="Calibri"/>
                <w:sz w:val="20"/>
              </w:rPr>
            </w:pPr>
          </w:p>
        </w:tc>
        <w:tc>
          <w:tcPr>
            <w:tcW w:w="2330" w:type="pct"/>
          </w:tcPr>
          <w:p w:rsidR="00D67938" w:rsidRPr="00BE6616" w:rsidRDefault="00D67938" w:rsidP="002E3508">
            <w:pPr>
              <w:jc w:val="both"/>
              <w:rPr>
                <w:rFonts w:eastAsia="Calibri"/>
                <w:sz w:val="20"/>
              </w:rPr>
            </w:pPr>
            <w:r w:rsidRPr="00BE6616">
              <w:rPr>
                <w:rFonts w:eastAsia="Calibri"/>
                <w:sz w:val="20"/>
              </w:rPr>
              <w:t>Application for leave to appeal filed</w:t>
            </w:r>
          </w:p>
          <w:p w:rsidR="00D67938" w:rsidRPr="00BE6616" w:rsidRDefault="00D67938" w:rsidP="002E350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75"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D67938" w:rsidRPr="00682661" w:rsidTr="002E3508">
        <w:tc>
          <w:tcPr>
            <w:tcW w:w="5000" w:type="pct"/>
            <w:gridSpan w:val="3"/>
          </w:tcPr>
          <w:p w:rsidR="00D67938" w:rsidRPr="00BE6616" w:rsidRDefault="00D67938" w:rsidP="002E3508">
            <w:pPr>
              <w:jc w:val="both"/>
              <w:rPr>
                <w:rFonts w:eastAsia="Calibri"/>
                <w:sz w:val="20"/>
                <w:lang w:val="fr-CA"/>
              </w:rPr>
            </w:pPr>
            <w:r w:rsidRPr="00BE6616">
              <w:rPr>
                <w:rFonts w:eastAsia="Calibri"/>
                <w:sz w:val="20"/>
                <w:lang w:val="fr-CA"/>
              </w:rPr>
              <w:t>Procédure civile — Parties — Plaideurs quérulents — Demandeur déclaré plaideur quérulent — La Cour d’appel a</w:t>
            </w:r>
            <w:r w:rsidRPr="00BE6616">
              <w:rPr>
                <w:rFonts w:eastAsia="Calibri"/>
                <w:sz w:val="20"/>
                <w:lang w:val="fr-CA"/>
              </w:rPr>
              <w:noBreakHyphen/>
              <w:t>t</w:t>
            </w:r>
            <w:r w:rsidRPr="00BE6616">
              <w:rPr>
                <w:rFonts w:eastAsia="Calibri"/>
                <w:sz w:val="20"/>
                <w:lang w:val="fr-CA"/>
              </w:rPr>
              <w:noBreakHyphen/>
              <w:t>elle commis une erreur dans sa considération de la preuve du demandeur et en n’infirmant pas la décision qui l’a déclaré plaideur quérulent? — La Cour d’appel a</w:t>
            </w:r>
            <w:r w:rsidRPr="00BE6616">
              <w:rPr>
                <w:rFonts w:eastAsia="Calibri"/>
                <w:sz w:val="20"/>
                <w:lang w:val="fr-CA"/>
              </w:rPr>
              <w:noBreakHyphen/>
              <w:t>t</w:t>
            </w:r>
            <w:r w:rsidRPr="00BE6616">
              <w:rPr>
                <w:rFonts w:eastAsia="Calibri"/>
                <w:sz w:val="20"/>
                <w:lang w:val="fr-CA"/>
              </w:rPr>
              <w:noBreakHyphen/>
              <w:t>elle eu tort de ne pas avoir considéré tous les motifs du demandeur?</w:t>
            </w:r>
          </w:p>
        </w:tc>
      </w:tr>
      <w:tr w:rsidR="00D67938" w:rsidRPr="00682661" w:rsidTr="002E3508">
        <w:tc>
          <w:tcPr>
            <w:tcW w:w="5000" w:type="pct"/>
            <w:gridSpan w:val="3"/>
          </w:tcPr>
          <w:p w:rsidR="00D67938" w:rsidRPr="00BE6616" w:rsidRDefault="00D67938" w:rsidP="002E3508">
            <w:pPr>
              <w:jc w:val="both"/>
              <w:rPr>
                <w:rFonts w:eastAsia="Calibri"/>
                <w:sz w:val="20"/>
                <w:lang w:val="fr-CA"/>
              </w:rPr>
            </w:pPr>
          </w:p>
        </w:tc>
      </w:tr>
      <w:tr w:rsidR="00D67938" w:rsidRPr="00682661" w:rsidTr="002E3508">
        <w:tc>
          <w:tcPr>
            <w:tcW w:w="5000" w:type="pct"/>
            <w:gridSpan w:val="3"/>
          </w:tcPr>
          <w:p w:rsidR="00D67938" w:rsidRPr="00BE6616" w:rsidRDefault="00D67938" w:rsidP="002E3508">
            <w:pPr>
              <w:jc w:val="both"/>
              <w:rPr>
                <w:rFonts w:eastAsia="Calibri"/>
                <w:sz w:val="20"/>
                <w:lang w:val="fr-CA"/>
              </w:rPr>
            </w:pPr>
            <w:r w:rsidRPr="00BE6616">
              <w:rPr>
                <w:rFonts w:eastAsia="Calibri"/>
                <w:sz w:val="20"/>
                <w:lang w:val="fr-CA"/>
              </w:rPr>
              <w:t>Monsieur Bishop croyait que les intimées, ses deux sœurs, avaient détourné de l’argent appartenant à leur mère avant son décès en 2009 à l’âge de 93 ans.  En 1993, la mère avait donné une procuration aux intimées.  En 2006, un tribunal a statué que les allégations de vol, de fraude et de violence envers une personne âgée soulevées par M. Bishop étaient non fondées et l’a déclaré plaideur quérulent.  La Cour d’appel a infirmé la déclaration de plaideur quérulent. Monsieur Bishop a alors tenté de faire porter des accusations au criminel contre ses sœurs, mais après une enquête de huit mois, on a conclu que toutes les allégations de M. Bishop étaient non fondées.  Il a déposé plusieurs plaintes contre ses sœurs et diverses autres personnes impliquées dans l’affaire à divers ordres professionnels.  Après le décès de sa mère, il a déposé une opposition au tribunal pour empêcher ses sœurs d’être nommées fiduciaires.  Lorsqu’elles ont été nommées par le tribunal, il a interjeté appel.  Ses sœurs ont présenté une demande pour le faire déclarer plaideur quérulent.</w:t>
            </w:r>
          </w:p>
          <w:p w:rsidR="00D67938" w:rsidRPr="00BE6616" w:rsidRDefault="00D67938" w:rsidP="002E3508">
            <w:pPr>
              <w:jc w:val="both"/>
              <w:rPr>
                <w:rFonts w:eastAsia="Calibri"/>
                <w:sz w:val="20"/>
                <w:lang w:val="fr-CA"/>
              </w:rPr>
            </w:pPr>
          </w:p>
        </w:tc>
      </w:tr>
      <w:tr w:rsidR="00D67938" w:rsidRPr="00682661" w:rsidTr="002E3508">
        <w:tc>
          <w:tcPr>
            <w:tcW w:w="2427" w:type="pct"/>
          </w:tcPr>
          <w:p w:rsidR="00D67938" w:rsidRPr="00BE6616" w:rsidRDefault="00D67938" w:rsidP="002E3508">
            <w:pPr>
              <w:jc w:val="both"/>
              <w:rPr>
                <w:rFonts w:eastAsia="Calibri"/>
                <w:sz w:val="20"/>
                <w:lang w:val="fr-CA"/>
              </w:rPr>
            </w:pPr>
            <w:r w:rsidRPr="00BE6616">
              <w:rPr>
                <w:rFonts w:eastAsia="Calibri"/>
                <w:sz w:val="20"/>
                <w:lang w:val="fr-CA"/>
              </w:rPr>
              <w:t>5 octobre 2010</w:t>
            </w:r>
          </w:p>
          <w:p w:rsidR="00D67938" w:rsidRPr="00BE6616" w:rsidRDefault="00D67938" w:rsidP="002E3508">
            <w:pPr>
              <w:jc w:val="both"/>
              <w:rPr>
                <w:rFonts w:eastAsia="Calibri"/>
                <w:sz w:val="20"/>
                <w:lang w:val="fr-CA"/>
              </w:rPr>
            </w:pPr>
            <w:r w:rsidRPr="00BE6616">
              <w:rPr>
                <w:rFonts w:eastAsia="Calibri"/>
                <w:sz w:val="20"/>
                <w:lang w:val="fr-CA"/>
              </w:rPr>
              <w:t>Cour supérieure de justice de l’Ontario</w:t>
            </w:r>
          </w:p>
          <w:p w:rsidR="00D67938" w:rsidRPr="00BE6616" w:rsidRDefault="00D67938" w:rsidP="002E3508">
            <w:pPr>
              <w:jc w:val="both"/>
              <w:rPr>
                <w:rFonts w:eastAsia="Calibri"/>
                <w:sz w:val="20"/>
                <w:lang w:val="fr-CA"/>
              </w:rPr>
            </w:pPr>
            <w:r w:rsidRPr="00BE6616">
              <w:rPr>
                <w:rFonts w:eastAsia="Calibri"/>
                <w:sz w:val="20"/>
                <w:lang w:val="fr-CA"/>
              </w:rPr>
              <w:t>(Juge Cornell)</w:t>
            </w:r>
          </w:p>
          <w:p w:rsidR="00D67938" w:rsidRPr="00BE6616" w:rsidRDefault="00D67938" w:rsidP="002E3508">
            <w:pPr>
              <w:jc w:val="both"/>
              <w:rPr>
                <w:rFonts w:eastAsia="Calibri"/>
                <w:sz w:val="20"/>
                <w:lang w:val="fr-CA"/>
              </w:rPr>
            </w:pPr>
            <w:r w:rsidRPr="00BE6616">
              <w:rPr>
                <w:rFonts w:eastAsia="Calibri"/>
                <w:sz w:val="20"/>
                <w:lang w:val="fr-CA"/>
              </w:rPr>
              <w:t xml:space="preserve">2010 ONSC 6314 </w:t>
            </w:r>
          </w:p>
          <w:p w:rsidR="00D67938" w:rsidRPr="00BE6616" w:rsidRDefault="00D67938" w:rsidP="002E3508">
            <w:pPr>
              <w:jc w:val="both"/>
              <w:rPr>
                <w:rFonts w:eastAsia="Calibri"/>
                <w:sz w:val="20"/>
                <w:lang w:val="fr-CA"/>
              </w:rPr>
            </w:pPr>
          </w:p>
        </w:tc>
        <w:tc>
          <w:tcPr>
            <w:tcW w:w="243" w:type="pct"/>
          </w:tcPr>
          <w:p w:rsidR="00D67938" w:rsidRPr="00BE6616" w:rsidRDefault="00D67938" w:rsidP="002E3508">
            <w:pPr>
              <w:jc w:val="both"/>
              <w:rPr>
                <w:rFonts w:eastAsia="Calibri"/>
                <w:sz w:val="20"/>
                <w:lang w:val="fr-CA"/>
              </w:rPr>
            </w:pPr>
          </w:p>
        </w:tc>
        <w:tc>
          <w:tcPr>
            <w:tcW w:w="2330" w:type="pct"/>
          </w:tcPr>
          <w:p w:rsidR="00D67938" w:rsidRPr="00BE6616" w:rsidRDefault="00D67938" w:rsidP="002E3508">
            <w:pPr>
              <w:jc w:val="both"/>
              <w:rPr>
                <w:rFonts w:eastAsia="Calibri"/>
                <w:sz w:val="20"/>
                <w:lang w:val="fr-CA"/>
              </w:rPr>
            </w:pPr>
            <w:r w:rsidRPr="00BE6616">
              <w:rPr>
                <w:rFonts w:eastAsia="Calibri"/>
                <w:sz w:val="20"/>
                <w:lang w:val="fr-CA"/>
              </w:rPr>
              <w:t>Requête des intimées visant à faire déclarer le demandeur plaideur quérulent, accueillie</w:t>
            </w:r>
          </w:p>
          <w:p w:rsidR="00D67938" w:rsidRPr="00BE6616" w:rsidRDefault="00D67938" w:rsidP="002E3508">
            <w:pPr>
              <w:jc w:val="both"/>
              <w:rPr>
                <w:rFonts w:eastAsia="Calibri"/>
                <w:sz w:val="20"/>
                <w:lang w:val="fr-CA"/>
              </w:rPr>
            </w:pPr>
          </w:p>
          <w:p w:rsidR="00D67938" w:rsidRPr="00BE6616" w:rsidRDefault="00D67938" w:rsidP="002E3508">
            <w:pPr>
              <w:jc w:val="both"/>
              <w:rPr>
                <w:rFonts w:eastAsia="Calibri"/>
                <w:sz w:val="20"/>
                <w:lang w:val="fr-CA"/>
              </w:rPr>
            </w:pPr>
          </w:p>
        </w:tc>
      </w:tr>
      <w:tr w:rsidR="00D67938" w:rsidRPr="00BE6616" w:rsidTr="00772879">
        <w:trPr>
          <w:cantSplit/>
        </w:trPr>
        <w:tc>
          <w:tcPr>
            <w:tcW w:w="2427" w:type="pct"/>
          </w:tcPr>
          <w:p w:rsidR="00D67938" w:rsidRPr="00BE6616" w:rsidRDefault="00D67938" w:rsidP="002E3508">
            <w:pPr>
              <w:jc w:val="both"/>
              <w:rPr>
                <w:rFonts w:eastAsia="Calibri"/>
                <w:sz w:val="20"/>
                <w:lang w:val="fr-CA"/>
              </w:rPr>
            </w:pPr>
            <w:r w:rsidRPr="00BE6616">
              <w:rPr>
                <w:rFonts w:eastAsia="Calibri"/>
                <w:sz w:val="20"/>
                <w:lang w:val="fr-CA"/>
              </w:rPr>
              <w:t>17 mars 2011</w:t>
            </w:r>
          </w:p>
          <w:p w:rsidR="00D67938" w:rsidRPr="00BE6616" w:rsidRDefault="00D67938" w:rsidP="002E3508">
            <w:pPr>
              <w:jc w:val="both"/>
              <w:rPr>
                <w:rFonts w:eastAsia="Calibri"/>
                <w:sz w:val="20"/>
                <w:lang w:val="fr-CA"/>
              </w:rPr>
            </w:pPr>
            <w:r w:rsidRPr="00BE6616">
              <w:rPr>
                <w:rFonts w:eastAsia="Calibri"/>
                <w:sz w:val="20"/>
                <w:lang w:val="fr-CA"/>
              </w:rPr>
              <w:t>Cour d’appel de l’Ontario</w:t>
            </w:r>
          </w:p>
          <w:p w:rsidR="00D67938" w:rsidRPr="00BE6616" w:rsidRDefault="00D67938" w:rsidP="002E3508">
            <w:pPr>
              <w:jc w:val="both"/>
              <w:rPr>
                <w:rFonts w:eastAsia="Calibri"/>
                <w:sz w:val="20"/>
                <w:lang w:val="fr-CA"/>
              </w:rPr>
            </w:pPr>
            <w:r w:rsidRPr="00BE6616">
              <w:rPr>
                <w:rFonts w:eastAsia="Calibri"/>
                <w:sz w:val="20"/>
                <w:lang w:val="fr-CA"/>
              </w:rPr>
              <w:t>(Juges Rosenberg, Moldaver et Feldman)</w:t>
            </w:r>
          </w:p>
          <w:p w:rsidR="00D67938" w:rsidRPr="00BE6616" w:rsidRDefault="00D67938" w:rsidP="002E3508">
            <w:pPr>
              <w:jc w:val="both"/>
              <w:rPr>
                <w:rFonts w:eastAsia="Calibri"/>
                <w:sz w:val="20"/>
                <w:lang w:val="fr-CA"/>
              </w:rPr>
            </w:pPr>
            <w:r w:rsidRPr="00BE6616">
              <w:rPr>
                <w:rFonts w:eastAsia="Calibri"/>
                <w:sz w:val="20"/>
                <w:lang w:val="fr-CA"/>
              </w:rPr>
              <w:t>2011 ONCA 211</w:t>
            </w:r>
          </w:p>
          <w:p w:rsidR="00D67938" w:rsidRPr="00BE6616" w:rsidRDefault="00D67938" w:rsidP="002E3508">
            <w:pPr>
              <w:jc w:val="both"/>
              <w:rPr>
                <w:rFonts w:eastAsia="Calibri"/>
                <w:sz w:val="20"/>
                <w:lang w:val="fr-CA"/>
              </w:rPr>
            </w:pPr>
          </w:p>
        </w:tc>
        <w:tc>
          <w:tcPr>
            <w:tcW w:w="243" w:type="pct"/>
          </w:tcPr>
          <w:p w:rsidR="00D67938" w:rsidRPr="00BE6616" w:rsidRDefault="00D67938" w:rsidP="002E3508">
            <w:pPr>
              <w:jc w:val="both"/>
              <w:rPr>
                <w:rFonts w:eastAsia="Calibri"/>
                <w:sz w:val="20"/>
                <w:lang w:val="fr-CA"/>
              </w:rPr>
            </w:pPr>
          </w:p>
        </w:tc>
        <w:tc>
          <w:tcPr>
            <w:tcW w:w="2330" w:type="pct"/>
          </w:tcPr>
          <w:p w:rsidR="00D67938" w:rsidRPr="00BE6616" w:rsidRDefault="00D67938" w:rsidP="002E3508">
            <w:pPr>
              <w:jc w:val="both"/>
              <w:rPr>
                <w:rFonts w:eastAsia="Calibri"/>
                <w:sz w:val="20"/>
                <w:lang w:val="fr-CA"/>
              </w:rPr>
            </w:pPr>
            <w:r w:rsidRPr="00BE6616">
              <w:rPr>
                <w:rFonts w:eastAsia="Calibri"/>
                <w:sz w:val="20"/>
                <w:lang w:val="fr-CA"/>
              </w:rPr>
              <w:t>Appel rejeté</w:t>
            </w:r>
          </w:p>
          <w:p w:rsidR="00D67938" w:rsidRPr="00BE6616" w:rsidRDefault="00D67938" w:rsidP="002E3508">
            <w:pPr>
              <w:jc w:val="both"/>
              <w:rPr>
                <w:rFonts w:eastAsia="Calibri"/>
                <w:sz w:val="20"/>
                <w:lang w:val="fr-CA"/>
              </w:rPr>
            </w:pPr>
          </w:p>
        </w:tc>
      </w:tr>
      <w:tr w:rsidR="00D67938" w:rsidRPr="00BE6616" w:rsidTr="00772879">
        <w:trPr>
          <w:cantSplit/>
        </w:trPr>
        <w:tc>
          <w:tcPr>
            <w:tcW w:w="2427" w:type="pct"/>
          </w:tcPr>
          <w:p w:rsidR="00D67938" w:rsidRPr="00BE6616" w:rsidRDefault="00D67938" w:rsidP="002E3508">
            <w:pPr>
              <w:jc w:val="both"/>
              <w:rPr>
                <w:rFonts w:eastAsia="Calibri"/>
                <w:sz w:val="20"/>
                <w:lang w:val="fr-CA"/>
              </w:rPr>
            </w:pPr>
            <w:r w:rsidRPr="00BE6616">
              <w:rPr>
                <w:rFonts w:eastAsia="Calibri"/>
                <w:sz w:val="20"/>
                <w:lang w:val="fr-CA"/>
              </w:rPr>
              <w:t>13 mai 2011</w:t>
            </w:r>
          </w:p>
          <w:p w:rsidR="00D67938" w:rsidRPr="00BE6616" w:rsidRDefault="00D67938" w:rsidP="002E3508">
            <w:pPr>
              <w:jc w:val="both"/>
              <w:rPr>
                <w:rFonts w:eastAsia="Calibri"/>
                <w:sz w:val="20"/>
                <w:lang w:val="fr-CA"/>
              </w:rPr>
            </w:pPr>
            <w:r w:rsidRPr="00BE6616">
              <w:rPr>
                <w:rFonts w:eastAsia="Calibri"/>
                <w:sz w:val="20"/>
                <w:lang w:val="fr-CA"/>
              </w:rPr>
              <w:t>Cour suprême du Canada</w:t>
            </w:r>
          </w:p>
        </w:tc>
        <w:tc>
          <w:tcPr>
            <w:tcW w:w="243" w:type="pct"/>
          </w:tcPr>
          <w:p w:rsidR="00D67938" w:rsidRPr="00BE6616" w:rsidRDefault="00D67938" w:rsidP="002E3508">
            <w:pPr>
              <w:jc w:val="both"/>
              <w:rPr>
                <w:rFonts w:eastAsia="Calibri"/>
                <w:sz w:val="20"/>
                <w:lang w:val="fr-CA"/>
              </w:rPr>
            </w:pPr>
          </w:p>
        </w:tc>
        <w:tc>
          <w:tcPr>
            <w:tcW w:w="2330" w:type="pct"/>
          </w:tcPr>
          <w:p w:rsidR="00D67938" w:rsidRPr="00BE6616" w:rsidRDefault="00D67938" w:rsidP="002E3508">
            <w:pPr>
              <w:jc w:val="both"/>
              <w:rPr>
                <w:rFonts w:eastAsia="Calibri"/>
                <w:sz w:val="20"/>
                <w:lang w:val="fr-CA"/>
              </w:rPr>
            </w:pPr>
            <w:r w:rsidRPr="00BE6616">
              <w:rPr>
                <w:rFonts w:eastAsia="Calibri"/>
                <w:sz w:val="20"/>
                <w:lang w:val="fr-CA"/>
              </w:rPr>
              <w:t>Demande d’autorisation d’appel, déposée</w:t>
            </w:r>
          </w:p>
          <w:p w:rsidR="00D67938" w:rsidRPr="00BE6616" w:rsidRDefault="00D67938" w:rsidP="002E350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76"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D7C3A" w:rsidRPr="009D5E94" w:rsidTr="002E3508">
        <w:trPr>
          <w:cantSplit/>
        </w:trPr>
        <w:tc>
          <w:tcPr>
            <w:tcW w:w="1458" w:type="dxa"/>
          </w:tcPr>
          <w:p w:rsidR="009D7C3A" w:rsidRPr="009D5E94" w:rsidRDefault="009D7C3A" w:rsidP="002E3508">
            <w:pPr>
              <w:rPr>
                <w:sz w:val="20"/>
                <w:szCs w:val="20"/>
              </w:rPr>
            </w:pPr>
            <w:r w:rsidRPr="009D5E94">
              <w:rPr>
                <w:rStyle w:val="SCCFileNumberChar"/>
                <w:sz w:val="20"/>
                <w:szCs w:val="20"/>
              </w:rPr>
              <w:lastRenderedPageBreak/>
              <w:t>34272</w:t>
            </w:r>
          </w:p>
          <w:p w:rsidR="009D7C3A" w:rsidRPr="009D5E94" w:rsidRDefault="009D7C3A" w:rsidP="002E3508">
            <w:pPr>
              <w:rPr>
                <w:b/>
                <w:sz w:val="20"/>
                <w:szCs w:val="20"/>
                <w:lang w:val="fr-CA"/>
              </w:rPr>
            </w:pPr>
          </w:p>
        </w:tc>
        <w:tc>
          <w:tcPr>
            <w:tcW w:w="8118" w:type="dxa"/>
          </w:tcPr>
          <w:p w:rsidR="009D7C3A" w:rsidRPr="009D5E94" w:rsidRDefault="009D7C3A" w:rsidP="002E3508">
            <w:pPr>
              <w:rPr>
                <w:sz w:val="20"/>
                <w:szCs w:val="20"/>
              </w:rPr>
            </w:pPr>
            <w:r w:rsidRPr="009D7C3A">
              <w:rPr>
                <w:rStyle w:val="SCCLsocChar"/>
                <w:sz w:val="20"/>
                <w:szCs w:val="20"/>
                <w:lang w:val="en-CA"/>
              </w:rPr>
              <w:t>Her Majesty the Queen v. Nicole Patricia Ryan</w:t>
            </w:r>
            <w:r w:rsidRPr="009D5E94">
              <w:rPr>
                <w:sz w:val="20"/>
                <w:szCs w:val="20"/>
              </w:rPr>
              <w:t xml:space="preserve"> (N.S.) (Criminal) (By Leave)</w:t>
            </w:r>
          </w:p>
          <w:p w:rsidR="009D7C3A" w:rsidRPr="009D5E94" w:rsidRDefault="009D7C3A" w:rsidP="002E3508">
            <w:pPr>
              <w:rPr>
                <w:sz w:val="20"/>
                <w:szCs w:val="20"/>
              </w:rPr>
            </w:pPr>
          </w:p>
        </w:tc>
      </w:tr>
      <w:tr w:rsidR="009D7C3A" w:rsidRPr="009D5E94" w:rsidTr="002E3508">
        <w:trPr>
          <w:cantSplit/>
        </w:trPr>
        <w:tc>
          <w:tcPr>
            <w:tcW w:w="1458" w:type="dxa"/>
          </w:tcPr>
          <w:p w:rsidR="009D7C3A" w:rsidRPr="009D5E94" w:rsidRDefault="009D7C3A" w:rsidP="002E3508">
            <w:pPr>
              <w:rPr>
                <w:sz w:val="20"/>
                <w:szCs w:val="20"/>
              </w:rPr>
            </w:pPr>
            <w:r w:rsidRPr="009D5E94">
              <w:rPr>
                <w:sz w:val="20"/>
                <w:szCs w:val="20"/>
              </w:rPr>
              <w:t>Coram :</w:t>
            </w:r>
          </w:p>
        </w:tc>
        <w:tc>
          <w:tcPr>
            <w:tcW w:w="8118" w:type="dxa"/>
          </w:tcPr>
          <w:p w:rsidR="009D7C3A" w:rsidRPr="009D5E94" w:rsidRDefault="009D7C3A" w:rsidP="002E3508">
            <w:pPr>
              <w:rPr>
                <w:sz w:val="20"/>
                <w:szCs w:val="20"/>
              </w:rPr>
            </w:pPr>
            <w:r w:rsidRPr="009D5E94">
              <w:rPr>
                <w:rStyle w:val="SCCCoramChar"/>
                <w:sz w:val="20"/>
                <w:szCs w:val="20"/>
              </w:rPr>
              <w:t>McLachlin C.J. and Deschamps and Charron JJ.</w:t>
            </w:r>
          </w:p>
          <w:p w:rsidR="009D7C3A" w:rsidRPr="009D5E94" w:rsidRDefault="009D7C3A" w:rsidP="002E3508">
            <w:pPr>
              <w:rPr>
                <w:sz w:val="20"/>
                <w:szCs w:val="20"/>
                <w:u w:val="single"/>
              </w:rPr>
            </w:pPr>
          </w:p>
        </w:tc>
      </w:tr>
      <w:tr w:rsidR="009D7C3A" w:rsidRPr="00682661" w:rsidTr="002E3508">
        <w:trPr>
          <w:cantSplit/>
        </w:trPr>
        <w:tc>
          <w:tcPr>
            <w:tcW w:w="9576" w:type="dxa"/>
            <w:gridSpan w:val="2"/>
          </w:tcPr>
          <w:p w:rsidR="009D7C3A" w:rsidRPr="009D5E94" w:rsidRDefault="009D7C3A" w:rsidP="002E3508">
            <w:pPr>
              <w:pStyle w:val="SCCShortJudgment"/>
              <w:rPr>
                <w:szCs w:val="20"/>
              </w:rPr>
            </w:pPr>
            <w:r w:rsidRPr="009D5E94">
              <w:rPr>
                <w:szCs w:val="20"/>
              </w:rPr>
              <w:t>The application for leave to appeal from the judgment of the Nova Scotia Court of Appeal, Number CAC 327746, 2011 NSCA 30, dated March 29, 2011, is granted without costs.</w:t>
            </w:r>
          </w:p>
          <w:p w:rsidR="009D7C3A" w:rsidRPr="009D5E94" w:rsidRDefault="009D7C3A" w:rsidP="002E3508">
            <w:pPr>
              <w:pStyle w:val="SCCShortJudgment"/>
              <w:ind w:firstLine="0"/>
              <w:rPr>
                <w:szCs w:val="20"/>
              </w:rPr>
            </w:pPr>
          </w:p>
          <w:p w:rsidR="009D7C3A" w:rsidRPr="009D5E94" w:rsidRDefault="009D7C3A" w:rsidP="002E3508">
            <w:pPr>
              <w:pStyle w:val="SCCShortJudgment"/>
              <w:rPr>
                <w:szCs w:val="20"/>
                <w:lang w:val="fr-CA"/>
              </w:rPr>
            </w:pPr>
            <w:r w:rsidRPr="009D5E94">
              <w:rPr>
                <w:szCs w:val="20"/>
                <w:lang w:val="fr-CA"/>
              </w:rPr>
              <w:t>La demande d’autorisation d’appel de l’arrêt de la Cour d’appel de la Nouvelle-Écosse, numéro CAC 327746, 2011 NSCA 30, daté du 29 mars 2011, est accordée sans dépens.</w:t>
            </w:r>
          </w:p>
        </w:tc>
      </w:tr>
    </w:tbl>
    <w:p w:rsidR="007B50F9" w:rsidRPr="009D7C3A" w:rsidRDefault="007B50F9" w:rsidP="007B50F9">
      <w:pPr>
        <w:rPr>
          <w:sz w:val="20"/>
          <w:szCs w:val="20"/>
          <w:lang w:val="fr-CA"/>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82B2D" w:rsidRPr="00BE6616" w:rsidTr="002E3508">
        <w:tc>
          <w:tcPr>
            <w:tcW w:w="5000" w:type="pct"/>
            <w:gridSpan w:val="3"/>
          </w:tcPr>
          <w:p w:rsidR="00182B2D" w:rsidRPr="00BE6616" w:rsidRDefault="00182B2D" w:rsidP="002E3508">
            <w:pPr>
              <w:jc w:val="both"/>
              <w:rPr>
                <w:rFonts w:eastAsia="Calibri"/>
                <w:smallCaps/>
                <w:sz w:val="20"/>
              </w:rPr>
            </w:pPr>
            <w:r w:rsidRPr="00BE6616">
              <w:rPr>
                <w:rFonts w:eastAsia="Calibri"/>
                <w:smallCaps/>
                <w:sz w:val="20"/>
              </w:rPr>
              <w:t>(Publication ban in case) (Sealing order) (Court file contains information that is not available for inspection by the public)</w:t>
            </w:r>
          </w:p>
          <w:p w:rsidR="00182B2D" w:rsidRPr="00BE6616" w:rsidRDefault="00182B2D" w:rsidP="002E3508">
            <w:pPr>
              <w:jc w:val="both"/>
              <w:rPr>
                <w:rFonts w:eastAsia="Calibri"/>
                <w:sz w:val="20"/>
              </w:rPr>
            </w:pPr>
          </w:p>
          <w:p w:rsidR="00182B2D" w:rsidRPr="00BE6616" w:rsidRDefault="00182B2D" w:rsidP="002E3508">
            <w:pPr>
              <w:jc w:val="both"/>
              <w:rPr>
                <w:rFonts w:eastAsia="Calibri"/>
                <w:sz w:val="20"/>
                <w:lang w:eastAsia="en-CA"/>
              </w:rPr>
            </w:pPr>
            <w:r w:rsidRPr="00BE6616">
              <w:rPr>
                <w:rFonts w:eastAsia="Calibri"/>
                <w:sz w:val="20"/>
              </w:rPr>
              <w:t xml:space="preserve">Criminal law — Counselling to commit murder — Defences — Duress — Whether the Nova Scotia Court of Appeal erred in law by expanding the defence of duress in a manner never before seen in the common law defence of duress or in respect of s. 17 of the </w:t>
            </w:r>
            <w:r w:rsidRPr="00BE6616">
              <w:rPr>
                <w:rFonts w:eastAsia="Calibri"/>
                <w:i/>
                <w:sz w:val="20"/>
              </w:rPr>
              <w:t>Criminal Code</w:t>
            </w:r>
            <w:r w:rsidRPr="00BE6616">
              <w:rPr>
                <w:rFonts w:eastAsia="Calibri"/>
                <w:sz w:val="20"/>
              </w:rPr>
              <w:t>, thus erroneously conflating duress and self</w:t>
            </w:r>
            <w:r w:rsidRPr="00BE6616">
              <w:rPr>
                <w:rFonts w:eastAsia="Calibri"/>
                <w:sz w:val="20"/>
              </w:rPr>
              <w:noBreakHyphen/>
              <w:t xml:space="preserve">defence — Whether the Nova Scotia Court of Appeal erred in failing to follow </w:t>
            </w:r>
            <w:r w:rsidRPr="00BE6616">
              <w:rPr>
                <w:rFonts w:eastAsia="Calibri"/>
                <w:i/>
                <w:sz w:val="20"/>
              </w:rPr>
              <w:t>R. v. Ruzic</w:t>
            </w:r>
            <w:r w:rsidRPr="00BE6616">
              <w:rPr>
                <w:rFonts w:eastAsia="Calibri"/>
                <w:sz w:val="20"/>
              </w:rPr>
              <w:t>, [2001] 1 S.C.R. 687 to apply reasonable but strict standards to an evaluation of the defence of duress so as to ensure that unmeritorious claims of duress do not succeed — Whether the Nova Scotia Court of Appeal erred in law in upholding the Respondent’s acquittal</w:t>
            </w:r>
          </w:p>
          <w:p w:rsidR="00182B2D" w:rsidRPr="00BE6616" w:rsidRDefault="00182B2D" w:rsidP="002E3508">
            <w:pPr>
              <w:jc w:val="both"/>
              <w:rPr>
                <w:rFonts w:eastAsia="Calibri"/>
                <w:sz w:val="20"/>
              </w:rPr>
            </w:pPr>
          </w:p>
        </w:tc>
      </w:tr>
      <w:tr w:rsidR="00182B2D" w:rsidRPr="00BE6616" w:rsidTr="002E3508">
        <w:tc>
          <w:tcPr>
            <w:tcW w:w="5000" w:type="pct"/>
            <w:gridSpan w:val="3"/>
          </w:tcPr>
          <w:p w:rsidR="00182B2D" w:rsidRPr="00BE6616" w:rsidRDefault="00182B2D" w:rsidP="002E3508">
            <w:pPr>
              <w:jc w:val="both"/>
              <w:rPr>
                <w:rFonts w:eastAsia="Calibri"/>
                <w:sz w:val="20"/>
              </w:rPr>
            </w:pPr>
            <w:r w:rsidRPr="00BE6616">
              <w:rPr>
                <w:rFonts w:eastAsia="Calibri"/>
                <w:sz w:val="20"/>
              </w:rPr>
              <w:t>Nicole Ryan tried to take a contract out on her estranged husband’s life.  Fortunately, she failed because the man she approached to commit the crime was an undercover R.C.M.P. officer.  She was charged with counselling to commit murder.  At trial, Ms. Ryan admitted the accusations but claimed that she was acting under duress.  Essentially, she asserted that she was the victim of years of abuse at the hands of her husband who threatened to kill her and their child.  She believed that he would act on those threats and that the police, having been contacted on numerous occasions, would be unable to prevent it.  This, she felt, left her essentially with no other reasonable option.  The trial judge accepted her defence and entered an acquittal.  The appeal was dismissed.</w:t>
            </w:r>
          </w:p>
          <w:p w:rsidR="00182B2D" w:rsidRPr="00BE6616" w:rsidRDefault="00182B2D" w:rsidP="002E3508">
            <w:pPr>
              <w:jc w:val="both"/>
              <w:rPr>
                <w:rFonts w:eastAsia="Calibri"/>
                <w:sz w:val="20"/>
              </w:rPr>
            </w:pPr>
          </w:p>
        </w:tc>
      </w:tr>
      <w:tr w:rsidR="00182B2D" w:rsidRPr="00BE6616" w:rsidTr="002E3508">
        <w:tc>
          <w:tcPr>
            <w:tcW w:w="2427" w:type="pct"/>
          </w:tcPr>
          <w:p w:rsidR="00182B2D" w:rsidRPr="00BE6616" w:rsidRDefault="00182B2D" w:rsidP="002E3508">
            <w:pPr>
              <w:jc w:val="both"/>
              <w:rPr>
                <w:rFonts w:eastAsia="Calibri"/>
                <w:sz w:val="20"/>
              </w:rPr>
            </w:pPr>
            <w:r w:rsidRPr="00BE6616">
              <w:rPr>
                <w:rFonts w:eastAsia="Calibri"/>
                <w:sz w:val="20"/>
              </w:rPr>
              <w:t>March 25, 2010</w:t>
            </w:r>
          </w:p>
          <w:p w:rsidR="00182B2D" w:rsidRPr="00BE6616" w:rsidRDefault="00182B2D" w:rsidP="002E3508">
            <w:pPr>
              <w:jc w:val="both"/>
              <w:rPr>
                <w:rFonts w:eastAsia="Calibri"/>
                <w:sz w:val="20"/>
              </w:rPr>
            </w:pPr>
            <w:r w:rsidRPr="00BE6616">
              <w:rPr>
                <w:rFonts w:eastAsia="Calibri"/>
                <w:sz w:val="20"/>
              </w:rPr>
              <w:t>Supreme Court of Nova Scotia, Trial Division</w:t>
            </w:r>
          </w:p>
          <w:p w:rsidR="00182B2D" w:rsidRPr="00BE6616" w:rsidRDefault="00182B2D" w:rsidP="002E3508">
            <w:pPr>
              <w:jc w:val="both"/>
              <w:rPr>
                <w:rFonts w:eastAsia="Calibri"/>
                <w:sz w:val="20"/>
              </w:rPr>
            </w:pPr>
            <w:r w:rsidRPr="00BE6616">
              <w:rPr>
                <w:rFonts w:eastAsia="Calibri"/>
                <w:sz w:val="20"/>
              </w:rPr>
              <w:t>(Farrar J.)</w:t>
            </w:r>
          </w:p>
          <w:p w:rsidR="00182B2D" w:rsidRPr="00BE6616" w:rsidRDefault="00182B2D" w:rsidP="002E3508">
            <w:pPr>
              <w:jc w:val="both"/>
              <w:rPr>
                <w:rFonts w:eastAsia="Calibri"/>
                <w:sz w:val="20"/>
              </w:rPr>
            </w:pPr>
            <w:r w:rsidRPr="00BE6616">
              <w:rPr>
                <w:rFonts w:eastAsia="Calibri"/>
                <w:sz w:val="20"/>
              </w:rPr>
              <w:t>2010 NSSC 114</w:t>
            </w:r>
          </w:p>
          <w:p w:rsidR="00182B2D" w:rsidRPr="00BE6616" w:rsidRDefault="00182B2D" w:rsidP="002E3508">
            <w:pPr>
              <w:jc w:val="both"/>
              <w:rPr>
                <w:rFonts w:eastAsia="Calibri"/>
                <w:sz w:val="20"/>
              </w:rPr>
            </w:pPr>
          </w:p>
        </w:tc>
        <w:tc>
          <w:tcPr>
            <w:tcW w:w="243" w:type="pct"/>
          </w:tcPr>
          <w:p w:rsidR="00182B2D" w:rsidRPr="00BE6616" w:rsidRDefault="00182B2D" w:rsidP="002E3508">
            <w:pPr>
              <w:jc w:val="both"/>
              <w:rPr>
                <w:rFonts w:eastAsia="Calibri"/>
                <w:sz w:val="20"/>
              </w:rPr>
            </w:pPr>
          </w:p>
        </w:tc>
        <w:tc>
          <w:tcPr>
            <w:tcW w:w="2330" w:type="pct"/>
          </w:tcPr>
          <w:p w:rsidR="00182B2D" w:rsidRPr="00BE6616" w:rsidRDefault="00182B2D" w:rsidP="002E3508">
            <w:pPr>
              <w:jc w:val="both"/>
              <w:rPr>
                <w:rFonts w:eastAsia="Calibri"/>
                <w:sz w:val="20"/>
              </w:rPr>
            </w:pPr>
            <w:r w:rsidRPr="00BE6616">
              <w:rPr>
                <w:rFonts w:eastAsia="Calibri"/>
                <w:sz w:val="20"/>
              </w:rPr>
              <w:t>Respondent acquitted of counselling to commit murder</w:t>
            </w:r>
          </w:p>
          <w:p w:rsidR="00182B2D" w:rsidRPr="00BE6616" w:rsidRDefault="00182B2D" w:rsidP="002E3508">
            <w:pPr>
              <w:jc w:val="both"/>
              <w:rPr>
                <w:rFonts w:eastAsia="Calibri"/>
                <w:sz w:val="20"/>
              </w:rPr>
            </w:pPr>
          </w:p>
        </w:tc>
      </w:tr>
      <w:tr w:rsidR="00182B2D" w:rsidRPr="00BE6616" w:rsidTr="002E3508">
        <w:tc>
          <w:tcPr>
            <w:tcW w:w="2427" w:type="pct"/>
          </w:tcPr>
          <w:p w:rsidR="00182B2D" w:rsidRPr="00BE6616" w:rsidRDefault="00182B2D" w:rsidP="002E3508">
            <w:pPr>
              <w:jc w:val="both"/>
              <w:rPr>
                <w:rFonts w:eastAsia="Calibri"/>
                <w:sz w:val="20"/>
              </w:rPr>
            </w:pPr>
            <w:r w:rsidRPr="00BE6616">
              <w:rPr>
                <w:rFonts w:eastAsia="Calibri"/>
                <w:sz w:val="20"/>
              </w:rPr>
              <w:t>March 29, 2011</w:t>
            </w:r>
          </w:p>
          <w:p w:rsidR="00182B2D" w:rsidRPr="00BE6616" w:rsidRDefault="00182B2D" w:rsidP="002E3508">
            <w:pPr>
              <w:jc w:val="both"/>
              <w:rPr>
                <w:rFonts w:eastAsia="Calibri"/>
                <w:sz w:val="20"/>
              </w:rPr>
            </w:pPr>
            <w:r w:rsidRPr="00BE6616">
              <w:rPr>
                <w:rFonts w:eastAsia="Calibri"/>
                <w:sz w:val="20"/>
              </w:rPr>
              <w:t>Nova Scotia Court of Appeal</w:t>
            </w:r>
          </w:p>
          <w:p w:rsidR="00182B2D" w:rsidRPr="00BE6616" w:rsidRDefault="00182B2D" w:rsidP="002E3508">
            <w:pPr>
              <w:jc w:val="both"/>
              <w:rPr>
                <w:rFonts w:eastAsia="Calibri"/>
                <w:sz w:val="20"/>
              </w:rPr>
            </w:pPr>
            <w:r w:rsidRPr="00BE6616">
              <w:rPr>
                <w:rFonts w:eastAsia="Calibri"/>
                <w:sz w:val="20"/>
              </w:rPr>
              <w:t>(MacDonald C.J. and Saunders and Oland JJ.A.)</w:t>
            </w:r>
          </w:p>
          <w:p w:rsidR="00182B2D" w:rsidRPr="00BE6616" w:rsidRDefault="00182B2D" w:rsidP="002E3508">
            <w:pPr>
              <w:jc w:val="both"/>
              <w:rPr>
                <w:rFonts w:eastAsia="Calibri"/>
                <w:sz w:val="20"/>
              </w:rPr>
            </w:pPr>
            <w:r w:rsidRPr="00BE6616">
              <w:rPr>
                <w:rFonts w:eastAsia="Calibri"/>
                <w:sz w:val="20"/>
              </w:rPr>
              <w:t>2011 NSCA 30; CAC 327746</w:t>
            </w:r>
          </w:p>
          <w:p w:rsidR="00182B2D" w:rsidRPr="00BE6616" w:rsidRDefault="00182B2D" w:rsidP="002E3508">
            <w:pPr>
              <w:jc w:val="both"/>
              <w:rPr>
                <w:rFonts w:eastAsia="Calibri"/>
                <w:sz w:val="20"/>
              </w:rPr>
            </w:pPr>
          </w:p>
        </w:tc>
        <w:tc>
          <w:tcPr>
            <w:tcW w:w="243" w:type="pct"/>
          </w:tcPr>
          <w:p w:rsidR="00182B2D" w:rsidRPr="00BE6616" w:rsidRDefault="00182B2D" w:rsidP="002E3508">
            <w:pPr>
              <w:jc w:val="both"/>
              <w:rPr>
                <w:rFonts w:eastAsia="Calibri"/>
                <w:sz w:val="20"/>
              </w:rPr>
            </w:pPr>
          </w:p>
        </w:tc>
        <w:tc>
          <w:tcPr>
            <w:tcW w:w="2330" w:type="pct"/>
          </w:tcPr>
          <w:p w:rsidR="00182B2D" w:rsidRPr="00BE6616" w:rsidRDefault="00182B2D" w:rsidP="002E3508">
            <w:pPr>
              <w:jc w:val="both"/>
              <w:rPr>
                <w:rFonts w:eastAsia="Calibri"/>
                <w:sz w:val="20"/>
              </w:rPr>
            </w:pPr>
            <w:r w:rsidRPr="00BE6616">
              <w:rPr>
                <w:rFonts w:eastAsia="Calibri"/>
                <w:sz w:val="20"/>
              </w:rPr>
              <w:t>Appeal dismissed</w:t>
            </w:r>
          </w:p>
          <w:p w:rsidR="00182B2D" w:rsidRPr="00BE6616" w:rsidRDefault="00182B2D" w:rsidP="002E3508">
            <w:pPr>
              <w:jc w:val="both"/>
              <w:rPr>
                <w:rFonts w:eastAsia="Calibri"/>
                <w:sz w:val="20"/>
              </w:rPr>
            </w:pPr>
          </w:p>
        </w:tc>
      </w:tr>
      <w:tr w:rsidR="00182B2D" w:rsidRPr="00BE6616" w:rsidTr="00772879">
        <w:trPr>
          <w:cantSplit/>
        </w:trPr>
        <w:tc>
          <w:tcPr>
            <w:tcW w:w="2427" w:type="pct"/>
          </w:tcPr>
          <w:p w:rsidR="00182B2D" w:rsidRPr="00BE6616" w:rsidRDefault="00182B2D" w:rsidP="002E3508">
            <w:pPr>
              <w:jc w:val="both"/>
              <w:rPr>
                <w:rFonts w:eastAsia="Calibri"/>
                <w:sz w:val="20"/>
              </w:rPr>
            </w:pPr>
            <w:r w:rsidRPr="00BE6616">
              <w:rPr>
                <w:rFonts w:eastAsia="Calibri"/>
                <w:sz w:val="20"/>
              </w:rPr>
              <w:t>May 26, 2011</w:t>
            </w:r>
          </w:p>
          <w:p w:rsidR="00182B2D" w:rsidRPr="00BE6616" w:rsidRDefault="00182B2D" w:rsidP="002E3508">
            <w:pPr>
              <w:jc w:val="both"/>
              <w:rPr>
                <w:rFonts w:eastAsia="Calibri"/>
                <w:sz w:val="20"/>
              </w:rPr>
            </w:pPr>
            <w:r w:rsidRPr="00BE6616">
              <w:rPr>
                <w:rFonts w:eastAsia="Calibri"/>
                <w:sz w:val="20"/>
              </w:rPr>
              <w:t>Supreme Court of Canada</w:t>
            </w:r>
          </w:p>
        </w:tc>
        <w:tc>
          <w:tcPr>
            <w:tcW w:w="243" w:type="pct"/>
          </w:tcPr>
          <w:p w:rsidR="00182B2D" w:rsidRPr="00BE6616" w:rsidRDefault="00182B2D" w:rsidP="002E3508">
            <w:pPr>
              <w:jc w:val="both"/>
              <w:rPr>
                <w:rFonts w:eastAsia="Calibri"/>
                <w:sz w:val="20"/>
              </w:rPr>
            </w:pPr>
          </w:p>
        </w:tc>
        <w:tc>
          <w:tcPr>
            <w:tcW w:w="2330" w:type="pct"/>
          </w:tcPr>
          <w:p w:rsidR="00182B2D" w:rsidRPr="00BE6616" w:rsidRDefault="00182B2D" w:rsidP="002E3508">
            <w:pPr>
              <w:jc w:val="both"/>
              <w:rPr>
                <w:rFonts w:eastAsia="Calibri"/>
                <w:sz w:val="20"/>
              </w:rPr>
            </w:pPr>
            <w:r w:rsidRPr="00BE6616">
              <w:rPr>
                <w:rFonts w:eastAsia="Calibri"/>
                <w:sz w:val="20"/>
              </w:rPr>
              <w:t>Application for leave to appeal filed</w:t>
            </w:r>
          </w:p>
          <w:p w:rsidR="00182B2D" w:rsidRPr="00BE6616" w:rsidRDefault="00182B2D" w:rsidP="002E350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77"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182B2D" w:rsidRPr="00682661" w:rsidTr="002E3508">
        <w:tc>
          <w:tcPr>
            <w:tcW w:w="5000" w:type="pct"/>
            <w:gridSpan w:val="3"/>
          </w:tcPr>
          <w:p w:rsidR="00182B2D" w:rsidRPr="00BE6616" w:rsidRDefault="00182B2D" w:rsidP="002E3508">
            <w:pPr>
              <w:jc w:val="both"/>
              <w:rPr>
                <w:rFonts w:eastAsia="Calibri"/>
                <w:smallCaps/>
                <w:sz w:val="20"/>
                <w:lang w:val="fr-CA"/>
              </w:rPr>
            </w:pPr>
            <w:r w:rsidRPr="00BE6616">
              <w:rPr>
                <w:rFonts w:eastAsia="Calibri"/>
                <w:smallCaps/>
                <w:sz w:val="20"/>
                <w:lang w:val="fr-CA"/>
              </w:rPr>
              <w:t>(Ordonnance de non</w:t>
            </w:r>
            <w:r w:rsidRPr="00BE6616">
              <w:rPr>
                <w:rFonts w:eastAsia="Calibri"/>
                <w:smallCaps/>
                <w:sz w:val="20"/>
                <w:lang w:val="fr-CA"/>
              </w:rPr>
              <w:noBreakHyphen/>
              <w:t>publication dans le dossier) (ordonnance de mise sous scellés) (le dossier de la Cour renferme des données que le public n’est pas autorisé à consulter)</w:t>
            </w:r>
          </w:p>
          <w:p w:rsidR="00182B2D" w:rsidRPr="00BE6616" w:rsidRDefault="00182B2D" w:rsidP="002E3508">
            <w:pPr>
              <w:jc w:val="both"/>
              <w:rPr>
                <w:rFonts w:eastAsia="Calibri"/>
                <w:sz w:val="20"/>
                <w:lang w:val="fr-CA"/>
              </w:rPr>
            </w:pPr>
          </w:p>
          <w:p w:rsidR="00182B2D" w:rsidRPr="00BE6616" w:rsidRDefault="00182B2D" w:rsidP="002E3508">
            <w:pPr>
              <w:jc w:val="both"/>
              <w:rPr>
                <w:rFonts w:eastAsia="Calibri"/>
                <w:sz w:val="20"/>
                <w:lang w:val="fr-CA" w:eastAsia="en-CA"/>
              </w:rPr>
            </w:pPr>
            <w:r w:rsidRPr="00BE6616">
              <w:rPr>
                <w:rFonts w:eastAsia="Calibri"/>
                <w:sz w:val="20"/>
                <w:lang w:val="fr-CA"/>
              </w:rPr>
              <w:lastRenderedPageBreak/>
              <w:t>Droit criminel — Conseiller la perpétration d’un meurtre — Moyens de défense — Contrainte — La Cour d’appel de la Nouvelle</w:t>
            </w:r>
            <w:r w:rsidRPr="00BE6616">
              <w:rPr>
                <w:rFonts w:eastAsia="Calibri"/>
                <w:sz w:val="20"/>
                <w:lang w:val="fr-CA"/>
              </w:rPr>
              <w:noBreakHyphen/>
              <w:t>Écosse a</w:t>
            </w:r>
            <w:r w:rsidRPr="00BE6616">
              <w:rPr>
                <w:rFonts w:eastAsia="Calibri"/>
                <w:sz w:val="20"/>
                <w:lang w:val="fr-CA"/>
              </w:rPr>
              <w:noBreakHyphen/>
              <w:t>t</w:t>
            </w:r>
            <w:r w:rsidRPr="00BE6616">
              <w:rPr>
                <w:rFonts w:eastAsia="Calibri"/>
                <w:sz w:val="20"/>
                <w:lang w:val="fr-CA"/>
              </w:rPr>
              <w:noBreakHyphen/>
              <w:t>elle commis une erreur de droit en élargissant le moyen de défense fondé sur la contrainte d’une manière qui ne s’est jamais vue par rapport au moyen de défense prévu dans la common law ou à l’égard de l’art. 17 du</w:t>
            </w:r>
            <w:r w:rsidRPr="00BE6616">
              <w:rPr>
                <w:rFonts w:eastAsia="Calibri"/>
                <w:i/>
                <w:sz w:val="20"/>
                <w:lang w:val="fr-CA"/>
              </w:rPr>
              <w:t xml:space="preserve"> Code criminel</w:t>
            </w:r>
            <w:r w:rsidRPr="00BE6616">
              <w:rPr>
                <w:rFonts w:eastAsia="Calibri"/>
                <w:sz w:val="20"/>
                <w:lang w:val="fr-CA"/>
              </w:rPr>
              <w:t>, confondant ainsi par erreur la contrainte et la légitime défense? — La Cour d’appel de la Nouvelle</w:t>
            </w:r>
            <w:r w:rsidRPr="00BE6616">
              <w:rPr>
                <w:rFonts w:eastAsia="Calibri"/>
                <w:sz w:val="20"/>
                <w:lang w:val="fr-CA"/>
              </w:rPr>
              <w:noBreakHyphen/>
              <w:t>Écosse a</w:t>
            </w:r>
            <w:r w:rsidRPr="00BE6616">
              <w:rPr>
                <w:rFonts w:eastAsia="Calibri"/>
                <w:sz w:val="20"/>
                <w:lang w:val="fr-CA"/>
              </w:rPr>
              <w:noBreakHyphen/>
              <w:t>t</w:t>
            </w:r>
            <w:r w:rsidRPr="00BE6616">
              <w:rPr>
                <w:rFonts w:eastAsia="Calibri"/>
                <w:sz w:val="20"/>
                <w:lang w:val="fr-CA"/>
              </w:rPr>
              <w:noBreakHyphen/>
              <w:t xml:space="preserve">elle eu tort de ne pas s’appuyer sur l’arrêt </w:t>
            </w:r>
            <w:r w:rsidRPr="00BE6616">
              <w:rPr>
                <w:rFonts w:eastAsia="Calibri"/>
                <w:i/>
                <w:sz w:val="20"/>
                <w:lang w:val="fr-CA"/>
              </w:rPr>
              <w:t>R. c. Ruzic</w:t>
            </w:r>
            <w:r w:rsidRPr="00BE6616">
              <w:rPr>
                <w:rFonts w:eastAsia="Calibri"/>
                <w:sz w:val="20"/>
                <w:lang w:val="fr-CA"/>
              </w:rPr>
              <w:t>, [2001] 1 R.C.S. 687 pour appliquer des normes raisonnables mais rigoureuses à une évaluation du moyen de défense fondé sur la contrainte pour veiller à ce que des allégations non fondées de contrainte ne soient pas tenues pour fondées? — La Cour d’appel de la Nouvelle</w:t>
            </w:r>
            <w:r w:rsidRPr="00BE6616">
              <w:rPr>
                <w:rFonts w:eastAsia="Calibri"/>
                <w:sz w:val="20"/>
                <w:lang w:val="fr-CA"/>
              </w:rPr>
              <w:noBreakHyphen/>
              <w:t>Écosse a</w:t>
            </w:r>
            <w:r w:rsidRPr="00BE6616">
              <w:rPr>
                <w:rFonts w:eastAsia="Calibri"/>
                <w:sz w:val="20"/>
                <w:lang w:val="fr-CA"/>
              </w:rPr>
              <w:noBreakHyphen/>
              <w:t>t</w:t>
            </w:r>
            <w:r w:rsidRPr="00BE6616">
              <w:rPr>
                <w:rFonts w:eastAsia="Calibri"/>
                <w:sz w:val="20"/>
                <w:lang w:val="fr-CA"/>
              </w:rPr>
              <w:noBreakHyphen/>
              <w:t>elle commis une erreur de droit en confirmant l’acquittement de l’intimée?</w:t>
            </w:r>
          </w:p>
          <w:p w:rsidR="00182B2D" w:rsidRPr="00BE6616" w:rsidRDefault="00182B2D" w:rsidP="002E3508">
            <w:pPr>
              <w:jc w:val="both"/>
              <w:rPr>
                <w:rFonts w:eastAsia="Calibri"/>
                <w:sz w:val="20"/>
                <w:lang w:val="fr-CA"/>
              </w:rPr>
            </w:pPr>
          </w:p>
        </w:tc>
      </w:tr>
      <w:tr w:rsidR="00182B2D" w:rsidRPr="00BE6616" w:rsidTr="002E3508">
        <w:tc>
          <w:tcPr>
            <w:tcW w:w="5000" w:type="pct"/>
            <w:gridSpan w:val="3"/>
          </w:tcPr>
          <w:p w:rsidR="00182B2D" w:rsidRPr="00BE6616" w:rsidRDefault="00182B2D" w:rsidP="002E3508">
            <w:pPr>
              <w:jc w:val="both"/>
              <w:rPr>
                <w:rFonts w:eastAsia="Calibri"/>
                <w:sz w:val="20"/>
                <w:lang w:val="fr-CA"/>
              </w:rPr>
            </w:pPr>
            <w:r w:rsidRPr="00BE6616">
              <w:rPr>
                <w:rFonts w:eastAsia="Calibri"/>
                <w:sz w:val="20"/>
                <w:lang w:val="fr-CA"/>
              </w:rPr>
              <w:lastRenderedPageBreak/>
              <w:t>Nicole Ryan a tenté de conclure une entente pour faire assassiner son ex</w:t>
            </w:r>
            <w:r w:rsidRPr="00BE6616">
              <w:rPr>
                <w:rFonts w:eastAsia="Calibri"/>
                <w:sz w:val="20"/>
                <w:lang w:val="fr-CA"/>
              </w:rPr>
              <w:noBreakHyphen/>
              <w:t>époux.  Heureusement, elle a échoué parce que l’homme qu’elle a voulu engager pour commettre le crime était un agent d’infiltration de la GRC.  Elle a été accusée d’avoir conseillé la perpétration d’un meurtre.  À son procès, Mme Ryan a admis les accusations, mais à prétendu qu’elle avait agi sous la contrainte.  Essentiellement, est a affirmé avoir été la victime d’années de sévices aux mains de son époux qui avait menacé de la tuer et de tuer leur enfant.  Elle croyait qu’il allait donner suite à ces menaces et que la police, avec qui elle avait communiqué à de nombreuses occasions, allait être incapable de l’en empêcher.  Cette situation, croyait</w:t>
            </w:r>
            <w:r w:rsidRPr="00BE6616">
              <w:rPr>
                <w:rFonts w:eastAsia="Calibri"/>
                <w:sz w:val="20"/>
                <w:lang w:val="fr-CA"/>
              </w:rPr>
              <w:noBreakHyphen/>
              <w:t>elle, ne lui laissait essentiellement aucune autre possibilité raisonnable.  Le juge du procès à accueilli son moyen de défense et l’a acquittée.  L’appel a été rejeté.</w:t>
            </w:r>
          </w:p>
          <w:p w:rsidR="00182B2D" w:rsidRPr="00BE6616" w:rsidRDefault="00182B2D" w:rsidP="002E3508">
            <w:pPr>
              <w:jc w:val="both"/>
              <w:rPr>
                <w:rFonts w:eastAsia="Calibri"/>
                <w:sz w:val="20"/>
                <w:lang w:val="fr-CA"/>
              </w:rPr>
            </w:pPr>
          </w:p>
        </w:tc>
      </w:tr>
      <w:tr w:rsidR="00182B2D" w:rsidRPr="00682661" w:rsidTr="002E3508">
        <w:tc>
          <w:tcPr>
            <w:tcW w:w="2427" w:type="pct"/>
          </w:tcPr>
          <w:p w:rsidR="00182B2D" w:rsidRPr="00BE6616" w:rsidRDefault="00182B2D" w:rsidP="002E3508">
            <w:pPr>
              <w:jc w:val="both"/>
              <w:rPr>
                <w:rFonts w:eastAsia="Calibri"/>
                <w:sz w:val="20"/>
                <w:lang w:val="fr-CA"/>
              </w:rPr>
            </w:pPr>
            <w:r w:rsidRPr="00BE6616">
              <w:rPr>
                <w:rFonts w:eastAsia="Calibri"/>
                <w:sz w:val="20"/>
                <w:lang w:val="fr-CA"/>
              </w:rPr>
              <w:t>25 mars 2010</w:t>
            </w:r>
          </w:p>
          <w:p w:rsidR="00182B2D" w:rsidRPr="00BE6616" w:rsidRDefault="00182B2D" w:rsidP="002E3508">
            <w:pPr>
              <w:jc w:val="both"/>
              <w:rPr>
                <w:rFonts w:eastAsia="Calibri"/>
                <w:sz w:val="20"/>
                <w:lang w:val="fr-CA"/>
              </w:rPr>
            </w:pPr>
            <w:r w:rsidRPr="00BE6616">
              <w:rPr>
                <w:rFonts w:eastAsia="Calibri"/>
                <w:sz w:val="20"/>
                <w:lang w:val="fr-CA"/>
              </w:rPr>
              <w:t>Cour suprême de la Nouvelle</w:t>
            </w:r>
            <w:r w:rsidRPr="00BE6616">
              <w:rPr>
                <w:rFonts w:eastAsia="Calibri"/>
                <w:sz w:val="20"/>
                <w:lang w:val="fr-CA"/>
              </w:rPr>
              <w:noBreakHyphen/>
              <w:t xml:space="preserve">Écosse, Section de première instance </w:t>
            </w:r>
          </w:p>
          <w:p w:rsidR="00182B2D" w:rsidRPr="00BE6616" w:rsidRDefault="00182B2D" w:rsidP="002E3508">
            <w:pPr>
              <w:jc w:val="both"/>
              <w:rPr>
                <w:rFonts w:eastAsia="Calibri"/>
                <w:sz w:val="20"/>
                <w:lang w:val="fr-CA"/>
              </w:rPr>
            </w:pPr>
            <w:r w:rsidRPr="00BE6616">
              <w:rPr>
                <w:rFonts w:eastAsia="Calibri"/>
                <w:sz w:val="20"/>
                <w:lang w:val="fr-CA"/>
              </w:rPr>
              <w:t>(Juge Farrar)</w:t>
            </w:r>
          </w:p>
          <w:p w:rsidR="00182B2D" w:rsidRPr="00BE6616" w:rsidRDefault="00182B2D" w:rsidP="002E3508">
            <w:pPr>
              <w:jc w:val="both"/>
              <w:rPr>
                <w:rFonts w:eastAsia="Calibri"/>
                <w:sz w:val="20"/>
                <w:lang w:val="fr-CA"/>
              </w:rPr>
            </w:pPr>
            <w:r w:rsidRPr="00BE6616">
              <w:rPr>
                <w:rFonts w:eastAsia="Calibri"/>
                <w:sz w:val="20"/>
                <w:lang w:val="fr-CA"/>
              </w:rPr>
              <w:t>2010 NSSC 114</w:t>
            </w:r>
          </w:p>
          <w:p w:rsidR="00182B2D" w:rsidRPr="00BE6616" w:rsidRDefault="00182B2D" w:rsidP="002E3508">
            <w:pPr>
              <w:jc w:val="both"/>
              <w:rPr>
                <w:rFonts w:eastAsia="Calibri"/>
                <w:sz w:val="20"/>
                <w:lang w:val="fr-CA"/>
              </w:rPr>
            </w:pPr>
          </w:p>
        </w:tc>
        <w:tc>
          <w:tcPr>
            <w:tcW w:w="243" w:type="pct"/>
          </w:tcPr>
          <w:p w:rsidR="00182B2D" w:rsidRPr="00BE6616" w:rsidRDefault="00182B2D" w:rsidP="002E3508">
            <w:pPr>
              <w:jc w:val="both"/>
              <w:rPr>
                <w:rFonts w:eastAsia="Calibri"/>
                <w:sz w:val="20"/>
                <w:lang w:val="fr-CA"/>
              </w:rPr>
            </w:pPr>
          </w:p>
        </w:tc>
        <w:tc>
          <w:tcPr>
            <w:tcW w:w="2330" w:type="pct"/>
          </w:tcPr>
          <w:p w:rsidR="00182B2D" w:rsidRPr="00BE6616" w:rsidRDefault="00182B2D" w:rsidP="002E3508">
            <w:pPr>
              <w:jc w:val="both"/>
              <w:rPr>
                <w:rFonts w:eastAsia="Calibri"/>
                <w:sz w:val="20"/>
                <w:lang w:val="fr-CA"/>
              </w:rPr>
            </w:pPr>
            <w:r w:rsidRPr="00BE6616">
              <w:rPr>
                <w:rFonts w:eastAsia="Calibri"/>
                <w:sz w:val="20"/>
                <w:lang w:val="fr-CA"/>
              </w:rPr>
              <w:t>Intimée acquittée d’avoir conseillé la perpétration d’un meurtre</w:t>
            </w:r>
          </w:p>
          <w:p w:rsidR="00182B2D" w:rsidRPr="00BE6616" w:rsidRDefault="00182B2D" w:rsidP="002E3508">
            <w:pPr>
              <w:jc w:val="both"/>
              <w:rPr>
                <w:rFonts w:eastAsia="Calibri"/>
                <w:sz w:val="20"/>
                <w:lang w:val="fr-CA"/>
              </w:rPr>
            </w:pPr>
          </w:p>
        </w:tc>
      </w:tr>
      <w:tr w:rsidR="00182B2D" w:rsidRPr="00BE6616" w:rsidTr="002E3508">
        <w:tc>
          <w:tcPr>
            <w:tcW w:w="2427" w:type="pct"/>
          </w:tcPr>
          <w:p w:rsidR="00182B2D" w:rsidRPr="00BE6616" w:rsidRDefault="00182B2D" w:rsidP="002E3508">
            <w:pPr>
              <w:jc w:val="both"/>
              <w:rPr>
                <w:rFonts w:eastAsia="Calibri"/>
                <w:sz w:val="20"/>
                <w:lang w:val="fr-CA"/>
              </w:rPr>
            </w:pPr>
            <w:r w:rsidRPr="00BE6616">
              <w:rPr>
                <w:rFonts w:eastAsia="Calibri"/>
                <w:sz w:val="20"/>
                <w:lang w:val="fr-CA"/>
              </w:rPr>
              <w:t>29 mars 2011</w:t>
            </w:r>
          </w:p>
          <w:p w:rsidR="00182B2D" w:rsidRPr="00BE6616" w:rsidRDefault="00182B2D" w:rsidP="002E3508">
            <w:pPr>
              <w:jc w:val="both"/>
              <w:rPr>
                <w:rFonts w:eastAsia="Calibri"/>
                <w:sz w:val="20"/>
                <w:lang w:val="fr-CA"/>
              </w:rPr>
            </w:pPr>
            <w:r w:rsidRPr="00BE6616">
              <w:rPr>
                <w:rFonts w:eastAsia="Calibri"/>
                <w:sz w:val="20"/>
                <w:lang w:val="fr-CA"/>
              </w:rPr>
              <w:t>Cour d’appel de la Nouvelle</w:t>
            </w:r>
            <w:r w:rsidRPr="00BE6616">
              <w:rPr>
                <w:rFonts w:eastAsia="Calibri"/>
                <w:sz w:val="20"/>
                <w:lang w:val="fr-CA"/>
              </w:rPr>
              <w:noBreakHyphen/>
              <w:t xml:space="preserve">Écosse </w:t>
            </w:r>
          </w:p>
          <w:p w:rsidR="00182B2D" w:rsidRPr="00BE6616" w:rsidRDefault="00182B2D" w:rsidP="002E3508">
            <w:pPr>
              <w:jc w:val="both"/>
              <w:rPr>
                <w:rFonts w:eastAsia="Calibri"/>
                <w:sz w:val="20"/>
                <w:lang w:val="fr-CA"/>
              </w:rPr>
            </w:pPr>
            <w:r w:rsidRPr="00BE6616">
              <w:rPr>
                <w:rFonts w:eastAsia="Calibri"/>
                <w:sz w:val="20"/>
                <w:lang w:val="fr-CA"/>
              </w:rPr>
              <w:t>(Juge en chef MacDonald, juges Saunders et Oland)</w:t>
            </w:r>
          </w:p>
          <w:p w:rsidR="00182B2D" w:rsidRPr="00BE6616" w:rsidRDefault="00182B2D" w:rsidP="002E3508">
            <w:pPr>
              <w:jc w:val="both"/>
              <w:rPr>
                <w:rFonts w:eastAsia="Calibri"/>
                <w:sz w:val="20"/>
                <w:lang w:val="fr-CA"/>
              </w:rPr>
            </w:pPr>
            <w:r w:rsidRPr="00BE6616">
              <w:rPr>
                <w:rFonts w:eastAsia="Calibri"/>
                <w:sz w:val="20"/>
                <w:lang w:val="fr-CA"/>
              </w:rPr>
              <w:t>2011 NSCA 30; CAC 327746</w:t>
            </w:r>
          </w:p>
          <w:p w:rsidR="00182B2D" w:rsidRPr="00BE6616" w:rsidRDefault="00182B2D" w:rsidP="002E3508">
            <w:pPr>
              <w:jc w:val="both"/>
              <w:rPr>
                <w:rFonts w:eastAsia="Calibri"/>
                <w:sz w:val="20"/>
                <w:lang w:val="fr-CA"/>
              </w:rPr>
            </w:pPr>
          </w:p>
        </w:tc>
        <w:tc>
          <w:tcPr>
            <w:tcW w:w="243" w:type="pct"/>
          </w:tcPr>
          <w:p w:rsidR="00182B2D" w:rsidRPr="00BE6616" w:rsidRDefault="00182B2D" w:rsidP="002E3508">
            <w:pPr>
              <w:jc w:val="both"/>
              <w:rPr>
                <w:rFonts w:eastAsia="Calibri"/>
                <w:sz w:val="20"/>
                <w:lang w:val="fr-CA"/>
              </w:rPr>
            </w:pPr>
          </w:p>
        </w:tc>
        <w:tc>
          <w:tcPr>
            <w:tcW w:w="2330" w:type="pct"/>
          </w:tcPr>
          <w:p w:rsidR="00182B2D" w:rsidRPr="00BE6616" w:rsidRDefault="00182B2D" w:rsidP="002E3508">
            <w:pPr>
              <w:jc w:val="both"/>
              <w:rPr>
                <w:rFonts w:eastAsia="Calibri"/>
                <w:sz w:val="20"/>
                <w:lang w:val="fr-CA"/>
              </w:rPr>
            </w:pPr>
            <w:r w:rsidRPr="00BE6616">
              <w:rPr>
                <w:rFonts w:eastAsia="Calibri"/>
                <w:sz w:val="20"/>
                <w:lang w:val="fr-CA"/>
              </w:rPr>
              <w:t>Appel rejeté</w:t>
            </w:r>
          </w:p>
          <w:p w:rsidR="00182B2D" w:rsidRPr="00BE6616" w:rsidRDefault="00182B2D" w:rsidP="002E3508">
            <w:pPr>
              <w:jc w:val="both"/>
              <w:rPr>
                <w:rFonts w:eastAsia="Calibri"/>
                <w:sz w:val="20"/>
                <w:lang w:val="fr-CA"/>
              </w:rPr>
            </w:pPr>
          </w:p>
        </w:tc>
      </w:tr>
      <w:tr w:rsidR="00182B2D" w:rsidRPr="00BE6616" w:rsidTr="002E3508">
        <w:tc>
          <w:tcPr>
            <w:tcW w:w="2427" w:type="pct"/>
          </w:tcPr>
          <w:p w:rsidR="00182B2D" w:rsidRPr="00BE6616" w:rsidRDefault="00182B2D" w:rsidP="002E3508">
            <w:pPr>
              <w:jc w:val="both"/>
              <w:rPr>
                <w:rFonts w:eastAsia="Calibri"/>
                <w:sz w:val="20"/>
                <w:lang w:val="fr-CA"/>
              </w:rPr>
            </w:pPr>
            <w:r w:rsidRPr="00BE6616">
              <w:rPr>
                <w:rFonts w:eastAsia="Calibri"/>
                <w:sz w:val="20"/>
                <w:lang w:val="fr-CA"/>
              </w:rPr>
              <w:t>26 mai 2011</w:t>
            </w:r>
          </w:p>
          <w:p w:rsidR="00182B2D" w:rsidRPr="00BE6616" w:rsidRDefault="00182B2D" w:rsidP="002E3508">
            <w:pPr>
              <w:jc w:val="both"/>
              <w:rPr>
                <w:rFonts w:eastAsia="Calibri"/>
                <w:sz w:val="20"/>
                <w:lang w:val="fr-CA"/>
              </w:rPr>
            </w:pPr>
            <w:r w:rsidRPr="00BE6616">
              <w:rPr>
                <w:rFonts w:eastAsia="Calibri"/>
                <w:sz w:val="20"/>
                <w:lang w:val="fr-CA"/>
              </w:rPr>
              <w:t>Cour suprême du Canada</w:t>
            </w:r>
          </w:p>
        </w:tc>
        <w:tc>
          <w:tcPr>
            <w:tcW w:w="243" w:type="pct"/>
          </w:tcPr>
          <w:p w:rsidR="00182B2D" w:rsidRPr="00BE6616" w:rsidRDefault="00182B2D" w:rsidP="002E3508">
            <w:pPr>
              <w:jc w:val="both"/>
              <w:rPr>
                <w:rFonts w:eastAsia="Calibri"/>
                <w:sz w:val="20"/>
                <w:lang w:val="fr-CA"/>
              </w:rPr>
            </w:pPr>
          </w:p>
        </w:tc>
        <w:tc>
          <w:tcPr>
            <w:tcW w:w="2330" w:type="pct"/>
          </w:tcPr>
          <w:p w:rsidR="00182B2D" w:rsidRPr="00BE6616" w:rsidRDefault="00182B2D" w:rsidP="002E3508">
            <w:pPr>
              <w:jc w:val="both"/>
              <w:rPr>
                <w:rFonts w:eastAsia="Calibri"/>
                <w:sz w:val="20"/>
                <w:lang w:val="fr-CA"/>
              </w:rPr>
            </w:pPr>
            <w:r w:rsidRPr="00BE6616">
              <w:rPr>
                <w:rFonts w:eastAsia="Calibri"/>
                <w:sz w:val="20"/>
                <w:lang w:val="fr-CA"/>
              </w:rPr>
              <w:t>Demande d’autorisation d’appel, déposée</w:t>
            </w:r>
          </w:p>
          <w:p w:rsidR="00182B2D" w:rsidRPr="00BE6616" w:rsidRDefault="00182B2D" w:rsidP="002E3508">
            <w:pPr>
              <w:jc w:val="both"/>
              <w:rPr>
                <w:rFonts w:eastAsia="Calibri"/>
                <w:sz w:val="20"/>
                <w:lang w:val="fr-CA"/>
              </w:rPr>
            </w:pPr>
          </w:p>
        </w:tc>
      </w:tr>
    </w:tbl>
    <w:p w:rsidR="007B50F9" w:rsidRDefault="004D21E4" w:rsidP="007B50F9">
      <w:pPr>
        <w:rPr>
          <w:sz w:val="20"/>
          <w:szCs w:val="20"/>
          <w:lang w:val="fr-CA"/>
        </w:rPr>
      </w:pPr>
      <w:r w:rsidRPr="004D21E4">
        <w:rPr>
          <w:sz w:val="20"/>
          <w:szCs w:val="20"/>
          <w:lang w:val="fr-CA"/>
        </w:rPr>
        <w:pict>
          <v:rect id="_x0000_i1078"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72879" w:rsidRPr="007C3AB2" w:rsidTr="0087505F">
        <w:trPr>
          <w:cantSplit/>
        </w:trPr>
        <w:tc>
          <w:tcPr>
            <w:tcW w:w="1458" w:type="dxa"/>
          </w:tcPr>
          <w:p w:rsidR="00772879" w:rsidRPr="007C3AB2" w:rsidRDefault="00772879" w:rsidP="0087505F">
            <w:pPr>
              <w:rPr>
                <w:sz w:val="20"/>
                <w:szCs w:val="20"/>
              </w:rPr>
            </w:pPr>
            <w:r w:rsidRPr="007C3AB2">
              <w:rPr>
                <w:rStyle w:val="SCCFileNumberChar"/>
                <w:sz w:val="20"/>
                <w:szCs w:val="20"/>
              </w:rPr>
              <w:t>34276</w:t>
            </w:r>
          </w:p>
          <w:p w:rsidR="00772879" w:rsidRPr="007C3AB2" w:rsidRDefault="00772879" w:rsidP="0087505F">
            <w:pPr>
              <w:rPr>
                <w:b/>
                <w:sz w:val="20"/>
                <w:szCs w:val="20"/>
                <w:lang w:val="fr-CA"/>
              </w:rPr>
            </w:pPr>
          </w:p>
        </w:tc>
        <w:tc>
          <w:tcPr>
            <w:tcW w:w="8118" w:type="dxa"/>
          </w:tcPr>
          <w:p w:rsidR="00772879" w:rsidRPr="007C3AB2" w:rsidRDefault="00772879" w:rsidP="0087505F">
            <w:pPr>
              <w:rPr>
                <w:sz w:val="20"/>
                <w:szCs w:val="20"/>
              </w:rPr>
            </w:pPr>
            <w:r w:rsidRPr="00772879">
              <w:rPr>
                <w:rStyle w:val="SCCLsocChar"/>
                <w:sz w:val="20"/>
                <w:szCs w:val="20"/>
                <w:lang w:val="en-CA"/>
              </w:rPr>
              <w:t>Kari Leiviska v. Her Majesty the Queen</w:t>
            </w:r>
            <w:r w:rsidRPr="007C3AB2">
              <w:rPr>
                <w:sz w:val="20"/>
                <w:szCs w:val="20"/>
              </w:rPr>
              <w:t xml:space="preserve"> (B.C.) (Criminal) (By Leave)</w:t>
            </w:r>
          </w:p>
          <w:p w:rsidR="00772879" w:rsidRPr="007C3AB2" w:rsidRDefault="00772879" w:rsidP="0087505F">
            <w:pPr>
              <w:rPr>
                <w:sz w:val="20"/>
                <w:szCs w:val="20"/>
              </w:rPr>
            </w:pPr>
          </w:p>
        </w:tc>
      </w:tr>
      <w:tr w:rsidR="00772879" w:rsidRPr="007C3AB2" w:rsidTr="0087505F">
        <w:trPr>
          <w:cantSplit/>
        </w:trPr>
        <w:tc>
          <w:tcPr>
            <w:tcW w:w="1458" w:type="dxa"/>
          </w:tcPr>
          <w:p w:rsidR="00772879" w:rsidRPr="007C3AB2" w:rsidRDefault="00772879" w:rsidP="0087505F">
            <w:pPr>
              <w:rPr>
                <w:sz w:val="20"/>
                <w:szCs w:val="20"/>
              </w:rPr>
            </w:pPr>
            <w:r w:rsidRPr="007C3AB2">
              <w:rPr>
                <w:sz w:val="20"/>
                <w:szCs w:val="20"/>
              </w:rPr>
              <w:t>Coram :</w:t>
            </w:r>
          </w:p>
        </w:tc>
        <w:tc>
          <w:tcPr>
            <w:tcW w:w="8118" w:type="dxa"/>
          </w:tcPr>
          <w:p w:rsidR="00772879" w:rsidRPr="007C3AB2" w:rsidRDefault="00772879" w:rsidP="0087505F">
            <w:pPr>
              <w:rPr>
                <w:sz w:val="20"/>
                <w:szCs w:val="20"/>
              </w:rPr>
            </w:pPr>
            <w:r w:rsidRPr="007C3AB2">
              <w:rPr>
                <w:rStyle w:val="SCCCoramChar"/>
                <w:sz w:val="20"/>
                <w:szCs w:val="20"/>
              </w:rPr>
              <w:t>Binnie, Abella and Rothstein JJ.</w:t>
            </w:r>
          </w:p>
          <w:p w:rsidR="00772879" w:rsidRPr="007C3AB2" w:rsidRDefault="00772879" w:rsidP="0087505F">
            <w:pPr>
              <w:rPr>
                <w:sz w:val="20"/>
                <w:szCs w:val="20"/>
                <w:u w:val="single"/>
              </w:rPr>
            </w:pPr>
          </w:p>
        </w:tc>
      </w:tr>
      <w:tr w:rsidR="00772879" w:rsidRPr="00682661" w:rsidTr="0087505F">
        <w:trPr>
          <w:cantSplit/>
        </w:trPr>
        <w:tc>
          <w:tcPr>
            <w:tcW w:w="9576" w:type="dxa"/>
            <w:gridSpan w:val="2"/>
          </w:tcPr>
          <w:p w:rsidR="00772879" w:rsidRPr="007C3AB2" w:rsidRDefault="00772879" w:rsidP="0087505F">
            <w:pPr>
              <w:pStyle w:val="SCCShortJudgment"/>
              <w:rPr>
                <w:szCs w:val="20"/>
              </w:rPr>
            </w:pPr>
            <w:r w:rsidRPr="007C3AB2">
              <w:rPr>
                <w:szCs w:val="20"/>
              </w:rPr>
              <w:t>The application for leave to appeal from the judgment of the Court of Appeal for British Columbia (Vancouver), Number CA038369, 2011 BCCA 145, dated March 28, 2011, is dismissed without costs.</w:t>
            </w:r>
          </w:p>
          <w:p w:rsidR="00772879" w:rsidRPr="007C3AB2" w:rsidRDefault="00772879" w:rsidP="0087505F">
            <w:pPr>
              <w:pStyle w:val="SCCShortJudgment"/>
              <w:ind w:firstLine="0"/>
              <w:rPr>
                <w:szCs w:val="20"/>
              </w:rPr>
            </w:pPr>
          </w:p>
          <w:p w:rsidR="00772879" w:rsidRPr="007C3AB2" w:rsidRDefault="00772879" w:rsidP="0087505F">
            <w:pPr>
              <w:pStyle w:val="SCCShortJudgment"/>
              <w:rPr>
                <w:szCs w:val="20"/>
                <w:lang w:val="fr-CA"/>
              </w:rPr>
            </w:pPr>
            <w:r w:rsidRPr="007C3AB2">
              <w:rPr>
                <w:szCs w:val="20"/>
                <w:lang w:val="fr-CA"/>
              </w:rPr>
              <w:t>La demande d’autorisation d’appel de l’arrêt de la Cour d’appel de la Colombie-Britannique (Vancouver), numéro CA038369, 2011 BCCA 145, daté du 28 mars 2011, est rejetée sans dépens.</w:t>
            </w:r>
          </w:p>
        </w:tc>
      </w:tr>
    </w:tbl>
    <w:p w:rsidR="007B50F9" w:rsidRPr="00772879" w:rsidRDefault="007B50F9" w:rsidP="007B50F9">
      <w:pPr>
        <w:rPr>
          <w:sz w:val="20"/>
          <w:szCs w:val="20"/>
          <w:lang w:val="fr-CA"/>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013BBA" w:rsidRPr="00BE6616" w:rsidTr="002E3508">
        <w:tc>
          <w:tcPr>
            <w:tcW w:w="5000" w:type="pct"/>
            <w:gridSpan w:val="3"/>
          </w:tcPr>
          <w:p w:rsidR="00013BBA" w:rsidRPr="00BE6616" w:rsidRDefault="00013BBA" w:rsidP="002E3508">
            <w:pPr>
              <w:jc w:val="both"/>
              <w:rPr>
                <w:rFonts w:eastAsia="Calibri"/>
                <w:sz w:val="20"/>
              </w:rPr>
            </w:pPr>
            <w:r w:rsidRPr="00BE6616">
              <w:rPr>
                <w:rFonts w:eastAsia="Calibri"/>
                <w:sz w:val="20"/>
              </w:rPr>
              <w:t xml:space="preserve">Criminal Law — Trial — Appeals — Pleas — Conditions for accepting guilty plea — Validity of guilty plea — Whether s. 606(1.1) of the </w:t>
            </w:r>
            <w:r w:rsidRPr="00BE6616">
              <w:rPr>
                <w:rFonts w:eastAsia="Calibri"/>
                <w:i/>
                <w:sz w:val="20"/>
              </w:rPr>
              <w:t>Criminal Code</w:t>
            </w:r>
            <w:r w:rsidRPr="00BE6616">
              <w:rPr>
                <w:rFonts w:eastAsia="Calibri"/>
                <w:sz w:val="20"/>
              </w:rPr>
              <w:t>, R.S.C., 1985, c. C</w:t>
            </w:r>
            <w:r w:rsidRPr="00BE6616">
              <w:rPr>
                <w:rFonts w:eastAsia="Calibri"/>
                <w:sz w:val="20"/>
              </w:rPr>
              <w:noBreakHyphen/>
              <w:t xml:space="preserve">46, is mandatory and whether the validity of a plea taken without any inquiry pursuant to s. 606(1.1) is saved by s. 606(1.2) — Whether case law requiring a trial judge to provide assistance to an unrepresented accused applies to appellate court judges faced with an unrepresented appellant or applicant.  </w:t>
            </w:r>
          </w:p>
        </w:tc>
      </w:tr>
      <w:tr w:rsidR="00013BBA" w:rsidRPr="00BE6616" w:rsidTr="002E3508">
        <w:tc>
          <w:tcPr>
            <w:tcW w:w="5000" w:type="pct"/>
            <w:gridSpan w:val="3"/>
          </w:tcPr>
          <w:p w:rsidR="00013BBA" w:rsidRPr="00BE6616" w:rsidRDefault="00013BBA" w:rsidP="002E3508">
            <w:pPr>
              <w:jc w:val="both"/>
              <w:rPr>
                <w:rFonts w:eastAsia="Calibri"/>
                <w:sz w:val="20"/>
              </w:rPr>
            </w:pPr>
          </w:p>
        </w:tc>
      </w:tr>
      <w:tr w:rsidR="00013BBA" w:rsidRPr="00BE6616" w:rsidTr="002E3508">
        <w:tc>
          <w:tcPr>
            <w:tcW w:w="5000" w:type="pct"/>
            <w:gridSpan w:val="3"/>
          </w:tcPr>
          <w:p w:rsidR="00013BBA" w:rsidRPr="00BE6616" w:rsidRDefault="00013BBA" w:rsidP="002E3508">
            <w:pPr>
              <w:jc w:val="both"/>
              <w:rPr>
                <w:rFonts w:eastAsia="Calibri"/>
                <w:sz w:val="20"/>
              </w:rPr>
            </w:pPr>
            <w:r w:rsidRPr="00BE6616">
              <w:rPr>
                <w:rFonts w:eastAsia="Calibri"/>
                <w:sz w:val="20"/>
              </w:rPr>
              <w:t>The applicant admitted at trial that he had struck his wife and he pleaded guilty to a charge of assault.  Based on defence counsel’s advice, he expected a conditional discharge.  The Crown tendered photographs of his wife’s bruising.  The sentencing judge referred to the photographs and the need for general deterrence, and imposed a suspended sentence with probation.  On summary conviction appeal from the sentence, the applicant was unrepresented.  He claimed that the bruising in the photographs was caused when his wife fell after drinking wine and that he had helped her to a chair because she was not able to walk.  He stated that she became hysterical when he tried to protect her from falling off the chair so he gave her one slap to the left side of her face in self defence.  The summary conviction appeal court upheld the sentence.   The Court of Appeal dismissed an application for leave to appeal.</w:t>
            </w:r>
          </w:p>
          <w:p w:rsidR="00013BBA" w:rsidRPr="00BE6616" w:rsidRDefault="00013BBA" w:rsidP="002E3508">
            <w:pPr>
              <w:jc w:val="both"/>
              <w:rPr>
                <w:rFonts w:eastAsia="Calibri"/>
                <w:sz w:val="20"/>
              </w:rPr>
            </w:pPr>
          </w:p>
        </w:tc>
      </w:tr>
      <w:tr w:rsidR="00013BBA" w:rsidRPr="00BE6616" w:rsidTr="002E3508">
        <w:tblPrEx>
          <w:tblCellMar>
            <w:bottom w:w="0" w:type="dxa"/>
          </w:tblCellMar>
        </w:tblPrEx>
        <w:tc>
          <w:tcPr>
            <w:tcW w:w="2390" w:type="pct"/>
          </w:tcPr>
          <w:p w:rsidR="00013BBA" w:rsidRPr="00BE6616" w:rsidRDefault="00013BBA" w:rsidP="002E3508">
            <w:pPr>
              <w:jc w:val="both"/>
              <w:rPr>
                <w:rFonts w:eastAsia="Calibri"/>
                <w:sz w:val="20"/>
              </w:rPr>
            </w:pPr>
            <w:r w:rsidRPr="00BE6616">
              <w:rPr>
                <w:rFonts w:eastAsia="Calibri"/>
                <w:sz w:val="20"/>
              </w:rPr>
              <w:t>April 1, 2010</w:t>
            </w:r>
          </w:p>
          <w:p w:rsidR="00013BBA" w:rsidRPr="00BE6616" w:rsidRDefault="00013BBA" w:rsidP="002E3508">
            <w:pPr>
              <w:jc w:val="both"/>
              <w:rPr>
                <w:rFonts w:eastAsia="Calibri"/>
                <w:sz w:val="20"/>
              </w:rPr>
            </w:pPr>
            <w:r w:rsidRPr="00BE6616">
              <w:rPr>
                <w:rFonts w:eastAsia="Calibri"/>
                <w:sz w:val="20"/>
              </w:rPr>
              <w:t>Provincial Court of British Columbia</w:t>
            </w:r>
          </w:p>
          <w:p w:rsidR="00013BBA" w:rsidRPr="00BE6616" w:rsidRDefault="00013BBA" w:rsidP="002E3508">
            <w:pPr>
              <w:jc w:val="both"/>
              <w:rPr>
                <w:rFonts w:eastAsia="Calibri"/>
                <w:sz w:val="20"/>
              </w:rPr>
            </w:pPr>
            <w:r w:rsidRPr="00BE6616">
              <w:rPr>
                <w:rFonts w:eastAsia="Calibri"/>
                <w:sz w:val="20"/>
              </w:rPr>
              <w:t xml:space="preserve">(Saunders J.)  </w:t>
            </w:r>
          </w:p>
          <w:p w:rsidR="00013BBA" w:rsidRPr="00BE6616" w:rsidRDefault="00013BBA" w:rsidP="002E3508">
            <w:pPr>
              <w:jc w:val="both"/>
              <w:rPr>
                <w:rFonts w:eastAsia="Calibri"/>
                <w:sz w:val="20"/>
              </w:rPr>
            </w:pPr>
          </w:p>
        </w:tc>
        <w:tc>
          <w:tcPr>
            <w:tcW w:w="270" w:type="pct"/>
          </w:tcPr>
          <w:p w:rsidR="00013BBA" w:rsidRPr="00BE6616" w:rsidRDefault="00013BBA" w:rsidP="002E3508">
            <w:pPr>
              <w:jc w:val="both"/>
              <w:rPr>
                <w:rFonts w:eastAsia="Calibri"/>
                <w:sz w:val="20"/>
              </w:rPr>
            </w:pPr>
          </w:p>
        </w:tc>
        <w:tc>
          <w:tcPr>
            <w:tcW w:w="2340" w:type="pct"/>
          </w:tcPr>
          <w:p w:rsidR="00013BBA" w:rsidRPr="00BE6616" w:rsidRDefault="00013BBA" w:rsidP="002E3508">
            <w:pPr>
              <w:jc w:val="both"/>
              <w:rPr>
                <w:rFonts w:eastAsia="Calibri"/>
                <w:sz w:val="20"/>
              </w:rPr>
            </w:pPr>
            <w:r w:rsidRPr="00BE6616">
              <w:rPr>
                <w:rFonts w:eastAsia="Calibri"/>
                <w:sz w:val="20"/>
              </w:rPr>
              <w:t>Plea of guilty to assault; Suspended sentence and probation for 12 months</w:t>
            </w:r>
          </w:p>
          <w:p w:rsidR="00013BBA" w:rsidRPr="00BE6616" w:rsidRDefault="00013BBA" w:rsidP="002E3508">
            <w:pPr>
              <w:jc w:val="both"/>
              <w:rPr>
                <w:rFonts w:eastAsia="Calibri"/>
                <w:sz w:val="20"/>
              </w:rPr>
            </w:pPr>
          </w:p>
        </w:tc>
      </w:tr>
      <w:tr w:rsidR="00013BBA" w:rsidRPr="00BE6616" w:rsidTr="002E3508">
        <w:tblPrEx>
          <w:tblCellMar>
            <w:bottom w:w="0" w:type="dxa"/>
          </w:tblCellMar>
        </w:tblPrEx>
        <w:tc>
          <w:tcPr>
            <w:tcW w:w="2390" w:type="pct"/>
          </w:tcPr>
          <w:p w:rsidR="00013BBA" w:rsidRPr="00BE6616" w:rsidRDefault="00013BBA" w:rsidP="002E3508">
            <w:pPr>
              <w:jc w:val="both"/>
              <w:rPr>
                <w:rFonts w:eastAsia="Calibri"/>
                <w:sz w:val="20"/>
              </w:rPr>
            </w:pPr>
            <w:r w:rsidRPr="00BE6616">
              <w:rPr>
                <w:rFonts w:eastAsia="Calibri"/>
                <w:sz w:val="20"/>
              </w:rPr>
              <w:t>July 19, 2010</w:t>
            </w:r>
          </w:p>
          <w:p w:rsidR="00013BBA" w:rsidRPr="00BE6616" w:rsidRDefault="00013BBA" w:rsidP="002E3508">
            <w:pPr>
              <w:jc w:val="both"/>
              <w:rPr>
                <w:rFonts w:eastAsia="Calibri"/>
                <w:sz w:val="20"/>
              </w:rPr>
            </w:pPr>
            <w:r w:rsidRPr="00BE6616">
              <w:rPr>
                <w:rFonts w:eastAsia="Calibri"/>
                <w:sz w:val="20"/>
              </w:rPr>
              <w:t>Supreme Court of British Columbia</w:t>
            </w:r>
          </w:p>
          <w:p w:rsidR="00013BBA" w:rsidRPr="00BE6616" w:rsidRDefault="00013BBA" w:rsidP="002E3508">
            <w:pPr>
              <w:jc w:val="both"/>
              <w:rPr>
                <w:rFonts w:eastAsia="Calibri"/>
                <w:sz w:val="20"/>
              </w:rPr>
            </w:pPr>
            <w:r w:rsidRPr="00BE6616">
              <w:rPr>
                <w:rFonts w:eastAsia="Calibri"/>
                <w:sz w:val="20"/>
              </w:rPr>
              <w:t xml:space="preserve">(Smith J.)  </w:t>
            </w:r>
          </w:p>
          <w:p w:rsidR="00013BBA" w:rsidRPr="00BE6616" w:rsidRDefault="00013BBA" w:rsidP="002E3508">
            <w:pPr>
              <w:jc w:val="both"/>
              <w:rPr>
                <w:rFonts w:eastAsia="Calibri"/>
                <w:sz w:val="20"/>
              </w:rPr>
            </w:pPr>
          </w:p>
        </w:tc>
        <w:tc>
          <w:tcPr>
            <w:tcW w:w="270" w:type="pct"/>
          </w:tcPr>
          <w:p w:rsidR="00013BBA" w:rsidRPr="00BE6616" w:rsidRDefault="00013BBA" w:rsidP="002E3508">
            <w:pPr>
              <w:jc w:val="both"/>
              <w:rPr>
                <w:rFonts w:eastAsia="Calibri"/>
                <w:sz w:val="20"/>
              </w:rPr>
            </w:pPr>
          </w:p>
        </w:tc>
        <w:tc>
          <w:tcPr>
            <w:tcW w:w="2340" w:type="pct"/>
          </w:tcPr>
          <w:p w:rsidR="00013BBA" w:rsidRPr="00BE6616" w:rsidRDefault="00013BBA" w:rsidP="002E3508">
            <w:pPr>
              <w:jc w:val="both"/>
              <w:rPr>
                <w:rFonts w:eastAsia="Calibri"/>
                <w:sz w:val="20"/>
              </w:rPr>
            </w:pPr>
            <w:r w:rsidRPr="00BE6616">
              <w:rPr>
                <w:rFonts w:eastAsia="Calibri"/>
                <w:sz w:val="20"/>
              </w:rPr>
              <w:t>Summary conviction appeal from sentence dismissed</w:t>
            </w:r>
          </w:p>
          <w:p w:rsidR="00013BBA" w:rsidRPr="00BE6616" w:rsidRDefault="00013BBA" w:rsidP="002E3508">
            <w:pPr>
              <w:jc w:val="both"/>
              <w:rPr>
                <w:rFonts w:eastAsia="Calibri"/>
                <w:sz w:val="20"/>
              </w:rPr>
            </w:pPr>
            <w:r w:rsidRPr="00BE6616">
              <w:rPr>
                <w:rFonts w:eastAsia="Calibri"/>
                <w:sz w:val="20"/>
              </w:rPr>
              <w:t xml:space="preserve"> </w:t>
            </w:r>
          </w:p>
        </w:tc>
      </w:tr>
      <w:tr w:rsidR="00013BBA" w:rsidRPr="00BE6616" w:rsidTr="002E3508">
        <w:tblPrEx>
          <w:tblCellMar>
            <w:bottom w:w="0" w:type="dxa"/>
          </w:tblCellMar>
        </w:tblPrEx>
        <w:tc>
          <w:tcPr>
            <w:tcW w:w="2390" w:type="pct"/>
          </w:tcPr>
          <w:p w:rsidR="00013BBA" w:rsidRPr="00BE6616" w:rsidRDefault="00013BBA" w:rsidP="002E3508">
            <w:pPr>
              <w:jc w:val="both"/>
              <w:rPr>
                <w:rFonts w:eastAsia="Calibri"/>
                <w:sz w:val="20"/>
              </w:rPr>
            </w:pPr>
            <w:r w:rsidRPr="00BE6616">
              <w:rPr>
                <w:rFonts w:eastAsia="Calibri"/>
                <w:sz w:val="20"/>
              </w:rPr>
              <w:t>March 28, 2011</w:t>
            </w:r>
          </w:p>
          <w:p w:rsidR="00013BBA" w:rsidRPr="00BE6616" w:rsidRDefault="00013BBA" w:rsidP="002E3508">
            <w:pPr>
              <w:jc w:val="both"/>
              <w:rPr>
                <w:rFonts w:eastAsia="Calibri"/>
                <w:sz w:val="20"/>
              </w:rPr>
            </w:pPr>
            <w:r w:rsidRPr="00BE6616">
              <w:rPr>
                <w:rFonts w:eastAsia="Calibri"/>
                <w:sz w:val="20"/>
              </w:rPr>
              <w:t>Court of Appeal for British Columbia (Vancouver)</w:t>
            </w:r>
          </w:p>
          <w:p w:rsidR="00013BBA" w:rsidRPr="00BE6616" w:rsidRDefault="00013BBA" w:rsidP="002E3508">
            <w:pPr>
              <w:jc w:val="both"/>
              <w:rPr>
                <w:rFonts w:eastAsia="Calibri"/>
                <w:sz w:val="20"/>
              </w:rPr>
            </w:pPr>
            <w:r w:rsidRPr="00BE6616">
              <w:rPr>
                <w:rFonts w:eastAsia="Calibri"/>
                <w:sz w:val="20"/>
              </w:rPr>
              <w:t>(Chiasson J.)</w:t>
            </w:r>
          </w:p>
          <w:p w:rsidR="00013BBA" w:rsidRPr="00BE6616" w:rsidRDefault="00013BBA" w:rsidP="002E3508">
            <w:pPr>
              <w:jc w:val="both"/>
              <w:rPr>
                <w:rFonts w:eastAsia="Calibri"/>
                <w:sz w:val="20"/>
              </w:rPr>
            </w:pPr>
            <w:r w:rsidRPr="00BE6616">
              <w:rPr>
                <w:rFonts w:eastAsia="Calibri"/>
                <w:sz w:val="20"/>
              </w:rPr>
              <w:t xml:space="preserve">2011 BCCA 145; CA038369 </w:t>
            </w:r>
          </w:p>
          <w:p w:rsidR="00013BBA" w:rsidRPr="00BE6616" w:rsidRDefault="00013BBA" w:rsidP="002E3508">
            <w:pPr>
              <w:jc w:val="both"/>
              <w:rPr>
                <w:rFonts w:eastAsia="Calibri"/>
                <w:sz w:val="20"/>
              </w:rPr>
            </w:pPr>
          </w:p>
        </w:tc>
        <w:tc>
          <w:tcPr>
            <w:tcW w:w="270" w:type="pct"/>
          </w:tcPr>
          <w:p w:rsidR="00013BBA" w:rsidRPr="00BE6616" w:rsidRDefault="00013BBA" w:rsidP="002E3508">
            <w:pPr>
              <w:jc w:val="both"/>
              <w:rPr>
                <w:rFonts w:eastAsia="Calibri"/>
                <w:sz w:val="20"/>
              </w:rPr>
            </w:pPr>
          </w:p>
        </w:tc>
        <w:tc>
          <w:tcPr>
            <w:tcW w:w="2340" w:type="pct"/>
          </w:tcPr>
          <w:p w:rsidR="00013BBA" w:rsidRPr="00BE6616" w:rsidRDefault="00013BBA" w:rsidP="002E3508">
            <w:pPr>
              <w:jc w:val="both"/>
              <w:rPr>
                <w:rFonts w:eastAsia="Calibri"/>
                <w:sz w:val="20"/>
              </w:rPr>
            </w:pPr>
            <w:r w:rsidRPr="00BE6616">
              <w:rPr>
                <w:rFonts w:eastAsia="Calibri"/>
                <w:sz w:val="20"/>
              </w:rPr>
              <w:t>Application for leave to appeal dismissed</w:t>
            </w:r>
          </w:p>
          <w:p w:rsidR="00013BBA" w:rsidRPr="00BE6616" w:rsidRDefault="00013BBA" w:rsidP="002E3508">
            <w:pPr>
              <w:jc w:val="both"/>
              <w:rPr>
                <w:rFonts w:eastAsia="Calibri"/>
                <w:sz w:val="20"/>
              </w:rPr>
            </w:pPr>
          </w:p>
        </w:tc>
      </w:tr>
      <w:tr w:rsidR="00013BBA" w:rsidRPr="00BE6616" w:rsidTr="002E3508">
        <w:tblPrEx>
          <w:tblCellMar>
            <w:bottom w:w="0" w:type="dxa"/>
          </w:tblCellMar>
        </w:tblPrEx>
        <w:tc>
          <w:tcPr>
            <w:tcW w:w="2390" w:type="pct"/>
          </w:tcPr>
          <w:p w:rsidR="00013BBA" w:rsidRPr="00BE6616" w:rsidRDefault="00013BBA" w:rsidP="002E3508">
            <w:pPr>
              <w:jc w:val="both"/>
              <w:rPr>
                <w:rFonts w:eastAsia="Calibri"/>
                <w:sz w:val="20"/>
              </w:rPr>
            </w:pPr>
            <w:r w:rsidRPr="00BE6616">
              <w:rPr>
                <w:rFonts w:eastAsia="Calibri"/>
                <w:sz w:val="20"/>
              </w:rPr>
              <w:t>May 27, 2011</w:t>
            </w:r>
          </w:p>
          <w:p w:rsidR="00013BBA" w:rsidRPr="00BE6616" w:rsidRDefault="00013BBA" w:rsidP="002E3508">
            <w:pPr>
              <w:jc w:val="both"/>
              <w:rPr>
                <w:rFonts w:eastAsia="Calibri"/>
                <w:sz w:val="20"/>
              </w:rPr>
            </w:pPr>
            <w:r w:rsidRPr="00BE6616">
              <w:rPr>
                <w:rFonts w:eastAsia="Calibri"/>
                <w:sz w:val="20"/>
              </w:rPr>
              <w:t>Supreme Court of Canada</w:t>
            </w:r>
          </w:p>
        </w:tc>
        <w:tc>
          <w:tcPr>
            <w:tcW w:w="270" w:type="pct"/>
          </w:tcPr>
          <w:p w:rsidR="00013BBA" w:rsidRPr="00BE6616" w:rsidRDefault="00013BBA" w:rsidP="002E3508">
            <w:pPr>
              <w:jc w:val="both"/>
              <w:rPr>
                <w:rFonts w:eastAsia="Calibri"/>
                <w:sz w:val="20"/>
              </w:rPr>
            </w:pPr>
          </w:p>
        </w:tc>
        <w:tc>
          <w:tcPr>
            <w:tcW w:w="2340" w:type="pct"/>
          </w:tcPr>
          <w:p w:rsidR="00013BBA" w:rsidRPr="00BE6616" w:rsidRDefault="00013BBA" w:rsidP="002E3508">
            <w:pPr>
              <w:jc w:val="both"/>
              <w:rPr>
                <w:rFonts w:eastAsia="Calibri"/>
                <w:sz w:val="20"/>
              </w:rPr>
            </w:pPr>
            <w:r w:rsidRPr="00BE6616">
              <w:rPr>
                <w:rFonts w:eastAsia="Calibri"/>
                <w:sz w:val="20"/>
              </w:rPr>
              <w:t>Application for leave to appeal filed</w:t>
            </w:r>
          </w:p>
          <w:p w:rsidR="00013BBA" w:rsidRPr="00BE6616" w:rsidRDefault="00013BBA" w:rsidP="002E350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79"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0A0"/>
      </w:tblPr>
      <w:tblGrid>
        <w:gridCol w:w="4554"/>
        <w:gridCol w:w="514"/>
        <w:gridCol w:w="4459"/>
      </w:tblGrid>
      <w:tr w:rsidR="00013BBA" w:rsidRPr="00682661" w:rsidTr="002E3508">
        <w:tc>
          <w:tcPr>
            <w:tcW w:w="5000" w:type="pct"/>
            <w:gridSpan w:val="3"/>
          </w:tcPr>
          <w:p w:rsidR="00013BBA" w:rsidRPr="00BE6616" w:rsidRDefault="00013BBA" w:rsidP="002E3508">
            <w:pPr>
              <w:jc w:val="both"/>
              <w:rPr>
                <w:rFonts w:eastAsia="Calibri"/>
                <w:sz w:val="20"/>
                <w:lang w:val="fr-CA"/>
              </w:rPr>
            </w:pPr>
            <w:r w:rsidRPr="00BE6616">
              <w:rPr>
                <w:rFonts w:eastAsia="Calibri"/>
                <w:sz w:val="20"/>
                <w:lang w:val="fr-CA"/>
              </w:rPr>
              <w:t>Droit criminel — Procès — Appels — Plaidoyers — Conditions d'acceptation d'un plaidoyer de culpabilité — Validité du plaidoyer de culpabilité — Le par. 606(1.1) du</w:t>
            </w:r>
            <w:r w:rsidRPr="00BE6616">
              <w:rPr>
                <w:rFonts w:eastAsia="Calibri"/>
                <w:i/>
                <w:sz w:val="20"/>
                <w:lang w:val="fr-CA"/>
              </w:rPr>
              <w:t xml:space="preserve"> Code criminel</w:t>
            </w:r>
            <w:r w:rsidRPr="00BE6616">
              <w:rPr>
                <w:rFonts w:eastAsia="Calibri"/>
                <w:sz w:val="20"/>
                <w:lang w:val="fr-CA"/>
              </w:rPr>
              <w:t>, L.R.C. 1985, ch. C</w:t>
            </w:r>
            <w:r w:rsidRPr="00BE6616">
              <w:rPr>
                <w:rFonts w:eastAsia="Calibri"/>
                <w:sz w:val="20"/>
                <w:lang w:val="fr-CA"/>
              </w:rPr>
              <w:noBreakHyphen/>
              <w:t>46, est</w:t>
            </w:r>
            <w:r w:rsidRPr="00BE6616">
              <w:rPr>
                <w:rFonts w:eastAsia="Calibri"/>
                <w:sz w:val="20"/>
                <w:lang w:val="fr-CA"/>
              </w:rPr>
              <w:noBreakHyphen/>
              <w:t>il obligatoire et la validité d'un plaidoyer pris sans enquête aux termes du par. 606(1.1) est</w:t>
            </w:r>
            <w:r w:rsidRPr="00BE6616">
              <w:rPr>
                <w:rFonts w:eastAsia="Calibri"/>
                <w:sz w:val="20"/>
                <w:lang w:val="fr-CA"/>
              </w:rPr>
              <w:noBreakHyphen/>
              <w:t>elle sauvegardée par le par. 606(1.2)? — La jurisprudence qui oblige le juge du procès à fournir de l'assistance à un accusé non représenté s'applique</w:t>
            </w:r>
            <w:r w:rsidRPr="00BE6616">
              <w:rPr>
                <w:rFonts w:eastAsia="Calibri"/>
                <w:sz w:val="20"/>
                <w:lang w:val="fr-CA"/>
              </w:rPr>
              <w:noBreakHyphen/>
              <w:t>t</w:t>
            </w:r>
            <w:r w:rsidRPr="00BE6616">
              <w:rPr>
                <w:rFonts w:eastAsia="Calibri"/>
                <w:sz w:val="20"/>
                <w:lang w:val="fr-CA"/>
              </w:rPr>
              <w:noBreakHyphen/>
              <w:t xml:space="preserve">elle au juge d’une cour d'appel devant qui se trouve un appelant ou un demandeur non représenté?  </w:t>
            </w:r>
          </w:p>
        </w:tc>
      </w:tr>
      <w:tr w:rsidR="00013BBA" w:rsidRPr="00682661" w:rsidTr="002E3508">
        <w:tc>
          <w:tcPr>
            <w:tcW w:w="5000" w:type="pct"/>
            <w:gridSpan w:val="3"/>
          </w:tcPr>
          <w:p w:rsidR="00013BBA" w:rsidRPr="00BE6616" w:rsidRDefault="00013BBA" w:rsidP="002E3508">
            <w:pPr>
              <w:jc w:val="both"/>
              <w:rPr>
                <w:rFonts w:eastAsia="Calibri"/>
                <w:sz w:val="20"/>
                <w:lang w:val="fr-CA"/>
              </w:rPr>
            </w:pPr>
          </w:p>
        </w:tc>
      </w:tr>
      <w:tr w:rsidR="00013BBA" w:rsidRPr="00BE6616" w:rsidTr="002E3508">
        <w:tc>
          <w:tcPr>
            <w:tcW w:w="5000" w:type="pct"/>
            <w:gridSpan w:val="3"/>
          </w:tcPr>
          <w:p w:rsidR="00013BBA" w:rsidRPr="00BE6616" w:rsidRDefault="00013BBA" w:rsidP="002E3508">
            <w:pPr>
              <w:jc w:val="both"/>
              <w:rPr>
                <w:rFonts w:eastAsia="Calibri"/>
                <w:sz w:val="20"/>
                <w:lang w:val="fr-CA"/>
              </w:rPr>
            </w:pPr>
            <w:r w:rsidRPr="00BE6616">
              <w:rPr>
                <w:rFonts w:eastAsia="Calibri"/>
                <w:sz w:val="20"/>
                <w:lang w:val="fr-CA"/>
              </w:rPr>
              <w:t>À son procès, le demandeur a admis avoir frappé sa femme et il a plaidé coupable à une accusation de voies de fait.  S'appuyant sur les conseils de l'avocat de la défense, il s'attendait à une absolution sous conditions. Le ministère public a présenté des photographies des contusions subies par la femme de demandeur.  Le juge qui a imposé la peine a invoqué les photographies et le besoin de dissuasion générale et a imposé une condamnation avec sursis et probation.  En appel de la peine en matière de poursuite sommaire, le demandeur n’était pas représenté.  Il a affirmé que les contusions que l'on voyait dans les photographies avaient été causées lorsque sa femme est tombée après avoir bu du vin et qu'il l’avait aidée à s'asseoir dans une chaise parce qu'elle était incapable de marcher.  Il a affirmé qu'elle était devenue hystérique lorsqu'il a tenté de la protéger en l'empêchant de tomber de sa chaise, si bien qu'il lui a donné une gifle du côté gauche du visage en légitime défense.  La cour d'appel en matière de poursuite sommaire a confirmé la peine. La Cour d'appel a rejeté une demande d'autorisation d'appel.</w:t>
            </w:r>
          </w:p>
          <w:p w:rsidR="00013BBA" w:rsidRPr="00BE6616" w:rsidRDefault="00013BBA" w:rsidP="002E3508">
            <w:pPr>
              <w:jc w:val="both"/>
              <w:rPr>
                <w:rFonts w:eastAsia="Calibri"/>
                <w:sz w:val="20"/>
                <w:lang w:val="fr-CA"/>
              </w:rPr>
            </w:pPr>
          </w:p>
        </w:tc>
      </w:tr>
      <w:tr w:rsidR="00013BBA" w:rsidRPr="00682661" w:rsidTr="002E3508">
        <w:tblPrEx>
          <w:tblCellMar>
            <w:bottom w:w="0" w:type="dxa"/>
          </w:tblCellMar>
        </w:tblPrEx>
        <w:tc>
          <w:tcPr>
            <w:tcW w:w="2390" w:type="pct"/>
          </w:tcPr>
          <w:p w:rsidR="00013BBA" w:rsidRPr="00BE6616" w:rsidRDefault="00013BBA" w:rsidP="002E3508">
            <w:pPr>
              <w:jc w:val="both"/>
              <w:rPr>
                <w:rFonts w:eastAsia="Calibri"/>
                <w:sz w:val="20"/>
                <w:lang w:val="fr-CA"/>
              </w:rPr>
            </w:pPr>
            <w:r w:rsidRPr="00BE6616">
              <w:rPr>
                <w:rFonts w:eastAsia="Calibri"/>
                <w:sz w:val="20"/>
                <w:lang w:val="fr-CA"/>
              </w:rPr>
              <w:t>1</w:t>
            </w:r>
            <w:r w:rsidRPr="00BE6616">
              <w:rPr>
                <w:rFonts w:eastAsia="Calibri"/>
                <w:sz w:val="20"/>
                <w:vertAlign w:val="superscript"/>
                <w:lang w:val="fr-CA"/>
              </w:rPr>
              <w:t>er</w:t>
            </w:r>
            <w:r w:rsidRPr="00BE6616">
              <w:rPr>
                <w:rFonts w:eastAsia="Calibri"/>
                <w:sz w:val="20"/>
                <w:lang w:val="fr-CA"/>
              </w:rPr>
              <w:t xml:space="preserve"> avril 2010</w:t>
            </w:r>
          </w:p>
          <w:p w:rsidR="00013BBA" w:rsidRPr="00BE6616" w:rsidRDefault="00013BBA" w:rsidP="002E3508">
            <w:pPr>
              <w:jc w:val="both"/>
              <w:rPr>
                <w:rFonts w:eastAsia="Calibri"/>
                <w:sz w:val="20"/>
                <w:lang w:val="fr-CA"/>
              </w:rPr>
            </w:pPr>
            <w:r w:rsidRPr="00BE6616">
              <w:rPr>
                <w:rFonts w:eastAsia="Calibri"/>
                <w:sz w:val="20"/>
                <w:lang w:val="fr-CA"/>
              </w:rPr>
              <w:t>Cour provinciale de la Colombie</w:t>
            </w:r>
            <w:r w:rsidRPr="00BE6616">
              <w:rPr>
                <w:rFonts w:eastAsia="Calibri"/>
                <w:sz w:val="20"/>
                <w:lang w:val="fr-CA"/>
              </w:rPr>
              <w:noBreakHyphen/>
              <w:t xml:space="preserve">Britannique </w:t>
            </w:r>
          </w:p>
          <w:p w:rsidR="00013BBA" w:rsidRPr="00BE6616" w:rsidRDefault="00013BBA" w:rsidP="002E3508">
            <w:pPr>
              <w:jc w:val="both"/>
              <w:rPr>
                <w:rFonts w:eastAsia="Calibri"/>
                <w:sz w:val="20"/>
                <w:lang w:val="fr-CA"/>
              </w:rPr>
            </w:pPr>
            <w:r w:rsidRPr="00BE6616">
              <w:rPr>
                <w:rFonts w:eastAsia="Calibri"/>
                <w:sz w:val="20"/>
                <w:lang w:val="fr-CA"/>
              </w:rPr>
              <w:t xml:space="preserve">(Juge Saunders)  </w:t>
            </w:r>
          </w:p>
          <w:p w:rsidR="00013BBA" w:rsidRPr="00BE6616" w:rsidRDefault="00013BBA" w:rsidP="002E3508">
            <w:pPr>
              <w:jc w:val="both"/>
              <w:rPr>
                <w:rFonts w:eastAsia="Calibri"/>
                <w:sz w:val="20"/>
                <w:lang w:val="fr-CA"/>
              </w:rPr>
            </w:pPr>
          </w:p>
        </w:tc>
        <w:tc>
          <w:tcPr>
            <w:tcW w:w="270" w:type="pct"/>
          </w:tcPr>
          <w:p w:rsidR="00013BBA" w:rsidRPr="00BE6616" w:rsidRDefault="00013BBA" w:rsidP="002E3508">
            <w:pPr>
              <w:jc w:val="both"/>
              <w:rPr>
                <w:rFonts w:eastAsia="Calibri"/>
                <w:sz w:val="20"/>
                <w:lang w:val="fr-CA"/>
              </w:rPr>
            </w:pPr>
          </w:p>
        </w:tc>
        <w:tc>
          <w:tcPr>
            <w:tcW w:w="2340" w:type="pct"/>
          </w:tcPr>
          <w:p w:rsidR="00013BBA" w:rsidRPr="00BE6616" w:rsidRDefault="00013BBA" w:rsidP="002E3508">
            <w:pPr>
              <w:jc w:val="both"/>
              <w:rPr>
                <w:rFonts w:eastAsia="Calibri"/>
                <w:sz w:val="20"/>
                <w:lang w:val="fr-CA"/>
              </w:rPr>
            </w:pPr>
            <w:r w:rsidRPr="00BE6616">
              <w:rPr>
                <w:rFonts w:eastAsia="Calibri"/>
                <w:sz w:val="20"/>
                <w:lang w:val="fr-CA"/>
              </w:rPr>
              <w:t>Plaidoyer de culpabilité de voies de fait; condamnation avec sursis et probation de 12 mois</w:t>
            </w:r>
          </w:p>
          <w:p w:rsidR="00013BBA" w:rsidRPr="00BE6616" w:rsidRDefault="00013BBA" w:rsidP="002E3508">
            <w:pPr>
              <w:jc w:val="both"/>
              <w:rPr>
                <w:rFonts w:eastAsia="Calibri"/>
                <w:sz w:val="20"/>
                <w:lang w:val="fr-CA"/>
              </w:rPr>
            </w:pPr>
          </w:p>
        </w:tc>
      </w:tr>
      <w:tr w:rsidR="00013BBA" w:rsidRPr="00682661" w:rsidTr="002E3508">
        <w:tblPrEx>
          <w:tblCellMar>
            <w:bottom w:w="0" w:type="dxa"/>
          </w:tblCellMar>
        </w:tblPrEx>
        <w:tc>
          <w:tcPr>
            <w:tcW w:w="2390" w:type="pct"/>
          </w:tcPr>
          <w:p w:rsidR="00013BBA" w:rsidRPr="00BE6616" w:rsidRDefault="00013BBA" w:rsidP="002E3508">
            <w:pPr>
              <w:jc w:val="both"/>
              <w:rPr>
                <w:rFonts w:eastAsia="Calibri"/>
                <w:sz w:val="20"/>
                <w:lang w:val="fr-CA"/>
              </w:rPr>
            </w:pPr>
            <w:r w:rsidRPr="00BE6616">
              <w:rPr>
                <w:rFonts w:eastAsia="Calibri"/>
                <w:sz w:val="20"/>
                <w:lang w:val="fr-CA"/>
              </w:rPr>
              <w:lastRenderedPageBreak/>
              <w:t>19 juillet 2010</w:t>
            </w:r>
          </w:p>
          <w:p w:rsidR="00013BBA" w:rsidRPr="00BE6616" w:rsidRDefault="00013BBA" w:rsidP="002E3508">
            <w:pPr>
              <w:jc w:val="both"/>
              <w:rPr>
                <w:rFonts w:eastAsia="Calibri"/>
                <w:sz w:val="20"/>
                <w:lang w:val="fr-CA"/>
              </w:rPr>
            </w:pPr>
            <w:r w:rsidRPr="00BE6616">
              <w:rPr>
                <w:rFonts w:eastAsia="Calibri"/>
                <w:sz w:val="20"/>
                <w:lang w:val="fr-CA"/>
              </w:rPr>
              <w:t>Cour suprême de la Colombie</w:t>
            </w:r>
            <w:r w:rsidRPr="00BE6616">
              <w:rPr>
                <w:rFonts w:eastAsia="Calibri"/>
                <w:sz w:val="20"/>
                <w:lang w:val="fr-CA"/>
              </w:rPr>
              <w:noBreakHyphen/>
              <w:t xml:space="preserve">Britannique </w:t>
            </w:r>
          </w:p>
          <w:p w:rsidR="00013BBA" w:rsidRPr="00BE6616" w:rsidRDefault="00013BBA" w:rsidP="002E3508">
            <w:pPr>
              <w:jc w:val="both"/>
              <w:rPr>
                <w:rFonts w:eastAsia="Calibri"/>
                <w:sz w:val="20"/>
                <w:lang w:val="fr-CA"/>
              </w:rPr>
            </w:pPr>
            <w:r w:rsidRPr="00BE6616">
              <w:rPr>
                <w:rFonts w:eastAsia="Calibri"/>
                <w:sz w:val="20"/>
                <w:lang w:val="fr-CA"/>
              </w:rPr>
              <w:t xml:space="preserve">(Juge Smith)  </w:t>
            </w:r>
          </w:p>
          <w:p w:rsidR="00013BBA" w:rsidRPr="00BE6616" w:rsidRDefault="00013BBA" w:rsidP="002E3508">
            <w:pPr>
              <w:jc w:val="both"/>
              <w:rPr>
                <w:rFonts w:eastAsia="Calibri"/>
                <w:sz w:val="20"/>
                <w:lang w:val="fr-CA"/>
              </w:rPr>
            </w:pPr>
          </w:p>
        </w:tc>
        <w:tc>
          <w:tcPr>
            <w:tcW w:w="270" w:type="pct"/>
          </w:tcPr>
          <w:p w:rsidR="00013BBA" w:rsidRPr="00BE6616" w:rsidRDefault="00013BBA" w:rsidP="002E3508">
            <w:pPr>
              <w:jc w:val="both"/>
              <w:rPr>
                <w:rFonts w:eastAsia="Calibri"/>
                <w:sz w:val="20"/>
                <w:lang w:val="fr-CA"/>
              </w:rPr>
            </w:pPr>
          </w:p>
        </w:tc>
        <w:tc>
          <w:tcPr>
            <w:tcW w:w="2340" w:type="pct"/>
          </w:tcPr>
          <w:p w:rsidR="00013BBA" w:rsidRPr="00BE6616" w:rsidRDefault="00013BBA" w:rsidP="002E3508">
            <w:pPr>
              <w:jc w:val="both"/>
              <w:rPr>
                <w:rFonts w:eastAsia="Calibri"/>
                <w:sz w:val="20"/>
                <w:lang w:val="fr-CA"/>
              </w:rPr>
            </w:pPr>
            <w:r w:rsidRPr="00BE6616">
              <w:rPr>
                <w:rFonts w:eastAsia="Calibri"/>
                <w:sz w:val="20"/>
                <w:lang w:val="fr-CA"/>
              </w:rPr>
              <w:t>Appel de la peine en matière de poursuite sommaire, rejeté</w:t>
            </w:r>
          </w:p>
        </w:tc>
      </w:tr>
      <w:tr w:rsidR="00013BBA" w:rsidRPr="00BE6616" w:rsidTr="002E3508">
        <w:tblPrEx>
          <w:tblCellMar>
            <w:bottom w:w="0" w:type="dxa"/>
          </w:tblCellMar>
        </w:tblPrEx>
        <w:tc>
          <w:tcPr>
            <w:tcW w:w="2390" w:type="pct"/>
          </w:tcPr>
          <w:p w:rsidR="00013BBA" w:rsidRPr="00BE6616" w:rsidRDefault="00013BBA" w:rsidP="002E3508">
            <w:pPr>
              <w:jc w:val="both"/>
              <w:rPr>
                <w:rFonts w:eastAsia="Calibri"/>
                <w:sz w:val="20"/>
                <w:lang w:val="fr-CA"/>
              </w:rPr>
            </w:pPr>
            <w:r w:rsidRPr="00BE6616">
              <w:rPr>
                <w:rFonts w:eastAsia="Calibri"/>
                <w:sz w:val="20"/>
                <w:lang w:val="fr-CA"/>
              </w:rPr>
              <w:t>28 mars 2011</w:t>
            </w:r>
          </w:p>
          <w:p w:rsidR="00013BBA" w:rsidRPr="00BE6616" w:rsidRDefault="00013BBA" w:rsidP="002E3508">
            <w:pPr>
              <w:jc w:val="both"/>
              <w:rPr>
                <w:rFonts w:eastAsia="Calibri"/>
                <w:sz w:val="20"/>
                <w:lang w:val="fr-CA"/>
              </w:rPr>
            </w:pPr>
            <w:r w:rsidRPr="00BE6616">
              <w:rPr>
                <w:rFonts w:eastAsia="Calibri"/>
                <w:sz w:val="20"/>
                <w:lang w:val="fr-CA"/>
              </w:rPr>
              <w:t>Cour d'appel de la Colombie</w:t>
            </w:r>
            <w:r w:rsidRPr="00BE6616">
              <w:rPr>
                <w:rFonts w:eastAsia="Calibri"/>
                <w:sz w:val="20"/>
                <w:lang w:val="fr-CA"/>
              </w:rPr>
              <w:noBreakHyphen/>
              <w:t>Britannique (Vancouver)</w:t>
            </w:r>
          </w:p>
          <w:p w:rsidR="00013BBA" w:rsidRPr="00BE6616" w:rsidRDefault="00013BBA" w:rsidP="002E3508">
            <w:pPr>
              <w:jc w:val="both"/>
              <w:rPr>
                <w:rFonts w:eastAsia="Calibri"/>
                <w:sz w:val="20"/>
                <w:lang w:val="fr-CA"/>
              </w:rPr>
            </w:pPr>
            <w:r w:rsidRPr="00BE6616">
              <w:rPr>
                <w:rFonts w:eastAsia="Calibri"/>
                <w:sz w:val="20"/>
                <w:lang w:val="fr-CA"/>
              </w:rPr>
              <w:t>(Juge Chiasson)</w:t>
            </w:r>
          </w:p>
          <w:p w:rsidR="00013BBA" w:rsidRPr="00BE6616" w:rsidRDefault="00013BBA" w:rsidP="002E3508">
            <w:pPr>
              <w:jc w:val="both"/>
              <w:rPr>
                <w:rFonts w:eastAsia="Calibri"/>
                <w:sz w:val="20"/>
                <w:lang w:val="fr-CA"/>
              </w:rPr>
            </w:pPr>
            <w:r w:rsidRPr="00BE6616">
              <w:rPr>
                <w:rFonts w:eastAsia="Calibri"/>
                <w:sz w:val="20"/>
                <w:lang w:val="fr-CA"/>
              </w:rPr>
              <w:t xml:space="preserve">2011 BCCA 145; CA038369 </w:t>
            </w:r>
          </w:p>
          <w:p w:rsidR="00013BBA" w:rsidRPr="00BE6616" w:rsidRDefault="00013BBA" w:rsidP="002E3508">
            <w:pPr>
              <w:jc w:val="both"/>
              <w:rPr>
                <w:rFonts w:eastAsia="Calibri"/>
                <w:sz w:val="20"/>
                <w:lang w:val="fr-CA"/>
              </w:rPr>
            </w:pPr>
          </w:p>
        </w:tc>
        <w:tc>
          <w:tcPr>
            <w:tcW w:w="270" w:type="pct"/>
          </w:tcPr>
          <w:p w:rsidR="00013BBA" w:rsidRPr="00BE6616" w:rsidRDefault="00013BBA" w:rsidP="002E3508">
            <w:pPr>
              <w:jc w:val="both"/>
              <w:rPr>
                <w:rFonts w:eastAsia="Calibri"/>
                <w:sz w:val="20"/>
                <w:lang w:val="fr-CA"/>
              </w:rPr>
            </w:pPr>
          </w:p>
        </w:tc>
        <w:tc>
          <w:tcPr>
            <w:tcW w:w="2340" w:type="pct"/>
          </w:tcPr>
          <w:p w:rsidR="00013BBA" w:rsidRPr="00BE6616" w:rsidRDefault="00013BBA" w:rsidP="002E3508">
            <w:pPr>
              <w:jc w:val="both"/>
              <w:rPr>
                <w:rFonts w:eastAsia="Calibri"/>
                <w:sz w:val="20"/>
                <w:lang w:val="fr-CA"/>
              </w:rPr>
            </w:pPr>
            <w:r w:rsidRPr="00BE6616">
              <w:rPr>
                <w:rFonts w:eastAsia="Calibri"/>
                <w:sz w:val="20"/>
                <w:lang w:val="fr-CA"/>
              </w:rPr>
              <w:t>Demande d'autorisation d'appel, rejetée</w:t>
            </w:r>
          </w:p>
          <w:p w:rsidR="00013BBA" w:rsidRPr="00BE6616" w:rsidRDefault="00013BBA" w:rsidP="002E3508">
            <w:pPr>
              <w:jc w:val="both"/>
              <w:rPr>
                <w:rFonts w:eastAsia="Calibri"/>
                <w:sz w:val="20"/>
                <w:lang w:val="fr-CA"/>
              </w:rPr>
            </w:pPr>
          </w:p>
        </w:tc>
      </w:tr>
      <w:tr w:rsidR="00013BBA" w:rsidRPr="00BE6616" w:rsidTr="002E3508">
        <w:tblPrEx>
          <w:tblCellMar>
            <w:bottom w:w="0" w:type="dxa"/>
          </w:tblCellMar>
        </w:tblPrEx>
        <w:tc>
          <w:tcPr>
            <w:tcW w:w="2390" w:type="pct"/>
          </w:tcPr>
          <w:p w:rsidR="00013BBA" w:rsidRPr="00BE6616" w:rsidRDefault="00013BBA" w:rsidP="002E3508">
            <w:pPr>
              <w:jc w:val="both"/>
              <w:rPr>
                <w:rFonts w:eastAsia="Calibri"/>
                <w:sz w:val="20"/>
                <w:lang w:val="fr-CA"/>
              </w:rPr>
            </w:pPr>
            <w:r w:rsidRPr="00BE6616">
              <w:rPr>
                <w:rFonts w:eastAsia="Calibri"/>
                <w:sz w:val="20"/>
                <w:lang w:val="fr-CA"/>
              </w:rPr>
              <w:t>27 mai 2011</w:t>
            </w:r>
          </w:p>
          <w:p w:rsidR="00013BBA" w:rsidRPr="00BE6616" w:rsidRDefault="00013BBA" w:rsidP="00013BBA">
            <w:pPr>
              <w:jc w:val="both"/>
              <w:rPr>
                <w:rFonts w:eastAsia="Calibri"/>
                <w:sz w:val="20"/>
                <w:lang w:val="fr-CA"/>
              </w:rPr>
            </w:pPr>
            <w:r w:rsidRPr="00BE6616">
              <w:rPr>
                <w:rFonts w:eastAsia="Calibri"/>
                <w:sz w:val="20"/>
                <w:lang w:val="fr-CA"/>
              </w:rPr>
              <w:t>Cour suprême du Canada</w:t>
            </w:r>
          </w:p>
        </w:tc>
        <w:tc>
          <w:tcPr>
            <w:tcW w:w="270" w:type="pct"/>
          </w:tcPr>
          <w:p w:rsidR="00013BBA" w:rsidRPr="00BE6616" w:rsidRDefault="00013BBA" w:rsidP="002E3508">
            <w:pPr>
              <w:jc w:val="both"/>
              <w:rPr>
                <w:rFonts w:eastAsia="Calibri"/>
                <w:sz w:val="20"/>
                <w:lang w:val="fr-CA"/>
              </w:rPr>
            </w:pPr>
          </w:p>
        </w:tc>
        <w:tc>
          <w:tcPr>
            <w:tcW w:w="2340" w:type="pct"/>
          </w:tcPr>
          <w:p w:rsidR="00013BBA" w:rsidRPr="00BE6616" w:rsidRDefault="00013BBA" w:rsidP="002E3508">
            <w:pPr>
              <w:jc w:val="both"/>
              <w:rPr>
                <w:rFonts w:eastAsia="Calibri"/>
                <w:sz w:val="20"/>
                <w:lang w:val="fr-CA"/>
              </w:rPr>
            </w:pPr>
            <w:r w:rsidRPr="00BE6616">
              <w:rPr>
                <w:rFonts w:eastAsia="Calibri"/>
                <w:sz w:val="20"/>
                <w:lang w:val="fr-CA"/>
              </w:rPr>
              <w:t>Demande d'autorisation d'appel, déposée</w:t>
            </w:r>
          </w:p>
          <w:p w:rsidR="00013BBA" w:rsidRPr="00BE6616" w:rsidRDefault="00013BBA" w:rsidP="002E350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80"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67842" w:rsidRPr="007C3AB2" w:rsidTr="0087505F">
        <w:trPr>
          <w:cantSplit/>
        </w:trPr>
        <w:tc>
          <w:tcPr>
            <w:tcW w:w="1458" w:type="dxa"/>
          </w:tcPr>
          <w:p w:rsidR="00C67842" w:rsidRPr="007C3AB2" w:rsidRDefault="00C67842" w:rsidP="0087505F">
            <w:pPr>
              <w:rPr>
                <w:sz w:val="20"/>
                <w:szCs w:val="20"/>
              </w:rPr>
            </w:pPr>
            <w:r w:rsidRPr="007C3AB2">
              <w:rPr>
                <w:rStyle w:val="SCCFileNumberChar"/>
                <w:sz w:val="20"/>
                <w:szCs w:val="20"/>
              </w:rPr>
              <w:t>34278</w:t>
            </w:r>
          </w:p>
          <w:p w:rsidR="00C67842" w:rsidRPr="007C3AB2" w:rsidRDefault="00C67842" w:rsidP="0087505F">
            <w:pPr>
              <w:rPr>
                <w:b/>
                <w:sz w:val="20"/>
                <w:szCs w:val="20"/>
                <w:lang w:val="fr-CA"/>
              </w:rPr>
            </w:pPr>
          </w:p>
        </w:tc>
        <w:tc>
          <w:tcPr>
            <w:tcW w:w="8118" w:type="dxa"/>
          </w:tcPr>
          <w:p w:rsidR="00C67842" w:rsidRPr="007C3AB2" w:rsidRDefault="00C67842" w:rsidP="0087505F">
            <w:pPr>
              <w:jc w:val="both"/>
              <w:rPr>
                <w:sz w:val="20"/>
                <w:szCs w:val="20"/>
              </w:rPr>
            </w:pPr>
            <w:r w:rsidRPr="00C67842">
              <w:rPr>
                <w:rStyle w:val="SCCLsocChar"/>
                <w:sz w:val="20"/>
                <w:szCs w:val="20"/>
                <w:lang w:val="en-CA"/>
              </w:rPr>
              <w:t>TrueHope Nutritional Support Limited</w:t>
            </w:r>
            <w:r w:rsidR="00295824">
              <w:rPr>
                <w:rStyle w:val="SCCLsocChar"/>
                <w:sz w:val="20"/>
                <w:szCs w:val="20"/>
                <w:lang w:val="en-CA"/>
              </w:rPr>
              <w:t xml:space="preserve"> and</w:t>
            </w:r>
            <w:r w:rsidRPr="00C67842">
              <w:rPr>
                <w:rStyle w:val="SCCLsocChar"/>
                <w:sz w:val="20"/>
                <w:szCs w:val="20"/>
                <w:lang w:val="en-CA"/>
              </w:rPr>
              <w:t xml:space="preserve"> David Hardy v. Attorney General of Canada</w:t>
            </w:r>
            <w:r w:rsidR="00295824">
              <w:rPr>
                <w:rStyle w:val="SCCLsocChar"/>
                <w:sz w:val="20"/>
                <w:szCs w:val="20"/>
                <w:lang w:val="en-CA"/>
              </w:rPr>
              <w:t xml:space="preserve"> and</w:t>
            </w:r>
            <w:r w:rsidRPr="00C67842">
              <w:rPr>
                <w:rStyle w:val="SCCLsocChar"/>
                <w:sz w:val="20"/>
                <w:szCs w:val="20"/>
                <w:lang w:val="en-CA"/>
              </w:rPr>
              <w:t xml:space="preserve"> Minister of Health of Canada</w:t>
            </w:r>
            <w:r w:rsidRPr="007C3AB2">
              <w:rPr>
                <w:sz w:val="20"/>
                <w:szCs w:val="20"/>
              </w:rPr>
              <w:t xml:space="preserve"> (F.C.) (Civil) (By Leave)</w:t>
            </w:r>
          </w:p>
          <w:p w:rsidR="00C67842" w:rsidRPr="007C3AB2" w:rsidRDefault="00C67842" w:rsidP="0087505F">
            <w:pPr>
              <w:rPr>
                <w:sz w:val="20"/>
                <w:szCs w:val="20"/>
              </w:rPr>
            </w:pPr>
          </w:p>
        </w:tc>
      </w:tr>
      <w:tr w:rsidR="00C67842" w:rsidRPr="007C3AB2" w:rsidTr="0087505F">
        <w:trPr>
          <w:cantSplit/>
        </w:trPr>
        <w:tc>
          <w:tcPr>
            <w:tcW w:w="1458" w:type="dxa"/>
          </w:tcPr>
          <w:p w:rsidR="00C67842" w:rsidRPr="007C3AB2" w:rsidRDefault="00C67842" w:rsidP="0087505F">
            <w:pPr>
              <w:rPr>
                <w:sz w:val="20"/>
                <w:szCs w:val="20"/>
              </w:rPr>
            </w:pPr>
            <w:r w:rsidRPr="007C3AB2">
              <w:rPr>
                <w:sz w:val="20"/>
                <w:szCs w:val="20"/>
              </w:rPr>
              <w:t>Coram :</w:t>
            </w:r>
          </w:p>
        </w:tc>
        <w:tc>
          <w:tcPr>
            <w:tcW w:w="8118" w:type="dxa"/>
          </w:tcPr>
          <w:p w:rsidR="00C67842" w:rsidRPr="007C3AB2" w:rsidRDefault="00C67842" w:rsidP="0087505F">
            <w:pPr>
              <w:rPr>
                <w:sz w:val="20"/>
                <w:szCs w:val="20"/>
              </w:rPr>
            </w:pPr>
            <w:r w:rsidRPr="007C3AB2">
              <w:rPr>
                <w:rStyle w:val="SCCCoramChar"/>
                <w:sz w:val="20"/>
                <w:szCs w:val="20"/>
              </w:rPr>
              <w:t>Binnie, Abella and Rothstein JJ.</w:t>
            </w:r>
          </w:p>
          <w:p w:rsidR="00C67842" w:rsidRPr="007C3AB2" w:rsidRDefault="00C67842" w:rsidP="0087505F">
            <w:pPr>
              <w:rPr>
                <w:sz w:val="20"/>
                <w:szCs w:val="20"/>
                <w:u w:val="single"/>
              </w:rPr>
            </w:pPr>
          </w:p>
        </w:tc>
      </w:tr>
      <w:tr w:rsidR="00C67842" w:rsidRPr="00682661" w:rsidTr="0087505F">
        <w:trPr>
          <w:cantSplit/>
        </w:trPr>
        <w:tc>
          <w:tcPr>
            <w:tcW w:w="9576" w:type="dxa"/>
            <w:gridSpan w:val="2"/>
          </w:tcPr>
          <w:p w:rsidR="00C67842" w:rsidRPr="007C3AB2" w:rsidRDefault="00C67842" w:rsidP="0087505F">
            <w:pPr>
              <w:pStyle w:val="SCCShortJudgment"/>
              <w:rPr>
                <w:szCs w:val="20"/>
              </w:rPr>
            </w:pPr>
            <w:r w:rsidRPr="007C3AB2">
              <w:rPr>
                <w:szCs w:val="20"/>
              </w:rPr>
              <w:t>The application for leave to appeal from the judgment of the Federal Court of Appeal, Number A-62-10, 2011 FCA 114, dated March 22, 2011, is dismissed with costs.</w:t>
            </w:r>
          </w:p>
          <w:p w:rsidR="00C67842" w:rsidRPr="007C3AB2" w:rsidRDefault="00C67842" w:rsidP="0087505F">
            <w:pPr>
              <w:pStyle w:val="SCCShortJudgment"/>
              <w:ind w:firstLine="0"/>
              <w:rPr>
                <w:szCs w:val="20"/>
              </w:rPr>
            </w:pPr>
          </w:p>
          <w:p w:rsidR="00C67842" w:rsidRPr="007C3AB2" w:rsidRDefault="00C67842" w:rsidP="0087505F">
            <w:pPr>
              <w:pStyle w:val="SCCShortJudgment"/>
              <w:rPr>
                <w:szCs w:val="20"/>
                <w:lang w:val="fr-CA"/>
              </w:rPr>
            </w:pPr>
            <w:r w:rsidRPr="007C3AB2">
              <w:rPr>
                <w:szCs w:val="20"/>
                <w:lang w:val="fr-CA"/>
              </w:rPr>
              <w:t>La demande d’autorisation d’appel de l’arrêt de la Cour d’appel fédérale, numéro A-62-10, 2011 CAF 114, daté du 22 mars 2011, est rejetée avec dépens.</w:t>
            </w:r>
          </w:p>
        </w:tc>
      </w:tr>
    </w:tbl>
    <w:p w:rsidR="007B50F9" w:rsidRPr="00C67842" w:rsidRDefault="007B50F9" w:rsidP="007B50F9">
      <w:pPr>
        <w:rPr>
          <w:sz w:val="20"/>
          <w:szCs w:val="20"/>
          <w:lang w:val="fr-CA"/>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124B8" w:rsidRPr="00BE6616" w:rsidTr="002E3508">
        <w:tc>
          <w:tcPr>
            <w:tcW w:w="5000" w:type="pct"/>
            <w:gridSpan w:val="3"/>
          </w:tcPr>
          <w:p w:rsidR="00E124B8" w:rsidRPr="00BE6616" w:rsidRDefault="00E124B8" w:rsidP="002E3508">
            <w:pPr>
              <w:jc w:val="both"/>
              <w:rPr>
                <w:rFonts w:eastAsia="Calibri"/>
                <w:sz w:val="20"/>
              </w:rPr>
            </w:pPr>
            <w:r w:rsidRPr="00BE6616">
              <w:rPr>
                <w:rFonts w:eastAsia="Calibri"/>
                <w:i/>
                <w:sz w:val="20"/>
              </w:rPr>
              <w:t>Charter of Rights</w:t>
            </w:r>
            <w:r w:rsidRPr="00BE6616">
              <w:rPr>
                <w:rFonts w:eastAsia="Calibri"/>
                <w:sz w:val="20"/>
              </w:rPr>
              <w:t xml:space="preserve"> — Search and seizure — Legislation — Interpretation — Health Law — Drugs — Health Canada ordering seizure of importation of medicinal drugs for non</w:t>
            </w:r>
            <w:r w:rsidRPr="00BE6616">
              <w:rPr>
                <w:rFonts w:eastAsia="Calibri"/>
                <w:sz w:val="20"/>
              </w:rPr>
              <w:noBreakHyphen/>
              <w:t>compliance —Whether the seizure power is correctly interpreted as a criminal law power authorizing gathering of evidence for prosecution or an administrative law power authorizing the interdiction of drugs for non</w:t>
            </w:r>
            <w:r w:rsidRPr="00BE6616">
              <w:rPr>
                <w:rFonts w:eastAsia="Calibri"/>
                <w:sz w:val="20"/>
              </w:rPr>
              <w:noBreakHyphen/>
              <w:t xml:space="preserve">compliance — Whether the exercise of the seizure power imposes a s. 8 </w:t>
            </w:r>
            <w:r w:rsidRPr="00BE6616">
              <w:rPr>
                <w:rFonts w:eastAsia="Calibri"/>
                <w:i/>
                <w:sz w:val="20"/>
              </w:rPr>
              <w:t xml:space="preserve">Charter </w:t>
            </w:r>
            <w:r w:rsidRPr="00BE6616">
              <w:rPr>
                <w:rFonts w:eastAsia="Calibri"/>
                <w:sz w:val="20"/>
              </w:rPr>
              <w:t>requirement that the Minister give notice to the individuals from whom the drugs were seized, and afford those individuals a hearing — S. 23(1)</w:t>
            </w:r>
            <w:r w:rsidRPr="00BE6616">
              <w:rPr>
                <w:rFonts w:eastAsia="Calibri"/>
                <w:i/>
                <w:sz w:val="20"/>
              </w:rPr>
              <w:t xml:space="preserve">(d) </w:t>
            </w:r>
            <w:r w:rsidRPr="00BE6616">
              <w:rPr>
                <w:rFonts w:eastAsia="Calibri"/>
                <w:sz w:val="20"/>
              </w:rPr>
              <w:t xml:space="preserve">of the </w:t>
            </w:r>
            <w:r w:rsidRPr="00BE6616">
              <w:rPr>
                <w:rFonts w:eastAsia="Calibri"/>
                <w:i/>
                <w:sz w:val="20"/>
              </w:rPr>
              <w:t>Food and Drug Act</w:t>
            </w:r>
            <w:r w:rsidRPr="00BE6616">
              <w:rPr>
                <w:rFonts w:eastAsia="Calibri"/>
                <w:sz w:val="20"/>
              </w:rPr>
              <w:t>, R.S.C. 1985, c. F</w:t>
            </w:r>
            <w:r w:rsidRPr="00BE6616">
              <w:rPr>
                <w:rFonts w:eastAsia="Calibri"/>
                <w:sz w:val="20"/>
              </w:rPr>
              <w:noBreakHyphen/>
              <w:t>27.</w:t>
            </w:r>
          </w:p>
        </w:tc>
      </w:tr>
      <w:tr w:rsidR="00E124B8" w:rsidRPr="00BE6616" w:rsidTr="002E3508">
        <w:tc>
          <w:tcPr>
            <w:tcW w:w="5000" w:type="pct"/>
            <w:gridSpan w:val="3"/>
          </w:tcPr>
          <w:p w:rsidR="00E124B8" w:rsidRPr="00BE6616" w:rsidRDefault="00E124B8" w:rsidP="002E3508">
            <w:pPr>
              <w:jc w:val="both"/>
              <w:rPr>
                <w:rFonts w:eastAsia="Calibri"/>
                <w:sz w:val="20"/>
              </w:rPr>
            </w:pPr>
          </w:p>
        </w:tc>
      </w:tr>
      <w:tr w:rsidR="00E124B8" w:rsidRPr="00BE6616" w:rsidTr="002E3508">
        <w:tc>
          <w:tcPr>
            <w:tcW w:w="5000" w:type="pct"/>
            <w:gridSpan w:val="3"/>
          </w:tcPr>
          <w:p w:rsidR="00E124B8" w:rsidRPr="00BE6616" w:rsidRDefault="00E124B8" w:rsidP="002E3508">
            <w:pPr>
              <w:jc w:val="both"/>
              <w:rPr>
                <w:rFonts w:eastAsia="Calibri"/>
                <w:sz w:val="20"/>
              </w:rPr>
            </w:pPr>
            <w:r w:rsidRPr="00BE6616">
              <w:rPr>
                <w:rFonts w:eastAsia="Calibri"/>
                <w:sz w:val="20"/>
              </w:rPr>
              <w:t>The applicant TrueHope Nutritional Support Limited markets and sells a product called EMpowerplus to treat mental illness.  The applicant David Hardy is the principal of TrueHope. TrueHope imports its product into Canada from the United States where the product is manufactured and distributed.  TrueHope sold the product in Canada through its website without authorization from the respondent Health Canada.  Health Canada intercepted an attempted importation into Canada of a shipment of the product.  It seized and detained the shipment as non</w:t>
            </w:r>
            <w:r w:rsidRPr="00BE6616">
              <w:rPr>
                <w:rFonts w:eastAsia="Calibri"/>
                <w:sz w:val="20"/>
              </w:rPr>
              <w:noBreakHyphen/>
              <w:t>compliant under ss. 23(1</w:t>
            </w:r>
            <w:proofErr w:type="gramStart"/>
            <w:r w:rsidRPr="00BE6616">
              <w:rPr>
                <w:rFonts w:eastAsia="Calibri"/>
                <w:sz w:val="20"/>
              </w:rPr>
              <w:t>)</w:t>
            </w:r>
            <w:r w:rsidRPr="00BE6616">
              <w:rPr>
                <w:rFonts w:eastAsia="Calibri"/>
                <w:i/>
                <w:sz w:val="20"/>
              </w:rPr>
              <w:t>(</w:t>
            </w:r>
            <w:proofErr w:type="gramEnd"/>
            <w:r w:rsidRPr="00BE6616">
              <w:rPr>
                <w:rFonts w:eastAsia="Calibri"/>
                <w:i/>
                <w:sz w:val="20"/>
              </w:rPr>
              <w:t xml:space="preserve">d) </w:t>
            </w:r>
            <w:r w:rsidRPr="00BE6616">
              <w:rPr>
                <w:rFonts w:eastAsia="Calibri"/>
                <w:sz w:val="20"/>
              </w:rPr>
              <w:t xml:space="preserve">and 26 of the </w:t>
            </w:r>
            <w:r w:rsidRPr="00BE6616">
              <w:rPr>
                <w:rFonts w:eastAsia="Calibri"/>
                <w:i/>
                <w:sz w:val="20"/>
              </w:rPr>
              <w:t>Food and Drug Act</w:t>
            </w:r>
            <w:r w:rsidRPr="00BE6616">
              <w:rPr>
                <w:rFonts w:eastAsia="Calibri"/>
                <w:sz w:val="20"/>
              </w:rPr>
              <w:t>. TrueHope and Mr. Hardy challenged ss. 23(1</w:t>
            </w:r>
            <w:proofErr w:type="gramStart"/>
            <w:r w:rsidRPr="00BE6616">
              <w:rPr>
                <w:rFonts w:eastAsia="Calibri"/>
                <w:sz w:val="20"/>
              </w:rPr>
              <w:t>)</w:t>
            </w:r>
            <w:r w:rsidRPr="00BE6616">
              <w:rPr>
                <w:rFonts w:eastAsia="Calibri"/>
                <w:i/>
                <w:sz w:val="20"/>
              </w:rPr>
              <w:t>(</w:t>
            </w:r>
            <w:proofErr w:type="gramEnd"/>
            <w:r w:rsidRPr="00BE6616">
              <w:rPr>
                <w:rFonts w:eastAsia="Calibri"/>
                <w:i/>
                <w:sz w:val="20"/>
              </w:rPr>
              <w:t>d)</w:t>
            </w:r>
            <w:r w:rsidRPr="00BE6616">
              <w:rPr>
                <w:rFonts w:eastAsia="Calibri"/>
                <w:sz w:val="20"/>
              </w:rPr>
              <w:t xml:space="preserve"> and 26 of the </w:t>
            </w:r>
            <w:r w:rsidRPr="00BE6616">
              <w:rPr>
                <w:rFonts w:eastAsia="Calibri"/>
                <w:i/>
                <w:sz w:val="20"/>
              </w:rPr>
              <w:t>Food and Drug Act</w:t>
            </w:r>
            <w:r w:rsidRPr="00BE6616">
              <w:rPr>
                <w:rFonts w:eastAsia="Calibri"/>
                <w:sz w:val="20"/>
              </w:rPr>
              <w:t xml:space="preserve"> as contrary to s. 8 of the </w:t>
            </w:r>
            <w:r w:rsidRPr="00BE6616">
              <w:rPr>
                <w:rFonts w:eastAsia="Calibri"/>
                <w:i/>
                <w:sz w:val="20"/>
              </w:rPr>
              <w:t>Charter</w:t>
            </w:r>
            <w:r w:rsidRPr="00BE6616">
              <w:rPr>
                <w:rFonts w:eastAsia="Calibri"/>
                <w:sz w:val="20"/>
              </w:rPr>
              <w:t xml:space="preserve"> because they do not provide them with sufficient procedural protections.  They further alleged that the seizure was unreasonable. Mr. Hardy alleged that the seizure violated his </w:t>
            </w:r>
            <w:r w:rsidRPr="00BE6616">
              <w:rPr>
                <w:rFonts w:eastAsia="Calibri"/>
                <w:i/>
                <w:sz w:val="20"/>
              </w:rPr>
              <w:t>Charter</w:t>
            </w:r>
            <w:r w:rsidRPr="00BE6616">
              <w:rPr>
                <w:rFonts w:eastAsia="Calibri"/>
                <w:sz w:val="20"/>
              </w:rPr>
              <w:t xml:space="preserve"> s. 7 rights, as well as those of other product users. </w:t>
            </w:r>
          </w:p>
          <w:p w:rsidR="00E124B8" w:rsidRPr="00BE6616" w:rsidRDefault="00E124B8" w:rsidP="002E3508">
            <w:pPr>
              <w:jc w:val="both"/>
              <w:rPr>
                <w:rFonts w:eastAsia="Calibri"/>
                <w:sz w:val="20"/>
              </w:rPr>
            </w:pPr>
          </w:p>
        </w:tc>
      </w:tr>
      <w:tr w:rsidR="00E124B8" w:rsidRPr="00BE6616" w:rsidTr="002E3508">
        <w:tc>
          <w:tcPr>
            <w:tcW w:w="2427" w:type="pct"/>
          </w:tcPr>
          <w:p w:rsidR="00E124B8" w:rsidRPr="00BE6616" w:rsidRDefault="00E124B8" w:rsidP="002E3508">
            <w:pPr>
              <w:jc w:val="both"/>
              <w:rPr>
                <w:rFonts w:eastAsia="Calibri"/>
                <w:sz w:val="20"/>
              </w:rPr>
            </w:pPr>
            <w:r w:rsidRPr="00BE6616">
              <w:rPr>
                <w:rFonts w:eastAsia="Calibri"/>
                <w:sz w:val="20"/>
              </w:rPr>
              <w:t>January 20, 2010</w:t>
            </w:r>
          </w:p>
          <w:p w:rsidR="00E124B8" w:rsidRPr="00BE6616" w:rsidRDefault="00E124B8" w:rsidP="002E3508">
            <w:pPr>
              <w:jc w:val="both"/>
              <w:rPr>
                <w:rFonts w:eastAsia="Calibri"/>
                <w:sz w:val="20"/>
              </w:rPr>
            </w:pPr>
            <w:r w:rsidRPr="00BE6616">
              <w:rPr>
                <w:rFonts w:eastAsia="Calibri"/>
                <w:sz w:val="20"/>
              </w:rPr>
              <w:t>Federal Court</w:t>
            </w:r>
          </w:p>
          <w:p w:rsidR="00E124B8" w:rsidRPr="00BE6616" w:rsidRDefault="00E124B8" w:rsidP="002E3508">
            <w:pPr>
              <w:jc w:val="both"/>
              <w:rPr>
                <w:rFonts w:eastAsia="Calibri"/>
                <w:sz w:val="20"/>
              </w:rPr>
            </w:pPr>
            <w:r w:rsidRPr="00BE6616">
              <w:rPr>
                <w:rFonts w:eastAsia="Calibri"/>
                <w:sz w:val="20"/>
              </w:rPr>
              <w:t>(Campbell J.)</w:t>
            </w:r>
          </w:p>
          <w:p w:rsidR="00E124B8" w:rsidRPr="00BE6616" w:rsidRDefault="00E124B8" w:rsidP="002E3508">
            <w:pPr>
              <w:jc w:val="both"/>
              <w:rPr>
                <w:rFonts w:eastAsia="Calibri"/>
                <w:sz w:val="20"/>
              </w:rPr>
            </w:pPr>
          </w:p>
        </w:tc>
        <w:tc>
          <w:tcPr>
            <w:tcW w:w="243" w:type="pct"/>
          </w:tcPr>
          <w:p w:rsidR="00E124B8" w:rsidRPr="00BE6616" w:rsidRDefault="00E124B8" w:rsidP="002E3508">
            <w:pPr>
              <w:jc w:val="both"/>
              <w:rPr>
                <w:rFonts w:eastAsia="Calibri"/>
                <w:sz w:val="20"/>
              </w:rPr>
            </w:pPr>
          </w:p>
        </w:tc>
        <w:tc>
          <w:tcPr>
            <w:tcW w:w="2330" w:type="pct"/>
          </w:tcPr>
          <w:p w:rsidR="00E124B8" w:rsidRPr="00BE6616" w:rsidRDefault="00E124B8" w:rsidP="002E3508">
            <w:pPr>
              <w:jc w:val="both"/>
              <w:rPr>
                <w:rFonts w:eastAsia="Calibri"/>
                <w:sz w:val="20"/>
              </w:rPr>
            </w:pPr>
            <w:r w:rsidRPr="00BE6616">
              <w:rPr>
                <w:rFonts w:eastAsia="Calibri"/>
                <w:sz w:val="20"/>
              </w:rPr>
              <w:t xml:space="preserve">Application dismissed </w:t>
            </w:r>
          </w:p>
          <w:p w:rsidR="00E124B8" w:rsidRPr="00BE6616" w:rsidRDefault="00E124B8" w:rsidP="002E3508">
            <w:pPr>
              <w:jc w:val="both"/>
              <w:rPr>
                <w:rFonts w:eastAsia="Calibri"/>
                <w:sz w:val="20"/>
              </w:rPr>
            </w:pPr>
          </w:p>
        </w:tc>
      </w:tr>
      <w:tr w:rsidR="00E124B8" w:rsidRPr="00BE6616" w:rsidTr="002E3508">
        <w:tc>
          <w:tcPr>
            <w:tcW w:w="2427" w:type="pct"/>
          </w:tcPr>
          <w:p w:rsidR="00E124B8" w:rsidRPr="00BE6616" w:rsidRDefault="00E124B8" w:rsidP="002E3508">
            <w:pPr>
              <w:jc w:val="both"/>
              <w:rPr>
                <w:rFonts w:eastAsia="Calibri"/>
                <w:sz w:val="20"/>
              </w:rPr>
            </w:pPr>
            <w:r w:rsidRPr="00BE6616">
              <w:rPr>
                <w:rFonts w:eastAsia="Calibri"/>
                <w:sz w:val="20"/>
              </w:rPr>
              <w:t>March 22, 2011</w:t>
            </w:r>
          </w:p>
          <w:p w:rsidR="00E124B8" w:rsidRPr="00BE6616" w:rsidRDefault="00E124B8" w:rsidP="002E3508">
            <w:pPr>
              <w:jc w:val="both"/>
              <w:rPr>
                <w:rFonts w:eastAsia="Calibri"/>
                <w:sz w:val="20"/>
              </w:rPr>
            </w:pPr>
            <w:r w:rsidRPr="00BE6616">
              <w:rPr>
                <w:rFonts w:eastAsia="Calibri"/>
                <w:sz w:val="20"/>
              </w:rPr>
              <w:t>Federal Court of Appeal</w:t>
            </w:r>
          </w:p>
          <w:p w:rsidR="00E124B8" w:rsidRPr="00BE6616" w:rsidRDefault="00E124B8" w:rsidP="002E3508">
            <w:pPr>
              <w:jc w:val="both"/>
              <w:rPr>
                <w:rFonts w:eastAsia="Calibri"/>
                <w:sz w:val="20"/>
              </w:rPr>
            </w:pPr>
            <w:r w:rsidRPr="00BE6616">
              <w:rPr>
                <w:rFonts w:eastAsia="Calibri"/>
                <w:sz w:val="20"/>
              </w:rPr>
              <w:t>(Blais, Sharlow and Stratas JJ.A.)</w:t>
            </w:r>
          </w:p>
          <w:p w:rsidR="00E124B8" w:rsidRPr="00BE6616" w:rsidRDefault="00E124B8" w:rsidP="002E3508">
            <w:pPr>
              <w:jc w:val="both"/>
              <w:rPr>
                <w:rFonts w:eastAsia="Calibri"/>
                <w:sz w:val="20"/>
              </w:rPr>
            </w:pPr>
          </w:p>
        </w:tc>
        <w:tc>
          <w:tcPr>
            <w:tcW w:w="243" w:type="pct"/>
          </w:tcPr>
          <w:p w:rsidR="00E124B8" w:rsidRPr="00BE6616" w:rsidRDefault="00E124B8" w:rsidP="002E3508">
            <w:pPr>
              <w:jc w:val="both"/>
              <w:rPr>
                <w:rFonts w:eastAsia="Calibri"/>
                <w:sz w:val="20"/>
              </w:rPr>
            </w:pPr>
          </w:p>
        </w:tc>
        <w:tc>
          <w:tcPr>
            <w:tcW w:w="2330" w:type="pct"/>
          </w:tcPr>
          <w:p w:rsidR="00E124B8" w:rsidRPr="00BE6616" w:rsidRDefault="00E124B8" w:rsidP="002E3508">
            <w:pPr>
              <w:jc w:val="both"/>
              <w:rPr>
                <w:rFonts w:eastAsia="Calibri"/>
                <w:sz w:val="20"/>
              </w:rPr>
            </w:pPr>
            <w:r w:rsidRPr="00BE6616">
              <w:rPr>
                <w:rFonts w:eastAsia="Calibri"/>
                <w:sz w:val="20"/>
              </w:rPr>
              <w:t>Appeal dismissed with costs</w:t>
            </w:r>
          </w:p>
          <w:p w:rsidR="00E124B8" w:rsidRPr="00BE6616" w:rsidRDefault="00E124B8" w:rsidP="002E3508">
            <w:pPr>
              <w:jc w:val="both"/>
              <w:rPr>
                <w:rFonts w:eastAsia="Calibri"/>
                <w:sz w:val="20"/>
              </w:rPr>
            </w:pPr>
          </w:p>
        </w:tc>
      </w:tr>
      <w:tr w:rsidR="00E124B8" w:rsidRPr="00BE6616" w:rsidTr="00297F14">
        <w:trPr>
          <w:cantSplit/>
        </w:trPr>
        <w:tc>
          <w:tcPr>
            <w:tcW w:w="2427" w:type="pct"/>
          </w:tcPr>
          <w:p w:rsidR="00E124B8" w:rsidRPr="00BE6616" w:rsidRDefault="00E124B8" w:rsidP="002E3508">
            <w:pPr>
              <w:jc w:val="both"/>
              <w:rPr>
                <w:rFonts w:eastAsia="Calibri"/>
                <w:sz w:val="20"/>
              </w:rPr>
            </w:pPr>
            <w:r w:rsidRPr="00BE6616">
              <w:rPr>
                <w:rFonts w:eastAsia="Calibri"/>
                <w:sz w:val="20"/>
              </w:rPr>
              <w:lastRenderedPageBreak/>
              <w:t>May 24, 2011</w:t>
            </w:r>
          </w:p>
          <w:p w:rsidR="00E124B8" w:rsidRPr="00BE6616" w:rsidRDefault="00E124B8" w:rsidP="002E3508">
            <w:pPr>
              <w:jc w:val="both"/>
              <w:rPr>
                <w:rFonts w:eastAsia="Calibri"/>
                <w:sz w:val="20"/>
              </w:rPr>
            </w:pPr>
            <w:r w:rsidRPr="00BE6616">
              <w:rPr>
                <w:rFonts w:eastAsia="Calibri"/>
                <w:sz w:val="20"/>
              </w:rPr>
              <w:t>Supreme Court of Canada</w:t>
            </w:r>
          </w:p>
        </w:tc>
        <w:tc>
          <w:tcPr>
            <w:tcW w:w="243" w:type="pct"/>
          </w:tcPr>
          <w:p w:rsidR="00E124B8" w:rsidRPr="00BE6616" w:rsidRDefault="00E124B8" w:rsidP="002E3508">
            <w:pPr>
              <w:jc w:val="both"/>
              <w:rPr>
                <w:rFonts w:eastAsia="Calibri"/>
                <w:sz w:val="20"/>
              </w:rPr>
            </w:pPr>
          </w:p>
        </w:tc>
        <w:tc>
          <w:tcPr>
            <w:tcW w:w="2330" w:type="pct"/>
          </w:tcPr>
          <w:p w:rsidR="00E124B8" w:rsidRPr="00BE6616" w:rsidRDefault="00E124B8" w:rsidP="002E3508">
            <w:pPr>
              <w:jc w:val="both"/>
              <w:rPr>
                <w:rFonts w:eastAsia="Calibri"/>
                <w:sz w:val="20"/>
              </w:rPr>
            </w:pPr>
            <w:r w:rsidRPr="00BE6616">
              <w:rPr>
                <w:rFonts w:eastAsia="Calibri"/>
                <w:sz w:val="20"/>
              </w:rPr>
              <w:t>Application for leave to appeal filed</w:t>
            </w:r>
          </w:p>
          <w:p w:rsidR="00E124B8" w:rsidRPr="00BE6616" w:rsidRDefault="00E124B8" w:rsidP="002E350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81"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E124B8" w:rsidRPr="00260B78" w:rsidTr="002E3508">
        <w:tc>
          <w:tcPr>
            <w:tcW w:w="5000" w:type="pct"/>
            <w:gridSpan w:val="3"/>
          </w:tcPr>
          <w:p w:rsidR="00E124B8" w:rsidRPr="00BE6616" w:rsidRDefault="00E124B8" w:rsidP="002E3508">
            <w:pPr>
              <w:jc w:val="both"/>
              <w:rPr>
                <w:rFonts w:eastAsia="Calibri"/>
                <w:sz w:val="20"/>
                <w:lang w:val="fr-CA"/>
              </w:rPr>
            </w:pPr>
            <w:r w:rsidRPr="00BE6616">
              <w:rPr>
                <w:rFonts w:eastAsia="Calibri"/>
                <w:i/>
                <w:sz w:val="20"/>
                <w:lang w:val="fr-CA"/>
              </w:rPr>
              <w:t xml:space="preserve">Charte des droits </w:t>
            </w:r>
            <w:r w:rsidRPr="00BE6616">
              <w:rPr>
                <w:rFonts w:eastAsia="Calibri"/>
                <w:sz w:val="20"/>
                <w:lang w:val="fr-CA"/>
              </w:rPr>
              <w:t>— Fouilles et perquisitions — Législation — Interprétation — Droit de la santé — Drogues — Santé Canada a ordonné la saisie de l'importation de drogues médicinales pour non conformité — Le pouvoir de saisie est</w:t>
            </w:r>
            <w:r w:rsidRPr="00BE6616">
              <w:rPr>
                <w:rFonts w:eastAsia="Calibri"/>
                <w:sz w:val="20"/>
                <w:lang w:val="fr-CA"/>
              </w:rPr>
              <w:noBreakHyphen/>
              <w:t>il correctement interprété comme un pouvoir de légiférer en matière de droit criminel autorisant la cueillette d’éléments de preuve pour une poursuite ou un pouvoir de légiférer en matière de droit administratif autorisant l'interdiction de drogues pour non</w:t>
            </w:r>
            <w:r w:rsidRPr="00BE6616">
              <w:rPr>
                <w:rFonts w:eastAsia="Calibri"/>
                <w:sz w:val="20"/>
                <w:lang w:val="fr-CA"/>
              </w:rPr>
              <w:noBreakHyphen/>
              <w:t>conformité? — L'exercice du pouvoir de saisie impose</w:t>
            </w:r>
            <w:r w:rsidRPr="00BE6616">
              <w:rPr>
                <w:rFonts w:eastAsia="Calibri"/>
                <w:sz w:val="20"/>
                <w:lang w:val="fr-CA"/>
              </w:rPr>
              <w:noBreakHyphen/>
              <w:t>t</w:t>
            </w:r>
            <w:r w:rsidRPr="00BE6616">
              <w:rPr>
                <w:rFonts w:eastAsia="Calibri"/>
                <w:sz w:val="20"/>
                <w:lang w:val="fr-CA"/>
              </w:rPr>
              <w:noBreakHyphen/>
              <w:t xml:space="preserve">il au ministre, aux termes de l’art. 8 de la </w:t>
            </w:r>
            <w:r w:rsidRPr="00BE6616">
              <w:rPr>
                <w:rFonts w:eastAsia="Calibri"/>
                <w:i/>
                <w:sz w:val="20"/>
                <w:lang w:val="fr-CA"/>
              </w:rPr>
              <w:t>Charte</w:t>
            </w:r>
            <w:r w:rsidRPr="00BE6616">
              <w:rPr>
                <w:rFonts w:eastAsia="Calibri"/>
                <w:sz w:val="20"/>
                <w:lang w:val="fr-CA"/>
              </w:rPr>
              <w:t xml:space="preserve">, l'obligation de donner un avis aux personnes de qui les drogues ont été saisies et de leur donner l’occasion d’être entendues? — Al. 23(1) </w:t>
            </w:r>
            <w:r w:rsidRPr="00BE6616">
              <w:rPr>
                <w:rFonts w:eastAsia="Calibri"/>
                <w:i/>
                <w:sz w:val="20"/>
                <w:lang w:val="fr-CA"/>
              </w:rPr>
              <w:t>d)</w:t>
            </w:r>
            <w:r w:rsidRPr="00BE6616">
              <w:rPr>
                <w:rFonts w:eastAsia="Calibri"/>
                <w:sz w:val="20"/>
                <w:lang w:val="fr-CA"/>
              </w:rPr>
              <w:t xml:space="preserve"> de la</w:t>
            </w:r>
            <w:r w:rsidRPr="00BE6616">
              <w:rPr>
                <w:rFonts w:eastAsia="Calibri"/>
                <w:i/>
                <w:sz w:val="20"/>
                <w:lang w:val="fr-CA"/>
              </w:rPr>
              <w:t xml:space="preserve"> Loi sur les aliments et drogues</w:t>
            </w:r>
            <w:r w:rsidRPr="00BE6616">
              <w:rPr>
                <w:rFonts w:eastAsia="Calibri"/>
                <w:sz w:val="20"/>
                <w:lang w:val="fr-CA"/>
              </w:rPr>
              <w:t>, L.R.C. 1985, ch. F</w:t>
            </w:r>
            <w:r w:rsidRPr="00BE6616">
              <w:rPr>
                <w:rFonts w:eastAsia="Calibri"/>
                <w:sz w:val="20"/>
                <w:lang w:val="fr-CA"/>
              </w:rPr>
              <w:noBreakHyphen/>
              <w:t>27.</w:t>
            </w:r>
          </w:p>
        </w:tc>
      </w:tr>
      <w:tr w:rsidR="00E124B8" w:rsidRPr="00260B78" w:rsidTr="002E3508">
        <w:tc>
          <w:tcPr>
            <w:tcW w:w="5000" w:type="pct"/>
            <w:gridSpan w:val="3"/>
          </w:tcPr>
          <w:p w:rsidR="00E124B8" w:rsidRPr="00BE6616" w:rsidRDefault="00E124B8" w:rsidP="002E3508">
            <w:pPr>
              <w:jc w:val="both"/>
              <w:rPr>
                <w:rFonts w:eastAsia="Calibri"/>
                <w:sz w:val="20"/>
                <w:lang w:val="fr-CA"/>
              </w:rPr>
            </w:pPr>
          </w:p>
        </w:tc>
      </w:tr>
      <w:tr w:rsidR="00E124B8" w:rsidRPr="00682661" w:rsidTr="002E3508">
        <w:tc>
          <w:tcPr>
            <w:tcW w:w="5000" w:type="pct"/>
            <w:gridSpan w:val="3"/>
          </w:tcPr>
          <w:p w:rsidR="00E124B8" w:rsidRPr="00BE6616" w:rsidRDefault="00E124B8" w:rsidP="002E3508">
            <w:pPr>
              <w:jc w:val="both"/>
              <w:rPr>
                <w:rFonts w:eastAsia="Calibri"/>
                <w:sz w:val="20"/>
                <w:lang w:val="fr-CA"/>
              </w:rPr>
            </w:pPr>
            <w:r w:rsidRPr="00BE6616">
              <w:rPr>
                <w:rFonts w:eastAsia="Calibri"/>
                <w:sz w:val="20"/>
                <w:lang w:val="fr-CA"/>
              </w:rPr>
              <w:t>La demanderesse TrueHope Nutritional Support Limited commercialise et vend un produit appelé EMpowerplus pour traiter la maladie mentale.  Le demandeur David Hardy est le dirigeant de TrueHope.  TrueHope importe ses produits au Canada à partir des États</w:t>
            </w:r>
            <w:r w:rsidRPr="00BE6616">
              <w:rPr>
                <w:rFonts w:eastAsia="Calibri"/>
                <w:sz w:val="20"/>
                <w:lang w:val="fr-CA"/>
              </w:rPr>
              <w:noBreakHyphen/>
              <w:t xml:space="preserve">Unis où le produit est fabriqué et distribué.  TrueHope a vendu le produit au Canada par son site Web sans l'autorisation de l'intimé Santé Canada.  Santé Canada a intercepté une tentative d'importation au Canada d’un envoi du produit.  Il a saisi et détenu l'envoi au motif qu'il n'était pas conforme aux termes des </w:t>
            </w:r>
            <w:proofErr w:type="gramStart"/>
            <w:r w:rsidRPr="00BE6616">
              <w:rPr>
                <w:rFonts w:eastAsia="Calibri"/>
                <w:sz w:val="20"/>
                <w:lang w:val="fr-CA"/>
              </w:rPr>
              <w:t>art</w:t>
            </w:r>
            <w:proofErr w:type="gramEnd"/>
            <w:r w:rsidRPr="00BE6616">
              <w:rPr>
                <w:rFonts w:eastAsia="Calibri"/>
                <w:sz w:val="20"/>
                <w:lang w:val="fr-CA"/>
              </w:rPr>
              <w:t>. 23(1)</w:t>
            </w:r>
            <w:r w:rsidRPr="00BE6616">
              <w:rPr>
                <w:rFonts w:eastAsia="Calibri"/>
                <w:i/>
                <w:sz w:val="20"/>
                <w:lang w:val="fr-CA"/>
              </w:rPr>
              <w:t xml:space="preserve"> d) </w:t>
            </w:r>
            <w:r w:rsidRPr="00BE6616">
              <w:rPr>
                <w:rFonts w:eastAsia="Calibri"/>
                <w:sz w:val="20"/>
                <w:lang w:val="fr-CA"/>
              </w:rPr>
              <w:t>et 26 de la</w:t>
            </w:r>
            <w:r w:rsidRPr="00BE6616">
              <w:rPr>
                <w:rFonts w:eastAsia="Calibri"/>
                <w:i/>
                <w:sz w:val="20"/>
                <w:lang w:val="fr-CA"/>
              </w:rPr>
              <w:t xml:space="preserve"> Loi sur les aliments et drogues</w:t>
            </w:r>
            <w:r w:rsidRPr="00BE6616">
              <w:rPr>
                <w:rFonts w:eastAsia="Calibri"/>
                <w:sz w:val="20"/>
                <w:lang w:val="fr-CA"/>
              </w:rPr>
              <w:t xml:space="preserve">.  TrueHope et M. Hardy ont contesté </w:t>
            </w:r>
            <w:proofErr w:type="gramStart"/>
            <w:r w:rsidRPr="00BE6616">
              <w:rPr>
                <w:rFonts w:eastAsia="Calibri"/>
                <w:sz w:val="20"/>
                <w:lang w:val="fr-CA"/>
              </w:rPr>
              <w:t>les art</w:t>
            </w:r>
            <w:proofErr w:type="gramEnd"/>
            <w:r w:rsidRPr="00BE6616">
              <w:rPr>
                <w:rFonts w:eastAsia="Calibri"/>
                <w:sz w:val="20"/>
                <w:lang w:val="fr-CA"/>
              </w:rPr>
              <w:t>. 23(1)</w:t>
            </w:r>
            <w:r w:rsidRPr="00BE6616">
              <w:rPr>
                <w:rFonts w:eastAsia="Calibri"/>
                <w:i/>
                <w:sz w:val="20"/>
                <w:lang w:val="fr-CA"/>
              </w:rPr>
              <w:t xml:space="preserve"> d)</w:t>
            </w:r>
            <w:r w:rsidRPr="00BE6616">
              <w:rPr>
                <w:rFonts w:eastAsia="Calibri"/>
                <w:sz w:val="20"/>
                <w:lang w:val="fr-CA"/>
              </w:rPr>
              <w:t xml:space="preserve"> et 26 de la</w:t>
            </w:r>
            <w:r w:rsidRPr="00BE6616">
              <w:rPr>
                <w:rFonts w:eastAsia="Calibri"/>
                <w:i/>
                <w:sz w:val="20"/>
                <w:lang w:val="fr-CA"/>
              </w:rPr>
              <w:t xml:space="preserve"> Loi sur les aliments et drogues</w:t>
            </w:r>
            <w:r w:rsidRPr="00BE6616">
              <w:rPr>
                <w:rFonts w:eastAsia="Calibri"/>
                <w:sz w:val="20"/>
                <w:lang w:val="fr-CA"/>
              </w:rPr>
              <w:t xml:space="preserve"> comme contraires à l'art. 8 de la </w:t>
            </w:r>
            <w:r w:rsidRPr="00BE6616">
              <w:rPr>
                <w:rFonts w:eastAsia="Calibri"/>
                <w:i/>
                <w:sz w:val="20"/>
                <w:lang w:val="fr-CA"/>
              </w:rPr>
              <w:t>Charte</w:t>
            </w:r>
            <w:r w:rsidRPr="00BE6616">
              <w:rPr>
                <w:rFonts w:eastAsia="Calibri"/>
                <w:sz w:val="20"/>
                <w:lang w:val="fr-CA"/>
              </w:rPr>
              <w:t xml:space="preserve"> parce qu'ils ne leur accordent pas de protections procédurales suffisantes.  Ils ont allégué en outre que la saisie était abusive. Monsieur Hardy a allégué que la saisie violait les droits que lui garantit l’art. 7 de la </w:t>
            </w:r>
            <w:r w:rsidRPr="00BE6616">
              <w:rPr>
                <w:rFonts w:eastAsia="Calibri"/>
                <w:i/>
                <w:sz w:val="20"/>
                <w:lang w:val="fr-CA"/>
              </w:rPr>
              <w:t>Charte</w:t>
            </w:r>
            <w:r w:rsidRPr="00BE6616">
              <w:rPr>
                <w:rFonts w:eastAsia="Calibri"/>
                <w:sz w:val="20"/>
                <w:lang w:val="fr-CA"/>
              </w:rPr>
              <w:t xml:space="preserve">, et ceux des autres utilisateurs du produit. </w:t>
            </w:r>
          </w:p>
          <w:p w:rsidR="00E124B8" w:rsidRPr="00BE6616" w:rsidRDefault="00E124B8" w:rsidP="002E3508">
            <w:pPr>
              <w:jc w:val="both"/>
              <w:rPr>
                <w:rFonts w:eastAsia="Calibri"/>
                <w:sz w:val="20"/>
                <w:lang w:val="fr-CA"/>
              </w:rPr>
            </w:pPr>
          </w:p>
        </w:tc>
      </w:tr>
      <w:tr w:rsidR="00E124B8" w:rsidRPr="00BE6616" w:rsidTr="002E3508">
        <w:tc>
          <w:tcPr>
            <w:tcW w:w="2427" w:type="pct"/>
          </w:tcPr>
          <w:p w:rsidR="00E124B8" w:rsidRPr="00BE6616" w:rsidRDefault="00E124B8" w:rsidP="002E3508">
            <w:pPr>
              <w:jc w:val="both"/>
              <w:rPr>
                <w:rFonts w:eastAsia="Calibri"/>
                <w:sz w:val="20"/>
                <w:lang w:val="fr-CA"/>
              </w:rPr>
            </w:pPr>
            <w:r w:rsidRPr="00BE6616">
              <w:rPr>
                <w:rFonts w:eastAsia="Calibri"/>
                <w:sz w:val="20"/>
                <w:lang w:val="fr-CA"/>
              </w:rPr>
              <w:t>20 janvier 2010</w:t>
            </w:r>
          </w:p>
          <w:p w:rsidR="00E124B8" w:rsidRPr="00BE6616" w:rsidRDefault="00E124B8" w:rsidP="002E3508">
            <w:pPr>
              <w:jc w:val="both"/>
              <w:rPr>
                <w:rFonts w:eastAsia="Calibri"/>
                <w:sz w:val="20"/>
                <w:lang w:val="fr-CA"/>
              </w:rPr>
            </w:pPr>
            <w:r w:rsidRPr="00BE6616">
              <w:rPr>
                <w:rFonts w:eastAsia="Calibri"/>
                <w:sz w:val="20"/>
                <w:lang w:val="fr-CA"/>
              </w:rPr>
              <w:t xml:space="preserve">Cour fédérale </w:t>
            </w:r>
          </w:p>
          <w:p w:rsidR="00E124B8" w:rsidRPr="00BE6616" w:rsidRDefault="00E124B8" w:rsidP="002E3508">
            <w:pPr>
              <w:jc w:val="both"/>
              <w:rPr>
                <w:rFonts w:eastAsia="Calibri"/>
                <w:sz w:val="20"/>
                <w:lang w:val="fr-CA"/>
              </w:rPr>
            </w:pPr>
            <w:r w:rsidRPr="00BE6616">
              <w:rPr>
                <w:rFonts w:eastAsia="Calibri"/>
                <w:sz w:val="20"/>
                <w:lang w:val="fr-CA"/>
              </w:rPr>
              <w:t>(Juge Campbell)</w:t>
            </w:r>
          </w:p>
          <w:p w:rsidR="00E124B8" w:rsidRPr="00BE6616" w:rsidRDefault="00E124B8" w:rsidP="002E3508">
            <w:pPr>
              <w:jc w:val="both"/>
              <w:rPr>
                <w:rFonts w:eastAsia="Calibri"/>
                <w:sz w:val="20"/>
                <w:lang w:val="fr-CA"/>
              </w:rPr>
            </w:pPr>
          </w:p>
        </w:tc>
        <w:tc>
          <w:tcPr>
            <w:tcW w:w="243" w:type="pct"/>
          </w:tcPr>
          <w:p w:rsidR="00E124B8" w:rsidRPr="00BE6616" w:rsidRDefault="00E124B8" w:rsidP="002E3508">
            <w:pPr>
              <w:jc w:val="both"/>
              <w:rPr>
                <w:rFonts w:eastAsia="Calibri"/>
                <w:sz w:val="20"/>
                <w:lang w:val="fr-CA"/>
              </w:rPr>
            </w:pPr>
          </w:p>
        </w:tc>
        <w:tc>
          <w:tcPr>
            <w:tcW w:w="2330" w:type="pct"/>
          </w:tcPr>
          <w:p w:rsidR="00E124B8" w:rsidRPr="00BE6616" w:rsidRDefault="00E124B8" w:rsidP="002E3508">
            <w:pPr>
              <w:jc w:val="both"/>
              <w:rPr>
                <w:rFonts w:eastAsia="Calibri"/>
                <w:sz w:val="20"/>
                <w:lang w:val="fr-CA"/>
              </w:rPr>
            </w:pPr>
            <w:r w:rsidRPr="00BE6616">
              <w:rPr>
                <w:rFonts w:eastAsia="Calibri"/>
                <w:sz w:val="20"/>
                <w:lang w:val="fr-CA"/>
              </w:rPr>
              <w:t>Demande rejetée</w:t>
            </w:r>
          </w:p>
          <w:p w:rsidR="00E124B8" w:rsidRPr="00BE6616" w:rsidRDefault="00E124B8" w:rsidP="002E3508">
            <w:pPr>
              <w:jc w:val="both"/>
              <w:rPr>
                <w:rFonts w:eastAsia="Calibri"/>
                <w:sz w:val="20"/>
                <w:lang w:val="fr-CA"/>
              </w:rPr>
            </w:pPr>
          </w:p>
        </w:tc>
      </w:tr>
      <w:tr w:rsidR="00E124B8" w:rsidRPr="00BE6616" w:rsidTr="002E3508">
        <w:tc>
          <w:tcPr>
            <w:tcW w:w="2427" w:type="pct"/>
          </w:tcPr>
          <w:p w:rsidR="00E124B8" w:rsidRPr="00BE6616" w:rsidRDefault="00E124B8" w:rsidP="002E3508">
            <w:pPr>
              <w:jc w:val="both"/>
              <w:rPr>
                <w:rFonts w:eastAsia="Calibri"/>
                <w:sz w:val="20"/>
                <w:lang w:val="fr-CA"/>
              </w:rPr>
            </w:pPr>
            <w:r w:rsidRPr="00BE6616">
              <w:rPr>
                <w:rFonts w:eastAsia="Calibri"/>
                <w:sz w:val="20"/>
                <w:lang w:val="fr-CA"/>
              </w:rPr>
              <w:t>22 mars 2011</w:t>
            </w:r>
          </w:p>
          <w:p w:rsidR="00E124B8" w:rsidRPr="00BE6616" w:rsidRDefault="00E124B8" w:rsidP="002E3508">
            <w:pPr>
              <w:jc w:val="both"/>
              <w:rPr>
                <w:rFonts w:eastAsia="Calibri"/>
                <w:sz w:val="20"/>
                <w:lang w:val="fr-CA"/>
              </w:rPr>
            </w:pPr>
            <w:r w:rsidRPr="00BE6616">
              <w:rPr>
                <w:rFonts w:eastAsia="Calibri"/>
                <w:sz w:val="20"/>
                <w:lang w:val="fr-CA"/>
              </w:rPr>
              <w:t xml:space="preserve">Cour d'appel fédérale </w:t>
            </w:r>
          </w:p>
          <w:p w:rsidR="00E124B8" w:rsidRPr="00BE6616" w:rsidRDefault="00E124B8" w:rsidP="002E3508">
            <w:pPr>
              <w:jc w:val="both"/>
              <w:rPr>
                <w:rFonts w:eastAsia="Calibri"/>
                <w:sz w:val="20"/>
                <w:lang w:val="fr-CA"/>
              </w:rPr>
            </w:pPr>
            <w:r w:rsidRPr="00BE6616">
              <w:rPr>
                <w:rFonts w:eastAsia="Calibri"/>
                <w:sz w:val="20"/>
                <w:lang w:val="fr-CA"/>
              </w:rPr>
              <w:t>(Juges Blais, Sharlow et Stratas)</w:t>
            </w:r>
          </w:p>
          <w:p w:rsidR="00E124B8" w:rsidRPr="00BE6616" w:rsidRDefault="00E124B8" w:rsidP="002E3508">
            <w:pPr>
              <w:jc w:val="both"/>
              <w:rPr>
                <w:rFonts w:eastAsia="Calibri"/>
                <w:sz w:val="20"/>
                <w:lang w:val="fr-CA"/>
              </w:rPr>
            </w:pPr>
          </w:p>
        </w:tc>
        <w:tc>
          <w:tcPr>
            <w:tcW w:w="243" w:type="pct"/>
          </w:tcPr>
          <w:p w:rsidR="00E124B8" w:rsidRPr="00BE6616" w:rsidRDefault="00E124B8" w:rsidP="002E3508">
            <w:pPr>
              <w:jc w:val="both"/>
              <w:rPr>
                <w:rFonts w:eastAsia="Calibri"/>
                <w:sz w:val="20"/>
                <w:lang w:val="fr-CA"/>
              </w:rPr>
            </w:pPr>
          </w:p>
        </w:tc>
        <w:tc>
          <w:tcPr>
            <w:tcW w:w="2330" w:type="pct"/>
          </w:tcPr>
          <w:p w:rsidR="00E124B8" w:rsidRPr="00BE6616" w:rsidRDefault="00E124B8" w:rsidP="002E3508">
            <w:pPr>
              <w:jc w:val="both"/>
              <w:rPr>
                <w:rFonts w:eastAsia="Calibri"/>
                <w:sz w:val="20"/>
                <w:lang w:val="fr-CA"/>
              </w:rPr>
            </w:pPr>
            <w:r w:rsidRPr="00BE6616">
              <w:rPr>
                <w:rFonts w:eastAsia="Calibri"/>
                <w:sz w:val="20"/>
                <w:lang w:val="fr-CA"/>
              </w:rPr>
              <w:t>Appel rejeté avec dépens</w:t>
            </w:r>
          </w:p>
          <w:p w:rsidR="00E124B8" w:rsidRPr="00BE6616" w:rsidRDefault="00E124B8" w:rsidP="002E3508">
            <w:pPr>
              <w:jc w:val="both"/>
              <w:rPr>
                <w:rFonts w:eastAsia="Calibri"/>
                <w:sz w:val="20"/>
                <w:lang w:val="fr-CA"/>
              </w:rPr>
            </w:pPr>
          </w:p>
        </w:tc>
      </w:tr>
      <w:tr w:rsidR="00E124B8" w:rsidRPr="00BE6616" w:rsidTr="00C67842">
        <w:trPr>
          <w:cantSplit/>
        </w:trPr>
        <w:tc>
          <w:tcPr>
            <w:tcW w:w="2427" w:type="pct"/>
          </w:tcPr>
          <w:p w:rsidR="00E124B8" w:rsidRPr="00BE6616" w:rsidRDefault="00E124B8" w:rsidP="002E3508">
            <w:pPr>
              <w:jc w:val="both"/>
              <w:rPr>
                <w:rFonts w:eastAsia="Calibri"/>
                <w:sz w:val="20"/>
                <w:lang w:val="fr-CA"/>
              </w:rPr>
            </w:pPr>
            <w:r w:rsidRPr="00BE6616">
              <w:rPr>
                <w:rFonts w:eastAsia="Calibri"/>
                <w:sz w:val="20"/>
                <w:lang w:val="fr-CA"/>
              </w:rPr>
              <w:t>24 mai 2011</w:t>
            </w:r>
          </w:p>
          <w:p w:rsidR="00E124B8" w:rsidRPr="00BE6616" w:rsidRDefault="00E124B8" w:rsidP="002E3508">
            <w:pPr>
              <w:jc w:val="both"/>
              <w:rPr>
                <w:rFonts w:eastAsia="Calibri"/>
                <w:sz w:val="20"/>
                <w:lang w:val="fr-CA"/>
              </w:rPr>
            </w:pPr>
            <w:r w:rsidRPr="00BE6616">
              <w:rPr>
                <w:rFonts w:eastAsia="Calibri"/>
                <w:sz w:val="20"/>
                <w:lang w:val="fr-CA"/>
              </w:rPr>
              <w:t>Cour suprême du Canada</w:t>
            </w:r>
          </w:p>
        </w:tc>
        <w:tc>
          <w:tcPr>
            <w:tcW w:w="243" w:type="pct"/>
          </w:tcPr>
          <w:p w:rsidR="00E124B8" w:rsidRPr="00BE6616" w:rsidRDefault="00E124B8" w:rsidP="002E3508">
            <w:pPr>
              <w:jc w:val="both"/>
              <w:rPr>
                <w:rFonts w:eastAsia="Calibri"/>
                <w:sz w:val="20"/>
                <w:lang w:val="fr-CA"/>
              </w:rPr>
            </w:pPr>
          </w:p>
        </w:tc>
        <w:tc>
          <w:tcPr>
            <w:tcW w:w="2330" w:type="pct"/>
          </w:tcPr>
          <w:p w:rsidR="00E124B8" w:rsidRPr="00BE6616" w:rsidRDefault="00E124B8" w:rsidP="002E3508">
            <w:pPr>
              <w:jc w:val="both"/>
              <w:rPr>
                <w:rFonts w:eastAsia="Calibri"/>
                <w:sz w:val="20"/>
                <w:lang w:val="fr-CA"/>
              </w:rPr>
            </w:pPr>
            <w:r w:rsidRPr="00BE6616">
              <w:rPr>
                <w:rFonts w:eastAsia="Calibri"/>
                <w:sz w:val="20"/>
                <w:lang w:val="fr-CA"/>
              </w:rPr>
              <w:t>Demande d'autorisation d'appel, déposée</w:t>
            </w:r>
          </w:p>
          <w:p w:rsidR="00E124B8" w:rsidRPr="00BE6616" w:rsidRDefault="00E124B8" w:rsidP="002E350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82"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67842" w:rsidRPr="007C3AB2" w:rsidTr="0087505F">
        <w:trPr>
          <w:cantSplit/>
        </w:trPr>
        <w:tc>
          <w:tcPr>
            <w:tcW w:w="1458" w:type="dxa"/>
          </w:tcPr>
          <w:p w:rsidR="00C67842" w:rsidRPr="007C3AB2" w:rsidRDefault="00C67842" w:rsidP="0087505F">
            <w:pPr>
              <w:rPr>
                <w:sz w:val="20"/>
                <w:szCs w:val="20"/>
              </w:rPr>
            </w:pPr>
            <w:r w:rsidRPr="007C3AB2">
              <w:rPr>
                <w:rStyle w:val="SCCFileNumberChar"/>
                <w:sz w:val="20"/>
                <w:szCs w:val="20"/>
              </w:rPr>
              <w:t>34284</w:t>
            </w:r>
          </w:p>
          <w:p w:rsidR="00C67842" w:rsidRPr="007C3AB2" w:rsidRDefault="00C67842" w:rsidP="0087505F">
            <w:pPr>
              <w:rPr>
                <w:b/>
                <w:sz w:val="20"/>
                <w:szCs w:val="20"/>
                <w:lang w:val="fr-CA"/>
              </w:rPr>
            </w:pPr>
          </w:p>
        </w:tc>
        <w:tc>
          <w:tcPr>
            <w:tcW w:w="8118" w:type="dxa"/>
          </w:tcPr>
          <w:p w:rsidR="00C67842" w:rsidRPr="007C3AB2" w:rsidRDefault="00C67842" w:rsidP="0087505F">
            <w:pPr>
              <w:rPr>
                <w:sz w:val="20"/>
                <w:szCs w:val="20"/>
              </w:rPr>
            </w:pPr>
            <w:r w:rsidRPr="00C67842">
              <w:rPr>
                <w:rStyle w:val="SCCLsocChar"/>
                <w:sz w:val="20"/>
                <w:szCs w:val="20"/>
                <w:lang w:val="en-CA"/>
              </w:rPr>
              <w:t>J.F. v. Her Majesty the Queen</w:t>
            </w:r>
            <w:r w:rsidRPr="007C3AB2">
              <w:rPr>
                <w:sz w:val="20"/>
                <w:szCs w:val="20"/>
              </w:rPr>
              <w:t xml:space="preserve"> (Ont.) (Criminal) (By Leave)</w:t>
            </w:r>
          </w:p>
          <w:p w:rsidR="00C67842" w:rsidRPr="007C3AB2" w:rsidRDefault="00C67842" w:rsidP="0087505F">
            <w:pPr>
              <w:rPr>
                <w:sz w:val="20"/>
                <w:szCs w:val="20"/>
              </w:rPr>
            </w:pPr>
          </w:p>
        </w:tc>
      </w:tr>
      <w:tr w:rsidR="00C67842" w:rsidRPr="007C3AB2" w:rsidTr="0087505F">
        <w:trPr>
          <w:cantSplit/>
        </w:trPr>
        <w:tc>
          <w:tcPr>
            <w:tcW w:w="1458" w:type="dxa"/>
          </w:tcPr>
          <w:p w:rsidR="00C67842" w:rsidRPr="007C3AB2" w:rsidRDefault="00C67842" w:rsidP="0087505F">
            <w:pPr>
              <w:rPr>
                <w:sz w:val="20"/>
                <w:szCs w:val="20"/>
              </w:rPr>
            </w:pPr>
            <w:r w:rsidRPr="007C3AB2">
              <w:rPr>
                <w:sz w:val="20"/>
                <w:szCs w:val="20"/>
              </w:rPr>
              <w:t>Coram :</w:t>
            </w:r>
          </w:p>
        </w:tc>
        <w:tc>
          <w:tcPr>
            <w:tcW w:w="8118" w:type="dxa"/>
          </w:tcPr>
          <w:p w:rsidR="00C67842" w:rsidRPr="007C3AB2" w:rsidRDefault="00C67842" w:rsidP="0087505F">
            <w:pPr>
              <w:rPr>
                <w:sz w:val="20"/>
                <w:szCs w:val="20"/>
              </w:rPr>
            </w:pPr>
            <w:r w:rsidRPr="007C3AB2">
              <w:rPr>
                <w:rStyle w:val="SCCCoramChar"/>
                <w:sz w:val="20"/>
                <w:szCs w:val="20"/>
              </w:rPr>
              <w:t>Binnie, Abella and Rothstein JJ.</w:t>
            </w:r>
          </w:p>
          <w:p w:rsidR="00C67842" w:rsidRPr="007C3AB2" w:rsidRDefault="00C67842" w:rsidP="0087505F">
            <w:pPr>
              <w:rPr>
                <w:sz w:val="20"/>
                <w:szCs w:val="20"/>
                <w:u w:val="single"/>
              </w:rPr>
            </w:pPr>
          </w:p>
        </w:tc>
      </w:tr>
      <w:tr w:rsidR="00C67842" w:rsidRPr="00682661" w:rsidTr="0087505F">
        <w:trPr>
          <w:cantSplit/>
        </w:trPr>
        <w:tc>
          <w:tcPr>
            <w:tcW w:w="9576" w:type="dxa"/>
            <w:gridSpan w:val="2"/>
          </w:tcPr>
          <w:p w:rsidR="00C67842" w:rsidRPr="007C3AB2" w:rsidRDefault="00C67842" w:rsidP="0087505F">
            <w:pPr>
              <w:pStyle w:val="SCCShortJudgment"/>
              <w:rPr>
                <w:szCs w:val="20"/>
              </w:rPr>
            </w:pPr>
            <w:r w:rsidRPr="007C3AB2">
              <w:rPr>
                <w:szCs w:val="20"/>
              </w:rPr>
              <w:t>The application for leave to appeal from the judgment of the Court of Appeal for Ontario, Number C46571, 2011 ONCA 220, dated April 6, 2011, is granted without costs.</w:t>
            </w:r>
          </w:p>
          <w:p w:rsidR="00C67842" w:rsidRPr="007C3AB2" w:rsidRDefault="00C67842" w:rsidP="0087505F">
            <w:pPr>
              <w:pStyle w:val="SCCShortJudgment"/>
              <w:ind w:firstLine="0"/>
              <w:rPr>
                <w:szCs w:val="20"/>
              </w:rPr>
            </w:pPr>
          </w:p>
          <w:p w:rsidR="00C67842" w:rsidRPr="007C3AB2" w:rsidRDefault="00C67842" w:rsidP="0087505F">
            <w:pPr>
              <w:pStyle w:val="SCCShortJudgment"/>
              <w:rPr>
                <w:szCs w:val="20"/>
                <w:lang w:val="fr-CA"/>
              </w:rPr>
            </w:pPr>
            <w:r w:rsidRPr="007C3AB2">
              <w:rPr>
                <w:szCs w:val="20"/>
                <w:lang w:val="fr-CA"/>
              </w:rPr>
              <w:t>La demande d’autorisation d’appel de l’arrêt de la Cour d’appel de l’Ontario, numéro C46571, 2011 ONCA 220, daté du 6 avril 2011, est accordée sans dépens.</w:t>
            </w:r>
          </w:p>
        </w:tc>
      </w:tr>
    </w:tbl>
    <w:p w:rsidR="007B50F9" w:rsidRPr="00C67842" w:rsidRDefault="007B50F9" w:rsidP="007B50F9">
      <w:pPr>
        <w:rPr>
          <w:sz w:val="20"/>
          <w:szCs w:val="20"/>
          <w:lang w:val="fr-CA"/>
        </w:rPr>
      </w:pPr>
    </w:p>
    <w:p w:rsidR="007B50F9" w:rsidRPr="007B50F9" w:rsidRDefault="007B50F9" w:rsidP="007B50F9">
      <w:pPr>
        <w:rPr>
          <w:sz w:val="20"/>
          <w:szCs w:val="20"/>
        </w:rPr>
      </w:pPr>
      <w:r>
        <w:rPr>
          <w:sz w:val="20"/>
          <w:szCs w:val="20"/>
          <w:u w:val="single"/>
        </w:rPr>
        <w:lastRenderedPageBreak/>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124B8" w:rsidRPr="00BE6616" w:rsidTr="002E3508">
        <w:tc>
          <w:tcPr>
            <w:tcW w:w="5000" w:type="pct"/>
            <w:gridSpan w:val="3"/>
          </w:tcPr>
          <w:p w:rsidR="00E124B8" w:rsidRPr="00BE6616" w:rsidRDefault="00E124B8" w:rsidP="002E3508">
            <w:pPr>
              <w:jc w:val="both"/>
              <w:rPr>
                <w:rFonts w:eastAsia="Calibri"/>
                <w:smallCaps/>
                <w:sz w:val="20"/>
              </w:rPr>
            </w:pPr>
            <w:r w:rsidRPr="00BE6616">
              <w:rPr>
                <w:rFonts w:eastAsia="Calibri"/>
                <w:smallCaps/>
                <w:sz w:val="20"/>
              </w:rPr>
              <w:t>(Publication ban on party) (Publication ban on witnesses) (Court file contains information that is not available for inspection by the public)</w:t>
            </w:r>
          </w:p>
          <w:p w:rsidR="00E124B8" w:rsidRPr="00BE6616" w:rsidRDefault="00E124B8" w:rsidP="002E3508">
            <w:pPr>
              <w:jc w:val="both"/>
              <w:rPr>
                <w:rFonts w:eastAsia="Calibri"/>
                <w:sz w:val="20"/>
              </w:rPr>
            </w:pPr>
          </w:p>
          <w:p w:rsidR="00E124B8" w:rsidRPr="00BE6616" w:rsidRDefault="00E124B8" w:rsidP="002E3508">
            <w:pPr>
              <w:jc w:val="both"/>
              <w:rPr>
                <w:rFonts w:eastAsia="Calibri"/>
                <w:sz w:val="20"/>
              </w:rPr>
            </w:pPr>
            <w:r w:rsidRPr="00BE6616">
              <w:rPr>
                <w:rFonts w:eastAsia="Calibri"/>
                <w:sz w:val="20"/>
              </w:rPr>
              <w:t xml:space="preserve">Criminal Law </w:t>
            </w:r>
            <w:r w:rsidRPr="00BE6616">
              <w:rPr>
                <w:rFonts w:eastAsia="Calibri"/>
                <w:sz w:val="20"/>
              </w:rPr>
              <w:noBreakHyphen/>
              <w:t xml:space="preserve"> Offence </w:t>
            </w:r>
            <w:r w:rsidRPr="00BE6616">
              <w:rPr>
                <w:rFonts w:eastAsia="Calibri"/>
                <w:sz w:val="20"/>
              </w:rPr>
              <w:noBreakHyphen/>
              <w:t xml:space="preserve"> Elements of offence </w:t>
            </w:r>
            <w:r w:rsidRPr="00BE6616">
              <w:rPr>
                <w:rFonts w:eastAsia="Calibri"/>
                <w:sz w:val="20"/>
              </w:rPr>
              <w:noBreakHyphen/>
              <w:t xml:space="preserve">  Conspiracy to commit murder </w:t>
            </w:r>
            <w:r w:rsidRPr="00BE6616">
              <w:rPr>
                <w:rFonts w:eastAsia="Calibri"/>
                <w:sz w:val="20"/>
              </w:rPr>
              <w:noBreakHyphen/>
              <w:t xml:space="preserve"> Party liability </w:t>
            </w:r>
            <w:r w:rsidRPr="00BE6616">
              <w:rPr>
                <w:rFonts w:eastAsia="Calibri"/>
                <w:sz w:val="20"/>
              </w:rPr>
              <w:noBreakHyphen/>
              <w:t xml:space="preserve"> Evidence </w:t>
            </w:r>
            <w:r w:rsidRPr="00BE6616">
              <w:rPr>
                <w:rFonts w:eastAsia="Calibri"/>
                <w:sz w:val="20"/>
              </w:rPr>
              <w:noBreakHyphen/>
              <w:t xml:space="preserve"> Co</w:t>
            </w:r>
            <w:r w:rsidRPr="00BE6616">
              <w:rPr>
                <w:rFonts w:eastAsia="Calibri"/>
                <w:sz w:val="20"/>
              </w:rPr>
              <w:noBreakHyphen/>
              <w:t xml:space="preserve">conspirator’s exception to hearsay rule </w:t>
            </w:r>
            <w:r w:rsidRPr="00BE6616">
              <w:rPr>
                <w:rFonts w:eastAsia="Calibri"/>
                <w:sz w:val="20"/>
              </w:rPr>
              <w:noBreakHyphen/>
              <w:t xml:space="preserve"> Whether an accused can be convicted as a party to a conspiracy to commit murder </w:t>
            </w:r>
            <w:r w:rsidRPr="00BE6616">
              <w:rPr>
                <w:rFonts w:eastAsia="Calibri"/>
                <w:sz w:val="20"/>
              </w:rPr>
              <w:noBreakHyphen/>
              <w:t xml:space="preserve"> Whether </w:t>
            </w:r>
            <w:r w:rsidRPr="00BE6616">
              <w:rPr>
                <w:rFonts w:eastAsia="Calibri"/>
                <w:i/>
                <w:sz w:val="20"/>
              </w:rPr>
              <w:t>Criminal Code</w:t>
            </w:r>
            <w:r w:rsidRPr="00BE6616">
              <w:rPr>
                <w:rFonts w:eastAsia="Calibri"/>
                <w:sz w:val="20"/>
              </w:rPr>
              <w:t xml:space="preserve"> recognizes liability for both abetting and aiding a conspiracy to commit murder </w:t>
            </w:r>
            <w:r w:rsidRPr="00BE6616">
              <w:rPr>
                <w:rFonts w:eastAsia="Calibri"/>
                <w:sz w:val="20"/>
              </w:rPr>
              <w:noBreakHyphen/>
              <w:t xml:space="preserve"> If so, whether liability attaches only to aiding or abetting a person to join a conspiracy or extends to aiding or abetting conspirators in achieving their unlawful object </w:t>
            </w:r>
            <w:r w:rsidRPr="00BE6616">
              <w:rPr>
                <w:rFonts w:eastAsia="Calibri"/>
                <w:sz w:val="20"/>
              </w:rPr>
              <w:noBreakHyphen/>
              <w:t xml:space="preserve"> Application of co</w:t>
            </w:r>
            <w:r w:rsidRPr="00BE6616">
              <w:rPr>
                <w:rFonts w:eastAsia="Calibri"/>
                <w:sz w:val="20"/>
              </w:rPr>
              <w:noBreakHyphen/>
              <w:t>conspirator’s exception to hearsay rule to a person accused of being a party to a conspiracy to commit an offence.</w:t>
            </w:r>
          </w:p>
        </w:tc>
      </w:tr>
      <w:tr w:rsidR="00E124B8" w:rsidRPr="00BE6616" w:rsidTr="002E3508">
        <w:tc>
          <w:tcPr>
            <w:tcW w:w="5000" w:type="pct"/>
            <w:gridSpan w:val="3"/>
          </w:tcPr>
          <w:p w:rsidR="00E124B8" w:rsidRPr="00BE6616" w:rsidRDefault="00E124B8" w:rsidP="002E3508">
            <w:pPr>
              <w:jc w:val="both"/>
              <w:rPr>
                <w:rFonts w:eastAsia="Calibri"/>
                <w:sz w:val="20"/>
              </w:rPr>
            </w:pPr>
          </w:p>
        </w:tc>
      </w:tr>
      <w:tr w:rsidR="00E124B8" w:rsidRPr="00BE6616" w:rsidTr="002E3508">
        <w:tc>
          <w:tcPr>
            <w:tcW w:w="5000" w:type="pct"/>
            <w:gridSpan w:val="3"/>
          </w:tcPr>
          <w:p w:rsidR="00E124B8" w:rsidRPr="00BE6616" w:rsidRDefault="00E124B8" w:rsidP="002E3508">
            <w:pPr>
              <w:jc w:val="both"/>
              <w:rPr>
                <w:rFonts w:eastAsia="Calibri"/>
                <w:sz w:val="20"/>
              </w:rPr>
            </w:pPr>
            <w:r w:rsidRPr="00BE6616">
              <w:rPr>
                <w:rFonts w:eastAsia="Calibri"/>
                <w:sz w:val="20"/>
              </w:rPr>
              <w:t>The applicant, a young person, was convicted by a jury of conspiracy to commit a murder.  In 2002, two sisters, “R” and “T”, murdered their mother by plying her with alcohol and Tylenol</w:t>
            </w:r>
            <w:r w:rsidRPr="00BE6616">
              <w:rPr>
                <w:rFonts w:eastAsia="Calibri"/>
                <w:sz w:val="20"/>
              </w:rPr>
              <w:noBreakHyphen/>
              <w:t>3 and then drowning her in a bathtub.  They were convicted of first degree murder.  The applicant was dating T.  In MSN chats before the murder, he and T discussed the murder.  The discussed drowning, what she might do if the mother woke during the drowning, and meeting at a restaurant after the murder.  The Crown theorized that the applicant assisted the sisters in the formulation of the method of killing, provided pills used to drug the mother, and agreed to provide a false alibi.  The Crown argued that the applicant was guilty of conspiracy to commit the murder either as a co</w:t>
            </w:r>
            <w:r w:rsidRPr="00BE6616">
              <w:rPr>
                <w:rFonts w:eastAsia="Calibri"/>
                <w:sz w:val="20"/>
              </w:rPr>
              <w:noBreakHyphen/>
              <w:t>conspirator or as a party to the sister’s conspiracy.  The trial judge instructed the jury that the applicant could be liable for conspiracy either as a “full partner” or if he was a party to the conspiracy by aiding or abetting one or both sisters in their plan to murder.  A jury convicted the applicant of conspiracy to commit murder.  The Court of Appeal upheld the conviction</w:t>
            </w:r>
          </w:p>
          <w:p w:rsidR="00E124B8" w:rsidRPr="00BE6616" w:rsidRDefault="00E124B8" w:rsidP="002E3508">
            <w:pPr>
              <w:jc w:val="both"/>
              <w:rPr>
                <w:rFonts w:eastAsia="Calibri"/>
                <w:sz w:val="20"/>
              </w:rPr>
            </w:pPr>
          </w:p>
        </w:tc>
      </w:tr>
      <w:tr w:rsidR="00E124B8" w:rsidRPr="00BE6616" w:rsidTr="002E3508">
        <w:tc>
          <w:tcPr>
            <w:tcW w:w="2427" w:type="pct"/>
          </w:tcPr>
          <w:p w:rsidR="00E124B8" w:rsidRPr="00BE6616" w:rsidRDefault="00E124B8" w:rsidP="002E3508">
            <w:pPr>
              <w:jc w:val="both"/>
              <w:rPr>
                <w:rFonts w:eastAsia="Calibri"/>
                <w:sz w:val="20"/>
              </w:rPr>
            </w:pPr>
            <w:r w:rsidRPr="00BE6616">
              <w:rPr>
                <w:rFonts w:eastAsia="Calibri"/>
                <w:sz w:val="20"/>
              </w:rPr>
              <w:t>December 7, 2006</w:t>
            </w:r>
          </w:p>
          <w:p w:rsidR="00E124B8" w:rsidRPr="00BE6616" w:rsidRDefault="00E124B8" w:rsidP="002E3508">
            <w:pPr>
              <w:jc w:val="both"/>
              <w:rPr>
                <w:rFonts w:eastAsia="Calibri"/>
                <w:sz w:val="20"/>
              </w:rPr>
            </w:pPr>
            <w:r w:rsidRPr="00BE6616">
              <w:rPr>
                <w:rFonts w:eastAsia="Calibri"/>
                <w:sz w:val="20"/>
              </w:rPr>
              <w:t>Ontario Superior Court of Justice</w:t>
            </w:r>
          </w:p>
          <w:p w:rsidR="00E124B8" w:rsidRPr="00BE6616" w:rsidRDefault="00E124B8" w:rsidP="002E3508">
            <w:pPr>
              <w:jc w:val="both"/>
              <w:rPr>
                <w:rFonts w:eastAsia="Calibri"/>
                <w:sz w:val="20"/>
              </w:rPr>
            </w:pPr>
            <w:r w:rsidRPr="00BE6616">
              <w:rPr>
                <w:rFonts w:eastAsia="Calibri"/>
                <w:sz w:val="20"/>
              </w:rPr>
              <w:t xml:space="preserve">(Van Melle J.) </w:t>
            </w:r>
          </w:p>
          <w:p w:rsidR="00E124B8" w:rsidRPr="00BE6616" w:rsidRDefault="00E124B8" w:rsidP="002E3508">
            <w:pPr>
              <w:jc w:val="both"/>
              <w:rPr>
                <w:rFonts w:eastAsia="Calibri"/>
                <w:sz w:val="20"/>
              </w:rPr>
            </w:pPr>
          </w:p>
        </w:tc>
        <w:tc>
          <w:tcPr>
            <w:tcW w:w="243" w:type="pct"/>
          </w:tcPr>
          <w:p w:rsidR="00E124B8" w:rsidRPr="00BE6616" w:rsidRDefault="00E124B8" w:rsidP="002E3508">
            <w:pPr>
              <w:jc w:val="both"/>
              <w:rPr>
                <w:rFonts w:eastAsia="Calibri"/>
                <w:sz w:val="20"/>
              </w:rPr>
            </w:pPr>
          </w:p>
        </w:tc>
        <w:tc>
          <w:tcPr>
            <w:tcW w:w="2330" w:type="pct"/>
          </w:tcPr>
          <w:p w:rsidR="00E124B8" w:rsidRPr="00BE6616" w:rsidRDefault="00E124B8" w:rsidP="002E3508">
            <w:pPr>
              <w:jc w:val="both"/>
              <w:rPr>
                <w:rFonts w:eastAsia="Calibri"/>
                <w:sz w:val="20"/>
              </w:rPr>
            </w:pPr>
            <w:r w:rsidRPr="00BE6616">
              <w:rPr>
                <w:rFonts w:eastAsia="Calibri"/>
                <w:sz w:val="20"/>
              </w:rPr>
              <w:t>Conviction by jury of unlawfully conspiring  to commit murder</w:t>
            </w:r>
          </w:p>
          <w:p w:rsidR="00E124B8" w:rsidRPr="00BE6616" w:rsidRDefault="00E124B8" w:rsidP="002E3508">
            <w:pPr>
              <w:jc w:val="both"/>
              <w:rPr>
                <w:rFonts w:eastAsia="Calibri"/>
                <w:sz w:val="20"/>
              </w:rPr>
            </w:pPr>
          </w:p>
        </w:tc>
      </w:tr>
      <w:tr w:rsidR="00E124B8" w:rsidRPr="00BE6616" w:rsidTr="002E3508">
        <w:tc>
          <w:tcPr>
            <w:tcW w:w="2427" w:type="pct"/>
          </w:tcPr>
          <w:p w:rsidR="00E124B8" w:rsidRPr="00BE6616" w:rsidRDefault="00E124B8" w:rsidP="002E3508">
            <w:pPr>
              <w:jc w:val="both"/>
              <w:rPr>
                <w:rFonts w:eastAsia="Calibri"/>
                <w:sz w:val="20"/>
              </w:rPr>
            </w:pPr>
            <w:r w:rsidRPr="00BE6616">
              <w:rPr>
                <w:rFonts w:eastAsia="Calibri"/>
                <w:sz w:val="20"/>
              </w:rPr>
              <w:t>April 6, 2011</w:t>
            </w:r>
          </w:p>
          <w:p w:rsidR="00E124B8" w:rsidRPr="00BE6616" w:rsidRDefault="00E124B8" w:rsidP="002E3508">
            <w:pPr>
              <w:jc w:val="both"/>
              <w:rPr>
                <w:rFonts w:eastAsia="Calibri"/>
                <w:sz w:val="20"/>
              </w:rPr>
            </w:pPr>
            <w:r w:rsidRPr="00BE6616">
              <w:rPr>
                <w:rFonts w:eastAsia="Calibri"/>
                <w:sz w:val="20"/>
              </w:rPr>
              <w:t>Court of Appeal for Ontario</w:t>
            </w:r>
          </w:p>
          <w:p w:rsidR="00E124B8" w:rsidRPr="00BE6616" w:rsidRDefault="00E124B8" w:rsidP="002E3508">
            <w:pPr>
              <w:jc w:val="both"/>
              <w:rPr>
                <w:rFonts w:eastAsia="Calibri"/>
                <w:sz w:val="20"/>
                <w:lang w:val="fr-CA"/>
              </w:rPr>
            </w:pPr>
            <w:r w:rsidRPr="00BE6616">
              <w:rPr>
                <w:rFonts w:eastAsia="Calibri"/>
                <w:sz w:val="20"/>
                <w:lang w:val="fr-CA"/>
              </w:rPr>
              <w:t>(Rosenberg, Rouleau, Epstein JJ.A.)</w:t>
            </w:r>
          </w:p>
          <w:p w:rsidR="00E124B8" w:rsidRPr="00BE6616" w:rsidRDefault="00E124B8" w:rsidP="002E3508">
            <w:pPr>
              <w:jc w:val="both"/>
              <w:rPr>
                <w:rFonts w:eastAsia="Calibri"/>
                <w:sz w:val="20"/>
              </w:rPr>
            </w:pPr>
            <w:r w:rsidRPr="00BE6616">
              <w:rPr>
                <w:rFonts w:eastAsia="Calibri"/>
                <w:sz w:val="20"/>
              </w:rPr>
              <w:t>2011 ONCA 220; C46571</w:t>
            </w:r>
          </w:p>
          <w:p w:rsidR="00E124B8" w:rsidRPr="00BE6616" w:rsidRDefault="00E124B8" w:rsidP="002E3508">
            <w:pPr>
              <w:jc w:val="both"/>
              <w:rPr>
                <w:rFonts w:eastAsia="Calibri"/>
                <w:sz w:val="20"/>
              </w:rPr>
            </w:pPr>
          </w:p>
        </w:tc>
        <w:tc>
          <w:tcPr>
            <w:tcW w:w="243" w:type="pct"/>
          </w:tcPr>
          <w:p w:rsidR="00E124B8" w:rsidRPr="00BE6616" w:rsidRDefault="00E124B8" w:rsidP="002E3508">
            <w:pPr>
              <w:jc w:val="both"/>
              <w:rPr>
                <w:rFonts w:eastAsia="Calibri"/>
                <w:sz w:val="20"/>
              </w:rPr>
            </w:pPr>
          </w:p>
        </w:tc>
        <w:tc>
          <w:tcPr>
            <w:tcW w:w="2330" w:type="pct"/>
          </w:tcPr>
          <w:p w:rsidR="00E124B8" w:rsidRPr="00BE6616" w:rsidRDefault="00E124B8" w:rsidP="002E3508">
            <w:pPr>
              <w:jc w:val="both"/>
              <w:rPr>
                <w:rFonts w:eastAsia="Calibri"/>
                <w:sz w:val="20"/>
              </w:rPr>
            </w:pPr>
            <w:r w:rsidRPr="00BE6616">
              <w:rPr>
                <w:rFonts w:eastAsia="Calibri"/>
                <w:sz w:val="20"/>
              </w:rPr>
              <w:t xml:space="preserve">Appeal from conviction dismissed.  </w:t>
            </w:r>
          </w:p>
          <w:p w:rsidR="00E124B8" w:rsidRPr="00BE6616" w:rsidRDefault="00E124B8" w:rsidP="002E3508">
            <w:pPr>
              <w:jc w:val="both"/>
              <w:rPr>
                <w:rFonts w:eastAsia="Calibri"/>
                <w:sz w:val="20"/>
              </w:rPr>
            </w:pPr>
          </w:p>
        </w:tc>
      </w:tr>
      <w:tr w:rsidR="00E124B8" w:rsidRPr="00BE6616" w:rsidTr="00C67842">
        <w:trPr>
          <w:cantSplit/>
        </w:trPr>
        <w:tc>
          <w:tcPr>
            <w:tcW w:w="2427" w:type="pct"/>
          </w:tcPr>
          <w:p w:rsidR="00E124B8" w:rsidRPr="00BE6616" w:rsidRDefault="00E124B8" w:rsidP="002E3508">
            <w:pPr>
              <w:jc w:val="both"/>
              <w:rPr>
                <w:rFonts w:eastAsia="Calibri"/>
                <w:sz w:val="20"/>
              </w:rPr>
            </w:pPr>
            <w:r w:rsidRPr="00BE6616">
              <w:rPr>
                <w:rFonts w:eastAsia="Calibri"/>
                <w:sz w:val="20"/>
              </w:rPr>
              <w:t>May 31, 2011</w:t>
            </w:r>
          </w:p>
          <w:p w:rsidR="00E124B8" w:rsidRPr="00BE6616" w:rsidRDefault="00E124B8" w:rsidP="002E3508">
            <w:pPr>
              <w:jc w:val="both"/>
              <w:rPr>
                <w:rFonts w:eastAsia="Calibri"/>
                <w:sz w:val="20"/>
              </w:rPr>
            </w:pPr>
            <w:r w:rsidRPr="00BE6616">
              <w:rPr>
                <w:rFonts w:eastAsia="Calibri"/>
                <w:sz w:val="20"/>
              </w:rPr>
              <w:t>Supreme Court of Canada</w:t>
            </w:r>
          </w:p>
        </w:tc>
        <w:tc>
          <w:tcPr>
            <w:tcW w:w="243" w:type="pct"/>
          </w:tcPr>
          <w:p w:rsidR="00E124B8" w:rsidRPr="00BE6616" w:rsidRDefault="00E124B8" w:rsidP="002E3508">
            <w:pPr>
              <w:jc w:val="both"/>
              <w:rPr>
                <w:rFonts w:eastAsia="Calibri"/>
                <w:sz w:val="20"/>
              </w:rPr>
            </w:pPr>
          </w:p>
        </w:tc>
        <w:tc>
          <w:tcPr>
            <w:tcW w:w="2330" w:type="pct"/>
          </w:tcPr>
          <w:p w:rsidR="00E124B8" w:rsidRPr="00BE6616" w:rsidRDefault="00E124B8" w:rsidP="002E3508">
            <w:pPr>
              <w:jc w:val="both"/>
              <w:rPr>
                <w:rFonts w:eastAsia="Calibri"/>
                <w:sz w:val="20"/>
              </w:rPr>
            </w:pPr>
            <w:r w:rsidRPr="00BE6616">
              <w:rPr>
                <w:rFonts w:eastAsia="Calibri"/>
                <w:sz w:val="20"/>
              </w:rPr>
              <w:t>Application for leave to appeal filed</w:t>
            </w:r>
          </w:p>
          <w:p w:rsidR="00E124B8" w:rsidRPr="00BE6616" w:rsidRDefault="00E124B8" w:rsidP="002E350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83"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E124B8" w:rsidRPr="00FC7FF3" w:rsidTr="002E3508">
        <w:tc>
          <w:tcPr>
            <w:tcW w:w="5000" w:type="pct"/>
            <w:gridSpan w:val="3"/>
          </w:tcPr>
          <w:p w:rsidR="00E124B8" w:rsidRPr="00BE6616" w:rsidRDefault="00E124B8" w:rsidP="002E3508">
            <w:pPr>
              <w:jc w:val="both"/>
              <w:rPr>
                <w:rFonts w:eastAsia="Calibri"/>
                <w:smallCaps/>
                <w:sz w:val="20"/>
                <w:lang w:val="fr-CA"/>
              </w:rPr>
            </w:pPr>
            <w:r w:rsidRPr="00BE6616">
              <w:rPr>
                <w:rFonts w:eastAsia="Calibri"/>
                <w:smallCaps/>
                <w:sz w:val="20"/>
                <w:lang w:val="fr-CA"/>
              </w:rPr>
              <w:t>(Ordonnance de non</w:t>
            </w:r>
            <w:r w:rsidRPr="00BE6616">
              <w:rPr>
                <w:rFonts w:eastAsia="Calibri"/>
                <w:smallCaps/>
                <w:sz w:val="20"/>
                <w:lang w:val="fr-CA"/>
              </w:rPr>
              <w:noBreakHyphen/>
              <w:t>publication visant une partie) (ordonnance de non</w:t>
            </w:r>
            <w:r w:rsidRPr="00BE6616">
              <w:rPr>
                <w:rFonts w:eastAsia="Calibri"/>
                <w:smallCaps/>
                <w:sz w:val="20"/>
                <w:lang w:val="fr-CA"/>
              </w:rPr>
              <w:noBreakHyphen/>
              <w:t>publication visant les témoins) (</w:t>
            </w:r>
            <w:r w:rsidRPr="00BE6616">
              <w:rPr>
                <w:rFonts w:eastAsia="Calibri"/>
                <w:bCs/>
                <w:smallCaps/>
                <w:sz w:val="20"/>
                <w:lang w:val="fr-CA"/>
              </w:rPr>
              <w:t>Le dossier de la Cour renferme des données que le public n’est pas autorisé à consulter</w:t>
            </w:r>
            <w:r w:rsidRPr="00BE6616">
              <w:rPr>
                <w:rFonts w:eastAsia="Calibri"/>
                <w:smallCaps/>
                <w:sz w:val="20"/>
                <w:lang w:val="fr-CA"/>
              </w:rPr>
              <w:t>)</w:t>
            </w:r>
          </w:p>
          <w:p w:rsidR="00E124B8" w:rsidRPr="00BE6616" w:rsidRDefault="00E124B8" w:rsidP="002E3508">
            <w:pPr>
              <w:jc w:val="both"/>
              <w:rPr>
                <w:rFonts w:eastAsia="Calibri"/>
                <w:sz w:val="20"/>
                <w:lang w:val="fr-CA"/>
              </w:rPr>
            </w:pPr>
          </w:p>
          <w:p w:rsidR="00E124B8" w:rsidRPr="00BE6616" w:rsidRDefault="00E124B8" w:rsidP="002E3508">
            <w:pPr>
              <w:jc w:val="both"/>
              <w:rPr>
                <w:rFonts w:eastAsia="Calibri"/>
                <w:sz w:val="20"/>
                <w:lang w:val="fr-CA"/>
              </w:rPr>
            </w:pPr>
            <w:r w:rsidRPr="00BE6616">
              <w:rPr>
                <w:rFonts w:eastAsia="Calibri"/>
                <w:sz w:val="20"/>
                <w:lang w:val="fr-CA"/>
              </w:rPr>
              <w:t xml:space="preserve">Droit criminel </w:t>
            </w:r>
            <w:r w:rsidRPr="00BE6616">
              <w:rPr>
                <w:rFonts w:eastAsia="Calibri"/>
                <w:sz w:val="20"/>
                <w:lang w:val="fr-CA"/>
              </w:rPr>
              <w:noBreakHyphen/>
              <w:t xml:space="preserve"> Infraction </w:t>
            </w:r>
            <w:r w:rsidRPr="00BE6616">
              <w:rPr>
                <w:rFonts w:eastAsia="Calibri"/>
                <w:sz w:val="20"/>
                <w:lang w:val="fr-CA"/>
              </w:rPr>
              <w:noBreakHyphen/>
              <w:t xml:space="preserve"> Éléments de l’infraction </w:t>
            </w:r>
            <w:r w:rsidRPr="00BE6616">
              <w:rPr>
                <w:rFonts w:eastAsia="Calibri"/>
                <w:sz w:val="20"/>
                <w:lang w:val="fr-CA"/>
              </w:rPr>
              <w:noBreakHyphen/>
              <w:t xml:space="preserve"> Complot en vue de commettre un meurtre </w:t>
            </w:r>
            <w:r w:rsidRPr="00BE6616">
              <w:rPr>
                <w:rFonts w:eastAsia="Calibri"/>
                <w:sz w:val="20"/>
                <w:lang w:val="fr-CA"/>
              </w:rPr>
              <w:noBreakHyphen/>
              <w:t xml:space="preserve"> Responsabilité du participant à une infraction </w:t>
            </w:r>
            <w:r w:rsidRPr="00BE6616">
              <w:rPr>
                <w:rFonts w:eastAsia="Calibri"/>
                <w:sz w:val="20"/>
                <w:lang w:val="fr-CA"/>
              </w:rPr>
              <w:noBreakHyphen/>
              <w:t xml:space="preserve"> Preuve </w:t>
            </w:r>
            <w:r w:rsidRPr="00BE6616">
              <w:rPr>
                <w:rFonts w:eastAsia="Calibri"/>
                <w:sz w:val="20"/>
                <w:lang w:val="fr-CA"/>
              </w:rPr>
              <w:noBreakHyphen/>
              <w:t xml:space="preserve"> Exception à la règle du ouï</w:t>
            </w:r>
            <w:r w:rsidRPr="00BE6616">
              <w:rPr>
                <w:rFonts w:eastAsia="Calibri"/>
                <w:sz w:val="20"/>
                <w:lang w:val="fr-CA"/>
              </w:rPr>
              <w:noBreakHyphen/>
              <w:t xml:space="preserve">dire dans le cas des coconspirateurs </w:t>
            </w:r>
            <w:r w:rsidRPr="00BE6616">
              <w:rPr>
                <w:rFonts w:eastAsia="Calibri"/>
                <w:sz w:val="20"/>
                <w:lang w:val="fr-CA"/>
              </w:rPr>
              <w:noBreakHyphen/>
              <w:t xml:space="preserve"> Un accusé peut</w:t>
            </w:r>
            <w:r w:rsidRPr="00BE6616">
              <w:rPr>
                <w:rFonts w:eastAsia="Calibri"/>
                <w:sz w:val="20"/>
                <w:lang w:val="fr-CA"/>
              </w:rPr>
              <w:noBreakHyphen/>
              <w:t xml:space="preserve">il être déclaré coupable en tant que participant à un complot en vue de commettre un meurtre? </w:t>
            </w:r>
            <w:r w:rsidRPr="00BE6616">
              <w:rPr>
                <w:rFonts w:eastAsia="Calibri"/>
                <w:sz w:val="20"/>
                <w:lang w:val="fr-CA"/>
              </w:rPr>
              <w:noBreakHyphen/>
              <w:t xml:space="preserve"> Le</w:t>
            </w:r>
            <w:r w:rsidRPr="00BE6616">
              <w:rPr>
                <w:rFonts w:eastAsia="Calibri"/>
                <w:i/>
                <w:sz w:val="20"/>
                <w:lang w:val="fr-CA"/>
              </w:rPr>
              <w:t xml:space="preserve"> Code criminel</w:t>
            </w:r>
            <w:r w:rsidRPr="00BE6616">
              <w:rPr>
                <w:rFonts w:eastAsia="Calibri"/>
                <w:sz w:val="20"/>
                <w:lang w:val="fr-CA"/>
              </w:rPr>
              <w:t xml:space="preserve"> reconnaît</w:t>
            </w:r>
            <w:r w:rsidRPr="00BE6616">
              <w:rPr>
                <w:rFonts w:eastAsia="Calibri"/>
                <w:sz w:val="20"/>
                <w:lang w:val="fr-CA"/>
              </w:rPr>
              <w:noBreakHyphen/>
              <w:t xml:space="preserve">il la responsabilité pour avoir aidé ou encouragé quelqu’un dans un complot en vue de commettre un meurtre? </w:t>
            </w:r>
            <w:r w:rsidRPr="00BE6616">
              <w:rPr>
                <w:rFonts w:eastAsia="Calibri"/>
                <w:sz w:val="20"/>
                <w:lang w:val="fr-CA"/>
              </w:rPr>
              <w:noBreakHyphen/>
              <w:t xml:space="preserve"> Dans l’affirmative, la responsabilité est</w:t>
            </w:r>
            <w:r w:rsidRPr="00BE6616">
              <w:rPr>
                <w:rFonts w:eastAsia="Calibri"/>
                <w:sz w:val="20"/>
                <w:lang w:val="fr-CA"/>
              </w:rPr>
              <w:noBreakHyphen/>
              <w:t>elle fondée uniquement sur le fait d’avoir aidé ou encouragé quelqu’un à se joindre à un complot ou est</w:t>
            </w:r>
            <w:r w:rsidRPr="00BE6616">
              <w:rPr>
                <w:rFonts w:eastAsia="Calibri"/>
                <w:sz w:val="20"/>
                <w:lang w:val="fr-CA"/>
              </w:rPr>
              <w:noBreakHyphen/>
              <w:t xml:space="preserve">elle fondée également sur le fait d’avoir aidé ou encouragé les conspirateurs à accomplir leur acte illégal? </w:t>
            </w:r>
            <w:r w:rsidRPr="00BE6616">
              <w:rPr>
                <w:rFonts w:eastAsia="Calibri"/>
                <w:sz w:val="20"/>
                <w:lang w:val="fr-CA"/>
              </w:rPr>
              <w:noBreakHyphen/>
              <w:t xml:space="preserve"> Application de l’exception à la règle </w:t>
            </w:r>
            <w:proofErr w:type="gramStart"/>
            <w:r w:rsidRPr="00BE6616">
              <w:rPr>
                <w:rFonts w:eastAsia="Calibri"/>
                <w:sz w:val="20"/>
                <w:lang w:val="fr-CA"/>
              </w:rPr>
              <w:t>du ouï</w:t>
            </w:r>
            <w:r w:rsidRPr="00BE6616">
              <w:rPr>
                <w:rFonts w:eastAsia="Calibri"/>
                <w:sz w:val="20"/>
                <w:lang w:val="fr-CA"/>
              </w:rPr>
              <w:noBreakHyphen/>
              <w:t>dire</w:t>
            </w:r>
            <w:proofErr w:type="gramEnd"/>
            <w:r w:rsidRPr="00BE6616">
              <w:rPr>
                <w:rFonts w:eastAsia="Calibri"/>
                <w:sz w:val="20"/>
                <w:lang w:val="fr-CA"/>
              </w:rPr>
              <w:t xml:space="preserve"> dans le cas des coconspirateurs à une partie accusée d’avoir participé à un complot en vue de commettre une infraction.</w:t>
            </w:r>
          </w:p>
        </w:tc>
      </w:tr>
      <w:tr w:rsidR="00E124B8" w:rsidRPr="00FC7FF3" w:rsidTr="002E3508">
        <w:tc>
          <w:tcPr>
            <w:tcW w:w="5000" w:type="pct"/>
            <w:gridSpan w:val="3"/>
          </w:tcPr>
          <w:p w:rsidR="00E124B8" w:rsidRPr="00BE6616" w:rsidRDefault="00E124B8" w:rsidP="002E3508">
            <w:pPr>
              <w:jc w:val="both"/>
              <w:rPr>
                <w:rFonts w:eastAsia="Calibri"/>
                <w:sz w:val="20"/>
                <w:lang w:val="fr-CA"/>
              </w:rPr>
            </w:pPr>
          </w:p>
        </w:tc>
      </w:tr>
      <w:tr w:rsidR="00E124B8" w:rsidRPr="00BE6616" w:rsidTr="002E3508">
        <w:tc>
          <w:tcPr>
            <w:tcW w:w="5000" w:type="pct"/>
            <w:gridSpan w:val="3"/>
          </w:tcPr>
          <w:p w:rsidR="00E124B8" w:rsidRPr="00BE6616" w:rsidRDefault="00E124B8" w:rsidP="002E3508">
            <w:pPr>
              <w:jc w:val="both"/>
              <w:rPr>
                <w:rFonts w:eastAsia="Calibri"/>
                <w:sz w:val="20"/>
                <w:lang w:val="fr-CA"/>
              </w:rPr>
            </w:pPr>
            <w:r w:rsidRPr="00BE6616">
              <w:rPr>
                <w:rFonts w:eastAsia="Calibri"/>
                <w:sz w:val="20"/>
                <w:lang w:val="fr-CA"/>
              </w:rPr>
              <w:lastRenderedPageBreak/>
              <w:t>Le demandeur, un adolescent, a été déclaré coupable par un jury de complot en vue de commettre un meurtre.  En 2002, deux sœurs, « R » et « T », ont assassiné leur mère en lui administrant de l’alcool et du Tylenol</w:t>
            </w:r>
            <w:r w:rsidRPr="00BE6616">
              <w:rPr>
                <w:rFonts w:eastAsia="Calibri"/>
                <w:sz w:val="20"/>
                <w:lang w:val="fr-CA"/>
              </w:rPr>
              <w:noBreakHyphen/>
              <w:t>3 et en la noyant ensuite dans une baignoire.  Elles ont été déclarées coupables de meurtre au premier degré.  Le demandeur fréquentait T.  Au cours de clavardages sur MSN avant le meurtre, lui et T ont parlé du meurtre.  Elles ont parlé de la noyade, de ce qu’elle pourrait faire si sa mère se réveillait pendant la noyade et ils se sont donné rendez</w:t>
            </w:r>
            <w:r w:rsidRPr="00BE6616">
              <w:rPr>
                <w:rFonts w:eastAsia="Calibri"/>
                <w:sz w:val="20"/>
                <w:lang w:val="fr-CA"/>
              </w:rPr>
              <w:noBreakHyphen/>
              <w:t>vous dans un restaurant après le meurtre.  Le ministère public a émis l’hypothèse que le demandeur avait aidé les sœurs à formuler la méthode de l’assassinat, fourni les comprimés utilisés pour droguer la mère et accepté de fournir un faux alibi.  Le ministère public a plaidé que le demandeur était coupable de complot en vue de commettre le meurtre, soit comme coconspirateur, soit comme partie au complot de la sœur.  Le juge du procès a dit au jury dans son exposé que le demandeur pouvait être coupable de complot soit comme [</w:t>
            </w:r>
            <w:r w:rsidRPr="00BE6616">
              <w:rPr>
                <w:rFonts w:eastAsia="Calibri"/>
                <w:smallCaps/>
                <w:sz w:val="20"/>
                <w:lang w:val="fr-CA"/>
              </w:rPr>
              <w:t>traduction</w:t>
            </w:r>
            <w:r w:rsidRPr="00BE6616">
              <w:rPr>
                <w:rFonts w:eastAsia="Calibri"/>
                <w:sz w:val="20"/>
                <w:lang w:val="fr-CA"/>
              </w:rPr>
              <w:t>] « partenaire à part entière », soit comme partie au complot en ayant aidé ou encouragé les sœurs ou l’une d’elle dans leur projet de meurtre.  Un jury a déclaré le demandeur coupable de complot en vue de commettre un meurtre.  La Cour d’appel a confirmé la déclaration de culpabilité.</w:t>
            </w:r>
          </w:p>
          <w:p w:rsidR="00E124B8" w:rsidRPr="00BE6616" w:rsidRDefault="00E124B8" w:rsidP="002E3508">
            <w:pPr>
              <w:jc w:val="both"/>
              <w:rPr>
                <w:rFonts w:eastAsia="Calibri"/>
                <w:sz w:val="20"/>
                <w:lang w:val="fr-CA"/>
              </w:rPr>
            </w:pPr>
          </w:p>
        </w:tc>
      </w:tr>
      <w:tr w:rsidR="00E124B8" w:rsidRPr="00682661" w:rsidTr="002E3508">
        <w:tc>
          <w:tcPr>
            <w:tcW w:w="2427" w:type="pct"/>
          </w:tcPr>
          <w:p w:rsidR="00E124B8" w:rsidRPr="00BE6616" w:rsidRDefault="00E124B8" w:rsidP="002E3508">
            <w:pPr>
              <w:jc w:val="both"/>
              <w:rPr>
                <w:rFonts w:eastAsia="Calibri"/>
                <w:sz w:val="20"/>
                <w:lang w:val="fr-CA"/>
              </w:rPr>
            </w:pPr>
            <w:r w:rsidRPr="00BE6616">
              <w:rPr>
                <w:rFonts w:eastAsia="Calibri"/>
                <w:sz w:val="20"/>
                <w:lang w:val="fr-CA"/>
              </w:rPr>
              <w:t>7 décembre 2006</w:t>
            </w:r>
          </w:p>
          <w:p w:rsidR="00E124B8" w:rsidRPr="00BE6616" w:rsidRDefault="00E124B8" w:rsidP="002E3508">
            <w:pPr>
              <w:jc w:val="both"/>
              <w:rPr>
                <w:rFonts w:eastAsia="Calibri"/>
                <w:sz w:val="20"/>
                <w:lang w:val="fr-CA"/>
              </w:rPr>
            </w:pPr>
            <w:r w:rsidRPr="00BE6616">
              <w:rPr>
                <w:rFonts w:eastAsia="Calibri"/>
                <w:sz w:val="20"/>
                <w:lang w:val="fr-CA"/>
              </w:rPr>
              <w:t xml:space="preserve">Cour supérieure de justice de l’Ontario </w:t>
            </w:r>
          </w:p>
          <w:p w:rsidR="00E124B8" w:rsidRPr="00BE6616" w:rsidRDefault="00E124B8" w:rsidP="002E3508">
            <w:pPr>
              <w:jc w:val="both"/>
              <w:rPr>
                <w:rFonts w:eastAsia="Calibri"/>
                <w:sz w:val="20"/>
                <w:lang w:val="fr-CA"/>
              </w:rPr>
            </w:pPr>
            <w:r w:rsidRPr="00BE6616">
              <w:rPr>
                <w:rFonts w:eastAsia="Calibri"/>
                <w:sz w:val="20"/>
                <w:lang w:val="fr-CA"/>
              </w:rPr>
              <w:t xml:space="preserve">(Juge Van Melle) </w:t>
            </w:r>
          </w:p>
          <w:p w:rsidR="00E124B8" w:rsidRPr="00BE6616" w:rsidRDefault="00E124B8" w:rsidP="002E3508">
            <w:pPr>
              <w:jc w:val="both"/>
              <w:rPr>
                <w:rFonts w:eastAsia="Calibri"/>
                <w:sz w:val="20"/>
                <w:lang w:val="fr-CA"/>
              </w:rPr>
            </w:pPr>
          </w:p>
        </w:tc>
        <w:tc>
          <w:tcPr>
            <w:tcW w:w="243" w:type="pct"/>
          </w:tcPr>
          <w:p w:rsidR="00E124B8" w:rsidRPr="00BE6616" w:rsidRDefault="00E124B8" w:rsidP="002E3508">
            <w:pPr>
              <w:jc w:val="both"/>
              <w:rPr>
                <w:rFonts w:eastAsia="Calibri"/>
                <w:sz w:val="20"/>
                <w:lang w:val="fr-CA"/>
              </w:rPr>
            </w:pPr>
          </w:p>
        </w:tc>
        <w:tc>
          <w:tcPr>
            <w:tcW w:w="2330" w:type="pct"/>
          </w:tcPr>
          <w:p w:rsidR="00E124B8" w:rsidRPr="00BE6616" w:rsidRDefault="00E124B8" w:rsidP="002E3508">
            <w:pPr>
              <w:jc w:val="both"/>
              <w:rPr>
                <w:rFonts w:eastAsia="Calibri"/>
                <w:sz w:val="20"/>
                <w:lang w:val="fr-CA"/>
              </w:rPr>
            </w:pPr>
            <w:r w:rsidRPr="00BE6616">
              <w:rPr>
                <w:rFonts w:eastAsia="Calibri"/>
                <w:sz w:val="20"/>
                <w:lang w:val="fr-CA"/>
              </w:rPr>
              <w:t>Déclaration de culpabilité par un jury d’avoir comploté illégalement en vue de commettre un meurtre</w:t>
            </w:r>
          </w:p>
          <w:p w:rsidR="00E124B8" w:rsidRPr="00BE6616" w:rsidRDefault="00E124B8" w:rsidP="002E3508">
            <w:pPr>
              <w:jc w:val="both"/>
              <w:rPr>
                <w:rFonts w:eastAsia="Calibri"/>
                <w:sz w:val="20"/>
                <w:lang w:val="fr-CA"/>
              </w:rPr>
            </w:pPr>
          </w:p>
        </w:tc>
      </w:tr>
      <w:tr w:rsidR="00E124B8" w:rsidRPr="00682661" w:rsidTr="002E3508">
        <w:tc>
          <w:tcPr>
            <w:tcW w:w="2427" w:type="pct"/>
          </w:tcPr>
          <w:p w:rsidR="00E124B8" w:rsidRPr="00BE6616" w:rsidRDefault="00E124B8" w:rsidP="002E3508">
            <w:pPr>
              <w:jc w:val="both"/>
              <w:rPr>
                <w:rFonts w:eastAsia="Calibri"/>
                <w:sz w:val="20"/>
                <w:lang w:val="fr-CA"/>
              </w:rPr>
            </w:pPr>
            <w:r w:rsidRPr="00BE6616">
              <w:rPr>
                <w:rFonts w:eastAsia="Calibri"/>
                <w:sz w:val="20"/>
                <w:lang w:val="fr-CA"/>
              </w:rPr>
              <w:t>6 avril 2011</w:t>
            </w:r>
          </w:p>
          <w:p w:rsidR="00E124B8" w:rsidRPr="00BE6616" w:rsidRDefault="00E124B8" w:rsidP="002E3508">
            <w:pPr>
              <w:jc w:val="both"/>
              <w:rPr>
                <w:rFonts w:eastAsia="Calibri"/>
                <w:sz w:val="20"/>
                <w:lang w:val="fr-CA"/>
              </w:rPr>
            </w:pPr>
            <w:r w:rsidRPr="00BE6616">
              <w:rPr>
                <w:rFonts w:eastAsia="Calibri"/>
                <w:sz w:val="20"/>
                <w:lang w:val="fr-CA"/>
              </w:rPr>
              <w:t xml:space="preserve">Cour d’appel de l’Ontario </w:t>
            </w:r>
          </w:p>
          <w:p w:rsidR="00E124B8" w:rsidRPr="00BE6616" w:rsidRDefault="00E124B8" w:rsidP="002E3508">
            <w:pPr>
              <w:jc w:val="both"/>
              <w:rPr>
                <w:rFonts w:eastAsia="Calibri"/>
                <w:sz w:val="20"/>
                <w:lang w:val="fr-CA"/>
              </w:rPr>
            </w:pPr>
            <w:r w:rsidRPr="00BE6616">
              <w:rPr>
                <w:rFonts w:eastAsia="Calibri"/>
                <w:sz w:val="20"/>
                <w:lang w:val="fr-CA"/>
              </w:rPr>
              <w:t>(Juges Rosenberg, Rouleau et Epstein)</w:t>
            </w:r>
          </w:p>
          <w:p w:rsidR="00E124B8" w:rsidRPr="00BE6616" w:rsidRDefault="00E124B8" w:rsidP="002E3508">
            <w:pPr>
              <w:jc w:val="both"/>
              <w:rPr>
                <w:rFonts w:eastAsia="Calibri"/>
                <w:sz w:val="20"/>
                <w:lang w:val="fr-CA"/>
              </w:rPr>
            </w:pPr>
            <w:r w:rsidRPr="00BE6616">
              <w:rPr>
                <w:rFonts w:eastAsia="Calibri"/>
                <w:sz w:val="20"/>
                <w:lang w:val="fr-CA"/>
              </w:rPr>
              <w:t>2011 ONCA 220; C46571</w:t>
            </w:r>
          </w:p>
          <w:p w:rsidR="00E124B8" w:rsidRPr="00BE6616" w:rsidRDefault="00E124B8" w:rsidP="002E3508">
            <w:pPr>
              <w:jc w:val="both"/>
              <w:rPr>
                <w:rFonts w:eastAsia="Calibri"/>
                <w:sz w:val="20"/>
                <w:lang w:val="fr-CA"/>
              </w:rPr>
            </w:pPr>
          </w:p>
        </w:tc>
        <w:tc>
          <w:tcPr>
            <w:tcW w:w="243" w:type="pct"/>
          </w:tcPr>
          <w:p w:rsidR="00E124B8" w:rsidRPr="00BE6616" w:rsidRDefault="00E124B8" w:rsidP="002E3508">
            <w:pPr>
              <w:jc w:val="both"/>
              <w:rPr>
                <w:rFonts w:eastAsia="Calibri"/>
                <w:sz w:val="20"/>
                <w:lang w:val="fr-CA"/>
              </w:rPr>
            </w:pPr>
          </w:p>
        </w:tc>
        <w:tc>
          <w:tcPr>
            <w:tcW w:w="2330" w:type="pct"/>
          </w:tcPr>
          <w:p w:rsidR="00E124B8" w:rsidRPr="00BE6616" w:rsidRDefault="00E124B8" w:rsidP="002E3508">
            <w:pPr>
              <w:jc w:val="both"/>
              <w:rPr>
                <w:rFonts w:eastAsia="Calibri"/>
                <w:sz w:val="20"/>
                <w:lang w:val="fr-CA"/>
              </w:rPr>
            </w:pPr>
            <w:r w:rsidRPr="00BE6616">
              <w:rPr>
                <w:rFonts w:eastAsia="Calibri"/>
                <w:sz w:val="20"/>
                <w:lang w:val="fr-CA"/>
              </w:rPr>
              <w:t xml:space="preserve">Appel de la déclaration de culpabilité, rejeté.  </w:t>
            </w:r>
          </w:p>
          <w:p w:rsidR="00E124B8" w:rsidRPr="00BE6616" w:rsidRDefault="00E124B8" w:rsidP="002E3508">
            <w:pPr>
              <w:jc w:val="both"/>
              <w:rPr>
                <w:rFonts w:eastAsia="Calibri"/>
                <w:sz w:val="20"/>
                <w:lang w:val="fr-CA"/>
              </w:rPr>
            </w:pPr>
          </w:p>
        </w:tc>
      </w:tr>
      <w:tr w:rsidR="00E124B8" w:rsidRPr="00BE6616" w:rsidTr="002E3508">
        <w:tc>
          <w:tcPr>
            <w:tcW w:w="2427" w:type="pct"/>
          </w:tcPr>
          <w:p w:rsidR="00E124B8" w:rsidRPr="00BE6616" w:rsidRDefault="00E124B8" w:rsidP="002E3508">
            <w:pPr>
              <w:jc w:val="both"/>
              <w:rPr>
                <w:rFonts w:eastAsia="Calibri"/>
                <w:sz w:val="20"/>
                <w:lang w:val="fr-CA"/>
              </w:rPr>
            </w:pPr>
            <w:r w:rsidRPr="00BE6616">
              <w:rPr>
                <w:rFonts w:eastAsia="Calibri"/>
                <w:sz w:val="20"/>
                <w:lang w:val="fr-CA"/>
              </w:rPr>
              <w:t>31 mai 2011</w:t>
            </w:r>
          </w:p>
          <w:p w:rsidR="00E124B8" w:rsidRPr="00BE6616" w:rsidRDefault="00E124B8" w:rsidP="002E3508">
            <w:pPr>
              <w:jc w:val="both"/>
              <w:rPr>
                <w:rFonts w:eastAsia="Calibri"/>
                <w:sz w:val="20"/>
                <w:lang w:val="fr-CA"/>
              </w:rPr>
            </w:pPr>
            <w:r w:rsidRPr="00BE6616">
              <w:rPr>
                <w:rFonts w:eastAsia="Calibri"/>
                <w:sz w:val="20"/>
                <w:lang w:val="fr-CA"/>
              </w:rPr>
              <w:t>Cour suprême du Canada</w:t>
            </w:r>
          </w:p>
        </w:tc>
        <w:tc>
          <w:tcPr>
            <w:tcW w:w="243" w:type="pct"/>
          </w:tcPr>
          <w:p w:rsidR="00E124B8" w:rsidRPr="00BE6616" w:rsidRDefault="00E124B8" w:rsidP="002E3508">
            <w:pPr>
              <w:jc w:val="both"/>
              <w:rPr>
                <w:rFonts w:eastAsia="Calibri"/>
                <w:sz w:val="20"/>
                <w:lang w:val="fr-CA"/>
              </w:rPr>
            </w:pPr>
          </w:p>
        </w:tc>
        <w:tc>
          <w:tcPr>
            <w:tcW w:w="2330" w:type="pct"/>
          </w:tcPr>
          <w:p w:rsidR="00E124B8" w:rsidRPr="00BE6616" w:rsidRDefault="00E124B8" w:rsidP="002E3508">
            <w:pPr>
              <w:jc w:val="both"/>
              <w:rPr>
                <w:rFonts w:eastAsia="Calibri"/>
                <w:sz w:val="20"/>
                <w:lang w:val="fr-CA"/>
              </w:rPr>
            </w:pPr>
            <w:r w:rsidRPr="00BE6616">
              <w:rPr>
                <w:rFonts w:eastAsia="Calibri"/>
                <w:sz w:val="20"/>
                <w:lang w:val="fr-CA"/>
              </w:rPr>
              <w:t>Demande d’autorisation d’appel, déposée</w:t>
            </w:r>
          </w:p>
          <w:p w:rsidR="00E124B8" w:rsidRPr="00BE6616" w:rsidRDefault="00E124B8" w:rsidP="002E350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84"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67842" w:rsidRPr="007C3AB2" w:rsidTr="0087505F">
        <w:trPr>
          <w:cantSplit/>
        </w:trPr>
        <w:tc>
          <w:tcPr>
            <w:tcW w:w="1458" w:type="dxa"/>
          </w:tcPr>
          <w:p w:rsidR="00C67842" w:rsidRPr="007C3AB2" w:rsidRDefault="00C67842" w:rsidP="0087505F">
            <w:pPr>
              <w:rPr>
                <w:sz w:val="20"/>
                <w:szCs w:val="20"/>
              </w:rPr>
            </w:pPr>
            <w:r w:rsidRPr="007C3AB2">
              <w:rPr>
                <w:rStyle w:val="SCCFileNumberChar"/>
                <w:sz w:val="20"/>
                <w:szCs w:val="20"/>
              </w:rPr>
              <w:t>34289</w:t>
            </w:r>
          </w:p>
          <w:p w:rsidR="00C67842" w:rsidRPr="007C3AB2" w:rsidRDefault="00C67842" w:rsidP="0087505F">
            <w:pPr>
              <w:rPr>
                <w:b/>
                <w:sz w:val="20"/>
                <w:szCs w:val="20"/>
                <w:lang w:val="fr-CA"/>
              </w:rPr>
            </w:pPr>
          </w:p>
        </w:tc>
        <w:tc>
          <w:tcPr>
            <w:tcW w:w="8118" w:type="dxa"/>
          </w:tcPr>
          <w:p w:rsidR="00C67842" w:rsidRPr="007C3AB2" w:rsidRDefault="00C67842" w:rsidP="0087505F">
            <w:pPr>
              <w:jc w:val="both"/>
              <w:rPr>
                <w:sz w:val="20"/>
                <w:szCs w:val="20"/>
              </w:rPr>
            </w:pPr>
            <w:r w:rsidRPr="00C67842">
              <w:rPr>
                <w:rStyle w:val="SCCLsocChar"/>
                <w:sz w:val="20"/>
                <w:szCs w:val="20"/>
                <w:lang w:val="en-CA"/>
              </w:rPr>
              <w:t>Kersasp Shekhdar v. K&amp;M Engineering and Consulting Corporation, FreeWills, Inc., FreeWills.com (U.S.) Inc., William Kappaz, Regina Guerin, FreeWills.com (Bermuda) Limited also known as FreeWills.com (Bermuda) Ltd., FreeWills.com (Canada) Inc. and 3693759 Canada Inc.</w:t>
            </w:r>
            <w:r w:rsidRPr="007C3AB2">
              <w:rPr>
                <w:sz w:val="20"/>
                <w:szCs w:val="20"/>
              </w:rPr>
              <w:t xml:space="preserve"> (Ont.) (Civil) (By Leave)</w:t>
            </w:r>
          </w:p>
          <w:p w:rsidR="00C67842" w:rsidRPr="007C3AB2" w:rsidRDefault="00C67842" w:rsidP="0087505F">
            <w:pPr>
              <w:rPr>
                <w:sz w:val="20"/>
                <w:szCs w:val="20"/>
              </w:rPr>
            </w:pPr>
          </w:p>
        </w:tc>
      </w:tr>
      <w:tr w:rsidR="00C67842" w:rsidRPr="007C3AB2" w:rsidTr="0087505F">
        <w:trPr>
          <w:cantSplit/>
        </w:trPr>
        <w:tc>
          <w:tcPr>
            <w:tcW w:w="1458" w:type="dxa"/>
          </w:tcPr>
          <w:p w:rsidR="00C67842" w:rsidRPr="007C3AB2" w:rsidRDefault="00C67842" w:rsidP="0087505F">
            <w:pPr>
              <w:rPr>
                <w:sz w:val="20"/>
                <w:szCs w:val="20"/>
              </w:rPr>
            </w:pPr>
            <w:r w:rsidRPr="007C3AB2">
              <w:rPr>
                <w:sz w:val="20"/>
                <w:szCs w:val="20"/>
              </w:rPr>
              <w:t>Coram :</w:t>
            </w:r>
          </w:p>
        </w:tc>
        <w:tc>
          <w:tcPr>
            <w:tcW w:w="8118" w:type="dxa"/>
          </w:tcPr>
          <w:p w:rsidR="00C67842" w:rsidRPr="007C3AB2" w:rsidRDefault="00C67842" w:rsidP="0087505F">
            <w:pPr>
              <w:rPr>
                <w:sz w:val="20"/>
                <w:szCs w:val="20"/>
              </w:rPr>
            </w:pPr>
            <w:r w:rsidRPr="007C3AB2">
              <w:rPr>
                <w:rStyle w:val="SCCCoramChar"/>
                <w:sz w:val="20"/>
                <w:szCs w:val="20"/>
              </w:rPr>
              <w:t>Binnie, Abella and Rothstein JJ.</w:t>
            </w:r>
          </w:p>
          <w:p w:rsidR="00C67842" w:rsidRPr="007C3AB2" w:rsidRDefault="00C67842" w:rsidP="0087505F">
            <w:pPr>
              <w:rPr>
                <w:sz w:val="20"/>
                <w:szCs w:val="20"/>
                <w:u w:val="single"/>
              </w:rPr>
            </w:pPr>
          </w:p>
        </w:tc>
      </w:tr>
      <w:tr w:rsidR="00C67842" w:rsidRPr="00682661" w:rsidTr="0087505F">
        <w:trPr>
          <w:cantSplit/>
        </w:trPr>
        <w:tc>
          <w:tcPr>
            <w:tcW w:w="9576" w:type="dxa"/>
            <w:gridSpan w:val="2"/>
          </w:tcPr>
          <w:p w:rsidR="00C67842" w:rsidRPr="007C3AB2" w:rsidRDefault="00C67842" w:rsidP="0087505F">
            <w:pPr>
              <w:pStyle w:val="SCCShortJudgment"/>
              <w:rPr>
                <w:szCs w:val="20"/>
              </w:rPr>
            </w:pPr>
            <w:r w:rsidRPr="007C3AB2">
              <w:rPr>
                <w:szCs w:val="20"/>
              </w:rPr>
              <w:t>The motion for an extension of time to serve and file the application for leave to appeal is granted.  The application for leave to appeal from the judgment of the Court of Appeal for Ontario, Number C49094, dated April 7, 2010, is dismissed with costs.</w:t>
            </w:r>
          </w:p>
          <w:p w:rsidR="00C67842" w:rsidRPr="007C3AB2" w:rsidRDefault="00C67842" w:rsidP="0087505F">
            <w:pPr>
              <w:pStyle w:val="SCCShortJudgment"/>
              <w:ind w:firstLine="0"/>
              <w:rPr>
                <w:szCs w:val="20"/>
              </w:rPr>
            </w:pPr>
          </w:p>
          <w:p w:rsidR="00C67842" w:rsidRPr="007C3AB2" w:rsidRDefault="00C67842" w:rsidP="0087505F">
            <w:pPr>
              <w:pStyle w:val="SCCShortJudgment"/>
              <w:rPr>
                <w:szCs w:val="20"/>
                <w:lang w:val="fr-CA"/>
              </w:rPr>
            </w:pPr>
            <w:r w:rsidRPr="007C3AB2">
              <w:rPr>
                <w:szCs w:val="20"/>
                <w:lang w:val="fr-CA"/>
              </w:rPr>
              <w:t>La requête en prorogation du délai de signification et de dépôt de la demande d’autorisation d’appel est accordée.  La demande d’autorisation d’appel de l’arrêt de la Cour d’appel de l’Ontario, numéro C49094, daté du 7 avril 2010, est rejetée avec dépens.</w:t>
            </w:r>
          </w:p>
        </w:tc>
      </w:tr>
    </w:tbl>
    <w:p w:rsidR="007B50F9" w:rsidRPr="00C67842" w:rsidRDefault="007B50F9" w:rsidP="007B50F9">
      <w:pPr>
        <w:rPr>
          <w:sz w:val="20"/>
          <w:szCs w:val="20"/>
          <w:lang w:val="fr-CA"/>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C042B" w:rsidRPr="00BE6616" w:rsidTr="002E3508">
        <w:tc>
          <w:tcPr>
            <w:tcW w:w="5000" w:type="pct"/>
            <w:gridSpan w:val="3"/>
          </w:tcPr>
          <w:p w:rsidR="00DC042B" w:rsidRPr="00BE6616" w:rsidRDefault="00DC042B" w:rsidP="002E3508">
            <w:pPr>
              <w:jc w:val="both"/>
              <w:rPr>
                <w:rFonts w:eastAsia="Calibri"/>
                <w:sz w:val="20"/>
              </w:rPr>
            </w:pPr>
            <w:r w:rsidRPr="00BE6616">
              <w:rPr>
                <w:rFonts w:eastAsia="Calibri"/>
                <w:sz w:val="20"/>
              </w:rPr>
              <w:t>Appeals — Service — Order that materials in an appeal be served by e</w:t>
            </w:r>
            <w:r w:rsidRPr="00BE6616">
              <w:rPr>
                <w:rFonts w:eastAsia="Calibri"/>
                <w:sz w:val="20"/>
              </w:rPr>
              <w:noBreakHyphen/>
              <w:t>mail — Whether the Court of Appeal erred in dismissing a motion to set aside the order for service by e</w:t>
            </w:r>
            <w:r w:rsidRPr="00BE6616">
              <w:rPr>
                <w:rFonts w:eastAsia="Calibri"/>
                <w:sz w:val="20"/>
              </w:rPr>
              <w:noBreakHyphen/>
              <w:t>mail.</w:t>
            </w:r>
          </w:p>
        </w:tc>
      </w:tr>
      <w:tr w:rsidR="00DC042B" w:rsidRPr="00BE6616" w:rsidTr="002E3508">
        <w:tc>
          <w:tcPr>
            <w:tcW w:w="5000" w:type="pct"/>
            <w:gridSpan w:val="3"/>
          </w:tcPr>
          <w:p w:rsidR="00DC042B" w:rsidRPr="00BE6616" w:rsidRDefault="00DC042B" w:rsidP="002E3508">
            <w:pPr>
              <w:jc w:val="both"/>
              <w:rPr>
                <w:rFonts w:eastAsia="Calibri"/>
                <w:sz w:val="20"/>
              </w:rPr>
            </w:pPr>
          </w:p>
        </w:tc>
      </w:tr>
      <w:tr w:rsidR="00DC042B" w:rsidRPr="00BE6616" w:rsidTr="002E3508">
        <w:tc>
          <w:tcPr>
            <w:tcW w:w="5000" w:type="pct"/>
            <w:gridSpan w:val="3"/>
          </w:tcPr>
          <w:p w:rsidR="00DC042B" w:rsidRPr="00BE6616" w:rsidRDefault="00DC042B" w:rsidP="002E3508">
            <w:pPr>
              <w:jc w:val="both"/>
              <w:rPr>
                <w:rFonts w:eastAsia="Calibri"/>
                <w:sz w:val="20"/>
              </w:rPr>
            </w:pPr>
            <w:r w:rsidRPr="00BE6616">
              <w:rPr>
                <w:rFonts w:eastAsia="Calibri"/>
                <w:sz w:val="20"/>
              </w:rPr>
              <w:t>In the context of ongoing civil proceedings between the parties, it was ordered by a single judge of the Court of Appeal that all materials in an appeal involving the parties be served by and to the applicant by e</w:t>
            </w:r>
            <w:r w:rsidRPr="00BE6616">
              <w:rPr>
                <w:rFonts w:eastAsia="Calibri"/>
                <w:sz w:val="20"/>
              </w:rPr>
              <w:noBreakHyphen/>
              <w:t>mail.  A three</w:t>
            </w:r>
            <w:r w:rsidRPr="00BE6616">
              <w:rPr>
                <w:rFonts w:eastAsia="Calibri"/>
                <w:sz w:val="20"/>
              </w:rPr>
              <w:noBreakHyphen/>
              <w:t xml:space="preserve">judge </w:t>
            </w:r>
            <w:r w:rsidRPr="00BE6616">
              <w:rPr>
                <w:rFonts w:eastAsia="Calibri"/>
                <w:sz w:val="20"/>
              </w:rPr>
              <w:lastRenderedPageBreak/>
              <w:t>panel of the Court of Appeal dismissed the applicant’s motion to set aside the order for service by e</w:t>
            </w:r>
            <w:r w:rsidRPr="00BE6616">
              <w:rPr>
                <w:rFonts w:eastAsia="Calibri"/>
                <w:sz w:val="20"/>
              </w:rPr>
              <w:noBreakHyphen/>
              <w:t>mail.</w:t>
            </w:r>
          </w:p>
          <w:p w:rsidR="00DC042B" w:rsidRPr="00BE6616" w:rsidRDefault="00DC042B" w:rsidP="002E3508">
            <w:pPr>
              <w:jc w:val="both"/>
              <w:rPr>
                <w:rFonts w:eastAsia="Calibri"/>
                <w:sz w:val="20"/>
              </w:rPr>
            </w:pPr>
          </w:p>
        </w:tc>
      </w:tr>
      <w:tr w:rsidR="00DC042B" w:rsidRPr="00BE6616" w:rsidTr="002E3508">
        <w:tc>
          <w:tcPr>
            <w:tcW w:w="2427" w:type="pct"/>
          </w:tcPr>
          <w:p w:rsidR="00DC042B" w:rsidRPr="00BE6616" w:rsidRDefault="00DC042B" w:rsidP="002E3508">
            <w:pPr>
              <w:jc w:val="both"/>
              <w:rPr>
                <w:rFonts w:eastAsia="Calibri"/>
                <w:sz w:val="20"/>
              </w:rPr>
            </w:pPr>
            <w:r w:rsidRPr="00BE6616">
              <w:rPr>
                <w:rFonts w:eastAsia="Calibri"/>
                <w:sz w:val="20"/>
              </w:rPr>
              <w:lastRenderedPageBreak/>
              <w:t>October 29, 2009</w:t>
            </w:r>
          </w:p>
          <w:p w:rsidR="00DC042B" w:rsidRPr="00BE6616" w:rsidRDefault="00DC042B" w:rsidP="002E3508">
            <w:pPr>
              <w:jc w:val="both"/>
              <w:rPr>
                <w:rFonts w:eastAsia="Calibri"/>
                <w:sz w:val="20"/>
              </w:rPr>
            </w:pPr>
            <w:r w:rsidRPr="00BE6616">
              <w:rPr>
                <w:rFonts w:eastAsia="Calibri"/>
                <w:sz w:val="20"/>
              </w:rPr>
              <w:t>Court of Appeal for Ontario</w:t>
            </w:r>
          </w:p>
          <w:p w:rsidR="00DC042B" w:rsidRPr="00BE6616" w:rsidRDefault="00DC042B" w:rsidP="002E3508">
            <w:pPr>
              <w:jc w:val="both"/>
              <w:rPr>
                <w:rFonts w:eastAsia="Calibri"/>
                <w:sz w:val="20"/>
              </w:rPr>
            </w:pPr>
            <w:r w:rsidRPr="00BE6616">
              <w:rPr>
                <w:rFonts w:eastAsia="Calibri"/>
                <w:sz w:val="20"/>
              </w:rPr>
              <w:t>(MacPherson J.A.)</w:t>
            </w:r>
          </w:p>
          <w:p w:rsidR="00DC042B" w:rsidRPr="00BE6616" w:rsidRDefault="00DC042B" w:rsidP="002E3508">
            <w:pPr>
              <w:jc w:val="both"/>
              <w:rPr>
                <w:rFonts w:eastAsia="Calibri"/>
                <w:sz w:val="20"/>
              </w:rPr>
            </w:pPr>
          </w:p>
        </w:tc>
        <w:tc>
          <w:tcPr>
            <w:tcW w:w="243" w:type="pct"/>
          </w:tcPr>
          <w:p w:rsidR="00DC042B" w:rsidRPr="00BE6616" w:rsidRDefault="00DC042B" w:rsidP="002E3508">
            <w:pPr>
              <w:jc w:val="both"/>
              <w:rPr>
                <w:rFonts w:eastAsia="Calibri"/>
                <w:sz w:val="20"/>
              </w:rPr>
            </w:pPr>
          </w:p>
        </w:tc>
        <w:tc>
          <w:tcPr>
            <w:tcW w:w="2330" w:type="pct"/>
          </w:tcPr>
          <w:p w:rsidR="00DC042B" w:rsidRPr="00BE6616" w:rsidRDefault="00DC042B" w:rsidP="002E3508">
            <w:pPr>
              <w:jc w:val="both"/>
              <w:rPr>
                <w:rFonts w:eastAsia="Calibri"/>
                <w:sz w:val="20"/>
              </w:rPr>
            </w:pPr>
            <w:r w:rsidRPr="00BE6616">
              <w:rPr>
                <w:rFonts w:eastAsia="Calibri"/>
                <w:sz w:val="20"/>
              </w:rPr>
              <w:t>Order that all materials in the appeal be served by and to applicant by e</w:t>
            </w:r>
            <w:r w:rsidRPr="00BE6616">
              <w:rPr>
                <w:rFonts w:eastAsia="Calibri"/>
                <w:sz w:val="20"/>
              </w:rPr>
              <w:noBreakHyphen/>
              <w:t>mail</w:t>
            </w:r>
          </w:p>
          <w:p w:rsidR="00DC042B" w:rsidRPr="00BE6616" w:rsidRDefault="00DC042B" w:rsidP="002E3508">
            <w:pPr>
              <w:jc w:val="both"/>
              <w:rPr>
                <w:rFonts w:eastAsia="Calibri"/>
                <w:sz w:val="20"/>
              </w:rPr>
            </w:pPr>
          </w:p>
        </w:tc>
      </w:tr>
      <w:tr w:rsidR="00DC042B" w:rsidRPr="00BE6616" w:rsidTr="002E3508">
        <w:tc>
          <w:tcPr>
            <w:tcW w:w="2427" w:type="pct"/>
          </w:tcPr>
          <w:p w:rsidR="00DC042B" w:rsidRPr="00BE6616" w:rsidRDefault="00DC042B" w:rsidP="002E3508">
            <w:pPr>
              <w:jc w:val="both"/>
              <w:rPr>
                <w:rFonts w:eastAsia="Calibri"/>
                <w:sz w:val="20"/>
              </w:rPr>
            </w:pPr>
            <w:r w:rsidRPr="00BE6616">
              <w:rPr>
                <w:rFonts w:eastAsia="Calibri"/>
                <w:sz w:val="20"/>
              </w:rPr>
              <w:t>April 7, 2010</w:t>
            </w:r>
          </w:p>
          <w:p w:rsidR="00DC042B" w:rsidRPr="00BE6616" w:rsidRDefault="00DC042B" w:rsidP="002E3508">
            <w:pPr>
              <w:jc w:val="both"/>
              <w:rPr>
                <w:rFonts w:eastAsia="Calibri"/>
                <w:sz w:val="20"/>
              </w:rPr>
            </w:pPr>
            <w:r w:rsidRPr="00BE6616">
              <w:rPr>
                <w:rFonts w:eastAsia="Calibri"/>
                <w:sz w:val="20"/>
              </w:rPr>
              <w:t>Court of Appeal for Ontario</w:t>
            </w:r>
          </w:p>
          <w:p w:rsidR="00DC042B" w:rsidRPr="00BE6616" w:rsidRDefault="00DC042B" w:rsidP="002E3508">
            <w:pPr>
              <w:jc w:val="both"/>
              <w:rPr>
                <w:rFonts w:eastAsia="Calibri"/>
                <w:sz w:val="20"/>
              </w:rPr>
            </w:pPr>
            <w:r w:rsidRPr="00BE6616">
              <w:rPr>
                <w:rFonts w:eastAsia="Calibri"/>
                <w:sz w:val="20"/>
              </w:rPr>
              <w:t>(Doherty, Feldman and Cronk JJ.A.)</w:t>
            </w:r>
          </w:p>
          <w:p w:rsidR="00DC042B" w:rsidRPr="00BE6616" w:rsidRDefault="00DC042B" w:rsidP="002E3508">
            <w:pPr>
              <w:jc w:val="both"/>
              <w:rPr>
                <w:rFonts w:eastAsia="Calibri"/>
                <w:sz w:val="20"/>
              </w:rPr>
            </w:pPr>
          </w:p>
        </w:tc>
        <w:tc>
          <w:tcPr>
            <w:tcW w:w="243" w:type="pct"/>
          </w:tcPr>
          <w:p w:rsidR="00DC042B" w:rsidRPr="00BE6616" w:rsidRDefault="00DC042B" w:rsidP="002E3508">
            <w:pPr>
              <w:jc w:val="both"/>
              <w:rPr>
                <w:rFonts w:eastAsia="Calibri"/>
                <w:sz w:val="20"/>
              </w:rPr>
            </w:pPr>
          </w:p>
        </w:tc>
        <w:tc>
          <w:tcPr>
            <w:tcW w:w="2330" w:type="pct"/>
          </w:tcPr>
          <w:p w:rsidR="00DC042B" w:rsidRPr="00BE6616" w:rsidRDefault="00DC042B" w:rsidP="002E3508">
            <w:pPr>
              <w:jc w:val="both"/>
              <w:rPr>
                <w:rFonts w:eastAsia="Calibri"/>
                <w:sz w:val="20"/>
              </w:rPr>
            </w:pPr>
            <w:r w:rsidRPr="00BE6616">
              <w:rPr>
                <w:rFonts w:eastAsia="Calibri"/>
                <w:sz w:val="20"/>
              </w:rPr>
              <w:t xml:space="preserve">Motion to set aside order dismissed </w:t>
            </w:r>
          </w:p>
        </w:tc>
      </w:tr>
      <w:tr w:rsidR="00DC042B" w:rsidRPr="00BE6616" w:rsidTr="002E3508">
        <w:tc>
          <w:tcPr>
            <w:tcW w:w="2427" w:type="pct"/>
          </w:tcPr>
          <w:p w:rsidR="00DC042B" w:rsidRPr="00BE6616" w:rsidRDefault="00DC042B" w:rsidP="002E3508">
            <w:pPr>
              <w:jc w:val="both"/>
              <w:rPr>
                <w:rFonts w:eastAsia="Calibri"/>
                <w:sz w:val="20"/>
              </w:rPr>
            </w:pPr>
            <w:r w:rsidRPr="00BE6616">
              <w:rPr>
                <w:rFonts w:eastAsia="Calibri"/>
                <w:sz w:val="20"/>
              </w:rPr>
              <w:t>May 12, 2011</w:t>
            </w:r>
          </w:p>
          <w:p w:rsidR="00DC042B" w:rsidRPr="00BE6616" w:rsidRDefault="00DC042B" w:rsidP="002E3508">
            <w:pPr>
              <w:jc w:val="both"/>
              <w:rPr>
                <w:rFonts w:eastAsia="Calibri"/>
                <w:sz w:val="20"/>
              </w:rPr>
            </w:pPr>
            <w:r w:rsidRPr="00BE6616">
              <w:rPr>
                <w:rFonts w:eastAsia="Calibri"/>
                <w:sz w:val="20"/>
              </w:rPr>
              <w:t>Supreme Court of Canada</w:t>
            </w:r>
          </w:p>
          <w:p w:rsidR="00DC042B" w:rsidRPr="00BE6616" w:rsidRDefault="00DC042B" w:rsidP="002E3508">
            <w:pPr>
              <w:jc w:val="both"/>
              <w:rPr>
                <w:rFonts w:eastAsia="Calibri"/>
                <w:sz w:val="20"/>
              </w:rPr>
            </w:pPr>
          </w:p>
        </w:tc>
        <w:tc>
          <w:tcPr>
            <w:tcW w:w="243" w:type="pct"/>
          </w:tcPr>
          <w:p w:rsidR="00DC042B" w:rsidRPr="00BE6616" w:rsidRDefault="00DC042B" w:rsidP="002E3508">
            <w:pPr>
              <w:jc w:val="both"/>
              <w:rPr>
                <w:rFonts w:eastAsia="Calibri"/>
                <w:sz w:val="20"/>
              </w:rPr>
            </w:pPr>
          </w:p>
        </w:tc>
        <w:tc>
          <w:tcPr>
            <w:tcW w:w="2330" w:type="pct"/>
          </w:tcPr>
          <w:p w:rsidR="00DC042B" w:rsidRPr="00BE6616" w:rsidRDefault="00DC042B" w:rsidP="002E3508">
            <w:pPr>
              <w:jc w:val="both"/>
              <w:rPr>
                <w:rFonts w:eastAsia="Calibri"/>
                <w:sz w:val="20"/>
              </w:rPr>
            </w:pPr>
            <w:r w:rsidRPr="00BE6616">
              <w:rPr>
                <w:rFonts w:eastAsia="Calibri"/>
                <w:sz w:val="20"/>
              </w:rPr>
              <w:t>Application for leave to appeal filed and motion for extension of time to file and serve leave application filed.</w:t>
            </w: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85"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DC042B" w:rsidRPr="00682661" w:rsidTr="002E3508">
        <w:tc>
          <w:tcPr>
            <w:tcW w:w="5000" w:type="pct"/>
            <w:gridSpan w:val="3"/>
          </w:tcPr>
          <w:p w:rsidR="00DC042B" w:rsidRPr="00BE6616" w:rsidRDefault="00DC042B" w:rsidP="002E3508">
            <w:pPr>
              <w:jc w:val="both"/>
              <w:rPr>
                <w:rFonts w:eastAsia="Calibri"/>
                <w:sz w:val="20"/>
                <w:lang w:val="fr-CA"/>
              </w:rPr>
            </w:pPr>
            <w:r w:rsidRPr="00BE6616">
              <w:rPr>
                <w:rFonts w:eastAsia="Calibri"/>
                <w:sz w:val="20"/>
                <w:lang w:val="fr-CA"/>
              </w:rPr>
              <w:t>Appels — Signification — Ordonnance de signification par courrier électronique des documents en appel — La Cour d'appel a</w:t>
            </w:r>
            <w:r w:rsidRPr="00BE6616">
              <w:rPr>
                <w:rFonts w:eastAsia="Calibri"/>
                <w:sz w:val="20"/>
                <w:lang w:val="fr-CA"/>
              </w:rPr>
              <w:noBreakHyphen/>
              <w:t>t</w:t>
            </w:r>
            <w:r w:rsidRPr="00BE6616">
              <w:rPr>
                <w:rFonts w:eastAsia="Calibri"/>
                <w:sz w:val="20"/>
                <w:lang w:val="fr-CA"/>
              </w:rPr>
              <w:noBreakHyphen/>
              <w:t>elle eu tort de rejeter une motion en annulation de l'ordonnance de signification par courrier électronique?</w:t>
            </w:r>
          </w:p>
        </w:tc>
      </w:tr>
      <w:tr w:rsidR="00DC042B" w:rsidRPr="00682661" w:rsidTr="002E3508">
        <w:tc>
          <w:tcPr>
            <w:tcW w:w="5000" w:type="pct"/>
            <w:gridSpan w:val="3"/>
          </w:tcPr>
          <w:p w:rsidR="00DC042B" w:rsidRPr="00BE6616" w:rsidRDefault="00DC042B" w:rsidP="002E3508">
            <w:pPr>
              <w:jc w:val="both"/>
              <w:rPr>
                <w:rFonts w:eastAsia="Calibri"/>
                <w:sz w:val="20"/>
                <w:lang w:val="fr-CA"/>
              </w:rPr>
            </w:pPr>
          </w:p>
        </w:tc>
      </w:tr>
      <w:tr w:rsidR="00DC042B" w:rsidRPr="00682661" w:rsidTr="002E3508">
        <w:tc>
          <w:tcPr>
            <w:tcW w:w="5000" w:type="pct"/>
            <w:gridSpan w:val="3"/>
          </w:tcPr>
          <w:p w:rsidR="00DC042B" w:rsidRPr="00BE6616" w:rsidRDefault="00DC042B" w:rsidP="002E3508">
            <w:pPr>
              <w:jc w:val="both"/>
              <w:rPr>
                <w:rFonts w:eastAsia="Calibri"/>
                <w:sz w:val="20"/>
                <w:lang w:val="fr-CA"/>
              </w:rPr>
            </w:pPr>
            <w:r w:rsidRPr="00BE6616">
              <w:rPr>
                <w:rFonts w:eastAsia="Calibri"/>
                <w:sz w:val="20"/>
                <w:lang w:val="fr-CA"/>
              </w:rPr>
              <w:t>Dans le contexte d'une instance civile opposant toujours les parties, un juge de la Cour d'appel siégeant seul a ordonné que tous les documents d'un appel impliquant les parties soient signifiés par le demandeur et à ce dernier par courrier électronique.  Une formation de trois juges de la Cour d'appel a rejeté la motion du demandeur en annulation de l'ordonnance de signification par courrier électronique.</w:t>
            </w:r>
          </w:p>
          <w:p w:rsidR="00DC042B" w:rsidRPr="00BE6616" w:rsidRDefault="00DC042B" w:rsidP="002E3508">
            <w:pPr>
              <w:jc w:val="both"/>
              <w:rPr>
                <w:rFonts w:eastAsia="Calibri"/>
                <w:sz w:val="20"/>
                <w:lang w:val="fr-CA"/>
              </w:rPr>
            </w:pPr>
          </w:p>
        </w:tc>
      </w:tr>
      <w:tr w:rsidR="00DC042B" w:rsidRPr="00682661" w:rsidTr="00C67842">
        <w:trPr>
          <w:cantSplit/>
        </w:trPr>
        <w:tc>
          <w:tcPr>
            <w:tcW w:w="2427" w:type="pct"/>
          </w:tcPr>
          <w:p w:rsidR="00DC042B" w:rsidRPr="00BE6616" w:rsidRDefault="00DC042B" w:rsidP="002E3508">
            <w:pPr>
              <w:jc w:val="both"/>
              <w:rPr>
                <w:rFonts w:eastAsia="Calibri"/>
                <w:sz w:val="20"/>
                <w:lang w:val="fr-CA"/>
              </w:rPr>
            </w:pPr>
            <w:r w:rsidRPr="00BE6616">
              <w:rPr>
                <w:rFonts w:eastAsia="Calibri"/>
                <w:sz w:val="20"/>
                <w:lang w:val="fr-CA"/>
              </w:rPr>
              <w:t>29 octobre 2009</w:t>
            </w:r>
          </w:p>
          <w:p w:rsidR="00DC042B" w:rsidRPr="00BE6616" w:rsidRDefault="00DC042B" w:rsidP="002E3508">
            <w:pPr>
              <w:jc w:val="both"/>
              <w:rPr>
                <w:rFonts w:eastAsia="Calibri"/>
                <w:sz w:val="20"/>
                <w:lang w:val="fr-CA"/>
              </w:rPr>
            </w:pPr>
            <w:r w:rsidRPr="00BE6616">
              <w:rPr>
                <w:rFonts w:eastAsia="Calibri"/>
                <w:sz w:val="20"/>
                <w:lang w:val="fr-CA"/>
              </w:rPr>
              <w:t xml:space="preserve">Cour d'appel de l'Ontario </w:t>
            </w:r>
          </w:p>
          <w:p w:rsidR="00DC042B" w:rsidRPr="00BE6616" w:rsidRDefault="00DC042B" w:rsidP="002E3508">
            <w:pPr>
              <w:jc w:val="both"/>
              <w:rPr>
                <w:rFonts w:eastAsia="Calibri"/>
                <w:sz w:val="20"/>
                <w:lang w:val="fr-CA"/>
              </w:rPr>
            </w:pPr>
            <w:r w:rsidRPr="00BE6616">
              <w:rPr>
                <w:rFonts w:eastAsia="Calibri"/>
                <w:sz w:val="20"/>
                <w:lang w:val="fr-CA"/>
              </w:rPr>
              <w:t>(Juge MacPherson)</w:t>
            </w:r>
          </w:p>
          <w:p w:rsidR="00DC042B" w:rsidRPr="00BE6616" w:rsidRDefault="00DC042B" w:rsidP="002E3508">
            <w:pPr>
              <w:jc w:val="both"/>
              <w:rPr>
                <w:rFonts w:eastAsia="Calibri"/>
                <w:sz w:val="20"/>
                <w:lang w:val="fr-CA"/>
              </w:rPr>
            </w:pPr>
          </w:p>
        </w:tc>
        <w:tc>
          <w:tcPr>
            <w:tcW w:w="243" w:type="pct"/>
          </w:tcPr>
          <w:p w:rsidR="00DC042B" w:rsidRPr="00BE6616" w:rsidRDefault="00DC042B" w:rsidP="002E3508">
            <w:pPr>
              <w:jc w:val="both"/>
              <w:rPr>
                <w:rFonts w:eastAsia="Calibri"/>
                <w:sz w:val="20"/>
                <w:lang w:val="fr-CA"/>
              </w:rPr>
            </w:pPr>
          </w:p>
        </w:tc>
        <w:tc>
          <w:tcPr>
            <w:tcW w:w="2330" w:type="pct"/>
          </w:tcPr>
          <w:p w:rsidR="00DC042B" w:rsidRPr="00BE6616" w:rsidRDefault="00DC042B" w:rsidP="002E3508">
            <w:pPr>
              <w:jc w:val="both"/>
              <w:rPr>
                <w:rFonts w:eastAsia="Calibri"/>
                <w:sz w:val="20"/>
                <w:lang w:val="fr-CA"/>
              </w:rPr>
            </w:pPr>
            <w:r w:rsidRPr="00BE6616">
              <w:rPr>
                <w:rFonts w:eastAsia="Calibri"/>
                <w:sz w:val="20"/>
                <w:lang w:val="fr-CA"/>
              </w:rPr>
              <w:t xml:space="preserve">Ordonnance de signification par courrier électronique de tous les documents en appel du demandeur et à ce dernier </w:t>
            </w:r>
          </w:p>
          <w:p w:rsidR="00DC042B" w:rsidRPr="00BE6616" w:rsidRDefault="00DC042B" w:rsidP="002E3508">
            <w:pPr>
              <w:jc w:val="both"/>
              <w:rPr>
                <w:rFonts w:eastAsia="Calibri"/>
                <w:sz w:val="20"/>
                <w:lang w:val="fr-CA"/>
              </w:rPr>
            </w:pPr>
          </w:p>
        </w:tc>
      </w:tr>
      <w:tr w:rsidR="00DC042B" w:rsidRPr="00682661" w:rsidTr="00C67842">
        <w:trPr>
          <w:cantSplit/>
        </w:trPr>
        <w:tc>
          <w:tcPr>
            <w:tcW w:w="2427" w:type="pct"/>
          </w:tcPr>
          <w:p w:rsidR="00DC042B" w:rsidRPr="00BE6616" w:rsidRDefault="00DC042B" w:rsidP="002E3508">
            <w:pPr>
              <w:jc w:val="both"/>
              <w:rPr>
                <w:rFonts w:eastAsia="Calibri"/>
                <w:sz w:val="20"/>
                <w:lang w:val="fr-CA"/>
              </w:rPr>
            </w:pPr>
            <w:r w:rsidRPr="00BE6616">
              <w:rPr>
                <w:rFonts w:eastAsia="Calibri"/>
                <w:sz w:val="20"/>
                <w:lang w:val="fr-CA"/>
              </w:rPr>
              <w:t>7 avril 2010</w:t>
            </w:r>
          </w:p>
          <w:p w:rsidR="00DC042B" w:rsidRPr="00BE6616" w:rsidRDefault="00DC042B" w:rsidP="002E3508">
            <w:pPr>
              <w:jc w:val="both"/>
              <w:rPr>
                <w:rFonts w:eastAsia="Calibri"/>
                <w:sz w:val="20"/>
                <w:lang w:val="fr-CA"/>
              </w:rPr>
            </w:pPr>
            <w:r w:rsidRPr="00BE6616">
              <w:rPr>
                <w:rFonts w:eastAsia="Calibri"/>
                <w:sz w:val="20"/>
                <w:lang w:val="fr-CA"/>
              </w:rPr>
              <w:t xml:space="preserve">Cour d'appel de l'Ontario </w:t>
            </w:r>
          </w:p>
          <w:p w:rsidR="00DC042B" w:rsidRPr="00BE6616" w:rsidRDefault="00DC042B" w:rsidP="002E3508">
            <w:pPr>
              <w:jc w:val="both"/>
              <w:rPr>
                <w:rFonts w:eastAsia="Calibri"/>
                <w:sz w:val="20"/>
                <w:lang w:val="fr-CA"/>
              </w:rPr>
            </w:pPr>
            <w:r w:rsidRPr="00BE6616">
              <w:rPr>
                <w:rFonts w:eastAsia="Calibri"/>
                <w:sz w:val="20"/>
                <w:lang w:val="fr-CA"/>
              </w:rPr>
              <w:t>(Juges Doherty, Feldman et Cronk)</w:t>
            </w:r>
          </w:p>
          <w:p w:rsidR="00DC042B" w:rsidRPr="00BE6616" w:rsidRDefault="00DC042B" w:rsidP="002E3508">
            <w:pPr>
              <w:jc w:val="both"/>
              <w:rPr>
                <w:rFonts w:eastAsia="Calibri"/>
                <w:sz w:val="20"/>
                <w:lang w:val="fr-CA"/>
              </w:rPr>
            </w:pPr>
          </w:p>
        </w:tc>
        <w:tc>
          <w:tcPr>
            <w:tcW w:w="243" w:type="pct"/>
          </w:tcPr>
          <w:p w:rsidR="00DC042B" w:rsidRPr="00BE6616" w:rsidRDefault="00DC042B" w:rsidP="002E3508">
            <w:pPr>
              <w:jc w:val="both"/>
              <w:rPr>
                <w:rFonts w:eastAsia="Calibri"/>
                <w:sz w:val="20"/>
                <w:lang w:val="fr-CA"/>
              </w:rPr>
            </w:pPr>
          </w:p>
        </w:tc>
        <w:tc>
          <w:tcPr>
            <w:tcW w:w="2330" w:type="pct"/>
          </w:tcPr>
          <w:p w:rsidR="00DC042B" w:rsidRPr="00BE6616" w:rsidRDefault="00DC042B" w:rsidP="002E3508">
            <w:pPr>
              <w:jc w:val="both"/>
              <w:rPr>
                <w:rFonts w:eastAsia="Calibri"/>
                <w:sz w:val="20"/>
                <w:lang w:val="fr-CA"/>
              </w:rPr>
            </w:pPr>
            <w:r w:rsidRPr="00BE6616">
              <w:rPr>
                <w:rFonts w:eastAsia="Calibri"/>
                <w:sz w:val="20"/>
                <w:lang w:val="fr-CA"/>
              </w:rPr>
              <w:t>Motion en annulation de l'ordonnance, rejetée</w:t>
            </w:r>
          </w:p>
        </w:tc>
      </w:tr>
      <w:tr w:rsidR="00DC042B" w:rsidRPr="00682661" w:rsidTr="00C67842">
        <w:trPr>
          <w:cantSplit/>
        </w:trPr>
        <w:tc>
          <w:tcPr>
            <w:tcW w:w="2427" w:type="pct"/>
          </w:tcPr>
          <w:p w:rsidR="00DC042B" w:rsidRPr="00BE6616" w:rsidRDefault="00DC042B" w:rsidP="002E3508">
            <w:pPr>
              <w:jc w:val="both"/>
              <w:rPr>
                <w:rFonts w:eastAsia="Calibri"/>
                <w:sz w:val="20"/>
                <w:lang w:val="fr-CA"/>
              </w:rPr>
            </w:pPr>
            <w:r w:rsidRPr="00BE6616">
              <w:rPr>
                <w:rFonts w:eastAsia="Calibri"/>
                <w:sz w:val="20"/>
                <w:lang w:val="fr-CA"/>
              </w:rPr>
              <w:t>12 mai 2011</w:t>
            </w:r>
          </w:p>
          <w:p w:rsidR="00DC042B" w:rsidRPr="00BE6616" w:rsidRDefault="00DC042B" w:rsidP="002E3508">
            <w:pPr>
              <w:jc w:val="both"/>
              <w:rPr>
                <w:rFonts w:eastAsia="Calibri"/>
                <w:sz w:val="20"/>
                <w:lang w:val="fr-CA"/>
              </w:rPr>
            </w:pPr>
            <w:r w:rsidRPr="00BE6616">
              <w:rPr>
                <w:rFonts w:eastAsia="Calibri"/>
                <w:sz w:val="20"/>
                <w:lang w:val="fr-CA"/>
              </w:rPr>
              <w:t>Cour suprême du Canada</w:t>
            </w:r>
          </w:p>
          <w:p w:rsidR="00DC042B" w:rsidRPr="00BE6616" w:rsidRDefault="00DC042B" w:rsidP="002E3508">
            <w:pPr>
              <w:jc w:val="both"/>
              <w:rPr>
                <w:rFonts w:eastAsia="Calibri"/>
                <w:sz w:val="20"/>
                <w:lang w:val="fr-CA"/>
              </w:rPr>
            </w:pPr>
          </w:p>
        </w:tc>
        <w:tc>
          <w:tcPr>
            <w:tcW w:w="243" w:type="pct"/>
          </w:tcPr>
          <w:p w:rsidR="00DC042B" w:rsidRPr="00BE6616" w:rsidRDefault="00DC042B" w:rsidP="002E3508">
            <w:pPr>
              <w:jc w:val="both"/>
              <w:rPr>
                <w:rFonts w:eastAsia="Calibri"/>
                <w:sz w:val="20"/>
                <w:lang w:val="fr-CA"/>
              </w:rPr>
            </w:pPr>
          </w:p>
        </w:tc>
        <w:tc>
          <w:tcPr>
            <w:tcW w:w="2330" w:type="pct"/>
          </w:tcPr>
          <w:p w:rsidR="00DC042B" w:rsidRPr="00BE6616" w:rsidRDefault="00DC042B" w:rsidP="002E3508">
            <w:pPr>
              <w:jc w:val="both"/>
              <w:rPr>
                <w:rFonts w:eastAsia="Calibri"/>
                <w:sz w:val="20"/>
                <w:lang w:val="fr-CA"/>
              </w:rPr>
            </w:pPr>
            <w:r w:rsidRPr="00BE6616">
              <w:rPr>
                <w:rFonts w:eastAsia="Calibri"/>
                <w:sz w:val="20"/>
                <w:lang w:val="fr-CA"/>
              </w:rPr>
              <w:t>Demande d'autorisation d'appel déposée et requête en prorogation du délai de dépôt et de signification de la demande d'autorisation, déposée.</w:t>
            </w: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86"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07C5C" w:rsidRPr="007C3AB2" w:rsidTr="0087505F">
        <w:trPr>
          <w:cantSplit/>
        </w:trPr>
        <w:tc>
          <w:tcPr>
            <w:tcW w:w="1458" w:type="dxa"/>
          </w:tcPr>
          <w:p w:rsidR="00E07C5C" w:rsidRPr="007C3AB2" w:rsidRDefault="00E07C5C" w:rsidP="0087505F">
            <w:pPr>
              <w:rPr>
                <w:sz w:val="20"/>
                <w:szCs w:val="20"/>
              </w:rPr>
            </w:pPr>
            <w:r w:rsidRPr="007C3AB2">
              <w:rPr>
                <w:rStyle w:val="SCCFileNumberChar"/>
                <w:sz w:val="20"/>
                <w:szCs w:val="20"/>
              </w:rPr>
              <w:t>34293</w:t>
            </w:r>
          </w:p>
          <w:p w:rsidR="00E07C5C" w:rsidRPr="007C3AB2" w:rsidRDefault="00E07C5C" w:rsidP="0087505F">
            <w:pPr>
              <w:rPr>
                <w:b/>
                <w:sz w:val="20"/>
                <w:szCs w:val="20"/>
                <w:lang w:val="fr-CA"/>
              </w:rPr>
            </w:pPr>
          </w:p>
        </w:tc>
        <w:tc>
          <w:tcPr>
            <w:tcW w:w="8118" w:type="dxa"/>
          </w:tcPr>
          <w:p w:rsidR="00E07C5C" w:rsidRPr="007C3AB2" w:rsidRDefault="00E07C5C" w:rsidP="0087505F">
            <w:pPr>
              <w:rPr>
                <w:sz w:val="20"/>
                <w:szCs w:val="20"/>
              </w:rPr>
            </w:pPr>
            <w:r w:rsidRPr="007C3AB2">
              <w:rPr>
                <w:rStyle w:val="SCCLsocChar"/>
                <w:sz w:val="20"/>
                <w:szCs w:val="20"/>
              </w:rPr>
              <w:t>Pierre Jampen c. British Airways</w:t>
            </w:r>
            <w:r w:rsidRPr="007C3AB2">
              <w:rPr>
                <w:sz w:val="20"/>
                <w:szCs w:val="20"/>
              </w:rPr>
              <w:t xml:space="preserve"> (Qc) (Civile) (Autorisation)</w:t>
            </w:r>
          </w:p>
          <w:p w:rsidR="00E07C5C" w:rsidRPr="007C3AB2" w:rsidRDefault="00E07C5C" w:rsidP="0087505F">
            <w:pPr>
              <w:rPr>
                <w:sz w:val="20"/>
                <w:szCs w:val="20"/>
              </w:rPr>
            </w:pPr>
          </w:p>
        </w:tc>
      </w:tr>
      <w:tr w:rsidR="00E07C5C" w:rsidRPr="00682661" w:rsidTr="0087505F">
        <w:trPr>
          <w:cantSplit/>
        </w:trPr>
        <w:tc>
          <w:tcPr>
            <w:tcW w:w="1458" w:type="dxa"/>
          </w:tcPr>
          <w:p w:rsidR="00E07C5C" w:rsidRPr="007C3AB2" w:rsidRDefault="00E07C5C" w:rsidP="0087505F">
            <w:pPr>
              <w:rPr>
                <w:sz w:val="20"/>
                <w:szCs w:val="20"/>
              </w:rPr>
            </w:pPr>
            <w:r w:rsidRPr="007C3AB2">
              <w:rPr>
                <w:sz w:val="20"/>
                <w:szCs w:val="20"/>
              </w:rPr>
              <w:t>Coram :</w:t>
            </w:r>
          </w:p>
        </w:tc>
        <w:tc>
          <w:tcPr>
            <w:tcW w:w="8118" w:type="dxa"/>
          </w:tcPr>
          <w:p w:rsidR="00E07C5C" w:rsidRPr="007C3AB2" w:rsidRDefault="00E07C5C" w:rsidP="0087505F">
            <w:pPr>
              <w:rPr>
                <w:sz w:val="20"/>
                <w:szCs w:val="20"/>
                <w:lang w:val="fr-CA"/>
              </w:rPr>
            </w:pPr>
            <w:r w:rsidRPr="00E07C5C">
              <w:rPr>
                <w:rStyle w:val="SCCCoramChar"/>
                <w:sz w:val="20"/>
                <w:szCs w:val="20"/>
                <w:lang w:val="fr-CA"/>
              </w:rPr>
              <w:t>Les juges LeBel, Fish et Cromwell</w:t>
            </w:r>
          </w:p>
          <w:p w:rsidR="00E07C5C" w:rsidRPr="007C3AB2" w:rsidRDefault="00E07C5C" w:rsidP="0087505F">
            <w:pPr>
              <w:rPr>
                <w:sz w:val="20"/>
                <w:szCs w:val="20"/>
                <w:u w:val="single"/>
                <w:lang w:val="fr-CA"/>
              </w:rPr>
            </w:pPr>
          </w:p>
        </w:tc>
      </w:tr>
      <w:tr w:rsidR="00E07C5C" w:rsidRPr="007C3AB2" w:rsidTr="0087505F">
        <w:trPr>
          <w:cantSplit/>
        </w:trPr>
        <w:tc>
          <w:tcPr>
            <w:tcW w:w="9576" w:type="dxa"/>
            <w:gridSpan w:val="2"/>
          </w:tcPr>
          <w:p w:rsidR="00E07C5C" w:rsidRPr="007C3AB2" w:rsidRDefault="00E07C5C" w:rsidP="0087505F">
            <w:pPr>
              <w:pStyle w:val="SCCShortJudgment"/>
              <w:rPr>
                <w:szCs w:val="20"/>
                <w:lang w:val="fr-CA"/>
              </w:rPr>
            </w:pPr>
            <w:r w:rsidRPr="007C3AB2">
              <w:rPr>
                <w:szCs w:val="20"/>
                <w:lang w:val="fr-CA"/>
              </w:rPr>
              <w:t>La demande d’autorisation d’appel de l’arrêt de la Cour d’appel du Québec (Montréal), numéro 500-09-021492-111, 2011 QCCA 845, daté du 2 mai 2011, est rejetée avec dépens.</w:t>
            </w:r>
          </w:p>
          <w:p w:rsidR="00E07C5C" w:rsidRPr="007C3AB2" w:rsidRDefault="00E07C5C" w:rsidP="0087505F">
            <w:pPr>
              <w:pStyle w:val="SCCShortJudgment"/>
              <w:ind w:firstLine="0"/>
              <w:rPr>
                <w:szCs w:val="20"/>
                <w:lang w:val="fr-CA"/>
              </w:rPr>
            </w:pPr>
          </w:p>
          <w:p w:rsidR="00E07C5C" w:rsidRPr="007C3AB2" w:rsidRDefault="00E07C5C" w:rsidP="0087505F">
            <w:pPr>
              <w:pStyle w:val="SCCShortJudgment"/>
              <w:rPr>
                <w:szCs w:val="20"/>
              </w:rPr>
            </w:pPr>
            <w:r w:rsidRPr="007C3AB2">
              <w:rPr>
                <w:szCs w:val="20"/>
              </w:rPr>
              <w:t>The application for leave to appeal from the judgment of the Court of Appeal of Quebec (Montréal), Number 500-09-021492-111, 2011 QCCA 845, dated May 2, 2011, is dismissed with costs.</w:t>
            </w:r>
          </w:p>
        </w:tc>
      </w:tr>
    </w:tbl>
    <w:p w:rsidR="007B50F9" w:rsidRDefault="007B50F9" w:rsidP="007B50F9">
      <w:pPr>
        <w:rPr>
          <w:sz w:val="20"/>
          <w:szCs w:val="20"/>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C042B" w:rsidRPr="00BE6616" w:rsidTr="002E3508">
        <w:tc>
          <w:tcPr>
            <w:tcW w:w="5000" w:type="pct"/>
            <w:gridSpan w:val="3"/>
          </w:tcPr>
          <w:p w:rsidR="00DC042B" w:rsidRPr="00BE6616" w:rsidRDefault="00DC042B" w:rsidP="002E3508">
            <w:pPr>
              <w:jc w:val="both"/>
              <w:rPr>
                <w:rFonts w:eastAsia="Calibri"/>
                <w:sz w:val="20"/>
              </w:rPr>
            </w:pPr>
            <w:r w:rsidRPr="00BE6616">
              <w:rPr>
                <w:rFonts w:eastAsia="Calibri"/>
                <w:sz w:val="20"/>
              </w:rPr>
              <w:t>Civil procedure — Appeal — Leave — Whether Court of Appeal should have granted leave to appeal out of time — Whether courts below erred in assessing testimony — Whether Mr. Jampen’s right to be heard was disregarded.</w:t>
            </w:r>
          </w:p>
        </w:tc>
      </w:tr>
      <w:tr w:rsidR="00DC042B" w:rsidRPr="00BE6616" w:rsidTr="002E3508">
        <w:tc>
          <w:tcPr>
            <w:tcW w:w="5000" w:type="pct"/>
            <w:gridSpan w:val="3"/>
          </w:tcPr>
          <w:p w:rsidR="00DC042B" w:rsidRPr="00BE6616" w:rsidRDefault="00DC042B" w:rsidP="002E3508">
            <w:pPr>
              <w:jc w:val="both"/>
              <w:rPr>
                <w:rFonts w:eastAsia="Calibri"/>
                <w:sz w:val="20"/>
              </w:rPr>
            </w:pPr>
          </w:p>
        </w:tc>
      </w:tr>
      <w:tr w:rsidR="00DC042B" w:rsidRPr="00BE6616" w:rsidTr="002E3508">
        <w:tc>
          <w:tcPr>
            <w:tcW w:w="5000" w:type="pct"/>
            <w:gridSpan w:val="3"/>
          </w:tcPr>
          <w:p w:rsidR="00DC042B" w:rsidRPr="00BE6616" w:rsidRDefault="00DC042B" w:rsidP="002E3508">
            <w:pPr>
              <w:jc w:val="both"/>
              <w:rPr>
                <w:rFonts w:eastAsia="Calibri"/>
                <w:sz w:val="20"/>
              </w:rPr>
            </w:pPr>
            <w:r w:rsidRPr="00BE6616">
              <w:rPr>
                <w:rFonts w:eastAsia="Calibri"/>
                <w:sz w:val="20"/>
              </w:rPr>
              <w:t>In 2007, Mr. Jampen travelled from Montréal to Geneva on British Airways with a stopover in London.  In Montréal, a British Airways representative noted that his baggage exceeded the allowed weight and suggested that he transfer certain items into a small bag that he could carry on with him.  Once Mr. Jampen was in London, a British Airways representative informed him that he would have to check his bag because of new enhanced security standards.  Mr. Jampen wanted to make a special declaration of interest to insure the contents of the bag, but he had to check the bag again.  A British Airways representative told him that there was not really any risk of loss since the flight was direct.  Mr. Jampen followed her advice, but the bag could not be found once he arrived in Geneva.  He sued British Airways in the Court of Québec to recover the value of the lost items.</w:t>
            </w:r>
          </w:p>
          <w:p w:rsidR="00DC042B" w:rsidRPr="00BE6616" w:rsidRDefault="00DC042B" w:rsidP="002E3508">
            <w:pPr>
              <w:jc w:val="both"/>
              <w:rPr>
                <w:rFonts w:eastAsia="Calibri"/>
                <w:sz w:val="20"/>
              </w:rPr>
            </w:pPr>
          </w:p>
          <w:p w:rsidR="00DC042B" w:rsidRPr="00BE6616" w:rsidRDefault="00DC042B" w:rsidP="002E3508">
            <w:pPr>
              <w:jc w:val="both"/>
              <w:rPr>
                <w:rFonts w:eastAsia="Calibri"/>
                <w:sz w:val="20"/>
              </w:rPr>
            </w:pPr>
            <w:r w:rsidRPr="00BE6616">
              <w:rPr>
                <w:rFonts w:eastAsia="Calibri"/>
                <w:sz w:val="20"/>
              </w:rPr>
              <w:t xml:space="preserve">The Court of Québec allowed the action in part.  Judge Quenneville rejected Mr. Jampen’s argument that he had been prevented from taking out insurance.  In her opinion, he had had sufficient time to go to the counter, check his baggage again and fill out the necessary form.  He chose not to do so, and the fact that the British Airways representative had advised him not to take out insurance was not a wrongful act that made British Airways liable.  However, the judge took note of British Airways’ offer to pay $1,000 and condemned it to pay Mr. Jampen that amount.  The Superior Court dismissed Mr. Jampen’s motion for judicial review, and the Court of Appeal dismissed his motion for leave to appeal out of time. </w:t>
            </w:r>
          </w:p>
          <w:p w:rsidR="00DC042B" w:rsidRPr="00BE6616" w:rsidRDefault="00DC042B" w:rsidP="002E3508">
            <w:pPr>
              <w:jc w:val="both"/>
              <w:rPr>
                <w:rFonts w:eastAsia="Calibri"/>
                <w:sz w:val="20"/>
              </w:rPr>
            </w:pPr>
          </w:p>
        </w:tc>
      </w:tr>
      <w:tr w:rsidR="00DC042B" w:rsidRPr="00BE6616" w:rsidTr="002E3508">
        <w:tc>
          <w:tcPr>
            <w:tcW w:w="2427" w:type="pct"/>
          </w:tcPr>
          <w:p w:rsidR="00DC042B" w:rsidRPr="00BE6616" w:rsidRDefault="00DC042B" w:rsidP="002E3508">
            <w:pPr>
              <w:jc w:val="both"/>
              <w:rPr>
                <w:rFonts w:eastAsia="Calibri"/>
                <w:sz w:val="20"/>
              </w:rPr>
            </w:pPr>
            <w:r w:rsidRPr="00BE6616">
              <w:rPr>
                <w:rFonts w:eastAsia="Calibri"/>
                <w:sz w:val="20"/>
              </w:rPr>
              <w:t>February 25, 2010</w:t>
            </w:r>
          </w:p>
          <w:p w:rsidR="00DC042B" w:rsidRPr="00BE6616" w:rsidRDefault="00DC042B" w:rsidP="002E3508">
            <w:pPr>
              <w:jc w:val="both"/>
              <w:rPr>
                <w:rFonts w:eastAsia="Calibri"/>
                <w:sz w:val="20"/>
              </w:rPr>
            </w:pPr>
            <w:r w:rsidRPr="00BE6616">
              <w:rPr>
                <w:rFonts w:eastAsia="Calibri"/>
                <w:sz w:val="20"/>
              </w:rPr>
              <w:t>Court of Québec</w:t>
            </w:r>
          </w:p>
          <w:p w:rsidR="00DC042B" w:rsidRPr="00BE6616" w:rsidRDefault="00DC042B" w:rsidP="002E3508">
            <w:pPr>
              <w:jc w:val="both"/>
              <w:rPr>
                <w:rFonts w:eastAsia="Calibri"/>
                <w:sz w:val="20"/>
              </w:rPr>
            </w:pPr>
            <w:r w:rsidRPr="00BE6616">
              <w:rPr>
                <w:rFonts w:eastAsia="Calibri"/>
                <w:sz w:val="20"/>
              </w:rPr>
              <w:t>(Judge Quenneville)</w:t>
            </w:r>
          </w:p>
          <w:p w:rsidR="00DC042B" w:rsidRPr="00BE6616" w:rsidRDefault="00DC042B" w:rsidP="002E3508">
            <w:pPr>
              <w:jc w:val="both"/>
              <w:rPr>
                <w:rFonts w:eastAsia="Calibri"/>
                <w:sz w:val="20"/>
              </w:rPr>
            </w:pPr>
          </w:p>
        </w:tc>
        <w:tc>
          <w:tcPr>
            <w:tcW w:w="243" w:type="pct"/>
          </w:tcPr>
          <w:p w:rsidR="00DC042B" w:rsidRPr="00BE6616" w:rsidRDefault="00DC042B" w:rsidP="002E3508">
            <w:pPr>
              <w:jc w:val="both"/>
              <w:rPr>
                <w:rFonts w:eastAsia="Calibri"/>
                <w:sz w:val="20"/>
              </w:rPr>
            </w:pPr>
          </w:p>
        </w:tc>
        <w:tc>
          <w:tcPr>
            <w:tcW w:w="2330" w:type="pct"/>
          </w:tcPr>
          <w:p w:rsidR="00DC042B" w:rsidRPr="00BE6616" w:rsidRDefault="00DC042B" w:rsidP="002E3508">
            <w:pPr>
              <w:jc w:val="both"/>
              <w:rPr>
                <w:rFonts w:eastAsia="Calibri"/>
                <w:sz w:val="20"/>
              </w:rPr>
            </w:pPr>
            <w:r w:rsidRPr="00BE6616">
              <w:rPr>
                <w:rFonts w:eastAsia="Calibri"/>
                <w:sz w:val="20"/>
              </w:rPr>
              <w:t>Action allowed in part; respondent condemned to pay applicant $1,000</w:t>
            </w:r>
          </w:p>
        </w:tc>
      </w:tr>
      <w:tr w:rsidR="00DC042B" w:rsidRPr="00BE6616" w:rsidTr="00E07C5C">
        <w:trPr>
          <w:cantSplit/>
        </w:trPr>
        <w:tc>
          <w:tcPr>
            <w:tcW w:w="2427" w:type="pct"/>
          </w:tcPr>
          <w:p w:rsidR="00DC042B" w:rsidRPr="00BE6616" w:rsidRDefault="00DC042B" w:rsidP="002E3508">
            <w:pPr>
              <w:jc w:val="both"/>
              <w:rPr>
                <w:rFonts w:eastAsia="Calibri"/>
                <w:sz w:val="20"/>
              </w:rPr>
            </w:pPr>
            <w:r w:rsidRPr="00BE6616">
              <w:rPr>
                <w:rFonts w:eastAsia="Calibri"/>
                <w:sz w:val="20"/>
              </w:rPr>
              <w:t>February 4, 2011</w:t>
            </w:r>
          </w:p>
          <w:p w:rsidR="00DC042B" w:rsidRPr="00BE6616" w:rsidRDefault="00DC042B" w:rsidP="002E3508">
            <w:pPr>
              <w:jc w:val="both"/>
              <w:rPr>
                <w:rFonts w:eastAsia="Calibri"/>
                <w:sz w:val="20"/>
              </w:rPr>
            </w:pPr>
            <w:r w:rsidRPr="00BE6616">
              <w:rPr>
                <w:rFonts w:eastAsia="Calibri"/>
                <w:sz w:val="20"/>
              </w:rPr>
              <w:t>Quebec Superior Court</w:t>
            </w:r>
          </w:p>
          <w:p w:rsidR="00DC042B" w:rsidRPr="00BE6616" w:rsidRDefault="00DC042B" w:rsidP="002E3508">
            <w:pPr>
              <w:jc w:val="both"/>
              <w:rPr>
                <w:rFonts w:eastAsia="Calibri"/>
                <w:sz w:val="20"/>
              </w:rPr>
            </w:pPr>
            <w:r w:rsidRPr="00BE6616">
              <w:rPr>
                <w:rFonts w:eastAsia="Calibri"/>
                <w:sz w:val="20"/>
              </w:rPr>
              <w:t>(Masse J.)</w:t>
            </w:r>
          </w:p>
          <w:p w:rsidR="00DC042B" w:rsidRPr="00BE6616" w:rsidRDefault="00DC042B" w:rsidP="002E3508">
            <w:pPr>
              <w:jc w:val="both"/>
              <w:rPr>
                <w:rFonts w:eastAsia="Calibri"/>
                <w:sz w:val="20"/>
              </w:rPr>
            </w:pPr>
            <w:r w:rsidRPr="00BE6616">
              <w:rPr>
                <w:rFonts w:eastAsia="Calibri"/>
                <w:sz w:val="20"/>
              </w:rPr>
              <w:t>2011 QCCS 2190</w:t>
            </w:r>
          </w:p>
          <w:p w:rsidR="00DC042B" w:rsidRPr="00BE6616" w:rsidRDefault="00DC042B" w:rsidP="002E3508">
            <w:pPr>
              <w:jc w:val="both"/>
              <w:rPr>
                <w:rFonts w:eastAsia="Calibri"/>
                <w:sz w:val="20"/>
              </w:rPr>
            </w:pPr>
          </w:p>
        </w:tc>
        <w:tc>
          <w:tcPr>
            <w:tcW w:w="243" w:type="pct"/>
          </w:tcPr>
          <w:p w:rsidR="00DC042B" w:rsidRPr="00BE6616" w:rsidRDefault="00DC042B" w:rsidP="002E3508">
            <w:pPr>
              <w:jc w:val="both"/>
              <w:rPr>
                <w:rFonts w:eastAsia="Calibri"/>
                <w:sz w:val="20"/>
              </w:rPr>
            </w:pPr>
          </w:p>
        </w:tc>
        <w:tc>
          <w:tcPr>
            <w:tcW w:w="2330" w:type="pct"/>
          </w:tcPr>
          <w:p w:rsidR="00DC042B" w:rsidRPr="00BE6616" w:rsidRDefault="00DC042B" w:rsidP="002E3508">
            <w:pPr>
              <w:jc w:val="both"/>
              <w:rPr>
                <w:rFonts w:eastAsia="Calibri"/>
                <w:sz w:val="20"/>
              </w:rPr>
            </w:pPr>
            <w:r w:rsidRPr="00BE6616">
              <w:rPr>
                <w:rFonts w:eastAsia="Calibri"/>
                <w:sz w:val="20"/>
              </w:rPr>
              <w:t>Motion for judicial review dismissed</w:t>
            </w:r>
          </w:p>
          <w:p w:rsidR="00DC042B" w:rsidRPr="00BE6616" w:rsidRDefault="00DC042B" w:rsidP="002E3508">
            <w:pPr>
              <w:jc w:val="both"/>
              <w:rPr>
                <w:rFonts w:eastAsia="Calibri"/>
                <w:sz w:val="20"/>
              </w:rPr>
            </w:pPr>
          </w:p>
        </w:tc>
      </w:tr>
      <w:tr w:rsidR="00DC042B" w:rsidRPr="00BE6616" w:rsidTr="00E07C5C">
        <w:trPr>
          <w:cantSplit/>
        </w:trPr>
        <w:tc>
          <w:tcPr>
            <w:tcW w:w="2427" w:type="pct"/>
          </w:tcPr>
          <w:p w:rsidR="00DC042B" w:rsidRPr="00BE6616" w:rsidRDefault="00DC042B" w:rsidP="002E3508">
            <w:pPr>
              <w:jc w:val="both"/>
              <w:rPr>
                <w:rFonts w:eastAsia="Calibri"/>
                <w:sz w:val="20"/>
              </w:rPr>
            </w:pPr>
            <w:r w:rsidRPr="00BE6616">
              <w:rPr>
                <w:rFonts w:eastAsia="Calibri"/>
                <w:sz w:val="20"/>
              </w:rPr>
              <w:t>May 2, 2011</w:t>
            </w:r>
          </w:p>
          <w:p w:rsidR="00DC042B" w:rsidRPr="00BE6616" w:rsidRDefault="00DC042B" w:rsidP="002E3508">
            <w:pPr>
              <w:jc w:val="both"/>
              <w:rPr>
                <w:rFonts w:eastAsia="Calibri"/>
                <w:sz w:val="20"/>
              </w:rPr>
            </w:pPr>
            <w:r w:rsidRPr="00BE6616">
              <w:rPr>
                <w:rFonts w:eastAsia="Calibri"/>
                <w:sz w:val="20"/>
              </w:rPr>
              <w:t>Quebec Court of Appeal (Montréal)</w:t>
            </w:r>
          </w:p>
          <w:p w:rsidR="00DC042B" w:rsidRPr="00BE6616" w:rsidRDefault="00DC042B" w:rsidP="002E3508">
            <w:pPr>
              <w:jc w:val="both"/>
              <w:rPr>
                <w:rFonts w:eastAsia="Calibri"/>
                <w:sz w:val="20"/>
              </w:rPr>
            </w:pPr>
            <w:r w:rsidRPr="00BE6616">
              <w:rPr>
                <w:rFonts w:eastAsia="Calibri"/>
                <w:sz w:val="20"/>
              </w:rPr>
              <w:t>(Chamberland, Rochon and Duval Hesler JJ.A.)</w:t>
            </w:r>
          </w:p>
          <w:p w:rsidR="00DC042B" w:rsidRPr="00BE6616" w:rsidRDefault="00DC042B" w:rsidP="002E3508">
            <w:pPr>
              <w:jc w:val="both"/>
              <w:rPr>
                <w:rFonts w:eastAsia="Calibri"/>
                <w:sz w:val="20"/>
              </w:rPr>
            </w:pPr>
            <w:r w:rsidRPr="00BE6616">
              <w:rPr>
                <w:rFonts w:eastAsia="Calibri"/>
                <w:sz w:val="20"/>
              </w:rPr>
              <w:t>2011 QCCA 845</w:t>
            </w:r>
          </w:p>
          <w:p w:rsidR="00DC042B" w:rsidRPr="00BE6616" w:rsidRDefault="00DC042B" w:rsidP="002E3508">
            <w:pPr>
              <w:jc w:val="both"/>
              <w:rPr>
                <w:rFonts w:eastAsia="Calibri"/>
                <w:sz w:val="20"/>
              </w:rPr>
            </w:pPr>
          </w:p>
        </w:tc>
        <w:tc>
          <w:tcPr>
            <w:tcW w:w="243" w:type="pct"/>
          </w:tcPr>
          <w:p w:rsidR="00DC042B" w:rsidRPr="00BE6616" w:rsidRDefault="00DC042B" w:rsidP="002E3508">
            <w:pPr>
              <w:jc w:val="both"/>
              <w:rPr>
                <w:rFonts w:eastAsia="Calibri"/>
                <w:sz w:val="20"/>
              </w:rPr>
            </w:pPr>
          </w:p>
        </w:tc>
        <w:tc>
          <w:tcPr>
            <w:tcW w:w="2330" w:type="pct"/>
          </w:tcPr>
          <w:p w:rsidR="00DC042B" w:rsidRPr="00BE6616" w:rsidRDefault="00DC042B" w:rsidP="002E3508">
            <w:pPr>
              <w:jc w:val="both"/>
              <w:rPr>
                <w:rFonts w:eastAsia="Calibri"/>
                <w:sz w:val="20"/>
              </w:rPr>
            </w:pPr>
            <w:r w:rsidRPr="00BE6616">
              <w:rPr>
                <w:rFonts w:eastAsia="Calibri"/>
                <w:sz w:val="20"/>
              </w:rPr>
              <w:t>Motion for leave to appeal out of time dismissed</w:t>
            </w:r>
          </w:p>
          <w:p w:rsidR="00DC042B" w:rsidRPr="00BE6616" w:rsidRDefault="00DC042B" w:rsidP="002E3508">
            <w:pPr>
              <w:jc w:val="both"/>
              <w:rPr>
                <w:rFonts w:eastAsia="Calibri"/>
                <w:sz w:val="20"/>
              </w:rPr>
            </w:pPr>
          </w:p>
        </w:tc>
      </w:tr>
      <w:tr w:rsidR="00DC042B" w:rsidRPr="00BE6616" w:rsidTr="00E07C5C">
        <w:trPr>
          <w:cantSplit/>
        </w:trPr>
        <w:tc>
          <w:tcPr>
            <w:tcW w:w="2427" w:type="pct"/>
          </w:tcPr>
          <w:p w:rsidR="00DC042B" w:rsidRPr="00BE6616" w:rsidRDefault="00DC042B" w:rsidP="002E3508">
            <w:pPr>
              <w:jc w:val="both"/>
              <w:rPr>
                <w:rFonts w:eastAsia="Calibri"/>
                <w:sz w:val="20"/>
              </w:rPr>
            </w:pPr>
            <w:r w:rsidRPr="00BE6616">
              <w:rPr>
                <w:rFonts w:eastAsia="Calibri"/>
                <w:sz w:val="20"/>
              </w:rPr>
              <w:t>May 25, 2011</w:t>
            </w:r>
          </w:p>
          <w:p w:rsidR="00DC042B" w:rsidRPr="00BE6616" w:rsidRDefault="00DC042B" w:rsidP="002E3508">
            <w:pPr>
              <w:jc w:val="both"/>
              <w:rPr>
                <w:rFonts w:eastAsia="Calibri"/>
                <w:sz w:val="20"/>
              </w:rPr>
            </w:pPr>
            <w:r w:rsidRPr="00BE6616">
              <w:rPr>
                <w:rFonts w:eastAsia="Calibri"/>
                <w:sz w:val="20"/>
              </w:rPr>
              <w:t>Supreme Court of Canada</w:t>
            </w:r>
          </w:p>
        </w:tc>
        <w:tc>
          <w:tcPr>
            <w:tcW w:w="243" w:type="pct"/>
          </w:tcPr>
          <w:p w:rsidR="00DC042B" w:rsidRPr="00BE6616" w:rsidRDefault="00DC042B" w:rsidP="002E3508">
            <w:pPr>
              <w:jc w:val="both"/>
              <w:rPr>
                <w:rFonts w:eastAsia="Calibri"/>
                <w:sz w:val="20"/>
              </w:rPr>
            </w:pPr>
          </w:p>
        </w:tc>
        <w:tc>
          <w:tcPr>
            <w:tcW w:w="2330" w:type="pct"/>
          </w:tcPr>
          <w:p w:rsidR="00DC042B" w:rsidRPr="00BE6616" w:rsidRDefault="00DC042B" w:rsidP="002E3508">
            <w:pPr>
              <w:jc w:val="both"/>
              <w:rPr>
                <w:rFonts w:eastAsia="Calibri"/>
                <w:sz w:val="20"/>
              </w:rPr>
            </w:pPr>
            <w:r w:rsidRPr="00BE6616">
              <w:rPr>
                <w:rFonts w:eastAsia="Calibri"/>
                <w:sz w:val="20"/>
              </w:rPr>
              <w:t>Application for leave to appeal filed</w:t>
            </w:r>
          </w:p>
          <w:p w:rsidR="00DC042B" w:rsidRPr="00BE6616" w:rsidRDefault="00DC042B" w:rsidP="002E350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87"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C042B" w:rsidRPr="00682661" w:rsidTr="002E3508">
        <w:tc>
          <w:tcPr>
            <w:tcW w:w="5000" w:type="pct"/>
            <w:gridSpan w:val="3"/>
          </w:tcPr>
          <w:p w:rsidR="00DC042B" w:rsidRPr="00BE6616" w:rsidRDefault="00DC042B" w:rsidP="002E3508">
            <w:pPr>
              <w:jc w:val="both"/>
              <w:rPr>
                <w:rFonts w:eastAsia="Calibri"/>
                <w:sz w:val="20"/>
                <w:lang w:val="fr-CA"/>
              </w:rPr>
            </w:pPr>
            <w:r w:rsidRPr="00BE6616">
              <w:rPr>
                <w:rFonts w:eastAsia="Calibri"/>
                <w:sz w:val="20"/>
                <w:lang w:val="fr-CA"/>
              </w:rPr>
              <w:t>Procédure civile — Appel — Permission — La Cour d’appel aurait</w:t>
            </w:r>
            <w:r w:rsidRPr="00BE6616">
              <w:rPr>
                <w:rFonts w:eastAsia="Calibri"/>
                <w:sz w:val="20"/>
                <w:lang w:val="fr-CA"/>
              </w:rPr>
              <w:noBreakHyphen/>
              <w:t>elle dû permettre l’appel hors délai? — Les instances inférieures ont</w:t>
            </w:r>
            <w:r w:rsidRPr="00BE6616">
              <w:rPr>
                <w:rFonts w:eastAsia="Calibri"/>
                <w:sz w:val="20"/>
                <w:lang w:val="fr-CA"/>
              </w:rPr>
              <w:noBreakHyphen/>
              <w:t>elles mal apprécié les témoignages? — Le droit de M. Jampen de se faire entendre a</w:t>
            </w:r>
            <w:r w:rsidRPr="00BE6616">
              <w:rPr>
                <w:rFonts w:eastAsia="Calibri"/>
                <w:sz w:val="20"/>
                <w:lang w:val="fr-CA"/>
              </w:rPr>
              <w:noBreakHyphen/>
              <w:t>t</w:t>
            </w:r>
            <w:r w:rsidRPr="00BE6616">
              <w:rPr>
                <w:rFonts w:eastAsia="Calibri"/>
                <w:sz w:val="20"/>
                <w:lang w:val="fr-CA"/>
              </w:rPr>
              <w:noBreakHyphen/>
              <w:t>il été bafoué?</w:t>
            </w:r>
          </w:p>
        </w:tc>
      </w:tr>
      <w:tr w:rsidR="00DC042B" w:rsidRPr="00682661" w:rsidTr="002E3508">
        <w:tc>
          <w:tcPr>
            <w:tcW w:w="5000" w:type="pct"/>
            <w:gridSpan w:val="3"/>
          </w:tcPr>
          <w:p w:rsidR="00DC042B" w:rsidRPr="00BE6616" w:rsidRDefault="00DC042B" w:rsidP="002E3508">
            <w:pPr>
              <w:jc w:val="both"/>
              <w:rPr>
                <w:rFonts w:eastAsia="Calibri"/>
                <w:sz w:val="20"/>
                <w:lang w:val="fr-CA"/>
              </w:rPr>
            </w:pPr>
          </w:p>
        </w:tc>
      </w:tr>
      <w:tr w:rsidR="00DC042B" w:rsidRPr="00682661" w:rsidTr="002E3508">
        <w:tc>
          <w:tcPr>
            <w:tcW w:w="5000" w:type="pct"/>
            <w:gridSpan w:val="3"/>
          </w:tcPr>
          <w:p w:rsidR="00DC042B" w:rsidRPr="00BE6616" w:rsidRDefault="00DC042B" w:rsidP="002E3508">
            <w:pPr>
              <w:jc w:val="both"/>
              <w:rPr>
                <w:rFonts w:eastAsia="Calibri"/>
                <w:sz w:val="20"/>
                <w:lang w:val="fr-CA"/>
              </w:rPr>
            </w:pPr>
            <w:r w:rsidRPr="00BE6616">
              <w:rPr>
                <w:rFonts w:eastAsia="Calibri"/>
                <w:sz w:val="20"/>
                <w:lang w:val="fr-CA"/>
              </w:rPr>
              <w:t>En 2007, M. Jampen effectue un voyage Montréal</w:t>
            </w:r>
            <w:r w:rsidRPr="00BE6616">
              <w:rPr>
                <w:rFonts w:eastAsia="Calibri"/>
                <w:sz w:val="20"/>
                <w:lang w:val="fr-CA"/>
              </w:rPr>
              <w:noBreakHyphen/>
              <w:t xml:space="preserve">Genève sur British Airways avec escale à Londres.  À Montréal, une représentante de British Airways note que les bagages de M. Jampen excèdent le poids permis.  Elle lui suggère de </w:t>
            </w:r>
            <w:r w:rsidRPr="00BE6616">
              <w:rPr>
                <w:rFonts w:eastAsia="Calibri"/>
                <w:sz w:val="20"/>
                <w:lang w:val="fr-CA"/>
              </w:rPr>
              <w:lastRenderedPageBreak/>
              <w:t xml:space="preserve">transférer certains items dans une petite valise qu’il peut monter à bord.  Une fois à Londres, une représentante de British Airways informe M. Jampen qu’il devra consigner sa valise en raison des nouvelles normes de sécurité accrues.  Pour assurer le contenu, M. Jampen souhaite faire une déclaration spéciale d’intérêt, mais il doit réenregistrer la valise.  Une représentante de British Airways lui dit qu’il n’y a pas véritablement de risque de perte puisqu’il s’agit d’un vol direct.  M. Jampen suit son conseil, mais une fois arrivé à Genève, la valise est introuvable.  M. Jampen poursuit British Airways devant la Cour du Québec pour recouvrer la valeur des items perdus. </w:t>
            </w:r>
          </w:p>
          <w:p w:rsidR="00DC042B" w:rsidRPr="00BE6616" w:rsidRDefault="00DC042B" w:rsidP="002E3508">
            <w:pPr>
              <w:jc w:val="both"/>
              <w:rPr>
                <w:rFonts w:eastAsia="Calibri"/>
                <w:sz w:val="20"/>
                <w:lang w:val="fr-CA"/>
              </w:rPr>
            </w:pPr>
          </w:p>
          <w:p w:rsidR="00DC042B" w:rsidRPr="00BE6616" w:rsidRDefault="00DC042B" w:rsidP="002E3508">
            <w:pPr>
              <w:jc w:val="both"/>
              <w:rPr>
                <w:rFonts w:eastAsia="Calibri"/>
                <w:sz w:val="20"/>
                <w:lang w:val="fr-CA"/>
              </w:rPr>
            </w:pPr>
            <w:r w:rsidRPr="00BE6616">
              <w:rPr>
                <w:rFonts w:eastAsia="Calibri"/>
                <w:sz w:val="20"/>
                <w:lang w:val="fr-CA"/>
              </w:rPr>
              <w:t>La Cour du Québec accueille l’action en partie.  La juge Quenneville rejette la prétention de M. Jampen selon laquelle il avait été empêché de contracter une assurance.  Selon elle, M. Jampen avait suffisamment de temps pour se présenter au comptoir, enregistrer à nouveau son bagage et remplir le formulaire requis.  Il a choisi de ne pas le faire, et le fait que la représentante de British Airways lui ait conseillé de ne pas contracter l’assurance ne constitue pas un acte fautif qui engage la responsabilité de British Airways.  La juge prend toutefois acte d’une offre de British Airways de payer une somme de 1 000 $, et comdamne celle</w:t>
            </w:r>
            <w:r w:rsidRPr="00BE6616">
              <w:rPr>
                <w:rFonts w:eastAsia="Calibri"/>
                <w:sz w:val="20"/>
                <w:lang w:val="fr-CA"/>
              </w:rPr>
              <w:noBreakHyphen/>
              <w:t xml:space="preserve">ci à verser ce montant à M. Jampen.  La Cour supérieure rejette la requête en révision judiciaire logée par M. Jampen, et la Cour d’appel rejette une requête de M. Jampen pour permission d’appeler hors délai. </w:t>
            </w:r>
          </w:p>
          <w:p w:rsidR="00DC042B" w:rsidRPr="00BE6616" w:rsidRDefault="00DC042B" w:rsidP="002E3508">
            <w:pPr>
              <w:jc w:val="both"/>
              <w:rPr>
                <w:rFonts w:eastAsia="Calibri"/>
                <w:sz w:val="20"/>
                <w:lang w:val="fr-CA"/>
              </w:rPr>
            </w:pPr>
          </w:p>
        </w:tc>
      </w:tr>
      <w:tr w:rsidR="00DC042B" w:rsidRPr="00682661" w:rsidTr="002E3508">
        <w:tc>
          <w:tcPr>
            <w:tcW w:w="2427" w:type="pct"/>
          </w:tcPr>
          <w:p w:rsidR="00DC042B" w:rsidRPr="00BE6616" w:rsidRDefault="00DC042B" w:rsidP="002E3508">
            <w:pPr>
              <w:jc w:val="both"/>
              <w:rPr>
                <w:rFonts w:eastAsia="Calibri"/>
                <w:sz w:val="20"/>
                <w:lang w:val="fr-CA"/>
              </w:rPr>
            </w:pPr>
            <w:r w:rsidRPr="00BE6616">
              <w:rPr>
                <w:rFonts w:eastAsia="Calibri"/>
                <w:sz w:val="20"/>
                <w:lang w:val="fr-CA"/>
              </w:rPr>
              <w:lastRenderedPageBreak/>
              <w:t>Le 25 février 2010</w:t>
            </w:r>
          </w:p>
          <w:p w:rsidR="00DC042B" w:rsidRPr="00BE6616" w:rsidRDefault="00DC042B" w:rsidP="002E3508">
            <w:pPr>
              <w:jc w:val="both"/>
              <w:rPr>
                <w:rFonts w:eastAsia="Calibri"/>
                <w:sz w:val="20"/>
                <w:lang w:val="fr-CA"/>
              </w:rPr>
            </w:pPr>
            <w:r w:rsidRPr="00BE6616">
              <w:rPr>
                <w:rFonts w:eastAsia="Calibri"/>
                <w:sz w:val="20"/>
                <w:lang w:val="fr-CA"/>
              </w:rPr>
              <w:t>Cour du Québec</w:t>
            </w:r>
          </w:p>
          <w:p w:rsidR="00DC042B" w:rsidRPr="00BE6616" w:rsidRDefault="00DC042B" w:rsidP="002E3508">
            <w:pPr>
              <w:jc w:val="both"/>
              <w:rPr>
                <w:rFonts w:eastAsia="Calibri"/>
                <w:sz w:val="20"/>
                <w:lang w:val="fr-CA"/>
              </w:rPr>
            </w:pPr>
            <w:r w:rsidRPr="00BE6616">
              <w:rPr>
                <w:rFonts w:eastAsia="Calibri"/>
                <w:sz w:val="20"/>
                <w:lang w:val="fr-CA"/>
              </w:rPr>
              <w:t>(La juge Quenneville)</w:t>
            </w:r>
          </w:p>
          <w:p w:rsidR="00DC042B" w:rsidRPr="00BE6616" w:rsidRDefault="00DC042B" w:rsidP="002E3508">
            <w:pPr>
              <w:jc w:val="both"/>
              <w:rPr>
                <w:rFonts w:eastAsia="Calibri"/>
                <w:sz w:val="20"/>
                <w:lang w:val="fr-CA"/>
              </w:rPr>
            </w:pPr>
          </w:p>
        </w:tc>
        <w:tc>
          <w:tcPr>
            <w:tcW w:w="243" w:type="pct"/>
          </w:tcPr>
          <w:p w:rsidR="00DC042B" w:rsidRPr="00BE6616" w:rsidRDefault="00DC042B" w:rsidP="002E3508">
            <w:pPr>
              <w:jc w:val="both"/>
              <w:rPr>
                <w:rFonts w:eastAsia="Calibri"/>
                <w:sz w:val="20"/>
                <w:lang w:val="fr-CA"/>
              </w:rPr>
            </w:pPr>
          </w:p>
        </w:tc>
        <w:tc>
          <w:tcPr>
            <w:tcW w:w="2330" w:type="pct"/>
          </w:tcPr>
          <w:p w:rsidR="00DC042B" w:rsidRPr="00BE6616" w:rsidRDefault="00DC042B" w:rsidP="002E3508">
            <w:pPr>
              <w:jc w:val="both"/>
              <w:rPr>
                <w:rFonts w:eastAsia="Calibri"/>
                <w:sz w:val="20"/>
                <w:lang w:val="fr-CA"/>
              </w:rPr>
            </w:pPr>
            <w:r w:rsidRPr="00BE6616">
              <w:rPr>
                <w:rFonts w:eastAsia="Calibri"/>
                <w:sz w:val="20"/>
                <w:lang w:val="fr-CA"/>
              </w:rPr>
              <w:t>Action accueillie en partie; intimée condamnée à payer au demandeur une somme de 1 000 $</w:t>
            </w:r>
          </w:p>
        </w:tc>
      </w:tr>
      <w:tr w:rsidR="00DC042B" w:rsidRPr="00BE6616" w:rsidTr="002E3508">
        <w:tc>
          <w:tcPr>
            <w:tcW w:w="2427" w:type="pct"/>
          </w:tcPr>
          <w:p w:rsidR="00DC042B" w:rsidRPr="00BE6616" w:rsidRDefault="00DC042B" w:rsidP="002E3508">
            <w:pPr>
              <w:jc w:val="both"/>
              <w:rPr>
                <w:rFonts w:eastAsia="Calibri"/>
                <w:sz w:val="20"/>
                <w:lang w:val="fr-CA"/>
              </w:rPr>
            </w:pPr>
            <w:r w:rsidRPr="00BE6616">
              <w:rPr>
                <w:rFonts w:eastAsia="Calibri"/>
                <w:sz w:val="20"/>
                <w:lang w:val="fr-CA"/>
              </w:rPr>
              <w:t>Le 4 février 2011</w:t>
            </w:r>
          </w:p>
          <w:p w:rsidR="00DC042B" w:rsidRPr="00BE6616" w:rsidRDefault="00DC042B" w:rsidP="002E3508">
            <w:pPr>
              <w:jc w:val="both"/>
              <w:rPr>
                <w:rFonts w:eastAsia="Calibri"/>
                <w:sz w:val="20"/>
                <w:lang w:val="fr-CA"/>
              </w:rPr>
            </w:pPr>
            <w:r w:rsidRPr="00BE6616">
              <w:rPr>
                <w:rFonts w:eastAsia="Calibri"/>
                <w:sz w:val="20"/>
                <w:lang w:val="fr-CA"/>
              </w:rPr>
              <w:t>Cour supérieure du Québec</w:t>
            </w:r>
          </w:p>
          <w:p w:rsidR="00DC042B" w:rsidRPr="00BE6616" w:rsidRDefault="00DC042B" w:rsidP="002E3508">
            <w:pPr>
              <w:jc w:val="both"/>
              <w:rPr>
                <w:rFonts w:eastAsia="Calibri"/>
                <w:sz w:val="20"/>
                <w:lang w:val="fr-CA"/>
              </w:rPr>
            </w:pPr>
            <w:r w:rsidRPr="00BE6616">
              <w:rPr>
                <w:rFonts w:eastAsia="Calibri"/>
                <w:sz w:val="20"/>
                <w:lang w:val="fr-CA"/>
              </w:rPr>
              <w:t>(La juge Masse)</w:t>
            </w:r>
          </w:p>
          <w:p w:rsidR="00DC042B" w:rsidRPr="00BE6616" w:rsidRDefault="00DC042B" w:rsidP="002E3508">
            <w:pPr>
              <w:jc w:val="both"/>
              <w:rPr>
                <w:rFonts w:eastAsia="Calibri"/>
                <w:sz w:val="20"/>
                <w:lang w:val="fr-CA"/>
              </w:rPr>
            </w:pPr>
            <w:r w:rsidRPr="00BE6616">
              <w:rPr>
                <w:rFonts w:eastAsia="Calibri"/>
                <w:sz w:val="20"/>
                <w:lang w:val="fr-CA"/>
              </w:rPr>
              <w:t>2011 QCCS 2190</w:t>
            </w:r>
          </w:p>
          <w:p w:rsidR="00DC042B" w:rsidRPr="00BE6616" w:rsidRDefault="00DC042B" w:rsidP="002E3508">
            <w:pPr>
              <w:jc w:val="both"/>
              <w:rPr>
                <w:rFonts w:eastAsia="Calibri"/>
                <w:sz w:val="20"/>
              </w:rPr>
            </w:pPr>
          </w:p>
        </w:tc>
        <w:tc>
          <w:tcPr>
            <w:tcW w:w="243" w:type="pct"/>
          </w:tcPr>
          <w:p w:rsidR="00DC042B" w:rsidRPr="00BE6616" w:rsidRDefault="00DC042B" w:rsidP="002E3508">
            <w:pPr>
              <w:jc w:val="both"/>
              <w:rPr>
                <w:rFonts w:eastAsia="Calibri"/>
                <w:sz w:val="20"/>
              </w:rPr>
            </w:pPr>
          </w:p>
        </w:tc>
        <w:tc>
          <w:tcPr>
            <w:tcW w:w="2330" w:type="pct"/>
          </w:tcPr>
          <w:p w:rsidR="00DC042B" w:rsidRPr="00BE6616" w:rsidRDefault="00DC042B" w:rsidP="002E3508">
            <w:pPr>
              <w:jc w:val="both"/>
              <w:rPr>
                <w:rFonts w:eastAsia="Calibri"/>
                <w:sz w:val="20"/>
                <w:lang w:val="fr-CA"/>
              </w:rPr>
            </w:pPr>
            <w:r w:rsidRPr="00BE6616">
              <w:rPr>
                <w:rFonts w:eastAsia="Calibri"/>
                <w:sz w:val="20"/>
                <w:lang w:val="fr-CA"/>
              </w:rPr>
              <w:t>Requête en révision judiciaire rejetée</w:t>
            </w:r>
          </w:p>
          <w:p w:rsidR="00DC042B" w:rsidRPr="00BE6616" w:rsidRDefault="00DC042B" w:rsidP="002E3508">
            <w:pPr>
              <w:jc w:val="both"/>
              <w:rPr>
                <w:rFonts w:eastAsia="Calibri"/>
                <w:sz w:val="20"/>
                <w:lang w:val="fr-CA"/>
              </w:rPr>
            </w:pPr>
          </w:p>
        </w:tc>
      </w:tr>
      <w:tr w:rsidR="00DC042B" w:rsidRPr="00682661" w:rsidTr="00E07C5C">
        <w:trPr>
          <w:cantSplit/>
        </w:trPr>
        <w:tc>
          <w:tcPr>
            <w:tcW w:w="2427" w:type="pct"/>
          </w:tcPr>
          <w:p w:rsidR="00DC042B" w:rsidRPr="00BE6616" w:rsidRDefault="00DC042B" w:rsidP="002E3508">
            <w:pPr>
              <w:jc w:val="both"/>
              <w:rPr>
                <w:rFonts w:eastAsia="Calibri"/>
                <w:sz w:val="20"/>
                <w:lang w:val="fr-CA"/>
              </w:rPr>
            </w:pPr>
            <w:r w:rsidRPr="00BE6616">
              <w:rPr>
                <w:rFonts w:eastAsia="Calibri"/>
                <w:sz w:val="20"/>
                <w:lang w:val="fr-CA"/>
              </w:rPr>
              <w:t>Le 2 mai 2011</w:t>
            </w:r>
          </w:p>
          <w:p w:rsidR="00DC042B" w:rsidRPr="00BE6616" w:rsidRDefault="00DC042B" w:rsidP="002E3508">
            <w:pPr>
              <w:jc w:val="both"/>
              <w:rPr>
                <w:rFonts w:eastAsia="Calibri"/>
                <w:sz w:val="20"/>
                <w:lang w:val="fr-CA"/>
              </w:rPr>
            </w:pPr>
            <w:r w:rsidRPr="00BE6616">
              <w:rPr>
                <w:rFonts w:eastAsia="Calibri"/>
                <w:sz w:val="20"/>
                <w:lang w:val="fr-CA"/>
              </w:rPr>
              <w:t>Cour d’appel du Québec (Montréal)</w:t>
            </w:r>
          </w:p>
          <w:p w:rsidR="00DC042B" w:rsidRPr="00BE6616" w:rsidRDefault="00DC042B" w:rsidP="002E3508">
            <w:pPr>
              <w:jc w:val="both"/>
              <w:rPr>
                <w:rFonts w:eastAsia="Calibri"/>
                <w:sz w:val="20"/>
                <w:lang w:val="fr-CA"/>
              </w:rPr>
            </w:pPr>
            <w:r w:rsidRPr="00BE6616">
              <w:rPr>
                <w:rFonts w:eastAsia="Calibri"/>
                <w:sz w:val="20"/>
                <w:lang w:val="fr-CA"/>
              </w:rPr>
              <w:t>(Les juges Chamberland, Rochon et Duval Hesler)</w:t>
            </w:r>
          </w:p>
          <w:p w:rsidR="00DC042B" w:rsidRPr="00BE6616" w:rsidRDefault="00DC042B" w:rsidP="002E3508">
            <w:pPr>
              <w:jc w:val="both"/>
              <w:rPr>
                <w:rFonts w:eastAsia="Calibri"/>
                <w:sz w:val="20"/>
                <w:lang w:val="fr-CA"/>
              </w:rPr>
            </w:pPr>
            <w:r w:rsidRPr="00BE6616">
              <w:rPr>
                <w:rFonts w:eastAsia="Calibri"/>
                <w:sz w:val="20"/>
                <w:lang w:val="fr-CA"/>
              </w:rPr>
              <w:t>2011 QCCA 845</w:t>
            </w:r>
          </w:p>
          <w:p w:rsidR="00DC042B" w:rsidRPr="00BE6616" w:rsidRDefault="00DC042B" w:rsidP="002E3508">
            <w:pPr>
              <w:jc w:val="both"/>
              <w:rPr>
                <w:rFonts w:eastAsia="Calibri"/>
                <w:sz w:val="20"/>
                <w:lang w:val="fr-CA"/>
              </w:rPr>
            </w:pPr>
          </w:p>
        </w:tc>
        <w:tc>
          <w:tcPr>
            <w:tcW w:w="243" w:type="pct"/>
          </w:tcPr>
          <w:p w:rsidR="00DC042B" w:rsidRPr="00BE6616" w:rsidRDefault="00DC042B" w:rsidP="002E3508">
            <w:pPr>
              <w:jc w:val="both"/>
              <w:rPr>
                <w:rFonts w:eastAsia="Calibri"/>
                <w:sz w:val="20"/>
                <w:lang w:val="fr-CA"/>
              </w:rPr>
            </w:pPr>
          </w:p>
        </w:tc>
        <w:tc>
          <w:tcPr>
            <w:tcW w:w="2330" w:type="pct"/>
          </w:tcPr>
          <w:p w:rsidR="00DC042B" w:rsidRPr="00BE6616" w:rsidRDefault="00DC042B" w:rsidP="002E3508">
            <w:pPr>
              <w:jc w:val="both"/>
              <w:rPr>
                <w:rFonts w:eastAsia="Calibri"/>
                <w:sz w:val="20"/>
                <w:lang w:val="fr-CA"/>
              </w:rPr>
            </w:pPr>
            <w:r w:rsidRPr="00BE6616">
              <w:rPr>
                <w:rFonts w:eastAsia="Calibri"/>
                <w:sz w:val="20"/>
                <w:lang w:val="fr-CA"/>
              </w:rPr>
              <w:t>Requête pour permission d’appeler hors délai rejetée</w:t>
            </w:r>
          </w:p>
          <w:p w:rsidR="00DC042B" w:rsidRPr="00BE6616" w:rsidRDefault="00DC042B" w:rsidP="002E3508">
            <w:pPr>
              <w:jc w:val="both"/>
              <w:rPr>
                <w:rFonts w:eastAsia="Calibri"/>
                <w:sz w:val="20"/>
                <w:lang w:val="fr-CA"/>
              </w:rPr>
            </w:pPr>
          </w:p>
        </w:tc>
      </w:tr>
      <w:tr w:rsidR="00DC042B" w:rsidRPr="00BE6616" w:rsidTr="00E07C5C">
        <w:trPr>
          <w:cantSplit/>
        </w:trPr>
        <w:tc>
          <w:tcPr>
            <w:tcW w:w="2427" w:type="pct"/>
          </w:tcPr>
          <w:p w:rsidR="00DC042B" w:rsidRPr="00BE6616" w:rsidRDefault="00DC042B" w:rsidP="002E3508">
            <w:pPr>
              <w:jc w:val="both"/>
              <w:rPr>
                <w:rFonts w:eastAsia="Calibri"/>
                <w:sz w:val="20"/>
                <w:lang w:val="fr-CA"/>
              </w:rPr>
            </w:pPr>
            <w:r w:rsidRPr="00BE6616">
              <w:rPr>
                <w:rFonts w:eastAsia="Calibri"/>
                <w:sz w:val="20"/>
                <w:lang w:val="fr-CA"/>
              </w:rPr>
              <w:t>Le 25 mai 2011</w:t>
            </w:r>
          </w:p>
          <w:p w:rsidR="00DC042B" w:rsidRPr="00BE6616" w:rsidRDefault="00DC042B" w:rsidP="002E3508">
            <w:pPr>
              <w:jc w:val="both"/>
              <w:rPr>
                <w:rFonts w:eastAsia="Calibri"/>
                <w:sz w:val="20"/>
                <w:lang w:val="fr-CA"/>
              </w:rPr>
            </w:pPr>
            <w:r w:rsidRPr="00BE6616">
              <w:rPr>
                <w:rFonts w:eastAsia="Calibri"/>
                <w:sz w:val="20"/>
                <w:lang w:val="fr-CA"/>
              </w:rPr>
              <w:t>Cour suprême du Canada</w:t>
            </w:r>
          </w:p>
        </w:tc>
        <w:tc>
          <w:tcPr>
            <w:tcW w:w="243" w:type="pct"/>
          </w:tcPr>
          <w:p w:rsidR="00DC042B" w:rsidRPr="00BE6616" w:rsidRDefault="00DC042B" w:rsidP="002E3508">
            <w:pPr>
              <w:jc w:val="both"/>
              <w:rPr>
                <w:rFonts w:eastAsia="Calibri"/>
                <w:sz w:val="20"/>
                <w:lang w:val="fr-CA"/>
              </w:rPr>
            </w:pPr>
          </w:p>
        </w:tc>
        <w:tc>
          <w:tcPr>
            <w:tcW w:w="2330" w:type="pct"/>
          </w:tcPr>
          <w:p w:rsidR="00DC042B" w:rsidRPr="00BE6616" w:rsidRDefault="00DC042B" w:rsidP="002E3508">
            <w:pPr>
              <w:jc w:val="both"/>
              <w:rPr>
                <w:rFonts w:eastAsia="Calibri"/>
                <w:sz w:val="20"/>
                <w:lang w:val="fr-CA"/>
              </w:rPr>
            </w:pPr>
            <w:r w:rsidRPr="00BE6616">
              <w:rPr>
                <w:rFonts w:eastAsia="Calibri"/>
                <w:sz w:val="20"/>
                <w:lang w:val="fr-CA"/>
              </w:rPr>
              <w:t>Demande d'autorisation d'appel déposée</w:t>
            </w:r>
          </w:p>
          <w:p w:rsidR="00DC042B" w:rsidRPr="00BE6616" w:rsidRDefault="00DC042B" w:rsidP="002E350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88"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07C5C" w:rsidRPr="007C3AB2" w:rsidTr="0087505F">
        <w:trPr>
          <w:cantSplit/>
        </w:trPr>
        <w:tc>
          <w:tcPr>
            <w:tcW w:w="1458" w:type="dxa"/>
          </w:tcPr>
          <w:p w:rsidR="00E07C5C" w:rsidRPr="007C3AB2" w:rsidRDefault="00E07C5C" w:rsidP="0087505F">
            <w:pPr>
              <w:rPr>
                <w:sz w:val="20"/>
                <w:szCs w:val="20"/>
              </w:rPr>
            </w:pPr>
            <w:r w:rsidRPr="007C3AB2">
              <w:rPr>
                <w:rStyle w:val="SCCFileNumberChar"/>
                <w:sz w:val="20"/>
                <w:szCs w:val="20"/>
              </w:rPr>
              <w:t>34299</w:t>
            </w:r>
          </w:p>
          <w:p w:rsidR="00E07C5C" w:rsidRPr="007C3AB2" w:rsidRDefault="00E07C5C" w:rsidP="0087505F">
            <w:pPr>
              <w:rPr>
                <w:b/>
                <w:sz w:val="20"/>
                <w:szCs w:val="20"/>
                <w:lang w:val="fr-CA"/>
              </w:rPr>
            </w:pPr>
          </w:p>
        </w:tc>
        <w:tc>
          <w:tcPr>
            <w:tcW w:w="8118" w:type="dxa"/>
          </w:tcPr>
          <w:p w:rsidR="00E07C5C" w:rsidRPr="007C3AB2" w:rsidRDefault="00E07C5C" w:rsidP="0087505F">
            <w:pPr>
              <w:jc w:val="both"/>
              <w:rPr>
                <w:sz w:val="20"/>
                <w:szCs w:val="20"/>
              </w:rPr>
            </w:pPr>
            <w:r w:rsidRPr="00E07C5C">
              <w:rPr>
                <w:rStyle w:val="SCCLsocChar"/>
                <w:sz w:val="20"/>
                <w:szCs w:val="20"/>
                <w:lang w:val="en-CA"/>
              </w:rPr>
              <w:t>Nizar Solehdin</w:t>
            </w:r>
            <w:r w:rsidR="001762AB">
              <w:rPr>
                <w:rStyle w:val="SCCLsocChar"/>
                <w:sz w:val="20"/>
                <w:szCs w:val="20"/>
                <w:lang w:val="en-CA"/>
              </w:rPr>
              <w:t xml:space="preserve"> and</w:t>
            </w:r>
            <w:r w:rsidRPr="00E07C5C">
              <w:rPr>
                <w:rStyle w:val="SCCLsocChar"/>
                <w:sz w:val="20"/>
                <w:szCs w:val="20"/>
                <w:lang w:val="en-CA"/>
              </w:rPr>
              <w:t xml:space="preserve"> Yasmeen Solehdin v. Capital One, National Association formerly known as Hibernia National Bank</w:t>
            </w:r>
            <w:r w:rsidRPr="007C3AB2">
              <w:rPr>
                <w:sz w:val="20"/>
                <w:szCs w:val="20"/>
              </w:rPr>
              <w:t xml:space="preserve"> (Ont.) (Civil) (By Leave)</w:t>
            </w:r>
          </w:p>
          <w:p w:rsidR="00E07C5C" w:rsidRPr="007C3AB2" w:rsidRDefault="00E07C5C" w:rsidP="0087505F">
            <w:pPr>
              <w:rPr>
                <w:sz w:val="20"/>
                <w:szCs w:val="20"/>
              </w:rPr>
            </w:pPr>
          </w:p>
        </w:tc>
      </w:tr>
      <w:tr w:rsidR="00E07C5C" w:rsidRPr="007C3AB2" w:rsidTr="0087505F">
        <w:trPr>
          <w:cantSplit/>
        </w:trPr>
        <w:tc>
          <w:tcPr>
            <w:tcW w:w="1458" w:type="dxa"/>
          </w:tcPr>
          <w:p w:rsidR="00E07C5C" w:rsidRPr="007C3AB2" w:rsidRDefault="00E07C5C" w:rsidP="0087505F">
            <w:pPr>
              <w:rPr>
                <w:sz w:val="20"/>
                <w:szCs w:val="20"/>
              </w:rPr>
            </w:pPr>
            <w:r w:rsidRPr="007C3AB2">
              <w:rPr>
                <w:sz w:val="20"/>
                <w:szCs w:val="20"/>
              </w:rPr>
              <w:t>Coram :</w:t>
            </w:r>
          </w:p>
        </w:tc>
        <w:tc>
          <w:tcPr>
            <w:tcW w:w="8118" w:type="dxa"/>
          </w:tcPr>
          <w:p w:rsidR="00E07C5C" w:rsidRPr="007C3AB2" w:rsidRDefault="00E07C5C" w:rsidP="0087505F">
            <w:pPr>
              <w:rPr>
                <w:sz w:val="20"/>
                <w:szCs w:val="20"/>
              </w:rPr>
            </w:pPr>
            <w:r w:rsidRPr="007C3AB2">
              <w:rPr>
                <w:rStyle w:val="SCCCoramChar"/>
                <w:sz w:val="20"/>
                <w:szCs w:val="20"/>
              </w:rPr>
              <w:t>Binnie, Abella and Rothstein JJ.</w:t>
            </w:r>
          </w:p>
          <w:p w:rsidR="00E07C5C" w:rsidRPr="007C3AB2" w:rsidRDefault="00E07C5C" w:rsidP="0087505F">
            <w:pPr>
              <w:rPr>
                <w:sz w:val="20"/>
                <w:szCs w:val="20"/>
                <w:u w:val="single"/>
              </w:rPr>
            </w:pPr>
          </w:p>
        </w:tc>
      </w:tr>
      <w:tr w:rsidR="00E07C5C" w:rsidRPr="00682661" w:rsidTr="0087505F">
        <w:trPr>
          <w:cantSplit/>
        </w:trPr>
        <w:tc>
          <w:tcPr>
            <w:tcW w:w="9576" w:type="dxa"/>
            <w:gridSpan w:val="2"/>
          </w:tcPr>
          <w:p w:rsidR="00E07C5C" w:rsidRPr="007C3AB2" w:rsidRDefault="00E07C5C" w:rsidP="0087505F">
            <w:pPr>
              <w:pStyle w:val="SCCShortJudgment"/>
              <w:rPr>
                <w:szCs w:val="20"/>
              </w:rPr>
            </w:pPr>
            <w:r w:rsidRPr="007C3AB2">
              <w:rPr>
                <w:szCs w:val="20"/>
              </w:rPr>
              <w:t>The application for leave to appeal from the judgment of the Court of Appeal for Ontario, Number C51846, 2011 ONCA 286, dated April 7, 2011, is dismissed with costs.</w:t>
            </w:r>
          </w:p>
          <w:p w:rsidR="00E07C5C" w:rsidRPr="007C3AB2" w:rsidRDefault="00E07C5C" w:rsidP="0087505F">
            <w:pPr>
              <w:pStyle w:val="SCCShortJudgment"/>
              <w:ind w:firstLine="0"/>
              <w:rPr>
                <w:szCs w:val="20"/>
              </w:rPr>
            </w:pPr>
          </w:p>
          <w:p w:rsidR="00E07C5C" w:rsidRPr="007C3AB2" w:rsidRDefault="00E07C5C" w:rsidP="0087505F">
            <w:pPr>
              <w:pStyle w:val="SCCShortJudgment"/>
              <w:rPr>
                <w:szCs w:val="20"/>
                <w:lang w:val="fr-CA"/>
              </w:rPr>
            </w:pPr>
            <w:r w:rsidRPr="007C3AB2">
              <w:rPr>
                <w:szCs w:val="20"/>
                <w:lang w:val="fr-CA"/>
              </w:rPr>
              <w:t>La demande d’autorisation d’appel de l’arrêt de la Cour d’appel de l’Ontario, numéro C51846, 2011 ONCA 286, daté du 7 avril 2011, est rejetée avec dépens.</w:t>
            </w:r>
          </w:p>
        </w:tc>
      </w:tr>
    </w:tbl>
    <w:p w:rsidR="00E07C5C" w:rsidRPr="00E07C5C" w:rsidRDefault="00E07C5C" w:rsidP="007B50F9">
      <w:pPr>
        <w:rPr>
          <w:sz w:val="20"/>
          <w:szCs w:val="20"/>
          <w:lang w:val="fr-CA"/>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C042B" w:rsidRPr="00BE6616" w:rsidTr="002E3508">
        <w:tc>
          <w:tcPr>
            <w:tcW w:w="5000" w:type="pct"/>
            <w:gridSpan w:val="3"/>
          </w:tcPr>
          <w:p w:rsidR="00DC042B" w:rsidRPr="00BE6616" w:rsidRDefault="00DC042B" w:rsidP="002E3508">
            <w:pPr>
              <w:jc w:val="both"/>
              <w:rPr>
                <w:rFonts w:eastAsia="Calibri"/>
                <w:sz w:val="20"/>
              </w:rPr>
            </w:pPr>
            <w:r w:rsidRPr="00BE6616">
              <w:rPr>
                <w:rFonts w:eastAsia="Calibri"/>
                <w:sz w:val="20"/>
              </w:rPr>
              <w:t xml:space="preserve">Private international law — Foreign judgments — Recognition and enforcement — Jurisdiction — Lack of subject matter jurisdiction by foreign court — Application to recognize in Ontario two judgments of the Bankruptcy Court of </w:t>
            </w:r>
            <w:r w:rsidRPr="00BE6616">
              <w:rPr>
                <w:rFonts w:eastAsia="Calibri"/>
                <w:sz w:val="20"/>
              </w:rPr>
              <w:lastRenderedPageBreak/>
              <w:t xml:space="preserve">Louisiana granted — Whether fundamental Canadian principles of law require a Canadian court to inquire beyond the territorial “real and substantial connection” test established in </w:t>
            </w:r>
            <w:r w:rsidRPr="00BE6616">
              <w:rPr>
                <w:rFonts w:eastAsia="Calibri"/>
                <w:i/>
                <w:sz w:val="20"/>
              </w:rPr>
              <w:t>Morguard Investments Ltd. v. De Savoye</w:t>
            </w:r>
            <w:r w:rsidRPr="00BE6616">
              <w:rPr>
                <w:rFonts w:eastAsia="Calibri"/>
                <w:sz w:val="20"/>
              </w:rPr>
              <w:t xml:space="preserve"> and </w:t>
            </w:r>
            <w:r w:rsidRPr="00BE6616">
              <w:rPr>
                <w:rFonts w:eastAsia="Calibri"/>
                <w:i/>
                <w:sz w:val="20"/>
              </w:rPr>
              <w:t>Beals v. Saldhana</w:t>
            </w:r>
            <w:r w:rsidRPr="00BE6616">
              <w:rPr>
                <w:rFonts w:eastAsia="Calibri"/>
                <w:sz w:val="20"/>
              </w:rPr>
              <w:t xml:space="preserve"> where there is cogent evidence that the foreign court was a specialized statutory court whose jurisdiction was strictly limited and that it did not have jurisdiction under its enabling statute to hear or decide the case.</w:t>
            </w:r>
          </w:p>
        </w:tc>
      </w:tr>
      <w:tr w:rsidR="00DC042B" w:rsidRPr="00BE6616" w:rsidTr="002E3508">
        <w:tc>
          <w:tcPr>
            <w:tcW w:w="5000" w:type="pct"/>
            <w:gridSpan w:val="3"/>
          </w:tcPr>
          <w:p w:rsidR="00DC042B" w:rsidRPr="00BE6616" w:rsidRDefault="00DC042B" w:rsidP="002E3508">
            <w:pPr>
              <w:jc w:val="both"/>
              <w:rPr>
                <w:rFonts w:eastAsia="Calibri"/>
                <w:sz w:val="20"/>
              </w:rPr>
            </w:pPr>
          </w:p>
        </w:tc>
      </w:tr>
      <w:tr w:rsidR="00DC042B" w:rsidRPr="00BE6616" w:rsidTr="002E3508">
        <w:tc>
          <w:tcPr>
            <w:tcW w:w="5000" w:type="pct"/>
            <w:gridSpan w:val="3"/>
          </w:tcPr>
          <w:p w:rsidR="00DC042B" w:rsidRPr="00BE6616" w:rsidRDefault="00DC042B" w:rsidP="002E3508">
            <w:pPr>
              <w:jc w:val="both"/>
              <w:rPr>
                <w:rFonts w:eastAsia="Calibri"/>
                <w:sz w:val="20"/>
              </w:rPr>
            </w:pPr>
            <w:r w:rsidRPr="00BE6616">
              <w:rPr>
                <w:rFonts w:eastAsia="Calibri"/>
                <w:sz w:val="20"/>
              </w:rPr>
              <w:t>The respondent obtained two monetary judgments in the Bankruptcy Court of Louisiana against the applicants based on loan guarantees. It applied to the Ontario Superior Court of Justice to have the judgments recognized and enforced in Ontario.  The applicants argued that the judgments should not be recognized as the Bankruptcy Court of Louisiana acted outside of its jurisdiction and was not capable of rendering the judgments.  The Superior Court granted the application to recognize the judgments and the Court of Appeal dismissed the appeal.  The Court of Appeal concluded that the applicants participated in the Louisiana proceedings, specifically raised the issue of the Louisiana Bankruptcy Court’s subject matter jurisdiction, and failed to appeal the Louisiana Bankruptcy Court’s determination that it had subject matter jurisdiction, and therefore that it was not open to them to re</w:t>
            </w:r>
            <w:r w:rsidRPr="00BE6616">
              <w:rPr>
                <w:rFonts w:eastAsia="Calibri"/>
                <w:sz w:val="20"/>
              </w:rPr>
              <w:noBreakHyphen/>
              <w:t>litigate the issue of subject matter jurisdiction in Ontario.</w:t>
            </w:r>
          </w:p>
          <w:p w:rsidR="00DC042B" w:rsidRPr="00BE6616" w:rsidRDefault="00DC042B" w:rsidP="002E3508">
            <w:pPr>
              <w:jc w:val="both"/>
              <w:rPr>
                <w:rFonts w:eastAsia="Calibri"/>
                <w:sz w:val="20"/>
              </w:rPr>
            </w:pPr>
          </w:p>
        </w:tc>
      </w:tr>
      <w:tr w:rsidR="00DC042B" w:rsidRPr="00BE6616" w:rsidTr="002E3508">
        <w:tc>
          <w:tcPr>
            <w:tcW w:w="2427" w:type="pct"/>
          </w:tcPr>
          <w:p w:rsidR="00DC042B" w:rsidRPr="00BE6616" w:rsidRDefault="00DC042B" w:rsidP="002E3508">
            <w:pPr>
              <w:jc w:val="both"/>
              <w:rPr>
                <w:rFonts w:eastAsia="Calibri"/>
                <w:sz w:val="20"/>
              </w:rPr>
            </w:pPr>
            <w:r w:rsidRPr="00BE6616">
              <w:rPr>
                <w:rFonts w:eastAsia="Calibri"/>
                <w:sz w:val="20"/>
              </w:rPr>
              <w:t>March 2, 2010</w:t>
            </w:r>
          </w:p>
          <w:p w:rsidR="00DC042B" w:rsidRPr="00BE6616" w:rsidRDefault="00DC042B" w:rsidP="002E3508">
            <w:pPr>
              <w:jc w:val="both"/>
              <w:rPr>
                <w:rFonts w:eastAsia="Calibri"/>
                <w:sz w:val="20"/>
              </w:rPr>
            </w:pPr>
            <w:r w:rsidRPr="00BE6616">
              <w:rPr>
                <w:rFonts w:eastAsia="Calibri"/>
                <w:sz w:val="20"/>
              </w:rPr>
              <w:t>Ontario Superior Court of Justice</w:t>
            </w:r>
          </w:p>
          <w:p w:rsidR="00DC042B" w:rsidRPr="00BE6616" w:rsidRDefault="00DC042B" w:rsidP="002E3508">
            <w:pPr>
              <w:jc w:val="both"/>
              <w:rPr>
                <w:rFonts w:eastAsia="Calibri"/>
                <w:sz w:val="20"/>
              </w:rPr>
            </w:pPr>
            <w:r w:rsidRPr="00BE6616">
              <w:rPr>
                <w:rFonts w:eastAsia="Calibri"/>
                <w:sz w:val="20"/>
              </w:rPr>
              <w:t>(Leitch J.)</w:t>
            </w:r>
          </w:p>
          <w:p w:rsidR="00DC042B" w:rsidRPr="00BE6616" w:rsidRDefault="00DC042B" w:rsidP="002E3508">
            <w:pPr>
              <w:jc w:val="both"/>
              <w:rPr>
                <w:rFonts w:eastAsia="Calibri"/>
                <w:sz w:val="20"/>
              </w:rPr>
            </w:pPr>
            <w:r w:rsidRPr="00BE6616">
              <w:rPr>
                <w:rFonts w:eastAsia="Calibri"/>
                <w:sz w:val="20"/>
              </w:rPr>
              <w:t>2010 ONSC 1012</w:t>
            </w:r>
          </w:p>
          <w:p w:rsidR="00DC042B" w:rsidRPr="00BE6616" w:rsidRDefault="00DC042B" w:rsidP="002E3508">
            <w:pPr>
              <w:jc w:val="both"/>
              <w:rPr>
                <w:rFonts w:eastAsia="Calibri"/>
                <w:sz w:val="20"/>
              </w:rPr>
            </w:pPr>
          </w:p>
        </w:tc>
        <w:tc>
          <w:tcPr>
            <w:tcW w:w="243" w:type="pct"/>
          </w:tcPr>
          <w:p w:rsidR="00DC042B" w:rsidRPr="00BE6616" w:rsidRDefault="00DC042B" w:rsidP="002E3508">
            <w:pPr>
              <w:jc w:val="both"/>
              <w:rPr>
                <w:rFonts w:eastAsia="Calibri"/>
                <w:sz w:val="20"/>
              </w:rPr>
            </w:pPr>
          </w:p>
        </w:tc>
        <w:tc>
          <w:tcPr>
            <w:tcW w:w="2330" w:type="pct"/>
          </w:tcPr>
          <w:p w:rsidR="00DC042B" w:rsidRPr="00BE6616" w:rsidRDefault="00DC042B" w:rsidP="002E3508">
            <w:pPr>
              <w:jc w:val="both"/>
              <w:rPr>
                <w:rFonts w:eastAsia="Calibri"/>
                <w:sz w:val="20"/>
              </w:rPr>
            </w:pPr>
            <w:r w:rsidRPr="00BE6616">
              <w:rPr>
                <w:rFonts w:eastAsia="Calibri"/>
                <w:sz w:val="20"/>
              </w:rPr>
              <w:t>Application for recognition and enforcement of two judgments of the Louisiana Bankruptcy Court granted</w:t>
            </w:r>
          </w:p>
          <w:p w:rsidR="00DC042B" w:rsidRPr="00BE6616" w:rsidRDefault="00DC042B" w:rsidP="002E3508">
            <w:pPr>
              <w:jc w:val="both"/>
              <w:rPr>
                <w:rFonts w:eastAsia="Calibri"/>
                <w:sz w:val="20"/>
              </w:rPr>
            </w:pPr>
          </w:p>
        </w:tc>
      </w:tr>
      <w:tr w:rsidR="00DC042B" w:rsidRPr="00BE6616" w:rsidTr="002E3508">
        <w:tc>
          <w:tcPr>
            <w:tcW w:w="2427" w:type="pct"/>
          </w:tcPr>
          <w:p w:rsidR="00DC042B" w:rsidRPr="00BE6616" w:rsidRDefault="00DC042B" w:rsidP="002E3508">
            <w:pPr>
              <w:jc w:val="both"/>
              <w:rPr>
                <w:rFonts w:eastAsia="Calibri"/>
                <w:sz w:val="20"/>
              </w:rPr>
            </w:pPr>
            <w:r w:rsidRPr="00BE6616">
              <w:rPr>
                <w:rFonts w:eastAsia="Calibri"/>
                <w:sz w:val="20"/>
              </w:rPr>
              <w:t>April 7, 2011</w:t>
            </w:r>
          </w:p>
          <w:p w:rsidR="00DC042B" w:rsidRPr="00BE6616" w:rsidRDefault="00DC042B" w:rsidP="002E3508">
            <w:pPr>
              <w:jc w:val="both"/>
              <w:rPr>
                <w:rFonts w:eastAsia="Calibri"/>
                <w:sz w:val="20"/>
              </w:rPr>
            </w:pPr>
            <w:r w:rsidRPr="00BE6616">
              <w:rPr>
                <w:rFonts w:eastAsia="Calibri"/>
                <w:sz w:val="20"/>
              </w:rPr>
              <w:t>Court of Appeal for Ontario</w:t>
            </w:r>
          </w:p>
          <w:p w:rsidR="00DC042B" w:rsidRPr="00BE6616" w:rsidRDefault="00DC042B" w:rsidP="002E3508">
            <w:pPr>
              <w:jc w:val="both"/>
              <w:rPr>
                <w:rFonts w:eastAsia="Calibri"/>
                <w:sz w:val="20"/>
              </w:rPr>
            </w:pPr>
            <w:r w:rsidRPr="00BE6616">
              <w:rPr>
                <w:rFonts w:eastAsia="Calibri"/>
                <w:sz w:val="20"/>
              </w:rPr>
              <w:t>(Weiler, Simmons and Epstein JJ.A.)</w:t>
            </w:r>
          </w:p>
          <w:p w:rsidR="00DC042B" w:rsidRPr="00BE6616" w:rsidRDefault="00DC042B" w:rsidP="002E3508">
            <w:pPr>
              <w:jc w:val="both"/>
              <w:rPr>
                <w:rFonts w:eastAsia="Calibri"/>
                <w:sz w:val="20"/>
              </w:rPr>
            </w:pPr>
            <w:r w:rsidRPr="00BE6616">
              <w:rPr>
                <w:rFonts w:eastAsia="Calibri"/>
                <w:sz w:val="20"/>
              </w:rPr>
              <w:t>2011 ONCA 286</w:t>
            </w:r>
          </w:p>
          <w:p w:rsidR="00DC042B" w:rsidRPr="00BE6616" w:rsidRDefault="00DC042B" w:rsidP="002E3508">
            <w:pPr>
              <w:jc w:val="both"/>
              <w:rPr>
                <w:rFonts w:eastAsia="Calibri"/>
                <w:sz w:val="20"/>
              </w:rPr>
            </w:pPr>
          </w:p>
        </w:tc>
        <w:tc>
          <w:tcPr>
            <w:tcW w:w="243" w:type="pct"/>
          </w:tcPr>
          <w:p w:rsidR="00DC042B" w:rsidRPr="00BE6616" w:rsidRDefault="00DC042B" w:rsidP="002E3508">
            <w:pPr>
              <w:jc w:val="both"/>
              <w:rPr>
                <w:rFonts w:eastAsia="Calibri"/>
                <w:sz w:val="20"/>
              </w:rPr>
            </w:pPr>
          </w:p>
        </w:tc>
        <w:tc>
          <w:tcPr>
            <w:tcW w:w="2330" w:type="pct"/>
          </w:tcPr>
          <w:p w:rsidR="00DC042B" w:rsidRPr="00BE6616" w:rsidRDefault="00DC042B" w:rsidP="002E3508">
            <w:pPr>
              <w:jc w:val="both"/>
              <w:rPr>
                <w:rFonts w:eastAsia="Calibri"/>
                <w:sz w:val="20"/>
              </w:rPr>
            </w:pPr>
            <w:r w:rsidRPr="00BE6616">
              <w:rPr>
                <w:rFonts w:eastAsia="Calibri"/>
                <w:sz w:val="20"/>
              </w:rPr>
              <w:t>Appeal dismissed</w:t>
            </w:r>
          </w:p>
          <w:p w:rsidR="00DC042B" w:rsidRPr="00BE6616" w:rsidRDefault="00DC042B" w:rsidP="002E3508">
            <w:pPr>
              <w:jc w:val="both"/>
              <w:rPr>
                <w:rFonts w:eastAsia="Calibri"/>
                <w:sz w:val="20"/>
              </w:rPr>
            </w:pPr>
          </w:p>
        </w:tc>
      </w:tr>
      <w:tr w:rsidR="00DC042B" w:rsidRPr="00BE6616" w:rsidTr="00E07C5C">
        <w:trPr>
          <w:cantSplit/>
        </w:trPr>
        <w:tc>
          <w:tcPr>
            <w:tcW w:w="2427" w:type="pct"/>
          </w:tcPr>
          <w:p w:rsidR="00DC042B" w:rsidRPr="00BE6616" w:rsidRDefault="00DC042B" w:rsidP="002E3508">
            <w:pPr>
              <w:jc w:val="both"/>
              <w:rPr>
                <w:rFonts w:eastAsia="Calibri"/>
                <w:sz w:val="20"/>
              </w:rPr>
            </w:pPr>
            <w:r w:rsidRPr="00BE6616">
              <w:rPr>
                <w:rFonts w:eastAsia="Calibri"/>
                <w:sz w:val="20"/>
              </w:rPr>
              <w:t>June 6, 2011</w:t>
            </w:r>
          </w:p>
          <w:p w:rsidR="00DC042B" w:rsidRPr="00BE6616" w:rsidRDefault="00DC042B" w:rsidP="002E3508">
            <w:pPr>
              <w:jc w:val="both"/>
              <w:rPr>
                <w:rFonts w:eastAsia="Calibri"/>
                <w:sz w:val="20"/>
              </w:rPr>
            </w:pPr>
            <w:r w:rsidRPr="00BE6616">
              <w:rPr>
                <w:rFonts w:eastAsia="Calibri"/>
                <w:sz w:val="20"/>
              </w:rPr>
              <w:t>Supreme Court of Canada</w:t>
            </w:r>
          </w:p>
        </w:tc>
        <w:tc>
          <w:tcPr>
            <w:tcW w:w="243" w:type="pct"/>
          </w:tcPr>
          <w:p w:rsidR="00DC042B" w:rsidRPr="00BE6616" w:rsidRDefault="00DC042B" w:rsidP="002E3508">
            <w:pPr>
              <w:jc w:val="both"/>
              <w:rPr>
                <w:rFonts w:eastAsia="Calibri"/>
                <w:sz w:val="20"/>
              </w:rPr>
            </w:pPr>
          </w:p>
        </w:tc>
        <w:tc>
          <w:tcPr>
            <w:tcW w:w="2330" w:type="pct"/>
          </w:tcPr>
          <w:p w:rsidR="00DC042B" w:rsidRPr="00BE6616" w:rsidRDefault="00DC042B" w:rsidP="002E3508">
            <w:pPr>
              <w:jc w:val="both"/>
              <w:rPr>
                <w:rFonts w:eastAsia="Calibri"/>
                <w:sz w:val="20"/>
              </w:rPr>
            </w:pPr>
            <w:r w:rsidRPr="00BE6616">
              <w:rPr>
                <w:rFonts w:eastAsia="Calibri"/>
                <w:sz w:val="20"/>
              </w:rPr>
              <w:t>Application for leave to appeal filed</w:t>
            </w:r>
          </w:p>
          <w:p w:rsidR="00DC042B" w:rsidRPr="00BE6616" w:rsidRDefault="00DC042B" w:rsidP="002E350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89"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DC042B" w:rsidRPr="00682661" w:rsidTr="002E3508">
        <w:tc>
          <w:tcPr>
            <w:tcW w:w="5000" w:type="pct"/>
            <w:gridSpan w:val="3"/>
          </w:tcPr>
          <w:p w:rsidR="00DC042B" w:rsidRPr="00BE6616" w:rsidRDefault="00DC042B" w:rsidP="002E3508">
            <w:pPr>
              <w:jc w:val="both"/>
              <w:rPr>
                <w:rFonts w:eastAsia="Calibri"/>
                <w:sz w:val="20"/>
                <w:lang w:val="fr-CA"/>
              </w:rPr>
            </w:pPr>
            <w:r w:rsidRPr="00BE6616">
              <w:rPr>
                <w:rFonts w:eastAsia="Calibri"/>
                <w:sz w:val="20"/>
                <w:lang w:val="fr-CA"/>
              </w:rPr>
              <w:t xml:space="preserve">Droit international privé — Jugements étrangers — Reconnaissance et exécution — Compétence </w:t>
            </w:r>
            <w:r w:rsidRPr="00BE6616">
              <w:rPr>
                <w:rFonts w:eastAsia="Calibri"/>
                <w:sz w:val="20"/>
                <w:lang w:val="fr-CA"/>
              </w:rPr>
              <w:noBreakHyphen/>
              <w:t xml:space="preserve"> Absence de compétence d'attribution du tribunal étranger — Demande de reconnaissance en Ontario de deux jugements du tribunal de la faillite de la Louisiane — Les principes fondamentaux du droit canadien obligent</w:t>
            </w:r>
            <w:r w:rsidRPr="00BE6616">
              <w:rPr>
                <w:rFonts w:eastAsia="Calibri"/>
                <w:sz w:val="20"/>
                <w:lang w:val="fr-CA"/>
              </w:rPr>
              <w:noBreakHyphen/>
              <w:t>ils un tribunal canadien à pousser son enquête au</w:t>
            </w:r>
            <w:r w:rsidRPr="00BE6616">
              <w:rPr>
                <w:rFonts w:eastAsia="Calibri"/>
                <w:sz w:val="20"/>
                <w:lang w:val="fr-CA"/>
              </w:rPr>
              <w:noBreakHyphen/>
              <w:t xml:space="preserve">delà du critère de compétence territoriale du « lien réel et substantiel » établi dans les arrêts </w:t>
            </w:r>
            <w:r w:rsidRPr="00BE6616">
              <w:rPr>
                <w:rFonts w:eastAsia="Calibri"/>
                <w:i/>
                <w:sz w:val="20"/>
                <w:lang w:val="fr-CA"/>
              </w:rPr>
              <w:t>Morguard Investments Ltd. c. De Savoye</w:t>
            </w:r>
            <w:r w:rsidRPr="00BE6616">
              <w:rPr>
                <w:rFonts w:eastAsia="Calibri"/>
                <w:sz w:val="20"/>
                <w:lang w:val="fr-CA"/>
              </w:rPr>
              <w:t xml:space="preserve"> et </w:t>
            </w:r>
            <w:r w:rsidRPr="00BE6616">
              <w:rPr>
                <w:rFonts w:eastAsia="Calibri"/>
                <w:i/>
                <w:sz w:val="20"/>
                <w:lang w:val="fr-CA"/>
              </w:rPr>
              <w:t>Beals c. Saldhana</w:t>
            </w:r>
            <w:r w:rsidRPr="00BE6616">
              <w:rPr>
                <w:rFonts w:eastAsia="Calibri"/>
                <w:sz w:val="20"/>
                <w:lang w:val="fr-CA"/>
              </w:rPr>
              <w:t xml:space="preserve"> lorsqu'il y a une preuve convaincante selon laquelle le tribunal étranger était un tribunal spécialisé créé par la loi dont la compétence était strictement limitée et qu'il n'avait pas compétence en vertu de sa loi habilitante d'instruire ou de juger l'affaire?</w:t>
            </w:r>
          </w:p>
        </w:tc>
      </w:tr>
      <w:tr w:rsidR="00DC042B" w:rsidRPr="00682661" w:rsidTr="002E3508">
        <w:tc>
          <w:tcPr>
            <w:tcW w:w="5000" w:type="pct"/>
            <w:gridSpan w:val="3"/>
          </w:tcPr>
          <w:p w:rsidR="00DC042B" w:rsidRPr="00BE6616" w:rsidRDefault="00DC042B" w:rsidP="002E3508">
            <w:pPr>
              <w:jc w:val="both"/>
              <w:rPr>
                <w:rFonts w:eastAsia="Calibri"/>
                <w:sz w:val="20"/>
                <w:lang w:val="fr-CA"/>
              </w:rPr>
            </w:pPr>
          </w:p>
        </w:tc>
      </w:tr>
      <w:tr w:rsidR="00DC042B" w:rsidRPr="00682661" w:rsidTr="002E3508">
        <w:tc>
          <w:tcPr>
            <w:tcW w:w="5000" w:type="pct"/>
            <w:gridSpan w:val="3"/>
          </w:tcPr>
          <w:p w:rsidR="00DC042B" w:rsidRPr="00BE6616" w:rsidRDefault="00DC042B" w:rsidP="002E3508">
            <w:pPr>
              <w:jc w:val="both"/>
              <w:rPr>
                <w:rFonts w:eastAsia="Calibri"/>
                <w:sz w:val="20"/>
                <w:lang w:val="fr-CA"/>
              </w:rPr>
            </w:pPr>
            <w:r w:rsidRPr="00BE6616">
              <w:rPr>
                <w:rFonts w:eastAsia="Calibri"/>
                <w:sz w:val="20"/>
                <w:lang w:val="fr-CA"/>
              </w:rPr>
              <w:t>L’intimée a obtenu deux jugements pécuniaires rendus par le tribunal de la faillite de la Louisiane contre les demandeurs fondés sur des garanties de prêts.  Elle a présenté une demande à la Cour supérieure de justice de l'Ontario pour faire reconnaître et exécuter les jugements en Ontario.  Les demandeurs ont plaidé que les jugements ne devaient pas être reconnus, puisque le tribunal de la faillite de la Louisiane avait outrepassé sa compétence et n'était pas capable de rendre les jugements.  La Cour supérieure a accueilli la demande de reconnaissance des jugements et la Cour d'appel a rejeté l'appel.  La Cour d'appel a conclu que les demandeurs avaient participé à l'instance en Louisiane, qu'ils avaient expressément soulevé la question de la compétence d'attribution du tribunal de la faillite de la Louisiane et qu'ils avaient omis d'interjeter appel de la décision de ce tribunal comme quoi il avait la compétence d'attribution, si bien qu’il ne leur était pas loisible de remettre en litige la question de la compétence d'attribution en Ontario.</w:t>
            </w:r>
          </w:p>
          <w:p w:rsidR="00DC042B" w:rsidRPr="00BE6616" w:rsidRDefault="00DC042B" w:rsidP="002E3508">
            <w:pPr>
              <w:jc w:val="both"/>
              <w:rPr>
                <w:rFonts w:eastAsia="Calibri"/>
                <w:sz w:val="20"/>
                <w:lang w:val="fr-CA"/>
              </w:rPr>
            </w:pPr>
          </w:p>
        </w:tc>
      </w:tr>
      <w:tr w:rsidR="00DC042B" w:rsidRPr="00682661" w:rsidTr="002E3508">
        <w:tc>
          <w:tcPr>
            <w:tcW w:w="2427" w:type="pct"/>
          </w:tcPr>
          <w:p w:rsidR="00DC042B" w:rsidRPr="00BE6616" w:rsidRDefault="00DC042B" w:rsidP="002E3508">
            <w:pPr>
              <w:jc w:val="both"/>
              <w:rPr>
                <w:rFonts w:eastAsia="Calibri"/>
                <w:sz w:val="20"/>
                <w:lang w:val="fr-CA"/>
              </w:rPr>
            </w:pPr>
            <w:r w:rsidRPr="00BE6616">
              <w:rPr>
                <w:rFonts w:eastAsia="Calibri"/>
                <w:sz w:val="20"/>
                <w:lang w:val="fr-CA"/>
              </w:rPr>
              <w:lastRenderedPageBreak/>
              <w:t>2 mars 2010</w:t>
            </w:r>
          </w:p>
          <w:p w:rsidR="00DC042B" w:rsidRPr="00BE6616" w:rsidRDefault="00DC042B" w:rsidP="002E3508">
            <w:pPr>
              <w:jc w:val="both"/>
              <w:rPr>
                <w:rFonts w:eastAsia="Calibri"/>
                <w:sz w:val="20"/>
                <w:lang w:val="fr-CA"/>
              </w:rPr>
            </w:pPr>
            <w:r w:rsidRPr="00BE6616">
              <w:rPr>
                <w:rFonts w:eastAsia="Calibri"/>
                <w:sz w:val="20"/>
                <w:lang w:val="fr-CA"/>
              </w:rPr>
              <w:t xml:space="preserve">Cour supérieure de justice de l'Ontario </w:t>
            </w:r>
          </w:p>
          <w:p w:rsidR="00DC042B" w:rsidRPr="00BE6616" w:rsidRDefault="00DC042B" w:rsidP="002E3508">
            <w:pPr>
              <w:jc w:val="both"/>
              <w:rPr>
                <w:rFonts w:eastAsia="Calibri"/>
                <w:sz w:val="20"/>
                <w:lang w:val="fr-CA"/>
              </w:rPr>
            </w:pPr>
            <w:r w:rsidRPr="00BE6616">
              <w:rPr>
                <w:rFonts w:eastAsia="Calibri"/>
                <w:sz w:val="20"/>
                <w:lang w:val="fr-CA"/>
              </w:rPr>
              <w:t>(Juge Leitch)</w:t>
            </w:r>
          </w:p>
          <w:p w:rsidR="00DC042B" w:rsidRPr="00BE6616" w:rsidRDefault="00DC042B" w:rsidP="002E3508">
            <w:pPr>
              <w:jc w:val="both"/>
              <w:rPr>
                <w:rFonts w:eastAsia="Calibri"/>
                <w:sz w:val="20"/>
                <w:lang w:val="fr-CA"/>
              </w:rPr>
            </w:pPr>
            <w:r w:rsidRPr="00BE6616">
              <w:rPr>
                <w:rFonts w:eastAsia="Calibri"/>
                <w:sz w:val="20"/>
                <w:lang w:val="fr-CA"/>
              </w:rPr>
              <w:t>2010 ONSC 1012</w:t>
            </w:r>
          </w:p>
          <w:p w:rsidR="00DC042B" w:rsidRPr="00BE6616" w:rsidRDefault="00DC042B" w:rsidP="002E3508">
            <w:pPr>
              <w:jc w:val="both"/>
              <w:rPr>
                <w:rFonts w:eastAsia="Calibri"/>
                <w:sz w:val="20"/>
                <w:lang w:val="fr-CA"/>
              </w:rPr>
            </w:pPr>
          </w:p>
        </w:tc>
        <w:tc>
          <w:tcPr>
            <w:tcW w:w="243" w:type="pct"/>
          </w:tcPr>
          <w:p w:rsidR="00DC042B" w:rsidRPr="00BE6616" w:rsidRDefault="00DC042B" w:rsidP="002E3508">
            <w:pPr>
              <w:jc w:val="both"/>
              <w:rPr>
                <w:rFonts w:eastAsia="Calibri"/>
                <w:sz w:val="20"/>
                <w:lang w:val="fr-CA"/>
              </w:rPr>
            </w:pPr>
          </w:p>
        </w:tc>
        <w:tc>
          <w:tcPr>
            <w:tcW w:w="2330" w:type="pct"/>
          </w:tcPr>
          <w:p w:rsidR="00DC042B" w:rsidRPr="00BE6616" w:rsidRDefault="00DC042B" w:rsidP="002E3508">
            <w:pPr>
              <w:jc w:val="both"/>
              <w:rPr>
                <w:rFonts w:eastAsia="Calibri"/>
                <w:sz w:val="20"/>
                <w:lang w:val="fr-CA"/>
              </w:rPr>
            </w:pPr>
            <w:r w:rsidRPr="00BE6616">
              <w:rPr>
                <w:rFonts w:eastAsia="Calibri"/>
                <w:sz w:val="20"/>
                <w:lang w:val="fr-CA"/>
              </w:rPr>
              <w:t>Demande de reconnaissance et d'exécution de deux jugements du tribunal de la faillite de la Louisiane, accueillie</w:t>
            </w:r>
          </w:p>
          <w:p w:rsidR="00DC042B" w:rsidRPr="00BE6616" w:rsidRDefault="00DC042B" w:rsidP="002E3508">
            <w:pPr>
              <w:jc w:val="both"/>
              <w:rPr>
                <w:rFonts w:eastAsia="Calibri"/>
                <w:sz w:val="20"/>
                <w:lang w:val="fr-CA"/>
              </w:rPr>
            </w:pPr>
          </w:p>
        </w:tc>
      </w:tr>
      <w:tr w:rsidR="00DC042B" w:rsidRPr="00BE6616" w:rsidTr="002E3508">
        <w:tc>
          <w:tcPr>
            <w:tcW w:w="2427" w:type="pct"/>
          </w:tcPr>
          <w:p w:rsidR="00DC042B" w:rsidRPr="00BE6616" w:rsidRDefault="00DC042B" w:rsidP="002E3508">
            <w:pPr>
              <w:jc w:val="both"/>
              <w:rPr>
                <w:rFonts w:eastAsia="Calibri"/>
                <w:sz w:val="20"/>
                <w:lang w:val="fr-CA"/>
              </w:rPr>
            </w:pPr>
            <w:r w:rsidRPr="00BE6616">
              <w:rPr>
                <w:rFonts w:eastAsia="Calibri"/>
                <w:sz w:val="20"/>
                <w:lang w:val="fr-CA"/>
              </w:rPr>
              <w:t>7 avril 2011</w:t>
            </w:r>
          </w:p>
          <w:p w:rsidR="00DC042B" w:rsidRPr="00BE6616" w:rsidRDefault="00DC042B" w:rsidP="002E3508">
            <w:pPr>
              <w:jc w:val="both"/>
              <w:rPr>
                <w:rFonts w:eastAsia="Calibri"/>
                <w:sz w:val="20"/>
                <w:lang w:val="fr-CA"/>
              </w:rPr>
            </w:pPr>
            <w:r w:rsidRPr="00BE6616">
              <w:rPr>
                <w:rFonts w:eastAsia="Calibri"/>
                <w:sz w:val="20"/>
                <w:lang w:val="fr-CA"/>
              </w:rPr>
              <w:t xml:space="preserve">Cour d'appel de l'Ontario </w:t>
            </w:r>
          </w:p>
          <w:p w:rsidR="00DC042B" w:rsidRPr="00BE6616" w:rsidRDefault="00DC042B" w:rsidP="002E3508">
            <w:pPr>
              <w:jc w:val="both"/>
              <w:rPr>
                <w:rFonts w:eastAsia="Calibri"/>
                <w:sz w:val="20"/>
                <w:lang w:val="fr-CA"/>
              </w:rPr>
            </w:pPr>
            <w:r w:rsidRPr="00BE6616">
              <w:rPr>
                <w:rFonts w:eastAsia="Calibri"/>
                <w:sz w:val="20"/>
                <w:lang w:val="fr-CA"/>
              </w:rPr>
              <w:t>(Juges Weiler, Simmons et Epstein)</w:t>
            </w:r>
          </w:p>
          <w:p w:rsidR="00DC042B" w:rsidRPr="00BE6616" w:rsidRDefault="00DC042B" w:rsidP="002E3508">
            <w:pPr>
              <w:jc w:val="both"/>
              <w:rPr>
                <w:rFonts w:eastAsia="Calibri"/>
                <w:sz w:val="20"/>
                <w:lang w:val="fr-CA"/>
              </w:rPr>
            </w:pPr>
            <w:r w:rsidRPr="00BE6616">
              <w:rPr>
                <w:rFonts w:eastAsia="Calibri"/>
                <w:sz w:val="20"/>
                <w:lang w:val="fr-CA"/>
              </w:rPr>
              <w:t>2011 ONCA 286</w:t>
            </w:r>
          </w:p>
          <w:p w:rsidR="00DC042B" w:rsidRPr="00BE6616" w:rsidRDefault="00DC042B" w:rsidP="002E3508">
            <w:pPr>
              <w:jc w:val="both"/>
              <w:rPr>
                <w:rFonts w:eastAsia="Calibri"/>
                <w:sz w:val="20"/>
                <w:lang w:val="fr-CA"/>
              </w:rPr>
            </w:pPr>
          </w:p>
        </w:tc>
        <w:tc>
          <w:tcPr>
            <w:tcW w:w="243" w:type="pct"/>
          </w:tcPr>
          <w:p w:rsidR="00DC042B" w:rsidRPr="00BE6616" w:rsidRDefault="00DC042B" w:rsidP="002E3508">
            <w:pPr>
              <w:jc w:val="both"/>
              <w:rPr>
                <w:rFonts w:eastAsia="Calibri"/>
                <w:sz w:val="20"/>
                <w:lang w:val="fr-CA"/>
              </w:rPr>
            </w:pPr>
          </w:p>
        </w:tc>
        <w:tc>
          <w:tcPr>
            <w:tcW w:w="2330" w:type="pct"/>
          </w:tcPr>
          <w:p w:rsidR="00DC042B" w:rsidRPr="00BE6616" w:rsidRDefault="00DC042B" w:rsidP="002E3508">
            <w:pPr>
              <w:jc w:val="both"/>
              <w:rPr>
                <w:rFonts w:eastAsia="Calibri"/>
                <w:sz w:val="20"/>
                <w:lang w:val="fr-CA"/>
              </w:rPr>
            </w:pPr>
            <w:r w:rsidRPr="00BE6616">
              <w:rPr>
                <w:rFonts w:eastAsia="Calibri"/>
                <w:sz w:val="20"/>
                <w:lang w:val="fr-CA"/>
              </w:rPr>
              <w:t>Appel rejeté</w:t>
            </w:r>
          </w:p>
          <w:p w:rsidR="00DC042B" w:rsidRPr="00BE6616" w:rsidRDefault="00DC042B" w:rsidP="002E3508">
            <w:pPr>
              <w:jc w:val="both"/>
              <w:rPr>
                <w:rFonts w:eastAsia="Calibri"/>
                <w:sz w:val="20"/>
                <w:lang w:val="fr-CA"/>
              </w:rPr>
            </w:pPr>
          </w:p>
        </w:tc>
      </w:tr>
      <w:tr w:rsidR="00DC042B" w:rsidRPr="00BE6616" w:rsidTr="002E3508">
        <w:tc>
          <w:tcPr>
            <w:tcW w:w="2427" w:type="pct"/>
          </w:tcPr>
          <w:p w:rsidR="00DC042B" w:rsidRPr="00BE6616" w:rsidRDefault="00DC042B" w:rsidP="002E3508">
            <w:pPr>
              <w:jc w:val="both"/>
              <w:rPr>
                <w:rFonts w:eastAsia="Calibri"/>
                <w:sz w:val="20"/>
                <w:lang w:val="fr-CA"/>
              </w:rPr>
            </w:pPr>
            <w:r w:rsidRPr="00BE6616">
              <w:rPr>
                <w:rFonts w:eastAsia="Calibri"/>
                <w:sz w:val="20"/>
                <w:lang w:val="fr-CA"/>
              </w:rPr>
              <w:t>6 juin 2011</w:t>
            </w:r>
          </w:p>
          <w:p w:rsidR="00DC042B" w:rsidRPr="00BE6616" w:rsidRDefault="00DC042B" w:rsidP="002E3508">
            <w:pPr>
              <w:jc w:val="both"/>
              <w:rPr>
                <w:rFonts w:eastAsia="Calibri"/>
                <w:sz w:val="20"/>
                <w:lang w:val="fr-CA"/>
              </w:rPr>
            </w:pPr>
            <w:r w:rsidRPr="00BE6616">
              <w:rPr>
                <w:rFonts w:eastAsia="Calibri"/>
                <w:sz w:val="20"/>
                <w:lang w:val="fr-CA"/>
              </w:rPr>
              <w:t>Cour suprême du Canada</w:t>
            </w:r>
          </w:p>
        </w:tc>
        <w:tc>
          <w:tcPr>
            <w:tcW w:w="243" w:type="pct"/>
          </w:tcPr>
          <w:p w:rsidR="00DC042B" w:rsidRPr="00BE6616" w:rsidRDefault="00DC042B" w:rsidP="002E3508">
            <w:pPr>
              <w:jc w:val="both"/>
              <w:rPr>
                <w:rFonts w:eastAsia="Calibri"/>
                <w:sz w:val="20"/>
                <w:lang w:val="fr-CA"/>
              </w:rPr>
            </w:pPr>
          </w:p>
        </w:tc>
        <w:tc>
          <w:tcPr>
            <w:tcW w:w="2330" w:type="pct"/>
          </w:tcPr>
          <w:p w:rsidR="00DC042B" w:rsidRPr="00BE6616" w:rsidRDefault="00DC042B" w:rsidP="002E3508">
            <w:pPr>
              <w:jc w:val="both"/>
              <w:rPr>
                <w:rFonts w:eastAsia="Calibri"/>
                <w:sz w:val="20"/>
                <w:lang w:val="fr-CA"/>
              </w:rPr>
            </w:pPr>
            <w:r w:rsidRPr="00BE6616">
              <w:rPr>
                <w:rFonts w:eastAsia="Calibri"/>
                <w:sz w:val="20"/>
                <w:lang w:val="fr-CA"/>
              </w:rPr>
              <w:t>Demande d'autorisation d'appel, déposée</w:t>
            </w:r>
          </w:p>
          <w:p w:rsidR="00DC042B" w:rsidRPr="00BE6616" w:rsidRDefault="00DC042B" w:rsidP="002E350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90"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07C5C" w:rsidRPr="007C3AB2" w:rsidTr="0087505F">
        <w:trPr>
          <w:cantSplit/>
        </w:trPr>
        <w:tc>
          <w:tcPr>
            <w:tcW w:w="1458" w:type="dxa"/>
          </w:tcPr>
          <w:p w:rsidR="00E07C5C" w:rsidRPr="007C3AB2" w:rsidRDefault="00E07C5C" w:rsidP="0087505F">
            <w:pPr>
              <w:rPr>
                <w:sz w:val="20"/>
                <w:szCs w:val="20"/>
              </w:rPr>
            </w:pPr>
            <w:r w:rsidRPr="007C3AB2">
              <w:rPr>
                <w:rStyle w:val="SCCFileNumberChar"/>
                <w:sz w:val="20"/>
                <w:szCs w:val="20"/>
              </w:rPr>
              <w:t>34300</w:t>
            </w:r>
          </w:p>
          <w:p w:rsidR="00E07C5C" w:rsidRPr="007C3AB2" w:rsidRDefault="00E07C5C" w:rsidP="0087505F">
            <w:pPr>
              <w:rPr>
                <w:b/>
                <w:sz w:val="20"/>
                <w:szCs w:val="20"/>
                <w:lang w:val="fr-CA"/>
              </w:rPr>
            </w:pPr>
          </w:p>
        </w:tc>
        <w:tc>
          <w:tcPr>
            <w:tcW w:w="8118" w:type="dxa"/>
          </w:tcPr>
          <w:p w:rsidR="00E07C5C" w:rsidRPr="007C3AB2" w:rsidRDefault="00E07C5C" w:rsidP="0087505F">
            <w:pPr>
              <w:jc w:val="both"/>
              <w:rPr>
                <w:sz w:val="20"/>
                <w:szCs w:val="20"/>
              </w:rPr>
            </w:pPr>
            <w:r w:rsidRPr="00E07C5C">
              <w:rPr>
                <w:rStyle w:val="SCCLsocChar"/>
                <w:sz w:val="20"/>
                <w:szCs w:val="20"/>
                <w:lang w:val="en-CA"/>
              </w:rPr>
              <w:t>Nizar Solehdin</w:t>
            </w:r>
            <w:r w:rsidR="008B30ED">
              <w:rPr>
                <w:rStyle w:val="SCCLsocChar"/>
                <w:sz w:val="20"/>
                <w:szCs w:val="20"/>
                <w:lang w:val="en-CA"/>
              </w:rPr>
              <w:t xml:space="preserve"> </w:t>
            </w:r>
            <w:r w:rsidR="003520A7">
              <w:rPr>
                <w:rStyle w:val="SCCLsocChar"/>
                <w:sz w:val="20"/>
                <w:szCs w:val="20"/>
                <w:lang w:val="en-CA"/>
              </w:rPr>
              <w:t>and</w:t>
            </w:r>
            <w:r w:rsidR="008B30ED">
              <w:rPr>
                <w:rStyle w:val="SCCLsocChar"/>
                <w:sz w:val="20"/>
                <w:szCs w:val="20"/>
                <w:lang w:val="en-CA"/>
              </w:rPr>
              <w:t xml:space="preserve"> </w:t>
            </w:r>
            <w:r w:rsidRPr="00E07C5C">
              <w:rPr>
                <w:rStyle w:val="SCCLsocChar"/>
                <w:sz w:val="20"/>
                <w:szCs w:val="20"/>
                <w:lang w:val="en-CA"/>
              </w:rPr>
              <w:t>Yasmeen Solehdin v. Susan Stern, Estate Trustee of the Estate of Benjamin Stern, Deceased</w:t>
            </w:r>
            <w:r w:rsidR="00546B31">
              <w:rPr>
                <w:rStyle w:val="SCCLsocChar"/>
                <w:sz w:val="20"/>
                <w:szCs w:val="20"/>
                <w:lang w:val="en-CA"/>
              </w:rPr>
              <w:t>,</w:t>
            </w:r>
            <w:r w:rsidR="003520A7">
              <w:rPr>
                <w:rStyle w:val="SCCLsocChar"/>
                <w:sz w:val="20"/>
                <w:szCs w:val="20"/>
                <w:lang w:val="en-CA"/>
              </w:rPr>
              <w:t xml:space="preserve"> and</w:t>
            </w:r>
            <w:r w:rsidRPr="00E07C5C">
              <w:rPr>
                <w:rStyle w:val="SCCLsocChar"/>
                <w:sz w:val="20"/>
                <w:szCs w:val="20"/>
                <w:lang w:val="en-CA"/>
              </w:rPr>
              <w:t xml:space="preserve"> Meyer Gindin</w:t>
            </w:r>
            <w:r w:rsidRPr="007C3AB2">
              <w:rPr>
                <w:sz w:val="20"/>
                <w:szCs w:val="20"/>
              </w:rPr>
              <w:t xml:space="preserve"> (Ont.) (Civil) (By Leave)</w:t>
            </w:r>
          </w:p>
          <w:p w:rsidR="00E07C5C" w:rsidRPr="007C3AB2" w:rsidRDefault="00E07C5C" w:rsidP="0087505F">
            <w:pPr>
              <w:rPr>
                <w:sz w:val="20"/>
                <w:szCs w:val="20"/>
              </w:rPr>
            </w:pPr>
          </w:p>
        </w:tc>
      </w:tr>
      <w:tr w:rsidR="00E07C5C" w:rsidRPr="007C3AB2" w:rsidTr="0087505F">
        <w:trPr>
          <w:cantSplit/>
        </w:trPr>
        <w:tc>
          <w:tcPr>
            <w:tcW w:w="1458" w:type="dxa"/>
          </w:tcPr>
          <w:p w:rsidR="00E07C5C" w:rsidRPr="007C3AB2" w:rsidRDefault="00E07C5C" w:rsidP="0087505F">
            <w:pPr>
              <w:rPr>
                <w:sz w:val="20"/>
                <w:szCs w:val="20"/>
              </w:rPr>
            </w:pPr>
            <w:r w:rsidRPr="007C3AB2">
              <w:rPr>
                <w:sz w:val="20"/>
                <w:szCs w:val="20"/>
              </w:rPr>
              <w:t>Coram :</w:t>
            </w:r>
          </w:p>
        </w:tc>
        <w:tc>
          <w:tcPr>
            <w:tcW w:w="8118" w:type="dxa"/>
          </w:tcPr>
          <w:p w:rsidR="00E07C5C" w:rsidRPr="007C3AB2" w:rsidRDefault="00E07C5C" w:rsidP="0087505F">
            <w:pPr>
              <w:rPr>
                <w:sz w:val="20"/>
                <w:szCs w:val="20"/>
              </w:rPr>
            </w:pPr>
            <w:r w:rsidRPr="007C3AB2">
              <w:rPr>
                <w:rStyle w:val="SCCCoramChar"/>
                <w:sz w:val="20"/>
                <w:szCs w:val="20"/>
              </w:rPr>
              <w:t>Binnie, Abella and Rothstein JJ.</w:t>
            </w:r>
          </w:p>
          <w:p w:rsidR="00E07C5C" w:rsidRPr="007C3AB2" w:rsidRDefault="00E07C5C" w:rsidP="0087505F">
            <w:pPr>
              <w:rPr>
                <w:sz w:val="20"/>
                <w:szCs w:val="20"/>
                <w:u w:val="single"/>
              </w:rPr>
            </w:pPr>
          </w:p>
        </w:tc>
      </w:tr>
      <w:tr w:rsidR="00E07C5C" w:rsidRPr="00682661" w:rsidTr="0087505F">
        <w:trPr>
          <w:cantSplit/>
        </w:trPr>
        <w:tc>
          <w:tcPr>
            <w:tcW w:w="9576" w:type="dxa"/>
            <w:gridSpan w:val="2"/>
          </w:tcPr>
          <w:p w:rsidR="00E07C5C" w:rsidRPr="007C3AB2" w:rsidRDefault="00E07C5C" w:rsidP="0087505F">
            <w:pPr>
              <w:pStyle w:val="SCCShortJudgment"/>
              <w:rPr>
                <w:szCs w:val="20"/>
              </w:rPr>
            </w:pPr>
            <w:r w:rsidRPr="007C3AB2">
              <w:rPr>
                <w:szCs w:val="20"/>
              </w:rPr>
              <w:t>The application for leave to appeal from the judgment of the Court of Appeal for Ontario, Number C51845, 2011 ONCA 286, dated April 7, 2011, is dismissed with costs.</w:t>
            </w:r>
          </w:p>
          <w:p w:rsidR="00E07C5C" w:rsidRPr="007C3AB2" w:rsidRDefault="00E07C5C" w:rsidP="0087505F">
            <w:pPr>
              <w:pStyle w:val="SCCShortJudgment"/>
              <w:ind w:firstLine="0"/>
              <w:rPr>
                <w:szCs w:val="20"/>
              </w:rPr>
            </w:pPr>
          </w:p>
          <w:p w:rsidR="00E07C5C" w:rsidRPr="007C3AB2" w:rsidRDefault="00E07C5C" w:rsidP="0087505F">
            <w:pPr>
              <w:pStyle w:val="SCCShortJudgment"/>
              <w:rPr>
                <w:szCs w:val="20"/>
                <w:lang w:val="fr-CA"/>
              </w:rPr>
            </w:pPr>
            <w:r w:rsidRPr="007C3AB2">
              <w:rPr>
                <w:szCs w:val="20"/>
                <w:lang w:val="fr-CA"/>
              </w:rPr>
              <w:t>La demande d’autorisation d’appel de l’arrêt de la Cour d’appel de l’Ontario, numéro C51845, 2011 ONCA 286, daté du 7 avril 2011, est rejetée avec dépens.</w:t>
            </w:r>
          </w:p>
        </w:tc>
      </w:tr>
    </w:tbl>
    <w:p w:rsidR="007B50F9" w:rsidRPr="00E07C5C" w:rsidRDefault="007B50F9" w:rsidP="007B50F9">
      <w:pPr>
        <w:rPr>
          <w:sz w:val="20"/>
          <w:szCs w:val="20"/>
          <w:lang w:val="fr-CA"/>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C042B" w:rsidRPr="00BE6616" w:rsidTr="002E3508">
        <w:tc>
          <w:tcPr>
            <w:tcW w:w="5000" w:type="pct"/>
            <w:gridSpan w:val="3"/>
          </w:tcPr>
          <w:p w:rsidR="00DC042B" w:rsidRPr="00BE6616" w:rsidRDefault="00DC042B" w:rsidP="002E3508">
            <w:pPr>
              <w:jc w:val="both"/>
              <w:rPr>
                <w:rFonts w:eastAsia="Calibri"/>
                <w:sz w:val="20"/>
              </w:rPr>
            </w:pPr>
            <w:r w:rsidRPr="00BE6616">
              <w:rPr>
                <w:rFonts w:eastAsia="Calibri"/>
                <w:sz w:val="20"/>
              </w:rPr>
              <w:t xml:space="preserve">Private international law </w:t>
            </w:r>
            <w:r w:rsidRPr="00BE6616">
              <w:rPr>
                <w:rFonts w:eastAsia="Calibri"/>
                <w:smallCaps/>
                <w:sz w:val="20"/>
              </w:rPr>
              <w:t xml:space="preserve">— </w:t>
            </w:r>
            <w:r w:rsidRPr="00BE6616">
              <w:rPr>
                <w:rFonts w:eastAsia="Calibri"/>
                <w:sz w:val="20"/>
              </w:rPr>
              <w:t xml:space="preserve">Foreign judgments </w:t>
            </w:r>
            <w:r w:rsidRPr="00BE6616">
              <w:rPr>
                <w:rFonts w:eastAsia="Calibri"/>
                <w:smallCaps/>
                <w:sz w:val="20"/>
              </w:rPr>
              <w:t xml:space="preserve">— </w:t>
            </w:r>
            <w:r w:rsidRPr="00BE6616">
              <w:rPr>
                <w:rFonts w:eastAsia="Calibri"/>
                <w:sz w:val="20"/>
              </w:rPr>
              <w:t xml:space="preserve">Recognition and enforcement </w:t>
            </w:r>
            <w:r w:rsidRPr="00BE6616">
              <w:rPr>
                <w:rFonts w:eastAsia="Calibri"/>
                <w:smallCaps/>
                <w:sz w:val="20"/>
              </w:rPr>
              <w:t xml:space="preserve">— </w:t>
            </w:r>
            <w:r w:rsidRPr="00BE6616">
              <w:rPr>
                <w:rFonts w:eastAsia="Calibri"/>
                <w:sz w:val="20"/>
              </w:rPr>
              <w:t xml:space="preserve">Jurisdiction </w:t>
            </w:r>
            <w:r w:rsidRPr="00BE6616">
              <w:rPr>
                <w:rFonts w:eastAsia="Calibri"/>
                <w:smallCaps/>
                <w:sz w:val="20"/>
              </w:rPr>
              <w:t xml:space="preserve">— </w:t>
            </w:r>
            <w:r w:rsidRPr="00BE6616">
              <w:rPr>
                <w:rFonts w:eastAsia="Calibri"/>
                <w:sz w:val="20"/>
              </w:rPr>
              <w:t xml:space="preserve">Lack of subject matter jurisdiction by foreign court </w:t>
            </w:r>
            <w:r w:rsidRPr="00BE6616">
              <w:rPr>
                <w:rFonts w:eastAsia="Calibri"/>
                <w:smallCaps/>
                <w:sz w:val="20"/>
              </w:rPr>
              <w:t xml:space="preserve">— </w:t>
            </w:r>
            <w:r w:rsidRPr="00BE6616">
              <w:rPr>
                <w:rFonts w:eastAsia="Calibri"/>
                <w:sz w:val="20"/>
              </w:rPr>
              <w:t xml:space="preserve">Application to recognize in Ontario a judgment of the Bankruptcy Court of Louisiana granted </w:t>
            </w:r>
            <w:r w:rsidRPr="00BE6616">
              <w:rPr>
                <w:rFonts w:eastAsia="Calibri"/>
                <w:smallCaps/>
                <w:sz w:val="20"/>
              </w:rPr>
              <w:t xml:space="preserve">— </w:t>
            </w:r>
            <w:r w:rsidRPr="00BE6616">
              <w:rPr>
                <w:rFonts w:eastAsia="Calibri"/>
                <w:sz w:val="20"/>
              </w:rPr>
              <w:t xml:space="preserve">Whether fundamental Canadian principles of law require a Canadian court to inquire beyond the territorial “real and substantial connection” test established in </w:t>
            </w:r>
            <w:r w:rsidRPr="00BE6616">
              <w:rPr>
                <w:rFonts w:eastAsia="Calibri"/>
                <w:i/>
                <w:sz w:val="20"/>
              </w:rPr>
              <w:t>Morguard Investments Ltd. v. De Savoye</w:t>
            </w:r>
            <w:r w:rsidRPr="00BE6616">
              <w:rPr>
                <w:rFonts w:eastAsia="Calibri"/>
                <w:sz w:val="20"/>
              </w:rPr>
              <w:t xml:space="preserve"> and </w:t>
            </w:r>
            <w:r w:rsidRPr="00BE6616">
              <w:rPr>
                <w:rFonts w:eastAsia="Calibri"/>
                <w:i/>
                <w:sz w:val="20"/>
              </w:rPr>
              <w:t>Beals v. Saldhana</w:t>
            </w:r>
            <w:r w:rsidRPr="00BE6616">
              <w:rPr>
                <w:rFonts w:eastAsia="Calibri"/>
                <w:sz w:val="20"/>
              </w:rPr>
              <w:t xml:space="preserve"> where there is cogent evidence that the foreign court was a specialized statutory court whose jurisdiction was strictly limited and that it did not have jurisdiction under its enabling statute to hear or decide the case.</w:t>
            </w:r>
          </w:p>
        </w:tc>
      </w:tr>
      <w:tr w:rsidR="00DC042B" w:rsidRPr="00BE6616" w:rsidTr="002E3508">
        <w:tc>
          <w:tcPr>
            <w:tcW w:w="5000" w:type="pct"/>
            <w:gridSpan w:val="3"/>
          </w:tcPr>
          <w:p w:rsidR="00DC042B" w:rsidRPr="00BE6616" w:rsidRDefault="00DC042B" w:rsidP="002E3508">
            <w:pPr>
              <w:jc w:val="both"/>
              <w:rPr>
                <w:rFonts w:eastAsia="Calibri"/>
                <w:sz w:val="20"/>
              </w:rPr>
            </w:pPr>
          </w:p>
        </w:tc>
      </w:tr>
      <w:tr w:rsidR="00DC042B" w:rsidRPr="00BE6616" w:rsidTr="002E3508">
        <w:tc>
          <w:tcPr>
            <w:tcW w:w="5000" w:type="pct"/>
            <w:gridSpan w:val="3"/>
          </w:tcPr>
          <w:p w:rsidR="00DC042B" w:rsidRPr="00BE6616" w:rsidRDefault="00DC042B" w:rsidP="002E3508">
            <w:pPr>
              <w:jc w:val="both"/>
              <w:rPr>
                <w:rFonts w:eastAsia="Calibri"/>
                <w:sz w:val="20"/>
              </w:rPr>
            </w:pPr>
            <w:r w:rsidRPr="00BE6616">
              <w:rPr>
                <w:rFonts w:eastAsia="Calibri"/>
                <w:sz w:val="20"/>
              </w:rPr>
              <w:t>The respondents obtained a monetary judgment in the Bankruptcy Court of Louisiana against the applicants based on a loan guarantee.  They applied to the Ontario Superior Court of Justice to have the judgment recognized and enforced in Ontario.  The applicants argued that the judgment should not be recognized as the Bankruptcy Court of Louisiana acted outside of its jurisdiction and was not capable of rendering the judgment.  The Superior Court granted the application to recognize the judgment and the Court of Appeal dismissed the appeal.  The Court of Appeal concluded that the applicants participated in the Louisiana proceedings, specifically raised the issue of the Louisiana Bankruptcy Court’s subject matter jurisdiction, and failed to appeal the Louisiana Bankruptcy Court’s determination that it had subject matter jurisdiction, and therefore that it was not open to them to re</w:t>
            </w:r>
            <w:r w:rsidRPr="00BE6616">
              <w:rPr>
                <w:rFonts w:eastAsia="Calibri"/>
                <w:sz w:val="20"/>
              </w:rPr>
              <w:noBreakHyphen/>
              <w:t>litigate the issue of subject matter jurisdiction in Ontario.</w:t>
            </w:r>
          </w:p>
          <w:p w:rsidR="00DC042B" w:rsidRPr="00BE6616" w:rsidRDefault="00DC042B" w:rsidP="002E3508">
            <w:pPr>
              <w:jc w:val="both"/>
              <w:rPr>
                <w:rFonts w:eastAsia="Calibri"/>
                <w:sz w:val="20"/>
              </w:rPr>
            </w:pPr>
          </w:p>
        </w:tc>
      </w:tr>
      <w:tr w:rsidR="00DC042B" w:rsidRPr="00BE6616" w:rsidTr="002E3508">
        <w:tc>
          <w:tcPr>
            <w:tcW w:w="2427" w:type="pct"/>
          </w:tcPr>
          <w:p w:rsidR="00DC042B" w:rsidRPr="00BE6616" w:rsidRDefault="00DC042B" w:rsidP="002E3508">
            <w:pPr>
              <w:jc w:val="both"/>
              <w:rPr>
                <w:rFonts w:eastAsia="Calibri"/>
                <w:sz w:val="20"/>
              </w:rPr>
            </w:pPr>
            <w:r w:rsidRPr="00BE6616">
              <w:rPr>
                <w:rFonts w:eastAsia="Calibri"/>
                <w:sz w:val="20"/>
              </w:rPr>
              <w:t>March 2, 2010</w:t>
            </w:r>
          </w:p>
          <w:p w:rsidR="00DC042B" w:rsidRPr="00BE6616" w:rsidRDefault="00DC042B" w:rsidP="002E3508">
            <w:pPr>
              <w:jc w:val="both"/>
              <w:rPr>
                <w:rFonts w:eastAsia="Calibri"/>
                <w:sz w:val="20"/>
              </w:rPr>
            </w:pPr>
            <w:r w:rsidRPr="00BE6616">
              <w:rPr>
                <w:rFonts w:eastAsia="Calibri"/>
                <w:sz w:val="20"/>
              </w:rPr>
              <w:t>Ontario Superior Court of Justice</w:t>
            </w:r>
          </w:p>
          <w:p w:rsidR="00DC042B" w:rsidRPr="00BE6616" w:rsidRDefault="00DC042B" w:rsidP="002E3508">
            <w:pPr>
              <w:jc w:val="both"/>
              <w:rPr>
                <w:rFonts w:eastAsia="Calibri"/>
                <w:sz w:val="20"/>
              </w:rPr>
            </w:pPr>
            <w:r w:rsidRPr="00BE6616">
              <w:rPr>
                <w:rFonts w:eastAsia="Calibri"/>
                <w:sz w:val="20"/>
              </w:rPr>
              <w:t>(Leitch J.)</w:t>
            </w:r>
          </w:p>
          <w:p w:rsidR="00DC042B" w:rsidRPr="00BE6616" w:rsidRDefault="00DC042B" w:rsidP="002E3508">
            <w:pPr>
              <w:jc w:val="both"/>
              <w:rPr>
                <w:rFonts w:eastAsia="Calibri"/>
                <w:sz w:val="20"/>
              </w:rPr>
            </w:pPr>
            <w:r w:rsidRPr="00BE6616">
              <w:rPr>
                <w:rFonts w:eastAsia="Calibri"/>
                <w:sz w:val="20"/>
              </w:rPr>
              <w:t>2010 ONSC 1012</w:t>
            </w:r>
          </w:p>
          <w:p w:rsidR="00DC042B" w:rsidRPr="00BE6616" w:rsidRDefault="00DC042B" w:rsidP="002E3508">
            <w:pPr>
              <w:jc w:val="both"/>
              <w:rPr>
                <w:rFonts w:eastAsia="Calibri"/>
                <w:sz w:val="20"/>
              </w:rPr>
            </w:pPr>
          </w:p>
        </w:tc>
        <w:tc>
          <w:tcPr>
            <w:tcW w:w="243" w:type="pct"/>
          </w:tcPr>
          <w:p w:rsidR="00DC042B" w:rsidRPr="00BE6616" w:rsidRDefault="00DC042B" w:rsidP="002E3508">
            <w:pPr>
              <w:jc w:val="both"/>
              <w:rPr>
                <w:rFonts w:eastAsia="Calibri"/>
                <w:sz w:val="20"/>
              </w:rPr>
            </w:pPr>
          </w:p>
        </w:tc>
        <w:tc>
          <w:tcPr>
            <w:tcW w:w="2330" w:type="pct"/>
          </w:tcPr>
          <w:p w:rsidR="00DC042B" w:rsidRPr="00BE6616" w:rsidRDefault="00DC042B" w:rsidP="002E3508">
            <w:pPr>
              <w:jc w:val="both"/>
              <w:rPr>
                <w:rFonts w:eastAsia="Calibri"/>
                <w:sz w:val="20"/>
              </w:rPr>
            </w:pPr>
            <w:r w:rsidRPr="00BE6616">
              <w:rPr>
                <w:rFonts w:eastAsia="Calibri"/>
                <w:sz w:val="20"/>
              </w:rPr>
              <w:t>Application for recognition and enforcement of a judgment of the Louisiana Bankruptcy Court granted</w:t>
            </w:r>
          </w:p>
          <w:p w:rsidR="00DC042B" w:rsidRPr="00BE6616" w:rsidRDefault="00DC042B" w:rsidP="002E3508">
            <w:pPr>
              <w:jc w:val="both"/>
              <w:rPr>
                <w:rFonts w:eastAsia="Calibri"/>
                <w:sz w:val="20"/>
              </w:rPr>
            </w:pPr>
          </w:p>
        </w:tc>
      </w:tr>
      <w:tr w:rsidR="00DC042B" w:rsidRPr="00BE6616" w:rsidTr="00297F14">
        <w:trPr>
          <w:cantSplit/>
        </w:trPr>
        <w:tc>
          <w:tcPr>
            <w:tcW w:w="2427" w:type="pct"/>
          </w:tcPr>
          <w:p w:rsidR="00DC042B" w:rsidRPr="00BE6616" w:rsidRDefault="00DC042B" w:rsidP="002E3508">
            <w:pPr>
              <w:jc w:val="both"/>
              <w:rPr>
                <w:rFonts w:eastAsia="Calibri"/>
                <w:sz w:val="20"/>
              </w:rPr>
            </w:pPr>
            <w:r w:rsidRPr="00BE6616">
              <w:rPr>
                <w:rFonts w:eastAsia="Calibri"/>
                <w:sz w:val="20"/>
              </w:rPr>
              <w:lastRenderedPageBreak/>
              <w:t>April 7, 2011</w:t>
            </w:r>
          </w:p>
          <w:p w:rsidR="00DC042B" w:rsidRPr="00BE6616" w:rsidRDefault="00DC042B" w:rsidP="002E3508">
            <w:pPr>
              <w:jc w:val="both"/>
              <w:rPr>
                <w:rFonts w:eastAsia="Calibri"/>
                <w:sz w:val="20"/>
              </w:rPr>
            </w:pPr>
            <w:r w:rsidRPr="00BE6616">
              <w:rPr>
                <w:rFonts w:eastAsia="Calibri"/>
                <w:sz w:val="20"/>
              </w:rPr>
              <w:t>Court of Appeal for Ontario</w:t>
            </w:r>
          </w:p>
          <w:p w:rsidR="00DC042B" w:rsidRPr="00BE6616" w:rsidRDefault="00DC042B" w:rsidP="002E3508">
            <w:pPr>
              <w:jc w:val="both"/>
              <w:rPr>
                <w:rFonts w:eastAsia="Calibri"/>
                <w:sz w:val="20"/>
              </w:rPr>
            </w:pPr>
            <w:r w:rsidRPr="00BE6616">
              <w:rPr>
                <w:rFonts w:eastAsia="Calibri"/>
                <w:sz w:val="20"/>
              </w:rPr>
              <w:t>(Weiler, Simmons and Epstein JJ.A.)</w:t>
            </w:r>
          </w:p>
          <w:p w:rsidR="00DC042B" w:rsidRPr="00BE6616" w:rsidRDefault="00DC042B" w:rsidP="002E3508">
            <w:pPr>
              <w:jc w:val="both"/>
              <w:rPr>
                <w:rFonts w:eastAsia="Calibri"/>
                <w:sz w:val="20"/>
              </w:rPr>
            </w:pPr>
            <w:r w:rsidRPr="00BE6616">
              <w:rPr>
                <w:rFonts w:eastAsia="Calibri"/>
                <w:sz w:val="20"/>
              </w:rPr>
              <w:t>2011 ONCA 286</w:t>
            </w:r>
          </w:p>
          <w:p w:rsidR="00DC042B" w:rsidRPr="00BE6616" w:rsidRDefault="00DC042B" w:rsidP="002E3508">
            <w:pPr>
              <w:jc w:val="both"/>
              <w:rPr>
                <w:rFonts w:eastAsia="Calibri"/>
                <w:sz w:val="20"/>
              </w:rPr>
            </w:pPr>
          </w:p>
        </w:tc>
        <w:tc>
          <w:tcPr>
            <w:tcW w:w="243" w:type="pct"/>
          </w:tcPr>
          <w:p w:rsidR="00DC042B" w:rsidRPr="00BE6616" w:rsidRDefault="00DC042B" w:rsidP="002E3508">
            <w:pPr>
              <w:jc w:val="both"/>
              <w:rPr>
                <w:rFonts w:eastAsia="Calibri"/>
                <w:sz w:val="20"/>
              </w:rPr>
            </w:pPr>
          </w:p>
        </w:tc>
        <w:tc>
          <w:tcPr>
            <w:tcW w:w="2330" w:type="pct"/>
          </w:tcPr>
          <w:p w:rsidR="00DC042B" w:rsidRPr="00BE6616" w:rsidRDefault="00DC042B" w:rsidP="002E3508">
            <w:pPr>
              <w:jc w:val="both"/>
              <w:rPr>
                <w:rFonts w:eastAsia="Calibri"/>
                <w:sz w:val="20"/>
              </w:rPr>
            </w:pPr>
            <w:r w:rsidRPr="00BE6616">
              <w:rPr>
                <w:rFonts w:eastAsia="Calibri"/>
                <w:sz w:val="20"/>
              </w:rPr>
              <w:t>Appeal dismissed</w:t>
            </w:r>
          </w:p>
          <w:p w:rsidR="00DC042B" w:rsidRPr="00BE6616" w:rsidRDefault="00DC042B" w:rsidP="002E3508">
            <w:pPr>
              <w:jc w:val="both"/>
              <w:rPr>
                <w:rFonts w:eastAsia="Calibri"/>
                <w:sz w:val="20"/>
              </w:rPr>
            </w:pPr>
          </w:p>
        </w:tc>
      </w:tr>
      <w:tr w:rsidR="00DC042B" w:rsidRPr="00BE6616" w:rsidTr="00297F14">
        <w:trPr>
          <w:cantSplit/>
        </w:trPr>
        <w:tc>
          <w:tcPr>
            <w:tcW w:w="2427" w:type="pct"/>
          </w:tcPr>
          <w:p w:rsidR="00DC042B" w:rsidRPr="00BE6616" w:rsidRDefault="00DC042B" w:rsidP="002E3508">
            <w:pPr>
              <w:jc w:val="both"/>
              <w:rPr>
                <w:rFonts w:eastAsia="Calibri"/>
                <w:sz w:val="20"/>
              </w:rPr>
            </w:pPr>
            <w:r w:rsidRPr="00BE6616">
              <w:rPr>
                <w:rFonts w:eastAsia="Calibri"/>
                <w:sz w:val="20"/>
              </w:rPr>
              <w:t>June 6, 2011</w:t>
            </w:r>
          </w:p>
          <w:p w:rsidR="00DC042B" w:rsidRPr="00BE6616" w:rsidRDefault="00DC042B" w:rsidP="002E3508">
            <w:pPr>
              <w:jc w:val="both"/>
              <w:rPr>
                <w:rFonts w:eastAsia="Calibri"/>
                <w:sz w:val="20"/>
              </w:rPr>
            </w:pPr>
            <w:r w:rsidRPr="00BE6616">
              <w:rPr>
                <w:rFonts w:eastAsia="Calibri"/>
                <w:sz w:val="20"/>
              </w:rPr>
              <w:t>Supreme Court of Canada</w:t>
            </w:r>
          </w:p>
        </w:tc>
        <w:tc>
          <w:tcPr>
            <w:tcW w:w="243" w:type="pct"/>
          </w:tcPr>
          <w:p w:rsidR="00DC042B" w:rsidRPr="00BE6616" w:rsidRDefault="00DC042B" w:rsidP="002E3508">
            <w:pPr>
              <w:jc w:val="both"/>
              <w:rPr>
                <w:rFonts w:eastAsia="Calibri"/>
                <w:sz w:val="20"/>
              </w:rPr>
            </w:pPr>
          </w:p>
        </w:tc>
        <w:tc>
          <w:tcPr>
            <w:tcW w:w="2330" w:type="pct"/>
          </w:tcPr>
          <w:p w:rsidR="00DC042B" w:rsidRPr="00BE6616" w:rsidRDefault="00DC042B" w:rsidP="002E3508">
            <w:pPr>
              <w:jc w:val="both"/>
              <w:rPr>
                <w:rFonts w:eastAsia="Calibri"/>
                <w:sz w:val="20"/>
              </w:rPr>
            </w:pPr>
            <w:r w:rsidRPr="00BE6616">
              <w:rPr>
                <w:rFonts w:eastAsia="Calibri"/>
                <w:sz w:val="20"/>
              </w:rPr>
              <w:t>Application for leave to appeal filed</w:t>
            </w:r>
          </w:p>
          <w:p w:rsidR="00DC042B" w:rsidRPr="00BE6616" w:rsidRDefault="00DC042B" w:rsidP="002E350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91"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DC042B" w:rsidRPr="00682661" w:rsidTr="002E3508">
        <w:tc>
          <w:tcPr>
            <w:tcW w:w="5000" w:type="pct"/>
            <w:gridSpan w:val="3"/>
          </w:tcPr>
          <w:p w:rsidR="00DC042B" w:rsidRPr="00BE6616" w:rsidRDefault="00DC042B" w:rsidP="002E3508">
            <w:pPr>
              <w:jc w:val="both"/>
              <w:rPr>
                <w:rFonts w:eastAsia="Calibri"/>
                <w:sz w:val="20"/>
                <w:lang w:val="fr-CA"/>
              </w:rPr>
            </w:pPr>
            <w:r w:rsidRPr="00BE6616">
              <w:rPr>
                <w:rFonts w:eastAsia="Calibri"/>
                <w:sz w:val="20"/>
                <w:lang w:val="fr-CA"/>
              </w:rPr>
              <w:t>Droit international privé — Jugements étrangers — Reconnaissance et exécution — Compétence — Absence de compétence d'attribution du tribunal étranger — Demande de reconnaissance en Ontario d’un jugement du tribunal de la faillite de la Louisiane — Les principes fondamentaux du droit canadien obligent</w:t>
            </w:r>
            <w:r w:rsidRPr="00BE6616">
              <w:rPr>
                <w:rFonts w:eastAsia="Calibri"/>
                <w:sz w:val="20"/>
                <w:lang w:val="fr-CA"/>
              </w:rPr>
              <w:noBreakHyphen/>
              <w:t>ils un tribunal canadien à pousser son enquête au</w:t>
            </w:r>
            <w:r w:rsidRPr="00BE6616">
              <w:rPr>
                <w:rFonts w:eastAsia="Calibri"/>
                <w:sz w:val="20"/>
                <w:lang w:val="fr-CA"/>
              </w:rPr>
              <w:noBreakHyphen/>
              <w:t xml:space="preserve">delà du critère de compétence territoriale du « lien réel et substantiel » établi dans les arrêts </w:t>
            </w:r>
            <w:r w:rsidRPr="00BE6616">
              <w:rPr>
                <w:rFonts w:eastAsia="Calibri"/>
                <w:i/>
                <w:sz w:val="20"/>
                <w:lang w:val="fr-CA"/>
              </w:rPr>
              <w:t>Morguard Investments Ltd. c. De Savoye</w:t>
            </w:r>
            <w:r w:rsidRPr="00BE6616">
              <w:rPr>
                <w:rFonts w:eastAsia="Calibri"/>
                <w:sz w:val="20"/>
                <w:lang w:val="fr-CA"/>
              </w:rPr>
              <w:t xml:space="preserve"> et </w:t>
            </w:r>
            <w:r w:rsidRPr="00BE6616">
              <w:rPr>
                <w:rFonts w:eastAsia="Calibri"/>
                <w:i/>
                <w:sz w:val="20"/>
                <w:lang w:val="fr-CA"/>
              </w:rPr>
              <w:t>Beals c. Saldhana</w:t>
            </w:r>
            <w:r w:rsidRPr="00BE6616">
              <w:rPr>
                <w:rFonts w:eastAsia="Calibri"/>
                <w:sz w:val="20"/>
                <w:lang w:val="fr-CA"/>
              </w:rPr>
              <w:t xml:space="preserve"> lorsqu'il y a une preuve convaincante selon laquelle le tribunal étranger était un tribunal spécialisé créé par la loi dont la compétence était strictement limitée et qu'il n'avait pas compétence en vertu de sa loi habilitante d'instruire ou de juger l'affaire?</w:t>
            </w:r>
          </w:p>
        </w:tc>
      </w:tr>
      <w:tr w:rsidR="00DC042B" w:rsidRPr="00682661" w:rsidTr="002E3508">
        <w:tc>
          <w:tcPr>
            <w:tcW w:w="5000" w:type="pct"/>
            <w:gridSpan w:val="3"/>
          </w:tcPr>
          <w:p w:rsidR="00DC042B" w:rsidRPr="00BE6616" w:rsidRDefault="00DC042B" w:rsidP="002E3508">
            <w:pPr>
              <w:jc w:val="both"/>
              <w:rPr>
                <w:rFonts w:eastAsia="Calibri"/>
                <w:sz w:val="20"/>
                <w:lang w:val="fr-CA"/>
              </w:rPr>
            </w:pPr>
          </w:p>
        </w:tc>
      </w:tr>
      <w:tr w:rsidR="00DC042B" w:rsidRPr="00682661" w:rsidTr="002E3508">
        <w:tc>
          <w:tcPr>
            <w:tcW w:w="5000" w:type="pct"/>
            <w:gridSpan w:val="3"/>
          </w:tcPr>
          <w:p w:rsidR="00DC042B" w:rsidRPr="00BE6616" w:rsidRDefault="00DC042B" w:rsidP="002E3508">
            <w:pPr>
              <w:jc w:val="both"/>
              <w:rPr>
                <w:rFonts w:eastAsia="Calibri"/>
                <w:sz w:val="20"/>
                <w:lang w:val="fr-CA"/>
              </w:rPr>
            </w:pPr>
            <w:r w:rsidRPr="00BE6616">
              <w:rPr>
                <w:rFonts w:eastAsia="Calibri"/>
                <w:sz w:val="20"/>
                <w:lang w:val="fr-CA"/>
              </w:rPr>
              <w:t>Les intimés ont obtenu un jugement pécuniaire rendu par le tribunal de la faillite de la Louisiane contre les demandeurs fondé sur des garanties de prêts.  Ils ont présenté une demande à la Cour supérieure de justice de l'Ontario pour faire reconnaître et exécuter le jugement en Ontario.  Les demandeurs ont plaidé que le jugement ne devait pas être reconnu, puisque le tribunal de la faillite de la Louisiane avait outrepassé sa compétence et n'était pas capable de rendre le jugement.  La Cour supérieure a accueilli la demande de reconnaissance du jugement et la Cour d'appel a rejeté l'appel.  La Cour d'appel a conclu que les demandeurs avaient participé à l'instance en Louisiane, qu'ils avaient expressément soulevé la question de la compétence d'attribution du tribunal de la faillite de la Louisiane et qu'ils avaient omis d'interjeter appel de la décision de ce tribunal comme quoi il avait la compétence d'attribution, si bien qu’il ne leur était pas loisible de remettre en litige la question de la compétence d'attribution en Ontario.</w:t>
            </w:r>
          </w:p>
          <w:p w:rsidR="00DC042B" w:rsidRPr="00BE6616" w:rsidRDefault="00DC042B" w:rsidP="002E3508">
            <w:pPr>
              <w:jc w:val="both"/>
              <w:rPr>
                <w:rFonts w:eastAsia="Calibri"/>
                <w:sz w:val="20"/>
                <w:lang w:val="fr-CA"/>
              </w:rPr>
            </w:pPr>
          </w:p>
        </w:tc>
      </w:tr>
      <w:tr w:rsidR="00DC042B" w:rsidRPr="00682661" w:rsidTr="002E3508">
        <w:tc>
          <w:tcPr>
            <w:tcW w:w="2427" w:type="pct"/>
          </w:tcPr>
          <w:p w:rsidR="00DC042B" w:rsidRPr="00BE6616" w:rsidRDefault="00DC042B" w:rsidP="002E3508">
            <w:pPr>
              <w:jc w:val="both"/>
              <w:rPr>
                <w:rFonts w:eastAsia="Calibri"/>
                <w:sz w:val="20"/>
                <w:lang w:val="fr-CA"/>
              </w:rPr>
            </w:pPr>
            <w:r w:rsidRPr="00BE6616">
              <w:rPr>
                <w:rFonts w:eastAsia="Calibri"/>
                <w:sz w:val="20"/>
                <w:lang w:val="fr-CA"/>
              </w:rPr>
              <w:t>2 mars 2010</w:t>
            </w:r>
          </w:p>
          <w:p w:rsidR="00DC042B" w:rsidRPr="00BE6616" w:rsidRDefault="00DC042B" w:rsidP="002E3508">
            <w:pPr>
              <w:jc w:val="both"/>
              <w:rPr>
                <w:rFonts w:eastAsia="Calibri"/>
                <w:sz w:val="20"/>
                <w:lang w:val="fr-CA"/>
              </w:rPr>
            </w:pPr>
            <w:r w:rsidRPr="00BE6616">
              <w:rPr>
                <w:rFonts w:eastAsia="Calibri"/>
                <w:sz w:val="20"/>
                <w:lang w:val="fr-CA"/>
              </w:rPr>
              <w:t xml:space="preserve">Cour supérieure de justice de l'Ontario </w:t>
            </w:r>
          </w:p>
          <w:p w:rsidR="00DC042B" w:rsidRPr="00BE6616" w:rsidRDefault="00DC042B" w:rsidP="002E3508">
            <w:pPr>
              <w:jc w:val="both"/>
              <w:rPr>
                <w:rFonts w:eastAsia="Calibri"/>
                <w:sz w:val="20"/>
                <w:lang w:val="fr-CA"/>
              </w:rPr>
            </w:pPr>
            <w:r w:rsidRPr="00BE6616">
              <w:rPr>
                <w:rFonts w:eastAsia="Calibri"/>
                <w:sz w:val="20"/>
                <w:lang w:val="fr-CA"/>
              </w:rPr>
              <w:t>(Juge Leitch)</w:t>
            </w:r>
          </w:p>
          <w:p w:rsidR="00DC042B" w:rsidRPr="00BE6616" w:rsidRDefault="00DC042B" w:rsidP="002E3508">
            <w:pPr>
              <w:jc w:val="both"/>
              <w:rPr>
                <w:rFonts w:eastAsia="Calibri"/>
                <w:sz w:val="20"/>
                <w:lang w:val="fr-CA"/>
              </w:rPr>
            </w:pPr>
            <w:r w:rsidRPr="00BE6616">
              <w:rPr>
                <w:rFonts w:eastAsia="Calibri"/>
                <w:sz w:val="20"/>
                <w:lang w:val="fr-CA"/>
              </w:rPr>
              <w:t>2010 ONSC 1012</w:t>
            </w:r>
          </w:p>
          <w:p w:rsidR="00DC042B" w:rsidRPr="00BE6616" w:rsidRDefault="00DC042B" w:rsidP="002E3508">
            <w:pPr>
              <w:jc w:val="both"/>
              <w:rPr>
                <w:rFonts w:eastAsia="Calibri"/>
                <w:sz w:val="20"/>
                <w:lang w:val="fr-CA"/>
              </w:rPr>
            </w:pPr>
          </w:p>
        </w:tc>
        <w:tc>
          <w:tcPr>
            <w:tcW w:w="243" w:type="pct"/>
          </w:tcPr>
          <w:p w:rsidR="00DC042B" w:rsidRPr="00BE6616" w:rsidRDefault="00DC042B" w:rsidP="002E3508">
            <w:pPr>
              <w:jc w:val="both"/>
              <w:rPr>
                <w:rFonts w:eastAsia="Calibri"/>
                <w:sz w:val="20"/>
                <w:lang w:val="fr-CA"/>
              </w:rPr>
            </w:pPr>
          </w:p>
        </w:tc>
        <w:tc>
          <w:tcPr>
            <w:tcW w:w="2330" w:type="pct"/>
          </w:tcPr>
          <w:p w:rsidR="00DC042B" w:rsidRPr="00BE6616" w:rsidRDefault="00DC042B" w:rsidP="002E3508">
            <w:pPr>
              <w:jc w:val="both"/>
              <w:rPr>
                <w:rFonts w:eastAsia="Calibri"/>
                <w:sz w:val="20"/>
                <w:lang w:val="fr-CA"/>
              </w:rPr>
            </w:pPr>
            <w:r w:rsidRPr="00BE6616">
              <w:rPr>
                <w:rFonts w:eastAsia="Calibri"/>
                <w:sz w:val="20"/>
                <w:lang w:val="fr-CA"/>
              </w:rPr>
              <w:t>Demande de reconnaissance et d'exécution d’un jugement du tribunal de la faillite de la Louisiane, accueillie</w:t>
            </w:r>
          </w:p>
          <w:p w:rsidR="00DC042B" w:rsidRPr="00BE6616" w:rsidRDefault="00DC042B" w:rsidP="002E3508">
            <w:pPr>
              <w:jc w:val="both"/>
              <w:rPr>
                <w:rFonts w:eastAsia="Calibri"/>
                <w:sz w:val="20"/>
                <w:lang w:val="fr-CA"/>
              </w:rPr>
            </w:pPr>
          </w:p>
        </w:tc>
      </w:tr>
      <w:tr w:rsidR="00DC042B" w:rsidRPr="00BE6616" w:rsidTr="002E3508">
        <w:tc>
          <w:tcPr>
            <w:tcW w:w="2427" w:type="pct"/>
          </w:tcPr>
          <w:p w:rsidR="00DC042B" w:rsidRPr="00BE6616" w:rsidRDefault="00DC042B" w:rsidP="002E3508">
            <w:pPr>
              <w:jc w:val="both"/>
              <w:rPr>
                <w:rFonts w:eastAsia="Calibri"/>
                <w:sz w:val="20"/>
                <w:lang w:val="fr-CA"/>
              </w:rPr>
            </w:pPr>
            <w:r w:rsidRPr="00BE6616">
              <w:rPr>
                <w:rFonts w:eastAsia="Calibri"/>
                <w:sz w:val="20"/>
                <w:lang w:val="fr-CA"/>
              </w:rPr>
              <w:t>7 avril 2011</w:t>
            </w:r>
          </w:p>
          <w:p w:rsidR="00DC042B" w:rsidRPr="00BE6616" w:rsidRDefault="00DC042B" w:rsidP="002E3508">
            <w:pPr>
              <w:jc w:val="both"/>
              <w:rPr>
                <w:rFonts w:eastAsia="Calibri"/>
                <w:sz w:val="20"/>
                <w:lang w:val="fr-CA"/>
              </w:rPr>
            </w:pPr>
            <w:r w:rsidRPr="00BE6616">
              <w:rPr>
                <w:rFonts w:eastAsia="Calibri"/>
                <w:sz w:val="20"/>
                <w:lang w:val="fr-CA"/>
              </w:rPr>
              <w:t xml:space="preserve">Cour d'appel de l'Ontario </w:t>
            </w:r>
          </w:p>
          <w:p w:rsidR="00DC042B" w:rsidRPr="00BE6616" w:rsidRDefault="00DC042B" w:rsidP="002E3508">
            <w:pPr>
              <w:jc w:val="both"/>
              <w:rPr>
                <w:rFonts w:eastAsia="Calibri"/>
                <w:sz w:val="20"/>
                <w:lang w:val="fr-CA"/>
              </w:rPr>
            </w:pPr>
            <w:r w:rsidRPr="00BE6616">
              <w:rPr>
                <w:rFonts w:eastAsia="Calibri"/>
                <w:sz w:val="20"/>
                <w:lang w:val="fr-CA"/>
              </w:rPr>
              <w:t>(Juges Weiler, Simmons et Epstein)</w:t>
            </w:r>
          </w:p>
          <w:p w:rsidR="00DC042B" w:rsidRPr="00BE6616" w:rsidRDefault="00DC042B" w:rsidP="002E3508">
            <w:pPr>
              <w:jc w:val="both"/>
              <w:rPr>
                <w:rFonts w:eastAsia="Calibri"/>
                <w:sz w:val="20"/>
                <w:lang w:val="fr-CA"/>
              </w:rPr>
            </w:pPr>
            <w:r w:rsidRPr="00BE6616">
              <w:rPr>
                <w:rFonts w:eastAsia="Calibri"/>
                <w:sz w:val="20"/>
                <w:lang w:val="fr-CA"/>
              </w:rPr>
              <w:t>2011 ONCA 286</w:t>
            </w:r>
          </w:p>
          <w:p w:rsidR="00DC042B" w:rsidRPr="00BE6616" w:rsidRDefault="00DC042B" w:rsidP="002E3508">
            <w:pPr>
              <w:jc w:val="both"/>
              <w:rPr>
                <w:rFonts w:eastAsia="Calibri"/>
                <w:sz w:val="20"/>
                <w:lang w:val="fr-CA"/>
              </w:rPr>
            </w:pPr>
          </w:p>
        </w:tc>
        <w:tc>
          <w:tcPr>
            <w:tcW w:w="243" w:type="pct"/>
          </w:tcPr>
          <w:p w:rsidR="00DC042B" w:rsidRPr="00BE6616" w:rsidRDefault="00DC042B" w:rsidP="002E3508">
            <w:pPr>
              <w:jc w:val="both"/>
              <w:rPr>
                <w:rFonts w:eastAsia="Calibri"/>
                <w:sz w:val="20"/>
                <w:lang w:val="fr-CA"/>
              </w:rPr>
            </w:pPr>
          </w:p>
        </w:tc>
        <w:tc>
          <w:tcPr>
            <w:tcW w:w="2330" w:type="pct"/>
          </w:tcPr>
          <w:p w:rsidR="00DC042B" w:rsidRPr="00BE6616" w:rsidRDefault="00DC042B" w:rsidP="002E3508">
            <w:pPr>
              <w:jc w:val="both"/>
              <w:rPr>
                <w:rFonts w:eastAsia="Calibri"/>
                <w:sz w:val="20"/>
                <w:lang w:val="fr-CA"/>
              </w:rPr>
            </w:pPr>
            <w:r w:rsidRPr="00BE6616">
              <w:rPr>
                <w:rFonts w:eastAsia="Calibri"/>
                <w:sz w:val="20"/>
                <w:lang w:val="fr-CA"/>
              </w:rPr>
              <w:t>Appel rejeté</w:t>
            </w:r>
          </w:p>
          <w:p w:rsidR="00DC042B" w:rsidRPr="00BE6616" w:rsidRDefault="00DC042B" w:rsidP="002E3508">
            <w:pPr>
              <w:jc w:val="both"/>
              <w:rPr>
                <w:rFonts w:eastAsia="Calibri"/>
                <w:sz w:val="20"/>
                <w:lang w:val="fr-CA"/>
              </w:rPr>
            </w:pPr>
          </w:p>
        </w:tc>
      </w:tr>
      <w:tr w:rsidR="00DC042B" w:rsidRPr="00BE6616" w:rsidTr="002E3508">
        <w:tc>
          <w:tcPr>
            <w:tcW w:w="2427" w:type="pct"/>
          </w:tcPr>
          <w:p w:rsidR="00DC042B" w:rsidRPr="00BE6616" w:rsidRDefault="00DC042B" w:rsidP="002E3508">
            <w:pPr>
              <w:jc w:val="both"/>
              <w:rPr>
                <w:rFonts w:eastAsia="Calibri"/>
                <w:sz w:val="20"/>
                <w:lang w:val="fr-CA"/>
              </w:rPr>
            </w:pPr>
            <w:r w:rsidRPr="00BE6616">
              <w:rPr>
                <w:rFonts w:eastAsia="Calibri"/>
                <w:sz w:val="20"/>
                <w:lang w:val="fr-CA"/>
              </w:rPr>
              <w:t>6 juin 2011</w:t>
            </w:r>
          </w:p>
          <w:p w:rsidR="00DC042B" w:rsidRPr="00BE6616" w:rsidRDefault="00DC042B" w:rsidP="002E3508">
            <w:pPr>
              <w:jc w:val="both"/>
              <w:rPr>
                <w:rFonts w:eastAsia="Calibri"/>
                <w:sz w:val="20"/>
                <w:lang w:val="fr-CA"/>
              </w:rPr>
            </w:pPr>
            <w:r w:rsidRPr="00BE6616">
              <w:rPr>
                <w:rFonts w:eastAsia="Calibri"/>
                <w:sz w:val="20"/>
                <w:lang w:val="fr-CA"/>
              </w:rPr>
              <w:t>Cour suprême du Canada</w:t>
            </w:r>
          </w:p>
        </w:tc>
        <w:tc>
          <w:tcPr>
            <w:tcW w:w="243" w:type="pct"/>
          </w:tcPr>
          <w:p w:rsidR="00DC042B" w:rsidRPr="00BE6616" w:rsidRDefault="00DC042B" w:rsidP="002E3508">
            <w:pPr>
              <w:jc w:val="both"/>
              <w:rPr>
                <w:rFonts w:eastAsia="Calibri"/>
                <w:sz w:val="20"/>
                <w:lang w:val="fr-CA"/>
              </w:rPr>
            </w:pPr>
          </w:p>
        </w:tc>
        <w:tc>
          <w:tcPr>
            <w:tcW w:w="2330" w:type="pct"/>
          </w:tcPr>
          <w:p w:rsidR="00DC042B" w:rsidRPr="00BE6616" w:rsidRDefault="00DC042B" w:rsidP="002E3508">
            <w:pPr>
              <w:jc w:val="both"/>
              <w:rPr>
                <w:rFonts w:eastAsia="Calibri"/>
                <w:sz w:val="20"/>
                <w:lang w:val="fr-CA"/>
              </w:rPr>
            </w:pPr>
            <w:r w:rsidRPr="00BE6616">
              <w:rPr>
                <w:rFonts w:eastAsia="Calibri"/>
                <w:sz w:val="20"/>
                <w:lang w:val="fr-CA"/>
              </w:rPr>
              <w:t>Demande d'autorisation d'appel, déposée</w:t>
            </w:r>
          </w:p>
          <w:p w:rsidR="00DC042B" w:rsidRPr="00BE6616" w:rsidRDefault="00DC042B" w:rsidP="002E350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92"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D7C3A" w:rsidRPr="009D5E94" w:rsidTr="002E3508">
        <w:trPr>
          <w:cantSplit/>
        </w:trPr>
        <w:tc>
          <w:tcPr>
            <w:tcW w:w="1458" w:type="dxa"/>
          </w:tcPr>
          <w:p w:rsidR="009D7C3A" w:rsidRPr="009D5E94" w:rsidRDefault="009D7C3A" w:rsidP="002E3508">
            <w:pPr>
              <w:rPr>
                <w:sz w:val="20"/>
                <w:szCs w:val="20"/>
              </w:rPr>
            </w:pPr>
            <w:r w:rsidRPr="009D5E94">
              <w:rPr>
                <w:rStyle w:val="SCCFileNumberChar"/>
                <w:sz w:val="20"/>
                <w:szCs w:val="20"/>
              </w:rPr>
              <w:t>34310</w:t>
            </w:r>
          </w:p>
          <w:p w:rsidR="009D7C3A" w:rsidRPr="009D5E94" w:rsidRDefault="009D7C3A" w:rsidP="002E3508">
            <w:pPr>
              <w:rPr>
                <w:b/>
                <w:sz w:val="20"/>
                <w:szCs w:val="20"/>
                <w:lang w:val="fr-CA"/>
              </w:rPr>
            </w:pPr>
          </w:p>
        </w:tc>
        <w:tc>
          <w:tcPr>
            <w:tcW w:w="8118" w:type="dxa"/>
          </w:tcPr>
          <w:p w:rsidR="009D7C3A" w:rsidRPr="009D5E94" w:rsidRDefault="009D7C3A" w:rsidP="002E3508">
            <w:pPr>
              <w:jc w:val="both"/>
              <w:rPr>
                <w:sz w:val="20"/>
                <w:szCs w:val="20"/>
              </w:rPr>
            </w:pPr>
            <w:r w:rsidRPr="009D5E94">
              <w:rPr>
                <w:rStyle w:val="SCCLsocChar"/>
                <w:sz w:val="20"/>
                <w:szCs w:val="20"/>
              </w:rPr>
              <w:t>Corporation d'Entretien d'Ascenseur Indépendant v. J.E. Verreault &amp; Fils Ltée</w:t>
            </w:r>
            <w:r w:rsidRPr="009D5E94">
              <w:rPr>
                <w:sz w:val="20"/>
                <w:szCs w:val="20"/>
                <w:lang w:val="fr-CA"/>
              </w:rPr>
              <w:t xml:space="preserve"> (Que.) </w:t>
            </w:r>
            <w:r w:rsidRPr="009D5E94">
              <w:rPr>
                <w:sz w:val="20"/>
                <w:szCs w:val="20"/>
              </w:rPr>
              <w:t>(Civil) (By Leave)</w:t>
            </w:r>
          </w:p>
          <w:p w:rsidR="009D7C3A" w:rsidRPr="009D5E94" w:rsidRDefault="009D7C3A" w:rsidP="002E3508">
            <w:pPr>
              <w:rPr>
                <w:sz w:val="20"/>
                <w:szCs w:val="20"/>
              </w:rPr>
            </w:pPr>
          </w:p>
        </w:tc>
      </w:tr>
      <w:tr w:rsidR="009D7C3A" w:rsidRPr="009D5E94" w:rsidTr="002E3508">
        <w:trPr>
          <w:cantSplit/>
        </w:trPr>
        <w:tc>
          <w:tcPr>
            <w:tcW w:w="1458" w:type="dxa"/>
          </w:tcPr>
          <w:p w:rsidR="009D7C3A" w:rsidRPr="009D5E94" w:rsidRDefault="009D7C3A" w:rsidP="002E3508">
            <w:pPr>
              <w:rPr>
                <w:sz w:val="20"/>
                <w:szCs w:val="20"/>
              </w:rPr>
            </w:pPr>
            <w:r w:rsidRPr="009D5E94">
              <w:rPr>
                <w:sz w:val="20"/>
                <w:szCs w:val="20"/>
              </w:rPr>
              <w:t>Coram :</w:t>
            </w:r>
          </w:p>
        </w:tc>
        <w:tc>
          <w:tcPr>
            <w:tcW w:w="8118" w:type="dxa"/>
          </w:tcPr>
          <w:p w:rsidR="009D7C3A" w:rsidRPr="009D5E94" w:rsidRDefault="009D7C3A" w:rsidP="002E3508">
            <w:pPr>
              <w:rPr>
                <w:sz w:val="20"/>
                <w:szCs w:val="20"/>
              </w:rPr>
            </w:pPr>
            <w:r w:rsidRPr="009D5E94">
              <w:rPr>
                <w:rStyle w:val="SCCCoramChar"/>
                <w:sz w:val="20"/>
                <w:szCs w:val="20"/>
              </w:rPr>
              <w:t>McLachlin C.J. and Deschamps and Rothstein JJ.</w:t>
            </w:r>
          </w:p>
          <w:p w:rsidR="009D7C3A" w:rsidRPr="009D5E94" w:rsidRDefault="009D7C3A" w:rsidP="002E3508">
            <w:pPr>
              <w:rPr>
                <w:sz w:val="20"/>
                <w:szCs w:val="20"/>
                <w:u w:val="single"/>
              </w:rPr>
            </w:pPr>
          </w:p>
        </w:tc>
      </w:tr>
      <w:tr w:rsidR="009D7C3A" w:rsidRPr="00682661" w:rsidTr="002E3508">
        <w:trPr>
          <w:cantSplit/>
        </w:trPr>
        <w:tc>
          <w:tcPr>
            <w:tcW w:w="9576" w:type="dxa"/>
            <w:gridSpan w:val="2"/>
          </w:tcPr>
          <w:p w:rsidR="009D7C3A" w:rsidRPr="009D5E94" w:rsidRDefault="009D7C3A" w:rsidP="002E3508">
            <w:pPr>
              <w:pStyle w:val="SCCShortJudgment"/>
              <w:rPr>
                <w:szCs w:val="20"/>
              </w:rPr>
            </w:pPr>
            <w:r w:rsidRPr="009D5E94">
              <w:rPr>
                <w:szCs w:val="20"/>
              </w:rPr>
              <w:lastRenderedPageBreak/>
              <w:t>The application for leave to appeal from the judgment of the Court of Appeal of Quebec (Montréal), Number 500-09-019545-094, dated April 14, 2011, is dismissed without costs.</w:t>
            </w:r>
          </w:p>
          <w:p w:rsidR="009D7C3A" w:rsidRPr="009D5E94" w:rsidRDefault="009D7C3A" w:rsidP="002E3508">
            <w:pPr>
              <w:pStyle w:val="SCCShortJudgment"/>
              <w:ind w:firstLine="0"/>
              <w:rPr>
                <w:szCs w:val="20"/>
              </w:rPr>
            </w:pPr>
          </w:p>
          <w:p w:rsidR="009D7C3A" w:rsidRPr="009D5E94" w:rsidRDefault="009D7C3A" w:rsidP="002E3508">
            <w:pPr>
              <w:pStyle w:val="SCCShortJudgment"/>
              <w:rPr>
                <w:szCs w:val="20"/>
                <w:lang w:val="fr-CA"/>
              </w:rPr>
            </w:pPr>
            <w:r w:rsidRPr="009D5E94">
              <w:rPr>
                <w:szCs w:val="20"/>
                <w:lang w:val="fr-CA"/>
              </w:rPr>
              <w:t>La demande d’autorisation d’appel de l’arrêt de la Cour d’appel du Québec (Montréal), numéro 500-09-019545-094, daté du 14 avril 2011, est rejetée sans dépens.</w:t>
            </w:r>
          </w:p>
        </w:tc>
      </w:tr>
    </w:tbl>
    <w:p w:rsidR="007B50F9" w:rsidRPr="009D7C3A" w:rsidRDefault="007B50F9" w:rsidP="007B50F9">
      <w:pPr>
        <w:rPr>
          <w:sz w:val="20"/>
          <w:szCs w:val="20"/>
          <w:lang w:val="fr-CA"/>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84FCC" w:rsidRPr="00BE6616" w:rsidTr="002E3508">
        <w:tc>
          <w:tcPr>
            <w:tcW w:w="5000" w:type="pct"/>
            <w:gridSpan w:val="3"/>
          </w:tcPr>
          <w:p w:rsidR="00E84FCC" w:rsidRPr="00BE6616" w:rsidRDefault="00E84FCC" w:rsidP="002E3508">
            <w:pPr>
              <w:jc w:val="both"/>
              <w:rPr>
                <w:rFonts w:eastAsia="Calibri"/>
                <w:sz w:val="20"/>
              </w:rPr>
            </w:pPr>
            <w:r w:rsidRPr="00BE6616">
              <w:rPr>
                <w:rFonts w:eastAsia="Calibri"/>
                <w:i/>
                <w:sz w:val="20"/>
              </w:rPr>
              <w:t xml:space="preserve">Civil Code </w:t>
            </w:r>
            <w:r w:rsidRPr="00BE6616">
              <w:rPr>
                <w:rFonts w:eastAsia="Calibri"/>
                <w:sz w:val="20"/>
              </w:rPr>
              <w:t xml:space="preserve">– Interpretation – Procedure – Evidence – Admissibility of hearsay evidence under art. 2870 of </w:t>
            </w:r>
            <w:r w:rsidRPr="00BE6616">
              <w:rPr>
                <w:rFonts w:eastAsia="Calibri"/>
                <w:i/>
                <w:sz w:val="20"/>
              </w:rPr>
              <w:t>Civil Code of Québec</w:t>
            </w:r>
            <w:r w:rsidRPr="00BE6616">
              <w:rPr>
                <w:rFonts w:eastAsia="Calibri"/>
                <w:sz w:val="20"/>
              </w:rPr>
              <w:t xml:space="preserve">, S.Q. 1991, c. 64 – Criterion of reliability – Whether affidavit can be considered sufficiently reliable and be admitted in evidence for truth of its contents under art. 2870 C.C.Q. where affidavit is to be used to establish central elements of party’s motion </w:t>
            </w:r>
            <w:proofErr w:type="gramStart"/>
            <w:r w:rsidRPr="00BE6616">
              <w:rPr>
                <w:rFonts w:eastAsia="Calibri"/>
                <w:sz w:val="20"/>
              </w:rPr>
              <w:t>and  affiant</w:t>
            </w:r>
            <w:proofErr w:type="gramEnd"/>
            <w:r w:rsidRPr="00BE6616">
              <w:rPr>
                <w:rFonts w:eastAsia="Calibri"/>
                <w:sz w:val="20"/>
              </w:rPr>
              <w:t xml:space="preserve"> is not subject to cross</w:t>
            </w:r>
            <w:r w:rsidRPr="00BE6616">
              <w:rPr>
                <w:rFonts w:eastAsia="Calibri"/>
                <w:sz w:val="20"/>
              </w:rPr>
              <w:noBreakHyphen/>
              <w:t>examination.</w:t>
            </w:r>
          </w:p>
        </w:tc>
      </w:tr>
      <w:tr w:rsidR="00E84FCC" w:rsidRPr="00BE6616" w:rsidTr="002E3508">
        <w:tc>
          <w:tcPr>
            <w:tcW w:w="5000" w:type="pct"/>
            <w:gridSpan w:val="3"/>
          </w:tcPr>
          <w:p w:rsidR="00E84FCC" w:rsidRPr="00BE6616" w:rsidRDefault="00E84FCC" w:rsidP="002E3508">
            <w:pPr>
              <w:jc w:val="both"/>
              <w:rPr>
                <w:rFonts w:eastAsia="Calibri"/>
                <w:sz w:val="20"/>
              </w:rPr>
            </w:pPr>
          </w:p>
        </w:tc>
      </w:tr>
      <w:tr w:rsidR="00E84FCC" w:rsidRPr="00BE6616" w:rsidTr="002E3508">
        <w:tc>
          <w:tcPr>
            <w:tcW w:w="5000" w:type="pct"/>
            <w:gridSpan w:val="3"/>
          </w:tcPr>
          <w:p w:rsidR="00E84FCC" w:rsidRPr="00BE6616" w:rsidRDefault="00E84FCC" w:rsidP="002E3508">
            <w:pPr>
              <w:jc w:val="both"/>
              <w:rPr>
                <w:rFonts w:eastAsia="Calibri"/>
                <w:sz w:val="20"/>
              </w:rPr>
            </w:pPr>
            <w:r w:rsidRPr="00BE6616">
              <w:rPr>
                <w:rFonts w:eastAsia="Calibri"/>
                <w:sz w:val="20"/>
              </w:rPr>
              <w:t>The applicant, Corporation d’Entretien d’Ascenseur Indépendant (</w:t>
            </w:r>
            <w:r w:rsidRPr="00BE6616">
              <w:rPr>
                <w:rFonts w:eastAsia="Calibri"/>
                <w:i/>
                <w:sz w:val="20"/>
              </w:rPr>
              <w:t>Indépendant</w:t>
            </w:r>
            <w:r w:rsidRPr="00BE6616">
              <w:rPr>
                <w:rFonts w:eastAsia="Calibri"/>
                <w:sz w:val="20"/>
              </w:rPr>
              <w:t>), worked in Montréal in the field of elevator repairs, maintenance and installation.  The respondent, J.E. Verreault &amp; Fils Ltée (</w:t>
            </w:r>
            <w:r w:rsidRPr="00BE6616">
              <w:rPr>
                <w:rFonts w:eastAsia="Calibri"/>
                <w:i/>
                <w:sz w:val="20"/>
              </w:rPr>
              <w:t>Verreault</w:t>
            </w:r>
            <w:r w:rsidRPr="00BE6616">
              <w:rPr>
                <w:rFonts w:eastAsia="Calibri"/>
                <w:sz w:val="20"/>
              </w:rPr>
              <w:t xml:space="preserve">), was a general contractor from the city of Québec.  After delivering and installing four elevators during the construction of Carrefour Industrielle Alliance in Montréal, </w:t>
            </w:r>
            <w:r w:rsidRPr="00BE6616">
              <w:rPr>
                <w:rFonts w:eastAsia="Calibri"/>
                <w:i/>
                <w:sz w:val="20"/>
              </w:rPr>
              <w:t>Indépendant</w:t>
            </w:r>
            <w:r w:rsidRPr="00BE6616">
              <w:rPr>
                <w:rFonts w:eastAsia="Calibri"/>
                <w:sz w:val="20"/>
              </w:rPr>
              <w:t xml:space="preserve"> claimed $265,228.52 from </w:t>
            </w:r>
            <w:r w:rsidRPr="00BE6616">
              <w:rPr>
                <w:rFonts w:eastAsia="Calibri"/>
                <w:i/>
                <w:sz w:val="20"/>
              </w:rPr>
              <w:t>Verreault</w:t>
            </w:r>
            <w:r w:rsidRPr="00BE6616">
              <w:rPr>
                <w:rFonts w:eastAsia="Calibri"/>
                <w:sz w:val="20"/>
              </w:rPr>
              <w:t xml:space="preserve"> as the balance due for services rendered.  </w:t>
            </w:r>
            <w:r w:rsidRPr="00BE6616">
              <w:rPr>
                <w:rFonts w:eastAsia="Calibri"/>
                <w:i/>
                <w:sz w:val="20"/>
              </w:rPr>
              <w:t>Verreault</w:t>
            </w:r>
            <w:r w:rsidRPr="00BE6616">
              <w:rPr>
                <w:rFonts w:eastAsia="Calibri"/>
                <w:sz w:val="20"/>
              </w:rPr>
              <w:t xml:space="preserve"> disputed the claim, arguing that it owed </w:t>
            </w:r>
            <w:r w:rsidRPr="00BE6616">
              <w:rPr>
                <w:rFonts w:eastAsia="Calibri"/>
                <w:i/>
                <w:sz w:val="20"/>
              </w:rPr>
              <w:t>Indépendant</w:t>
            </w:r>
            <w:r w:rsidRPr="00BE6616">
              <w:rPr>
                <w:rFonts w:eastAsia="Calibri"/>
                <w:sz w:val="20"/>
              </w:rPr>
              <w:t xml:space="preserve"> only $95,043.88.  It also filed a cross demand.</w:t>
            </w:r>
          </w:p>
          <w:p w:rsidR="00E84FCC" w:rsidRPr="00BE6616" w:rsidRDefault="00E84FCC" w:rsidP="002E3508">
            <w:pPr>
              <w:jc w:val="both"/>
              <w:rPr>
                <w:rFonts w:eastAsia="Calibri"/>
                <w:sz w:val="20"/>
              </w:rPr>
            </w:pPr>
          </w:p>
          <w:p w:rsidR="00E84FCC" w:rsidRDefault="00E84FCC" w:rsidP="002E3508">
            <w:pPr>
              <w:ind w:right="288"/>
              <w:jc w:val="both"/>
              <w:rPr>
                <w:rFonts w:eastAsia="Calibri"/>
                <w:sz w:val="20"/>
              </w:rPr>
            </w:pPr>
            <w:r w:rsidRPr="00BE6616">
              <w:rPr>
                <w:rFonts w:eastAsia="Calibri"/>
                <w:sz w:val="20"/>
              </w:rPr>
              <w:t xml:space="preserve">Both parties stated that Roland Charbonneau would be one of their witnesses.  Mr. Charbonneau had been hired by the owner, the Industrial Alliance Life Insurance Company, to serve as a consultant during the performance of the work relating to the installation of escalators and elevators.  In 2007, Mr. Charbonneau had a stroke that left him completely paralysed on the right side.  The parties tried to examine him out of court, but the examination scheduled for January 2008 could not be conducted due to the state of his health.  When the trial began, </w:t>
            </w:r>
            <w:r w:rsidRPr="00BE6616">
              <w:rPr>
                <w:rFonts w:eastAsia="Calibri"/>
                <w:i/>
                <w:sz w:val="20"/>
              </w:rPr>
              <w:t>Verreault</w:t>
            </w:r>
            <w:r w:rsidRPr="00BE6616">
              <w:rPr>
                <w:rFonts w:eastAsia="Calibri"/>
                <w:sz w:val="20"/>
              </w:rPr>
              <w:t xml:space="preserve"> filed a statement by Mr. Charbonneau dated January 12, 2009, supported by a solemn affirmation.  The statement had 84 paragraphs and was basically the testimony that Mr. Charbonneau would have given at the hearing if he had been able to attend.  </w:t>
            </w:r>
            <w:r w:rsidRPr="00BE6616">
              <w:rPr>
                <w:rFonts w:eastAsia="Calibri"/>
                <w:i/>
                <w:sz w:val="20"/>
              </w:rPr>
              <w:t>Verreault</w:t>
            </w:r>
            <w:r w:rsidRPr="00BE6616">
              <w:rPr>
                <w:rFonts w:eastAsia="Calibri"/>
                <w:sz w:val="20"/>
              </w:rPr>
              <w:t xml:space="preserve"> applied to have the statement accepted as testimony under art. 2870 C.C.Q.  </w:t>
            </w:r>
            <w:r w:rsidRPr="00BE6616">
              <w:rPr>
                <w:rFonts w:eastAsia="Calibri"/>
                <w:i/>
                <w:sz w:val="20"/>
              </w:rPr>
              <w:t>Indépendant</w:t>
            </w:r>
            <w:r w:rsidRPr="00BE6616">
              <w:rPr>
                <w:rFonts w:eastAsia="Calibri"/>
                <w:sz w:val="20"/>
              </w:rPr>
              <w:t xml:space="preserve"> opposed the application.</w:t>
            </w:r>
          </w:p>
          <w:p w:rsidR="00E84FCC" w:rsidRPr="00BE6616" w:rsidRDefault="00E84FCC" w:rsidP="002E3508">
            <w:pPr>
              <w:ind w:right="288"/>
              <w:jc w:val="both"/>
              <w:rPr>
                <w:rFonts w:eastAsia="Calibri"/>
                <w:sz w:val="20"/>
              </w:rPr>
            </w:pPr>
          </w:p>
        </w:tc>
      </w:tr>
      <w:tr w:rsidR="00E84FCC" w:rsidRPr="00BE6616" w:rsidTr="002E3508">
        <w:tc>
          <w:tcPr>
            <w:tcW w:w="2427" w:type="pct"/>
          </w:tcPr>
          <w:p w:rsidR="00E84FCC" w:rsidRPr="00BE6616" w:rsidRDefault="00E84FCC" w:rsidP="002E3508">
            <w:pPr>
              <w:jc w:val="both"/>
              <w:rPr>
                <w:rFonts w:eastAsia="Calibri"/>
                <w:sz w:val="20"/>
              </w:rPr>
            </w:pPr>
            <w:r w:rsidRPr="00BE6616">
              <w:rPr>
                <w:rFonts w:eastAsia="Calibri"/>
                <w:sz w:val="20"/>
              </w:rPr>
              <w:t>February 12, 2009</w:t>
            </w:r>
          </w:p>
          <w:p w:rsidR="00E84FCC" w:rsidRPr="00BE6616" w:rsidRDefault="00E84FCC" w:rsidP="002E3508">
            <w:pPr>
              <w:jc w:val="both"/>
              <w:rPr>
                <w:rFonts w:eastAsia="Calibri"/>
                <w:sz w:val="20"/>
              </w:rPr>
            </w:pPr>
            <w:r w:rsidRPr="00BE6616">
              <w:rPr>
                <w:rFonts w:eastAsia="Calibri"/>
                <w:sz w:val="20"/>
              </w:rPr>
              <w:t>Quebec Superior Court</w:t>
            </w:r>
          </w:p>
          <w:p w:rsidR="00E84FCC" w:rsidRPr="00BE6616" w:rsidRDefault="00E84FCC" w:rsidP="002E3508">
            <w:pPr>
              <w:jc w:val="both"/>
              <w:rPr>
                <w:rFonts w:eastAsia="Calibri"/>
                <w:sz w:val="20"/>
              </w:rPr>
            </w:pPr>
            <w:r w:rsidRPr="00BE6616">
              <w:rPr>
                <w:rFonts w:eastAsia="Calibri"/>
                <w:sz w:val="20"/>
              </w:rPr>
              <w:t>(Décarie J.)</w:t>
            </w:r>
          </w:p>
          <w:p w:rsidR="00E84FCC" w:rsidRPr="00BE6616" w:rsidRDefault="00E84FCC" w:rsidP="002E3508">
            <w:pPr>
              <w:jc w:val="both"/>
              <w:rPr>
                <w:rFonts w:eastAsia="Calibri"/>
                <w:sz w:val="20"/>
              </w:rPr>
            </w:pPr>
          </w:p>
        </w:tc>
        <w:tc>
          <w:tcPr>
            <w:tcW w:w="243" w:type="pct"/>
          </w:tcPr>
          <w:p w:rsidR="00E84FCC" w:rsidRPr="00BE6616" w:rsidRDefault="00E84FCC" w:rsidP="002E3508">
            <w:pPr>
              <w:jc w:val="both"/>
              <w:rPr>
                <w:rFonts w:eastAsia="Calibri"/>
                <w:sz w:val="20"/>
              </w:rPr>
            </w:pPr>
          </w:p>
        </w:tc>
        <w:tc>
          <w:tcPr>
            <w:tcW w:w="2330" w:type="pct"/>
          </w:tcPr>
          <w:p w:rsidR="00E84FCC" w:rsidRPr="00BE6616" w:rsidRDefault="00E84FCC" w:rsidP="002E3508">
            <w:pPr>
              <w:jc w:val="both"/>
              <w:rPr>
                <w:rFonts w:eastAsia="Calibri"/>
                <w:sz w:val="20"/>
              </w:rPr>
            </w:pPr>
            <w:r w:rsidRPr="00BE6616">
              <w:rPr>
                <w:rFonts w:eastAsia="Calibri"/>
                <w:i/>
                <w:sz w:val="20"/>
              </w:rPr>
              <w:t>Indépendant</w:t>
            </w:r>
            <w:r w:rsidRPr="00BE6616">
              <w:rPr>
                <w:rFonts w:eastAsia="Calibri"/>
                <w:sz w:val="20"/>
              </w:rPr>
              <w:t xml:space="preserve">’s claim allowed: </w:t>
            </w:r>
            <w:r w:rsidRPr="00BE6616">
              <w:rPr>
                <w:rFonts w:eastAsia="Calibri"/>
                <w:i/>
                <w:sz w:val="20"/>
              </w:rPr>
              <w:t>J.E. Verreault</w:t>
            </w:r>
            <w:r w:rsidRPr="00BE6616">
              <w:rPr>
                <w:rFonts w:eastAsia="Calibri"/>
                <w:sz w:val="20"/>
              </w:rPr>
              <w:t xml:space="preserve"> condemned to pay $95,043.88; cross demand allowed: </w:t>
            </w:r>
            <w:r w:rsidRPr="00BE6616">
              <w:rPr>
                <w:rFonts w:eastAsia="Calibri"/>
                <w:i/>
                <w:sz w:val="20"/>
              </w:rPr>
              <w:t>Indépendant</w:t>
            </w:r>
            <w:r w:rsidRPr="00BE6616">
              <w:rPr>
                <w:rFonts w:eastAsia="Calibri"/>
                <w:sz w:val="20"/>
              </w:rPr>
              <w:t xml:space="preserve"> condemned to pay $137,786.62; judicial compensation ordered; objection to evidence dismissed</w:t>
            </w:r>
          </w:p>
          <w:p w:rsidR="00E84FCC" w:rsidRPr="00BE6616" w:rsidRDefault="00E84FCC" w:rsidP="002E3508">
            <w:pPr>
              <w:jc w:val="both"/>
              <w:rPr>
                <w:rFonts w:eastAsia="Calibri"/>
                <w:sz w:val="20"/>
              </w:rPr>
            </w:pPr>
          </w:p>
        </w:tc>
      </w:tr>
      <w:tr w:rsidR="00E84FCC" w:rsidRPr="00BE6616" w:rsidTr="002E3508">
        <w:tc>
          <w:tcPr>
            <w:tcW w:w="2427" w:type="pct"/>
          </w:tcPr>
          <w:p w:rsidR="00E84FCC" w:rsidRPr="00BE6616" w:rsidRDefault="00E84FCC" w:rsidP="002E3508">
            <w:pPr>
              <w:jc w:val="both"/>
              <w:rPr>
                <w:rFonts w:eastAsia="Calibri"/>
                <w:sz w:val="20"/>
              </w:rPr>
            </w:pPr>
            <w:r w:rsidRPr="00BE6616">
              <w:rPr>
                <w:rFonts w:eastAsia="Calibri"/>
                <w:sz w:val="20"/>
              </w:rPr>
              <w:t>April 14, 2011</w:t>
            </w:r>
          </w:p>
          <w:p w:rsidR="00E84FCC" w:rsidRPr="00BE6616" w:rsidRDefault="00E84FCC" w:rsidP="002E3508">
            <w:pPr>
              <w:jc w:val="both"/>
              <w:rPr>
                <w:rFonts w:eastAsia="Calibri"/>
                <w:sz w:val="20"/>
              </w:rPr>
            </w:pPr>
            <w:r w:rsidRPr="00BE6616">
              <w:rPr>
                <w:rFonts w:eastAsia="Calibri"/>
                <w:sz w:val="20"/>
              </w:rPr>
              <w:t>Quebec Court of Appeal (Montréal)</w:t>
            </w:r>
          </w:p>
          <w:p w:rsidR="00E84FCC" w:rsidRPr="00BE6616" w:rsidRDefault="00E84FCC" w:rsidP="002E3508">
            <w:pPr>
              <w:jc w:val="both"/>
              <w:rPr>
                <w:rFonts w:eastAsia="Calibri"/>
                <w:sz w:val="20"/>
              </w:rPr>
            </w:pPr>
            <w:r w:rsidRPr="00BE6616">
              <w:rPr>
                <w:rFonts w:eastAsia="Calibri"/>
                <w:sz w:val="20"/>
              </w:rPr>
              <w:t>(Brossard, Léger and Bouchard JJ.A.)</w:t>
            </w:r>
          </w:p>
          <w:p w:rsidR="00E84FCC" w:rsidRPr="00BE6616" w:rsidRDefault="00E84FCC" w:rsidP="002E3508">
            <w:pPr>
              <w:jc w:val="both"/>
              <w:rPr>
                <w:rFonts w:eastAsia="Calibri"/>
                <w:sz w:val="20"/>
              </w:rPr>
            </w:pPr>
          </w:p>
        </w:tc>
        <w:tc>
          <w:tcPr>
            <w:tcW w:w="243" w:type="pct"/>
          </w:tcPr>
          <w:p w:rsidR="00E84FCC" w:rsidRPr="00BE6616" w:rsidRDefault="00E84FCC" w:rsidP="002E3508">
            <w:pPr>
              <w:jc w:val="both"/>
              <w:rPr>
                <w:rFonts w:eastAsia="Calibri"/>
                <w:sz w:val="20"/>
              </w:rPr>
            </w:pPr>
          </w:p>
        </w:tc>
        <w:tc>
          <w:tcPr>
            <w:tcW w:w="2330" w:type="pct"/>
          </w:tcPr>
          <w:p w:rsidR="00E84FCC" w:rsidRPr="00BE6616" w:rsidRDefault="00E84FCC" w:rsidP="002E3508">
            <w:pPr>
              <w:jc w:val="both"/>
              <w:rPr>
                <w:rFonts w:eastAsia="Calibri"/>
                <w:sz w:val="20"/>
              </w:rPr>
            </w:pPr>
            <w:r w:rsidRPr="00BE6616">
              <w:rPr>
                <w:rFonts w:eastAsia="Calibri"/>
                <w:sz w:val="20"/>
              </w:rPr>
              <w:t>Appeal dismissed</w:t>
            </w:r>
          </w:p>
          <w:p w:rsidR="00E84FCC" w:rsidRPr="00BE6616" w:rsidRDefault="00E84FCC" w:rsidP="002E3508">
            <w:pPr>
              <w:jc w:val="both"/>
              <w:rPr>
                <w:rFonts w:eastAsia="Calibri"/>
                <w:sz w:val="20"/>
              </w:rPr>
            </w:pPr>
          </w:p>
          <w:p w:rsidR="00E84FCC" w:rsidRPr="00BE6616" w:rsidRDefault="00E84FCC" w:rsidP="002E3508">
            <w:pPr>
              <w:jc w:val="both"/>
              <w:rPr>
                <w:rFonts w:eastAsia="Calibri"/>
                <w:sz w:val="20"/>
              </w:rPr>
            </w:pPr>
          </w:p>
        </w:tc>
      </w:tr>
      <w:tr w:rsidR="00E84FCC" w:rsidRPr="00BE6616" w:rsidTr="002E3508">
        <w:tc>
          <w:tcPr>
            <w:tcW w:w="2427" w:type="pct"/>
          </w:tcPr>
          <w:p w:rsidR="00E84FCC" w:rsidRPr="00BE6616" w:rsidRDefault="00E84FCC" w:rsidP="002E3508">
            <w:pPr>
              <w:jc w:val="both"/>
              <w:rPr>
                <w:rFonts w:eastAsia="Calibri"/>
                <w:sz w:val="20"/>
              </w:rPr>
            </w:pPr>
            <w:r w:rsidRPr="00BE6616">
              <w:rPr>
                <w:rFonts w:eastAsia="Calibri"/>
                <w:sz w:val="20"/>
              </w:rPr>
              <w:t>June 13, 2011</w:t>
            </w:r>
          </w:p>
          <w:p w:rsidR="00E84FCC" w:rsidRPr="00BE6616" w:rsidRDefault="00E84FCC" w:rsidP="002E3508">
            <w:pPr>
              <w:jc w:val="both"/>
              <w:rPr>
                <w:rFonts w:eastAsia="Calibri"/>
                <w:sz w:val="20"/>
              </w:rPr>
            </w:pPr>
            <w:r w:rsidRPr="00BE6616">
              <w:rPr>
                <w:rFonts w:eastAsia="Calibri"/>
                <w:sz w:val="20"/>
              </w:rPr>
              <w:t>Supreme Court of Canada</w:t>
            </w:r>
          </w:p>
        </w:tc>
        <w:tc>
          <w:tcPr>
            <w:tcW w:w="243" w:type="pct"/>
          </w:tcPr>
          <w:p w:rsidR="00E84FCC" w:rsidRPr="00BE6616" w:rsidRDefault="00E84FCC" w:rsidP="002E3508">
            <w:pPr>
              <w:jc w:val="both"/>
              <w:rPr>
                <w:rFonts w:eastAsia="Calibri"/>
                <w:sz w:val="20"/>
              </w:rPr>
            </w:pPr>
          </w:p>
        </w:tc>
        <w:tc>
          <w:tcPr>
            <w:tcW w:w="2330" w:type="pct"/>
          </w:tcPr>
          <w:p w:rsidR="00E84FCC" w:rsidRPr="00BE6616" w:rsidRDefault="00E84FCC" w:rsidP="002E3508">
            <w:pPr>
              <w:jc w:val="both"/>
              <w:rPr>
                <w:rFonts w:eastAsia="Calibri"/>
                <w:sz w:val="20"/>
              </w:rPr>
            </w:pPr>
            <w:r w:rsidRPr="00BE6616">
              <w:rPr>
                <w:rFonts w:eastAsia="Calibri"/>
                <w:sz w:val="20"/>
              </w:rPr>
              <w:t>Application for leave to appeal filed</w:t>
            </w:r>
          </w:p>
          <w:p w:rsidR="00E84FCC" w:rsidRPr="00BE6616" w:rsidRDefault="00E84FCC" w:rsidP="002E350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93"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84FCC" w:rsidRPr="00682661" w:rsidTr="002E3508">
        <w:tc>
          <w:tcPr>
            <w:tcW w:w="5000" w:type="pct"/>
            <w:gridSpan w:val="3"/>
          </w:tcPr>
          <w:p w:rsidR="00E84FCC" w:rsidRPr="00BE6616" w:rsidRDefault="00E84FCC" w:rsidP="002E3508">
            <w:pPr>
              <w:jc w:val="both"/>
              <w:rPr>
                <w:rFonts w:eastAsia="Calibri"/>
                <w:sz w:val="20"/>
                <w:lang w:val="fr-CA"/>
              </w:rPr>
            </w:pPr>
            <w:r w:rsidRPr="00BE6616">
              <w:rPr>
                <w:rFonts w:eastAsia="Calibri"/>
                <w:i/>
                <w:sz w:val="20"/>
                <w:lang w:val="fr-CA"/>
              </w:rPr>
              <w:t xml:space="preserve">Code civil </w:t>
            </w:r>
            <w:r w:rsidRPr="00BE6616">
              <w:rPr>
                <w:rFonts w:eastAsia="Calibri"/>
                <w:sz w:val="20"/>
                <w:lang w:val="fr-CA"/>
              </w:rPr>
              <w:t xml:space="preserve">– Interprétation – Procédure </w:t>
            </w:r>
            <w:r w:rsidRPr="00BE6616">
              <w:rPr>
                <w:rFonts w:eastAsia="Calibri"/>
                <w:sz w:val="20"/>
                <w:lang w:val="fr-CA"/>
              </w:rPr>
              <w:noBreakHyphen/>
              <w:t xml:space="preserve"> Preuve – Admissibilité d’une preuve par ouï</w:t>
            </w:r>
            <w:r w:rsidRPr="00BE6616">
              <w:rPr>
                <w:rFonts w:eastAsia="Calibri"/>
                <w:sz w:val="20"/>
                <w:lang w:val="fr-CA"/>
              </w:rPr>
              <w:noBreakHyphen/>
              <w:t xml:space="preserve">dire aux termes de l’article 2870 du </w:t>
            </w:r>
            <w:r w:rsidRPr="00BE6616">
              <w:rPr>
                <w:rFonts w:eastAsia="Calibri"/>
                <w:i/>
                <w:sz w:val="20"/>
                <w:lang w:val="fr-CA"/>
              </w:rPr>
              <w:t>Code civil du Québec</w:t>
            </w:r>
            <w:r w:rsidRPr="00BE6616">
              <w:rPr>
                <w:rFonts w:eastAsia="Calibri"/>
                <w:sz w:val="20"/>
                <w:lang w:val="fr-CA"/>
              </w:rPr>
              <w:t>, L.Q. 1991, ch. 64 – Critère de fiabilité – Est</w:t>
            </w:r>
            <w:r w:rsidRPr="00BE6616">
              <w:rPr>
                <w:rFonts w:eastAsia="Calibri"/>
                <w:sz w:val="20"/>
                <w:lang w:val="fr-CA"/>
              </w:rPr>
              <w:noBreakHyphen/>
              <w:t>ce qu’un affidavit peut être considéré suffisamment fiable et être admis en preuve pour la véracité de son contenu en vertu de l’article 2870 C.c.Q. lorsque l’utilisation visée est d’établir les éléments centraux de la requête d’une partie, et ce, sans que l’affiant soit sujet à un contre</w:t>
            </w:r>
            <w:r w:rsidRPr="00BE6616">
              <w:rPr>
                <w:rFonts w:eastAsia="Calibri"/>
                <w:sz w:val="20"/>
                <w:lang w:val="fr-CA"/>
              </w:rPr>
              <w:noBreakHyphen/>
              <w:t>interrogatoire?</w:t>
            </w:r>
          </w:p>
        </w:tc>
      </w:tr>
      <w:tr w:rsidR="00E84FCC" w:rsidRPr="00682661" w:rsidTr="002E3508">
        <w:tc>
          <w:tcPr>
            <w:tcW w:w="5000" w:type="pct"/>
            <w:gridSpan w:val="3"/>
          </w:tcPr>
          <w:p w:rsidR="00E84FCC" w:rsidRPr="00BE6616" w:rsidRDefault="00E84FCC" w:rsidP="002E3508">
            <w:pPr>
              <w:jc w:val="both"/>
              <w:rPr>
                <w:rFonts w:eastAsia="Calibri"/>
                <w:sz w:val="20"/>
                <w:lang w:val="fr-CA"/>
              </w:rPr>
            </w:pPr>
          </w:p>
        </w:tc>
      </w:tr>
      <w:tr w:rsidR="00E84FCC" w:rsidRPr="00682661" w:rsidTr="002E3508">
        <w:tc>
          <w:tcPr>
            <w:tcW w:w="5000" w:type="pct"/>
            <w:gridSpan w:val="3"/>
          </w:tcPr>
          <w:p w:rsidR="00E84FCC" w:rsidRPr="00BE6616" w:rsidRDefault="00E84FCC" w:rsidP="002E3508">
            <w:pPr>
              <w:jc w:val="both"/>
              <w:rPr>
                <w:rFonts w:eastAsia="Calibri"/>
                <w:sz w:val="20"/>
                <w:lang w:val="fr-CA"/>
              </w:rPr>
            </w:pPr>
            <w:r w:rsidRPr="00BE6616">
              <w:rPr>
                <w:rFonts w:eastAsia="Calibri"/>
                <w:sz w:val="20"/>
                <w:lang w:val="fr-CA"/>
              </w:rPr>
              <w:t>La Corporation d’Entretien d’Ascenseur Indépendant (</w:t>
            </w:r>
            <w:r w:rsidRPr="00BE6616">
              <w:rPr>
                <w:rFonts w:eastAsia="Calibri"/>
                <w:i/>
                <w:sz w:val="20"/>
                <w:lang w:val="fr-CA"/>
              </w:rPr>
              <w:t>Indépendant</w:t>
            </w:r>
            <w:r w:rsidRPr="00BE6616">
              <w:rPr>
                <w:rFonts w:eastAsia="Calibri"/>
                <w:sz w:val="20"/>
                <w:lang w:val="fr-CA"/>
              </w:rPr>
              <w:t>), demanderesse, œuvre dans le domaine de la réparation, de l’entretien et de l’installation d’ascenseurs à Montréal alors que J.E. Verreault &amp; Fils Ltée (</w:t>
            </w:r>
            <w:r w:rsidRPr="00BE6616">
              <w:rPr>
                <w:rFonts w:eastAsia="Calibri"/>
                <w:i/>
                <w:sz w:val="20"/>
                <w:lang w:val="fr-CA"/>
              </w:rPr>
              <w:t>Verreault</w:t>
            </w:r>
            <w:r w:rsidRPr="00BE6616">
              <w:rPr>
                <w:rFonts w:eastAsia="Calibri"/>
                <w:sz w:val="20"/>
                <w:lang w:val="fr-CA"/>
              </w:rPr>
              <w:t>), intimée, est un contracteur général de la ville de Québec. Ayant livré et installé quatre ascenseurs lors de la construction du Carrefour Industrielle Alliance à Montréal. </w:t>
            </w:r>
            <w:r w:rsidRPr="00BE6616">
              <w:rPr>
                <w:rFonts w:eastAsia="Calibri"/>
                <w:i/>
                <w:sz w:val="20"/>
                <w:lang w:val="fr-CA"/>
              </w:rPr>
              <w:t>Indépendant</w:t>
            </w:r>
            <w:r w:rsidRPr="00BE6616">
              <w:rPr>
                <w:rFonts w:eastAsia="Calibri"/>
                <w:sz w:val="20"/>
                <w:lang w:val="fr-CA"/>
              </w:rPr>
              <w:t xml:space="preserve"> réclame 265 228,52 $ à </w:t>
            </w:r>
            <w:r w:rsidRPr="00BE6616">
              <w:rPr>
                <w:rFonts w:eastAsia="Calibri"/>
                <w:i/>
                <w:sz w:val="20"/>
                <w:lang w:val="fr-CA"/>
              </w:rPr>
              <w:t>Verreault</w:t>
            </w:r>
            <w:r w:rsidRPr="00BE6616">
              <w:rPr>
                <w:rFonts w:eastAsia="Calibri"/>
                <w:sz w:val="20"/>
                <w:lang w:val="fr-CA"/>
              </w:rPr>
              <w:t xml:space="preserve">. Ce montant représente le solde dû pour services rendus. </w:t>
            </w:r>
            <w:r w:rsidRPr="00BE6616">
              <w:rPr>
                <w:rFonts w:eastAsia="Calibri"/>
                <w:i/>
                <w:sz w:val="20"/>
                <w:lang w:val="fr-CA"/>
              </w:rPr>
              <w:t>Verreault</w:t>
            </w:r>
            <w:r w:rsidRPr="00BE6616">
              <w:rPr>
                <w:rFonts w:eastAsia="Calibri"/>
                <w:sz w:val="20"/>
                <w:lang w:val="fr-CA"/>
              </w:rPr>
              <w:t xml:space="preserve"> conteste cette demande puisqu’elle prétend ne devoir que 95 043,88 $ à </w:t>
            </w:r>
            <w:r w:rsidRPr="00BE6616">
              <w:rPr>
                <w:rFonts w:eastAsia="Calibri"/>
                <w:i/>
                <w:sz w:val="20"/>
                <w:lang w:val="fr-CA"/>
              </w:rPr>
              <w:t>Indépendant</w:t>
            </w:r>
            <w:r w:rsidRPr="00BE6616">
              <w:rPr>
                <w:rFonts w:eastAsia="Calibri"/>
                <w:sz w:val="20"/>
                <w:lang w:val="fr-CA"/>
              </w:rPr>
              <w:t>. De plus, elle se porte demanderesse reconventionnelle.</w:t>
            </w:r>
          </w:p>
          <w:p w:rsidR="00E84FCC" w:rsidRPr="00BE6616" w:rsidRDefault="00E84FCC" w:rsidP="002E3508">
            <w:pPr>
              <w:jc w:val="both"/>
              <w:rPr>
                <w:rFonts w:eastAsia="Calibri"/>
                <w:sz w:val="20"/>
                <w:lang w:val="fr-CA"/>
              </w:rPr>
            </w:pPr>
          </w:p>
          <w:p w:rsidR="00E84FCC" w:rsidRDefault="00E84FCC" w:rsidP="002E3508">
            <w:pPr>
              <w:jc w:val="both"/>
              <w:rPr>
                <w:rFonts w:eastAsia="Calibri"/>
                <w:sz w:val="20"/>
                <w:lang w:val="fr-CA"/>
              </w:rPr>
            </w:pPr>
            <w:r w:rsidRPr="00BE6616">
              <w:rPr>
                <w:rFonts w:eastAsia="Calibri"/>
                <w:sz w:val="20"/>
                <w:lang w:val="fr-CA"/>
              </w:rPr>
              <w:t>Les deux parties ont indiqué qu’un de leur témoin serait Roland Charbonneau. Les services de celui</w:t>
            </w:r>
            <w:r w:rsidRPr="00BE6616">
              <w:rPr>
                <w:rFonts w:eastAsia="Calibri"/>
                <w:sz w:val="20"/>
                <w:lang w:val="fr-CA"/>
              </w:rPr>
              <w:noBreakHyphen/>
              <w:t xml:space="preserve">ci avaient été retenus par le propriétaire, l’Industrielle Alliance compagnie d’assurance sur la vie, pour agir à titre d’expert conseil lors de la réalisation des travaux relatifs à l’installation des escaliers mécaniques et des ascenseurs. En 2007, Charbonneau est victime d’un accident vasculaire cérébral qui le laisse complètement paralysé du côté droit. Les parties ont tenté de l’interroger hors Cour mais son état de santé n’a pas permis la tenue de l’interrogatoire prévu pour le mois de janvier 2008. Au début du procès, Verreault produit la déclaration de Charbonneau datée du 12 janvier 2009, appuyé d’une affirmation solennelle. Elle contient 84 paragraphes et constitue essentiellement le témoignage qu’aurait livré Charbonneau à l’audience s’il avait été en mesure de se présenter. Elle demande que cette déclaration soit acceptée pour valoir témoignage en vertu de l’article 2870 C.c.Q. </w:t>
            </w:r>
            <w:r w:rsidRPr="00BE6616">
              <w:rPr>
                <w:rFonts w:eastAsia="Calibri"/>
                <w:i/>
                <w:sz w:val="20"/>
                <w:lang w:val="fr-CA"/>
              </w:rPr>
              <w:t>Indépendant</w:t>
            </w:r>
            <w:r w:rsidRPr="00BE6616">
              <w:rPr>
                <w:rFonts w:eastAsia="Calibri"/>
                <w:sz w:val="20"/>
                <w:lang w:val="fr-CA"/>
              </w:rPr>
              <w:t xml:space="preserve"> s’oppose à cette demande.</w:t>
            </w:r>
          </w:p>
          <w:p w:rsidR="00E84FCC" w:rsidRPr="00BE6616" w:rsidRDefault="00E84FCC" w:rsidP="002E3508">
            <w:pPr>
              <w:jc w:val="both"/>
              <w:rPr>
                <w:rFonts w:eastAsia="Calibri"/>
                <w:sz w:val="20"/>
                <w:lang w:val="fr-CA"/>
              </w:rPr>
            </w:pPr>
          </w:p>
        </w:tc>
      </w:tr>
      <w:tr w:rsidR="00E84FCC" w:rsidRPr="00682661" w:rsidTr="002E3508">
        <w:tc>
          <w:tcPr>
            <w:tcW w:w="2427" w:type="pct"/>
          </w:tcPr>
          <w:p w:rsidR="00E84FCC" w:rsidRPr="00BE6616" w:rsidRDefault="00E84FCC" w:rsidP="002E3508">
            <w:pPr>
              <w:jc w:val="both"/>
              <w:rPr>
                <w:rFonts w:eastAsia="Calibri"/>
                <w:sz w:val="20"/>
                <w:lang w:val="fr-CA"/>
              </w:rPr>
            </w:pPr>
            <w:r w:rsidRPr="00BE6616">
              <w:rPr>
                <w:rFonts w:eastAsia="Calibri"/>
                <w:sz w:val="20"/>
                <w:lang w:val="fr-CA"/>
              </w:rPr>
              <w:t>Le 12 février 2009</w:t>
            </w:r>
          </w:p>
          <w:p w:rsidR="00E84FCC" w:rsidRPr="00BE6616" w:rsidRDefault="00E84FCC" w:rsidP="002E3508">
            <w:pPr>
              <w:jc w:val="both"/>
              <w:rPr>
                <w:rFonts w:eastAsia="Calibri"/>
                <w:sz w:val="20"/>
                <w:lang w:val="fr-CA"/>
              </w:rPr>
            </w:pPr>
            <w:r w:rsidRPr="00BE6616">
              <w:rPr>
                <w:rFonts w:eastAsia="Calibri"/>
                <w:sz w:val="20"/>
                <w:lang w:val="fr-CA"/>
              </w:rPr>
              <w:t>Cour supérieure du Québec</w:t>
            </w:r>
          </w:p>
          <w:p w:rsidR="00E84FCC" w:rsidRPr="00BE6616" w:rsidRDefault="00E84FCC" w:rsidP="002E3508">
            <w:pPr>
              <w:jc w:val="both"/>
              <w:rPr>
                <w:rFonts w:eastAsia="Calibri"/>
                <w:sz w:val="20"/>
                <w:lang w:val="fr-CA"/>
              </w:rPr>
            </w:pPr>
            <w:r w:rsidRPr="00BE6616">
              <w:rPr>
                <w:rFonts w:eastAsia="Calibri"/>
                <w:sz w:val="20"/>
                <w:lang w:val="fr-CA"/>
              </w:rPr>
              <w:t>(Le juge Décarie)</w:t>
            </w:r>
          </w:p>
          <w:p w:rsidR="00E84FCC" w:rsidRPr="00BE6616" w:rsidRDefault="00E84FCC" w:rsidP="002E3508">
            <w:pPr>
              <w:jc w:val="both"/>
              <w:rPr>
                <w:rFonts w:eastAsia="Calibri"/>
                <w:sz w:val="20"/>
                <w:lang w:val="fr-CA"/>
              </w:rPr>
            </w:pPr>
          </w:p>
        </w:tc>
        <w:tc>
          <w:tcPr>
            <w:tcW w:w="243" w:type="pct"/>
          </w:tcPr>
          <w:p w:rsidR="00E84FCC" w:rsidRPr="00BE6616" w:rsidRDefault="00E84FCC" w:rsidP="002E3508">
            <w:pPr>
              <w:jc w:val="both"/>
              <w:rPr>
                <w:rFonts w:eastAsia="Calibri"/>
                <w:sz w:val="20"/>
                <w:lang w:val="fr-CA"/>
              </w:rPr>
            </w:pPr>
          </w:p>
        </w:tc>
        <w:tc>
          <w:tcPr>
            <w:tcW w:w="2330" w:type="pct"/>
          </w:tcPr>
          <w:p w:rsidR="00E84FCC" w:rsidRPr="00BE6616" w:rsidRDefault="00E84FCC" w:rsidP="002E3508">
            <w:pPr>
              <w:jc w:val="both"/>
              <w:rPr>
                <w:rFonts w:eastAsia="Calibri"/>
                <w:sz w:val="20"/>
                <w:lang w:val="fr-CA"/>
              </w:rPr>
            </w:pPr>
            <w:r w:rsidRPr="00BE6616">
              <w:rPr>
                <w:rFonts w:eastAsia="Calibri"/>
                <w:sz w:val="20"/>
                <w:lang w:val="fr-CA"/>
              </w:rPr>
              <w:t xml:space="preserve">Réclamation de </w:t>
            </w:r>
            <w:r w:rsidRPr="00BE6616">
              <w:rPr>
                <w:rFonts w:eastAsia="Calibri"/>
                <w:i/>
                <w:sz w:val="20"/>
                <w:lang w:val="fr-CA"/>
              </w:rPr>
              <w:t>Indépendant</w:t>
            </w:r>
            <w:r w:rsidRPr="00BE6616">
              <w:rPr>
                <w:rFonts w:eastAsia="Calibri"/>
                <w:sz w:val="20"/>
                <w:lang w:val="fr-CA"/>
              </w:rPr>
              <w:t xml:space="preserve"> accordée : </w:t>
            </w:r>
            <w:r w:rsidRPr="00BE6616">
              <w:rPr>
                <w:rFonts w:eastAsia="Calibri"/>
                <w:i/>
                <w:sz w:val="20"/>
                <w:lang w:val="fr-CA"/>
              </w:rPr>
              <w:t>J.E. Verreault</w:t>
            </w:r>
            <w:r w:rsidRPr="00BE6616">
              <w:rPr>
                <w:rFonts w:eastAsia="Calibri"/>
                <w:sz w:val="20"/>
                <w:lang w:val="fr-CA"/>
              </w:rPr>
              <w:t xml:space="preserve"> condamnée à verser la somme de 95 043,88 $; demande reconventionnelle accordée : </w:t>
            </w:r>
            <w:r w:rsidRPr="00BE6616">
              <w:rPr>
                <w:rFonts w:eastAsia="Calibri"/>
                <w:i/>
                <w:sz w:val="20"/>
                <w:lang w:val="fr-CA"/>
              </w:rPr>
              <w:t>Indépendant</w:t>
            </w:r>
            <w:r w:rsidRPr="00BE6616">
              <w:rPr>
                <w:rFonts w:eastAsia="Calibri"/>
                <w:sz w:val="20"/>
                <w:lang w:val="fr-CA"/>
              </w:rPr>
              <w:t xml:space="preserve"> condamnée à verser la somme de 137 786,62 $; </w:t>
            </w:r>
            <w:r w:rsidRPr="00BE6616">
              <w:rPr>
                <w:rFonts w:eastAsia="Calibri"/>
                <w:sz w:val="20"/>
                <w:lang w:val="fr-FR"/>
              </w:rPr>
              <w:t>Compensation judiciaire ordonnée ; objection à la preuve rejetée</w:t>
            </w:r>
          </w:p>
          <w:p w:rsidR="00E84FCC" w:rsidRPr="00BE6616" w:rsidRDefault="00E84FCC" w:rsidP="002E3508">
            <w:pPr>
              <w:jc w:val="both"/>
              <w:rPr>
                <w:rFonts w:eastAsia="Calibri"/>
                <w:sz w:val="20"/>
                <w:lang w:val="fr-CA"/>
              </w:rPr>
            </w:pPr>
          </w:p>
        </w:tc>
      </w:tr>
      <w:tr w:rsidR="00E84FCC" w:rsidRPr="00BE6616" w:rsidTr="0087505F">
        <w:trPr>
          <w:cantSplit/>
        </w:trPr>
        <w:tc>
          <w:tcPr>
            <w:tcW w:w="2427" w:type="pct"/>
          </w:tcPr>
          <w:p w:rsidR="00E84FCC" w:rsidRPr="00BE6616" w:rsidRDefault="00E84FCC" w:rsidP="002E3508">
            <w:pPr>
              <w:jc w:val="both"/>
              <w:rPr>
                <w:rFonts w:eastAsia="Calibri"/>
                <w:sz w:val="20"/>
                <w:lang w:val="fr-CA"/>
              </w:rPr>
            </w:pPr>
            <w:r w:rsidRPr="00BE6616">
              <w:rPr>
                <w:rFonts w:eastAsia="Calibri"/>
                <w:sz w:val="20"/>
                <w:lang w:val="fr-CA"/>
              </w:rPr>
              <w:t>Le 14 avril 2011</w:t>
            </w:r>
          </w:p>
          <w:p w:rsidR="00E84FCC" w:rsidRPr="00BE6616" w:rsidRDefault="00E84FCC" w:rsidP="002E3508">
            <w:pPr>
              <w:jc w:val="both"/>
              <w:rPr>
                <w:rFonts w:eastAsia="Calibri"/>
                <w:sz w:val="20"/>
                <w:lang w:val="fr-CA"/>
              </w:rPr>
            </w:pPr>
            <w:r w:rsidRPr="00BE6616">
              <w:rPr>
                <w:rFonts w:eastAsia="Calibri"/>
                <w:sz w:val="20"/>
                <w:lang w:val="fr-CA"/>
              </w:rPr>
              <w:t>Cour d’appel du Québec (Montréal)</w:t>
            </w:r>
          </w:p>
          <w:p w:rsidR="00E84FCC" w:rsidRPr="00BE6616" w:rsidRDefault="00E84FCC" w:rsidP="002E3508">
            <w:pPr>
              <w:jc w:val="both"/>
              <w:rPr>
                <w:rFonts w:eastAsia="Calibri"/>
                <w:sz w:val="20"/>
                <w:lang w:val="fr-CA"/>
              </w:rPr>
            </w:pPr>
            <w:r w:rsidRPr="00BE6616">
              <w:rPr>
                <w:rFonts w:eastAsia="Calibri"/>
                <w:sz w:val="20"/>
                <w:lang w:val="fr-CA"/>
              </w:rPr>
              <w:t>(Les juges Brossard, Léger et Bouchard)</w:t>
            </w:r>
          </w:p>
          <w:p w:rsidR="00E84FCC" w:rsidRPr="00BE6616" w:rsidRDefault="00E84FCC" w:rsidP="002E3508">
            <w:pPr>
              <w:jc w:val="both"/>
              <w:rPr>
                <w:rFonts w:eastAsia="Calibri"/>
                <w:sz w:val="20"/>
                <w:lang w:val="fr-CA"/>
              </w:rPr>
            </w:pPr>
          </w:p>
        </w:tc>
        <w:tc>
          <w:tcPr>
            <w:tcW w:w="243" w:type="pct"/>
          </w:tcPr>
          <w:p w:rsidR="00E84FCC" w:rsidRPr="00BE6616" w:rsidRDefault="00E84FCC" w:rsidP="002E3508">
            <w:pPr>
              <w:jc w:val="both"/>
              <w:rPr>
                <w:rFonts w:eastAsia="Calibri"/>
                <w:sz w:val="20"/>
                <w:lang w:val="fr-CA"/>
              </w:rPr>
            </w:pPr>
          </w:p>
        </w:tc>
        <w:tc>
          <w:tcPr>
            <w:tcW w:w="2330" w:type="pct"/>
          </w:tcPr>
          <w:p w:rsidR="00E84FCC" w:rsidRPr="00BE6616" w:rsidRDefault="00E84FCC" w:rsidP="002E3508">
            <w:pPr>
              <w:jc w:val="both"/>
              <w:rPr>
                <w:rFonts w:eastAsia="Calibri"/>
                <w:sz w:val="20"/>
                <w:lang w:val="fr-CA"/>
              </w:rPr>
            </w:pPr>
            <w:r w:rsidRPr="00BE6616">
              <w:rPr>
                <w:rFonts w:eastAsia="Calibri"/>
                <w:sz w:val="20"/>
                <w:lang w:val="fr-CA"/>
              </w:rPr>
              <w:t>Appel rejeté</w:t>
            </w:r>
          </w:p>
          <w:p w:rsidR="00E84FCC" w:rsidRPr="00BE6616" w:rsidRDefault="00E84FCC" w:rsidP="002E3508">
            <w:pPr>
              <w:jc w:val="both"/>
              <w:rPr>
                <w:rFonts w:eastAsia="Calibri"/>
                <w:sz w:val="20"/>
                <w:lang w:val="fr-CA"/>
              </w:rPr>
            </w:pPr>
          </w:p>
          <w:p w:rsidR="00E84FCC" w:rsidRPr="00BE6616" w:rsidRDefault="00E84FCC" w:rsidP="002E3508">
            <w:pPr>
              <w:jc w:val="both"/>
              <w:rPr>
                <w:rFonts w:eastAsia="Calibri"/>
                <w:sz w:val="20"/>
                <w:lang w:val="fr-CA"/>
              </w:rPr>
            </w:pPr>
          </w:p>
        </w:tc>
      </w:tr>
      <w:tr w:rsidR="00E84FCC" w:rsidRPr="00BE6616" w:rsidTr="0087505F">
        <w:trPr>
          <w:cantSplit/>
        </w:trPr>
        <w:tc>
          <w:tcPr>
            <w:tcW w:w="2427" w:type="pct"/>
          </w:tcPr>
          <w:p w:rsidR="00E84FCC" w:rsidRPr="00BE6616" w:rsidRDefault="00E84FCC" w:rsidP="002E3508">
            <w:pPr>
              <w:jc w:val="both"/>
              <w:rPr>
                <w:rFonts w:eastAsia="Calibri"/>
                <w:sz w:val="20"/>
                <w:lang w:val="fr-CA"/>
              </w:rPr>
            </w:pPr>
            <w:r w:rsidRPr="00BE6616">
              <w:rPr>
                <w:rFonts w:eastAsia="Calibri"/>
                <w:sz w:val="20"/>
                <w:lang w:val="fr-CA"/>
              </w:rPr>
              <w:t>Le 13 juin 2011</w:t>
            </w:r>
          </w:p>
          <w:p w:rsidR="00E84FCC" w:rsidRPr="00BE6616" w:rsidRDefault="00E84FCC" w:rsidP="002E3508">
            <w:pPr>
              <w:jc w:val="both"/>
              <w:rPr>
                <w:rFonts w:eastAsia="Calibri"/>
                <w:sz w:val="20"/>
                <w:lang w:val="fr-CA"/>
              </w:rPr>
            </w:pPr>
            <w:r w:rsidRPr="00BE6616">
              <w:rPr>
                <w:rFonts w:eastAsia="Calibri"/>
                <w:sz w:val="20"/>
                <w:lang w:val="fr-CA"/>
              </w:rPr>
              <w:t>Cour suprême du Canada</w:t>
            </w:r>
          </w:p>
        </w:tc>
        <w:tc>
          <w:tcPr>
            <w:tcW w:w="243" w:type="pct"/>
          </w:tcPr>
          <w:p w:rsidR="00E84FCC" w:rsidRPr="00BE6616" w:rsidRDefault="00E84FCC" w:rsidP="002E3508">
            <w:pPr>
              <w:jc w:val="both"/>
              <w:rPr>
                <w:rFonts w:eastAsia="Calibri"/>
                <w:sz w:val="20"/>
                <w:lang w:val="fr-CA"/>
              </w:rPr>
            </w:pPr>
          </w:p>
        </w:tc>
        <w:tc>
          <w:tcPr>
            <w:tcW w:w="2330" w:type="pct"/>
          </w:tcPr>
          <w:p w:rsidR="00E84FCC" w:rsidRPr="00BE6616" w:rsidRDefault="00E84FCC" w:rsidP="002E3508">
            <w:pPr>
              <w:jc w:val="both"/>
              <w:rPr>
                <w:rFonts w:eastAsia="Calibri"/>
                <w:sz w:val="20"/>
                <w:lang w:val="fr-CA"/>
              </w:rPr>
            </w:pPr>
            <w:r w:rsidRPr="00BE6616">
              <w:rPr>
                <w:rFonts w:eastAsia="Calibri"/>
                <w:sz w:val="20"/>
                <w:lang w:val="fr-CA"/>
              </w:rPr>
              <w:t>Demande d'autorisation d'appel déposée</w:t>
            </w:r>
          </w:p>
          <w:p w:rsidR="00E84FCC" w:rsidRPr="00BE6616" w:rsidRDefault="00E84FCC" w:rsidP="002E350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94"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D7C3A" w:rsidRPr="009D5E94" w:rsidTr="002E3508">
        <w:trPr>
          <w:cantSplit/>
        </w:trPr>
        <w:tc>
          <w:tcPr>
            <w:tcW w:w="1458" w:type="dxa"/>
          </w:tcPr>
          <w:p w:rsidR="009D7C3A" w:rsidRPr="009D5E94" w:rsidRDefault="009D7C3A" w:rsidP="002E3508">
            <w:pPr>
              <w:rPr>
                <w:sz w:val="20"/>
                <w:szCs w:val="20"/>
              </w:rPr>
            </w:pPr>
            <w:r w:rsidRPr="009D5E94">
              <w:rPr>
                <w:rStyle w:val="SCCFileNumberChar"/>
                <w:sz w:val="20"/>
                <w:szCs w:val="20"/>
              </w:rPr>
              <w:t>34313</w:t>
            </w:r>
          </w:p>
          <w:p w:rsidR="009D7C3A" w:rsidRPr="009D5E94" w:rsidRDefault="009D7C3A" w:rsidP="002E3508">
            <w:pPr>
              <w:rPr>
                <w:b/>
                <w:sz w:val="20"/>
                <w:szCs w:val="20"/>
                <w:lang w:val="fr-CA"/>
              </w:rPr>
            </w:pPr>
          </w:p>
        </w:tc>
        <w:tc>
          <w:tcPr>
            <w:tcW w:w="8118" w:type="dxa"/>
          </w:tcPr>
          <w:p w:rsidR="009D7C3A" w:rsidRPr="009D5E94" w:rsidRDefault="009D7C3A" w:rsidP="002E3508">
            <w:pPr>
              <w:rPr>
                <w:sz w:val="20"/>
                <w:szCs w:val="20"/>
              </w:rPr>
            </w:pPr>
            <w:r w:rsidRPr="009D7C3A">
              <w:rPr>
                <w:rStyle w:val="SCCLsocChar"/>
                <w:sz w:val="20"/>
                <w:szCs w:val="20"/>
                <w:lang w:val="en-CA"/>
              </w:rPr>
              <w:t>Vivek Gupta v. Her Majesty the Queen</w:t>
            </w:r>
            <w:r w:rsidRPr="009D5E94">
              <w:rPr>
                <w:sz w:val="20"/>
                <w:szCs w:val="20"/>
              </w:rPr>
              <w:t xml:space="preserve"> (Ont.) (Criminal) (By Leave)</w:t>
            </w:r>
          </w:p>
          <w:p w:rsidR="009D7C3A" w:rsidRPr="009D5E94" w:rsidRDefault="009D7C3A" w:rsidP="002E3508">
            <w:pPr>
              <w:rPr>
                <w:sz w:val="20"/>
                <w:szCs w:val="20"/>
              </w:rPr>
            </w:pPr>
          </w:p>
        </w:tc>
      </w:tr>
      <w:tr w:rsidR="009D7C3A" w:rsidRPr="009D5E94" w:rsidTr="002E3508">
        <w:trPr>
          <w:cantSplit/>
        </w:trPr>
        <w:tc>
          <w:tcPr>
            <w:tcW w:w="1458" w:type="dxa"/>
          </w:tcPr>
          <w:p w:rsidR="009D7C3A" w:rsidRPr="009D5E94" w:rsidRDefault="009D7C3A" w:rsidP="002E3508">
            <w:pPr>
              <w:rPr>
                <w:sz w:val="20"/>
                <w:szCs w:val="20"/>
              </w:rPr>
            </w:pPr>
            <w:r w:rsidRPr="009D5E94">
              <w:rPr>
                <w:sz w:val="20"/>
                <w:szCs w:val="20"/>
              </w:rPr>
              <w:t>Coram :</w:t>
            </w:r>
          </w:p>
        </w:tc>
        <w:tc>
          <w:tcPr>
            <w:tcW w:w="8118" w:type="dxa"/>
          </w:tcPr>
          <w:p w:rsidR="009D7C3A" w:rsidRPr="009D5E94" w:rsidRDefault="009D7C3A" w:rsidP="002E3508">
            <w:pPr>
              <w:rPr>
                <w:sz w:val="20"/>
                <w:szCs w:val="20"/>
              </w:rPr>
            </w:pPr>
            <w:r w:rsidRPr="009D5E94">
              <w:rPr>
                <w:rStyle w:val="SCCCoramChar"/>
                <w:sz w:val="20"/>
                <w:szCs w:val="20"/>
              </w:rPr>
              <w:t>McLachlin C.J. and Deschamps and Abella JJ.</w:t>
            </w:r>
          </w:p>
          <w:p w:rsidR="009D7C3A" w:rsidRPr="009D5E94" w:rsidRDefault="009D7C3A" w:rsidP="002E3508">
            <w:pPr>
              <w:rPr>
                <w:sz w:val="20"/>
                <w:szCs w:val="20"/>
                <w:u w:val="single"/>
              </w:rPr>
            </w:pPr>
          </w:p>
        </w:tc>
      </w:tr>
      <w:tr w:rsidR="009D7C3A" w:rsidRPr="00682661" w:rsidTr="002E3508">
        <w:trPr>
          <w:cantSplit/>
        </w:trPr>
        <w:tc>
          <w:tcPr>
            <w:tcW w:w="9576" w:type="dxa"/>
            <w:gridSpan w:val="2"/>
          </w:tcPr>
          <w:p w:rsidR="009D7C3A" w:rsidRPr="009D5E94" w:rsidRDefault="009D7C3A" w:rsidP="002E3508">
            <w:pPr>
              <w:pStyle w:val="SCCShortJudgment"/>
              <w:rPr>
                <w:szCs w:val="20"/>
              </w:rPr>
            </w:pPr>
            <w:r w:rsidRPr="009D5E94">
              <w:rPr>
                <w:szCs w:val="20"/>
              </w:rPr>
              <w:t>The application for leave to appeal from the judgment of the Court of Appeal for Ontario, Number C53339, dated May 16, 2011, is dismissed without costs.</w:t>
            </w:r>
          </w:p>
          <w:p w:rsidR="009D7C3A" w:rsidRPr="009D5E94" w:rsidRDefault="009D7C3A" w:rsidP="002E3508">
            <w:pPr>
              <w:pStyle w:val="SCCShortJudgment"/>
              <w:ind w:firstLine="0"/>
              <w:rPr>
                <w:szCs w:val="20"/>
              </w:rPr>
            </w:pPr>
          </w:p>
          <w:p w:rsidR="009D7C3A" w:rsidRPr="00A20F5E" w:rsidRDefault="00A20F5E" w:rsidP="00A20F5E">
            <w:pPr>
              <w:pStyle w:val="SCCShortJudgment"/>
              <w:rPr>
                <w:szCs w:val="20"/>
                <w:lang w:val="fr-CA"/>
              </w:rPr>
            </w:pPr>
            <w:r w:rsidRPr="00A20F5E">
              <w:rPr>
                <w:szCs w:val="20"/>
                <w:lang w:val="fr-CA"/>
              </w:rPr>
              <w:t>La demande d’autorisation d’appel de l’arrêt de la Cour d’appel de l’Ontario, numéro C53339, daté du 16 mai 2011, est rejetée sans dépens</w:t>
            </w:r>
            <w:r w:rsidR="009D7C3A" w:rsidRPr="00A20F5E">
              <w:rPr>
                <w:szCs w:val="20"/>
                <w:lang w:val="fr-CA"/>
              </w:rPr>
              <w:t>.</w:t>
            </w:r>
          </w:p>
        </w:tc>
      </w:tr>
    </w:tbl>
    <w:p w:rsidR="007B50F9" w:rsidRPr="00A20F5E" w:rsidRDefault="007B50F9" w:rsidP="007B50F9">
      <w:pPr>
        <w:rPr>
          <w:sz w:val="20"/>
          <w:szCs w:val="20"/>
          <w:lang w:val="fr-CA"/>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A5290" w:rsidRPr="00BE6616" w:rsidTr="002E3508">
        <w:tc>
          <w:tcPr>
            <w:tcW w:w="5000" w:type="pct"/>
            <w:gridSpan w:val="3"/>
          </w:tcPr>
          <w:p w:rsidR="00CA5290" w:rsidRPr="00BE6616" w:rsidRDefault="00CA5290" w:rsidP="002E3508">
            <w:pPr>
              <w:jc w:val="both"/>
              <w:rPr>
                <w:rFonts w:eastAsia="Calibri"/>
                <w:sz w:val="20"/>
              </w:rPr>
            </w:pPr>
            <w:r w:rsidRPr="00BE6616">
              <w:rPr>
                <w:rFonts w:eastAsia="Calibri"/>
                <w:sz w:val="20"/>
              </w:rPr>
              <w:t>Charter of rights — Criminal law — Criminal harassment — Whether the Court of Appeal’s reasons are insufficient and preclude meaningful appellate review — Whether the Court of Appeal erred in failing to deal with all of the Applicant’s substantive arguments</w:t>
            </w:r>
          </w:p>
        </w:tc>
      </w:tr>
      <w:tr w:rsidR="00CA5290" w:rsidRPr="00BE6616" w:rsidTr="002E3508">
        <w:tc>
          <w:tcPr>
            <w:tcW w:w="5000" w:type="pct"/>
            <w:gridSpan w:val="3"/>
          </w:tcPr>
          <w:p w:rsidR="00CA5290" w:rsidRPr="00BE6616" w:rsidRDefault="00CA5290" w:rsidP="002E3508">
            <w:pPr>
              <w:jc w:val="both"/>
              <w:rPr>
                <w:rFonts w:eastAsia="Calibri"/>
                <w:sz w:val="20"/>
              </w:rPr>
            </w:pPr>
          </w:p>
        </w:tc>
      </w:tr>
      <w:tr w:rsidR="00CA5290" w:rsidRPr="00BE6616" w:rsidTr="002E3508">
        <w:tc>
          <w:tcPr>
            <w:tcW w:w="5000" w:type="pct"/>
            <w:gridSpan w:val="3"/>
          </w:tcPr>
          <w:p w:rsidR="00CA5290" w:rsidRPr="00BE6616" w:rsidRDefault="00CA5290" w:rsidP="002E3508">
            <w:pPr>
              <w:jc w:val="both"/>
              <w:rPr>
                <w:rFonts w:eastAsia="Calibri"/>
                <w:sz w:val="20"/>
              </w:rPr>
            </w:pPr>
            <w:r w:rsidRPr="00BE6616">
              <w:rPr>
                <w:rFonts w:eastAsia="Calibri"/>
                <w:sz w:val="20"/>
              </w:rPr>
              <w:lastRenderedPageBreak/>
              <w:t xml:space="preserve">Gupta was charged with criminal harassment and failing to comply with an undertaking to abstain from communicating with the complainant.  The complainant is a 17 year old high school student who was working at a Shopper’s Drug Mart. Gupta was a customer at the store.   Gupta was found guilty of criminal harassment and being in breach of his undertaking.  He was given a conditional discharge.  Gupta was placed on probation for 12 months and he was ordered to keep the peace and be of good behaviour.  It was also ordered that Gupta was to have no contact or communication directly or indirectly with the complainant.  Also imposed was a mandatory order prohibiting the possession of any firearms or weapons for 10 </w:t>
            </w:r>
            <w:proofErr w:type="gramStart"/>
            <w:r w:rsidRPr="00BE6616">
              <w:rPr>
                <w:rFonts w:eastAsia="Calibri"/>
                <w:sz w:val="20"/>
              </w:rPr>
              <w:t>years.</w:t>
            </w:r>
            <w:proofErr w:type="gramEnd"/>
            <w:r w:rsidRPr="00BE6616">
              <w:rPr>
                <w:rFonts w:eastAsia="Calibri"/>
                <w:sz w:val="20"/>
              </w:rPr>
              <w:t xml:space="preserve">  The victim fine surcharge was waived.  Gupta’s appeal to the Superior Court was dismissed and his application for leave to appeal to the Court of Appeal was also dismissed.</w:t>
            </w:r>
          </w:p>
          <w:p w:rsidR="00CA5290" w:rsidRPr="00BE6616" w:rsidRDefault="00CA5290" w:rsidP="002E3508">
            <w:pPr>
              <w:jc w:val="both"/>
              <w:rPr>
                <w:rFonts w:eastAsia="Calibri"/>
                <w:sz w:val="20"/>
              </w:rPr>
            </w:pPr>
          </w:p>
        </w:tc>
      </w:tr>
      <w:tr w:rsidR="00CA5290" w:rsidRPr="00BE6616" w:rsidTr="002E3508">
        <w:tc>
          <w:tcPr>
            <w:tcW w:w="2427" w:type="pct"/>
          </w:tcPr>
          <w:p w:rsidR="00CA5290" w:rsidRPr="00BE6616" w:rsidRDefault="00CA5290" w:rsidP="002E3508">
            <w:pPr>
              <w:jc w:val="both"/>
              <w:rPr>
                <w:rFonts w:eastAsia="Calibri"/>
                <w:sz w:val="20"/>
              </w:rPr>
            </w:pPr>
            <w:r w:rsidRPr="00BE6616">
              <w:rPr>
                <w:rFonts w:eastAsia="Calibri"/>
                <w:sz w:val="20"/>
              </w:rPr>
              <w:t>August 30, 2010</w:t>
            </w:r>
          </w:p>
          <w:p w:rsidR="00CA5290" w:rsidRPr="00BE6616" w:rsidRDefault="00CA5290" w:rsidP="002E3508">
            <w:pPr>
              <w:jc w:val="both"/>
              <w:rPr>
                <w:rFonts w:eastAsia="Calibri"/>
                <w:sz w:val="20"/>
              </w:rPr>
            </w:pPr>
            <w:r w:rsidRPr="00BE6616">
              <w:rPr>
                <w:rFonts w:eastAsia="Calibri"/>
                <w:sz w:val="20"/>
              </w:rPr>
              <w:t>Ontario Court of Justice</w:t>
            </w:r>
          </w:p>
          <w:p w:rsidR="00CA5290" w:rsidRPr="00BE6616" w:rsidRDefault="00CA5290" w:rsidP="002E3508">
            <w:pPr>
              <w:jc w:val="both"/>
              <w:rPr>
                <w:rFonts w:eastAsia="Calibri"/>
                <w:sz w:val="20"/>
              </w:rPr>
            </w:pPr>
            <w:r w:rsidRPr="00BE6616">
              <w:rPr>
                <w:rFonts w:eastAsia="Calibri"/>
                <w:sz w:val="20"/>
              </w:rPr>
              <w:t>(Watson J.)</w:t>
            </w:r>
          </w:p>
        </w:tc>
        <w:tc>
          <w:tcPr>
            <w:tcW w:w="243" w:type="pct"/>
          </w:tcPr>
          <w:p w:rsidR="00CA5290" w:rsidRPr="00BE6616" w:rsidRDefault="00CA5290" w:rsidP="002E3508">
            <w:pPr>
              <w:jc w:val="both"/>
              <w:rPr>
                <w:rFonts w:eastAsia="Calibri"/>
                <w:sz w:val="20"/>
              </w:rPr>
            </w:pPr>
          </w:p>
        </w:tc>
        <w:tc>
          <w:tcPr>
            <w:tcW w:w="2330" w:type="pct"/>
          </w:tcPr>
          <w:p w:rsidR="00CA5290" w:rsidRPr="00BE6616" w:rsidRDefault="00CA5290" w:rsidP="002E3508">
            <w:pPr>
              <w:jc w:val="both"/>
              <w:rPr>
                <w:rFonts w:eastAsia="Calibri"/>
                <w:sz w:val="20"/>
              </w:rPr>
            </w:pPr>
            <w:r w:rsidRPr="00BE6616">
              <w:rPr>
                <w:rFonts w:eastAsia="Calibri"/>
                <w:sz w:val="20"/>
              </w:rPr>
              <w:t>Applicant found guilty of criminal harassment and being in breach of his undertaking for communicating indirectly with the complainant</w:t>
            </w:r>
          </w:p>
          <w:p w:rsidR="00CA5290" w:rsidRPr="00BE6616" w:rsidRDefault="00CA5290" w:rsidP="002E3508">
            <w:pPr>
              <w:jc w:val="both"/>
              <w:rPr>
                <w:rFonts w:eastAsia="Calibri"/>
                <w:sz w:val="20"/>
              </w:rPr>
            </w:pPr>
          </w:p>
        </w:tc>
      </w:tr>
      <w:tr w:rsidR="00CA5290" w:rsidRPr="00BE6616" w:rsidTr="002E3508">
        <w:tc>
          <w:tcPr>
            <w:tcW w:w="2427" w:type="pct"/>
          </w:tcPr>
          <w:p w:rsidR="00CA5290" w:rsidRPr="00BE6616" w:rsidRDefault="00CA5290" w:rsidP="002E3508">
            <w:pPr>
              <w:jc w:val="both"/>
              <w:rPr>
                <w:rFonts w:eastAsia="Calibri"/>
                <w:sz w:val="20"/>
              </w:rPr>
            </w:pPr>
            <w:r w:rsidRPr="00BE6616">
              <w:rPr>
                <w:rFonts w:eastAsia="Calibri"/>
                <w:sz w:val="20"/>
              </w:rPr>
              <w:t>February 15, 2011</w:t>
            </w:r>
          </w:p>
          <w:p w:rsidR="00CA5290" w:rsidRPr="00BE6616" w:rsidRDefault="00CA5290" w:rsidP="002E3508">
            <w:pPr>
              <w:jc w:val="both"/>
              <w:rPr>
                <w:rFonts w:eastAsia="Calibri"/>
                <w:sz w:val="20"/>
              </w:rPr>
            </w:pPr>
            <w:r w:rsidRPr="00BE6616">
              <w:rPr>
                <w:rFonts w:eastAsia="Calibri"/>
                <w:sz w:val="20"/>
              </w:rPr>
              <w:t>Ontario Superior Court of Justice</w:t>
            </w:r>
          </w:p>
          <w:p w:rsidR="00CA5290" w:rsidRPr="00BE6616" w:rsidRDefault="00CA5290" w:rsidP="002E3508">
            <w:pPr>
              <w:jc w:val="both"/>
              <w:rPr>
                <w:rFonts w:eastAsia="Calibri"/>
                <w:sz w:val="20"/>
              </w:rPr>
            </w:pPr>
            <w:r w:rsidRPr="00BE6616">
              <w:rPr>
                <w:rFonts w:eastAsia="Calibri"/>
                <w:sz w:val="20"/>
              </w:rPr>
              <w:t>(Matheson J.)</w:t>
            </w:r>
          </w:p>
          <w:p w:rsidR="00CA5290" w:rsidRPr="00BE6616" w:rsidRDefault="00CA5290" w:rsidP="002E3508">
            <w:pPr>
              <w:jc w:val="both"/>
              <w:rPr>
                <w:rFonts w:eastAsia="Calibri"/>
                <w:sz w:val="20"/>
              </w:rPr>
            </w:pPr>
          </w:p>
        </w:tc>
        <w:tc>
          <w:tcPr>
            <w:tcW w:w="243" w:type="pct"/>
          </w:tcPr>
          <w:p w:rsidR="00CA5290" w:rsidRPr="00BE6616" w:rsidRDefault="00CA5290" w:rsidP="002E3508">
            <w:pPr>
              <w:jc w:val="both"/>
              <w:rPr>
                <w:rFonts w:eastAsia="Calibri"/>
                <w:sz w:val="20"/>
              </w:rPr>
            </w:pPr>
          </w:p>
        </w:tc>
        <w:tc>
          <w:tcPr>
            <w:tcW w:w="2330" w:type="pct"/>
          </w:tcPr>
          <w:p w:rsidR="00CA5290" w:rsidRPr="00BE6616" w:rsidRDefault="00CA5290" w:rsidP="002E3508">
            <w:pPr>
              <w:jc w:val="both"/>
              <w:rPr>
                <w:rFonts w:eastAsia="Calibri"/>
                <w:sz w:val="20"/>
              </w:rPr>
            </w:pPr>
            <w:r w:rsidRPr="00BE6616">
              <w:rPr>
                <w:rFonts w:eastAsia="Calibri"/>
                <w:sz w:val="20"/>
              </w:rPr>
              <w:t>Appeal dismissed</w:t>
            </w:r>
          </w:p>
        </w:tc>
      </w:tr>
      <w:tr w:rsidR="00CA5290" w:rsidRPr="00BE6616" w:rsidTr="002E3508">
        <w:tc>
          <w:tcPr>
            <w:tcW w:w="2427" w:type="pct"/>
          </w:tcPr>
          <w:p w:rsidR="00CA5290" w:rsidRPr="00BE6616" w:rsidRDefault="00CA5290" w:rsidP="002E3508">
            <w:pPr>
              <w:jc w:val="both"/>
              <w:rPr>
                <w:rFonts w:eastAsia="Calibri"/>
                <w:sz w:val="20"/>
              </w:rPr>
            </w:pPr>
            <w:r w:rsidRPr="00BE6616">
              <w:rPr>
                <w:rFonts w:eastAsia="Calibri"/>
                <w:sz w:val="20"/>
              </w:rPr>
              <w:t>May 16, 2011</w:t>
            </w:r>
          </w:p>
          <w:p w:rsidR="00CA5290" w:rsidRPr="00BE6616" w:rsidRDefault="00CA5290" w:rsidP="002E3508">
            <w:pPr>
              <w:jc w:val="both"/>
              <w:rPr>
                <w:rFonts w:eastAsia="Calibri"/>
                <w:sz w:val="20"/>
              </w:rPr>
            </w:pPr>
            <w:r w:rsidRPr="00BE6616">
              <w:rPr>
                <w:rFonts w:eastAsia="Calibri"/>
                <w:sz w:val="20"/>
              </w:rPr>
              <w:t>Court of Appeal for Ontario</w:t>
            </w:r>
          </w:p>
          <w:p w:rsidR="00CA5290" w:rsidRPr="00BE6616" w:rsidRDefault="00CA5290" w:rsidP="002E3508">
            <w:pPr>
              <w:jc w:val="both"/>
              <w:rPr>
                <w:rFonts w:eastAsia="Calibri"/>
                <w:sz w:val="20"/>
              </w:rPr>
            </w:pPr>
            <w:r w:rsidRPr="00BE6616">
              <w:rPr>
                <w:rFonts w:eastAsia="Calibri"/>
                <w:sz w:val="20"/>
              </w:rPr>
              <w:t>(Winkler, Moldaver and Simmons JJ.A.)</w:t>
            </w:r>
          </w:p>
          <w:p w:rsidR="00CA5290" w:rsidRPr="00BE6616" w:rsidRDefault="00CA5290" w:rsidP="002E3508">
            <w:pPr>
              <w:jc w:val="both"/>
              <w:rPr>
                <w:rFonts w:eastAsia="Calibri"/>
                <w:sz w:val="20"/>
              </w:rPr>
            </w:pPr>
          </w:p>
        </w:tc>
        <w:tc>
          <w:tcPr>
            <w:tcW w:w="243" w:type="pct"/>
          </w:tcPr>
          <w:p w:rsidR="00CA5290" w:rsidRPr="00BE6616" w:rsidRDefault="00CA5290" w:rsidP="002E3508">
            <w:pPr>
              <w:jc w:val="both"/>
              <w:rPr>
                <w:rFonts w:eastAsia="Calibri"/>
                <w:sz w:val="20"/>
              </w:rPr>
            </w:pPr>
          </w:p>
        </w:tc>
        <w:tc>
          <w:tcPr>
            <w:tcW w:w="2330" w:type="pct"/>
          </w:tcPr>
          <w:p w:rsidR="00CA5290" w:rsidRPr="00BE6616" w:rsidRDefault="00CA5290" w:rsidP="002E3508">
            <w:pPr>
              <w:jc w:val="both"/>
              <w:rPr>
                <w:rFonts w:eastAsia="Calibri"/>
                <w:sz w:val="20"/>
              </w:rPr>
            </w:pPr>
            <w:r w:rsidRPr="00BE6616">
              <w:rPr>
                <w:rFonts w:eastAsia="Calibri"/>
                <w:sz w:val="20"/>
              </w:rPr>
              <w:t>Application for leave to appeal dismissed</w:t>
            </w:r>
          </w:p>
        </w:tc>
      </w:tr>
      <w:tr w:rsidR="00CA5290" w:rsidRPr="00BE6616" w:rsidTr="002E3508">
        <w:tc>
          <w:tcPr>
            <w:tcW w:w="2427" w:type="pct"/>
          </w:tcPr>
          <w:p w:rsidR="00CA5290" w:rsidRPr="00BE6616" w:rsidRDefault="00CA5290" w:rsidP="002E3508">
            <w:pPr>
              <w:jc w:val="both"/>
              <w:rPr>
                <w:rFonts w:eastAsia="Calibri"/>
                <w:sz w:val="20"/>
              </w:rPr>
            </w:pPr>
            <w:r w:rsidRPr="00BE6616">
              <w:rPr>
                <w:rFonts w:eastAsia="Calibri"/>
                <w:sz w:val="20"/>
              </w:rPr>
              <w:t>June 14, 2011</w:t>
            </w:r>
          </w:p>
          <w:p w:rsidR="00CA5290" w:rsidRPr="00BE6616" w:rsidRDefault="00CA5290" w:rsidP="002E3508">
            <w:pPr>
              <w:jc w:val="both"/>
              <w:rPr>
                <w:rFonts w:eastAsia="Calibri"/>
                <w:sz w:val="20"/>
              </w:rPr>
            </w:pPr>
            <w:r w:rsidRPr="00BE6616">
              <w:rPr>
                <w:rFonts w:eastAsia="Calibri"/>
                <w:sz w:val="20"/>
              </w:rPr>
              <w:t>Supreme Court of Canada</w:t>
            </w:r>
          </w:p>
        </w:tc>
        <w:tc>
          <w:tcPr>
            <w:tcW w:w="243" w:type="pct"/>
          </w:tcPr>
          <w:p w:rsidR="00CA5290" w:rsidRPr="00BE6616" w:rsidRDefault="00CA5290" w:rsidP="002E3508">
            <w:pPr>
              <w:jc w:val="both"/>
              <w:rPr>
                <w:rFonts w:eastAsia="Calibri"/>
                <w:sz w:val="20"/>
              </w:rPr>
            </w:pPr>
          </w:p>
        </w:tc>
        <w:tc>
          <w:tcPr>
            <w:tcW w:w="2330" w:type="pct"/>
          </w:tcPr>
          <w:p w:rsidR="00CA5290" w:rsidRPr="00BE6616" w:rsidRDefault="00CA5290" w:rsidP="002E3508">
            <w:pPr>
              <w:jc w:val="both"/>
              <w:rPr>
                <w:rFonts w:eastAsia="Calibri"/>
                <w:sz w:val="20"/>
              </w:rPr>
            </w:pPr>
            <w:r w:rsidRPr="00BE6616">
              <w:rPr>
                <w:rFonts w:eastAsia="Calibri"/>
                <w:sz w:val="20"/>
              </w:rPr>
              <w:t>Application for leave to appeal filed</w:t>
            </w:r>
          </w:p>
          <w:p w:rsidR="00CA5290" w:rsidRPr="00BE6616" w:rsidRDefault="00CA5290" w:rsidP="002E350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95"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CA5290" w:rsidRPr="00682661" w:rsidTr="002E3508">
        <w:tc>
          <w:tcPr>
            <w:tcW w:w="5000" w:type="pct"/>
            <w:gridSpan w:val="3"/>
          </w:tcPr>
          <w:p w:rsidR="00CA5290" w:rsidRPr="00BE6616" w:rsidRDefault="00CA5290" w:rsidP="002E3508">
            <w:pPr>
              <w:jc w:val="both"/>
              <w:rPr>
                <w:sz w:val="20"/>
                <w:lang w:val="fr-CA"/>
              </w:rPr>
            </w:pPr>
            <w:r w:rsidRPr="00BE6616">
              <w:rPr>
                <w:sz w:val="20"/>
                <w:lang w:val="fr-CA"/>
              </w:rPr>
              <w:t>Charte des droits — Droit criminel — Harcèlement criminel — Les motifs de la Cour d'appel sont</w:t>
            </w:r>
            <w:r w:rsidRPr="00BE6616">
              <w:rPr>
                <w:sz w:val="20"/>
                <w:lang w:val="fr-CA"/>
              </w:rPr>
              <w:noBreakHyphen/>
              <w:t>ils insuffisants et empêchent</w:t>
            </w:r>
            <w:r w:rsidRPr="00BE6616">
              <w:rPr>
                <w:sz w:val="20"/>
                <w:lang w:val="fr-CA"/>
              </w:rPr>
              <w:noBreakHyphen/>
              <w:t>ils un examen valable en appel? — La Cour d'appel a</w:t>
            </w:r>
            <w:r w:rsidRPr="00BE6616">
              <w:rPr>
                <w:sz w:val="20"/>
                <w:lang w:val="fr-CA"/>
              </w:rPr>
              <w:noBreakHyphen/>
              <w:t>t</w:t>
            </w:r>
            <w:r w:rsidRPr="00BE6616">
              <w:rPr>
                <w:sz w:val="20"/>
                <w:lang w:val="fr-CA"/>
              </w:rPr>
              <w:noBreakHyphen/>
              <w:t>elle eu tort de ne pas avoir traité tous les moyens de fond soumis par le demandeur?</w:t>
            </w:r>
          </w:p>
        </w:tc>
      </w:tr>
      <w:tr w:rsidR="00CA5290" w:rsidRPr="00682661" w:rsidTr="002E3508">
        <w:tc>
          <w:tcPr>
            <w:tcW w:w="5000" w:type="pct"/>
            <w:gridSpan w:val="3"/>
          </w:tcPr>
          <w:p w:rsidR="00CA5290" w:rsidRPr="00BE6616" w:rsidRDefault="00CA5290" w:rsidP="002E3508">
            <w:pPr>
              <w:jc w:val="both"/>
              <w:rPr>
                <w:sz w:val="20"/>
                <w:lang w:val="fr-CA"/>
              </w:rPr>
            </w:pPr>
          </w:p>
        </w:tc>
      </w:tr>
      <w:tr w:rsidR="00CA5290" w:rsidRPr="00F80A49" w:rsidTr="002E3508">
        <w:tc>
          <w:tcPr>
            <w:tcW w:w="5000" w:type="pct"/>
            <w:gridSpan w:val="3"/>
          </w:tcPr>
          <w:p w:rsidR="00CA5290" w:rsidRPr="00BE6616" w:rsidRDefault="00CA5290" w:rsidP="002E3508">
            <w:pPr>
              <w:jc w:val="both"/>
              <w:rPr>
                <w:sz w:val="20"/>
                <w:lang w:val="fr-CA"/>
              </w:rPr>
            </w:pPr>
            <w:r w:rsidRPr="00BE6616">
              <w:rPr>
                <w:sz w:val="20"/>
                <w:lang w:val="fr-CA"/>
              </w:rPr>
              <w:t>Monsieur Gupta a été accusé de harcèlement criminel et d'avoir omis de respecter un engagement de ne pas communiquer avec la plaignante.  La plaignante est une étudiante du secondaire âgée de 17 ans qui travaillait à un établissement de Shopper’s Drug Mart.  Monsieur Gupta était un client au magasin.  Monsieur Gupta a été déclaré coupable de harcèlement criminel et d'avoir manqué à son engagement.  Il a reçu une absolution sous conditions.  Monsieur Gupta a été assujetti à 12 mois de probation et il a été sommé de ne pas troubler l'ordre public et d’avoir une bonne conduite.  Il a également été interdit à M. Gupta d’entrer en contact ou en communication directement ou indirectement avec la plaignante.  Il s'est également vu imposer une interdiction de posséder des armes à feu ou d'autres armes pendant une période de 10 ans.  Il y a eu renonciation à la suramende compensatoire.  L'appel de M. Gupta à la Cour supérieure a été rejeté et sa demande d'autorisation d'appel à la Cour d'appel l'a été également.</w:t>
            </w:r>
          </w:p>
          <w:p w:rsidR="00CA5290" w:rsidRPr="00BE6616" w:rsidRDefault="00CA5290" w:rsidP="002E3508">
            <w:pPr>
              <w:jc w:val="both"/>
              <w:rPr>
                <w:sz w:val="20"/>
                <w:lang w:val="fr-CA"/>
              </w:rPr>
            </w:pPr>
          </w:p>
        </w:tc>
      </w:tr>
      <w:tr w:rsidR="00CA5290" w:rsidRPr="00F80A49" w:rsidTr="002E3508">
        <w:tc>
          <w:tcPr>
            <w:tcW w:w="2427" w:type="pct"/>
          </w:tcPr>
          <w:p w:rsidR="00CA5290" w:rsidRPr="00BE6616" w:rsidRDefault="00CA5290" w:rsidP="002E3508">
            <w:pPr>
              <w:rPr>
                <w:sz w:val="20"/>
                <w:lang w:val="fr-CA"/>
              </w:rPr>
            </w:pPr>
            <w:r w:rsidRPr="00BE6616">
              <w:rPr>
                <w:sz w:val="20"/>
                <w:lang w:val="fr-CA"/>
              </w:rPr>
              <w:t>30 août 2010</w:t>
            </w:r>
          </w:p>
          <w:p w:rsidR="00CA5290" w:rsidRPr="00BE6616" w:rsidRDefault="00CA5290" w:rsidP="002E3508">
            <w:pPr>
              <w:rPr>
                <w:sz w:val="20"/>
                <w:lang w:val="fr-CA"/>
              </w:rPr>
            </w:pPr>
            <w:r w:rsidRPr="00BE6616">
              <w:rPr>
                <w:sz w:val="20"/>
                <w:lang w:val="fr-CA"/>
              </w:rPr>
              <w:t xml:space="preserve">Cour de justice de l'Ontario </w:t>
            </w:r>
          </w:p>
          <w:p w:rsidR="00CA5290" w:rsidRPr="00BE6616" w:rsidRDefault="00CA5290" w:rsidP="002E3508">
            <w:pPr>
              <w:rPr>
                <w:sz w:val="20"/>
                <w:lang w:val="fr-CA"/>
              </w:rPr>
            </w:pPr>
            <w:r w:rsidRPr="00BE6616">
              <w:rPr>
                <w:sz w:val="20"/>
                <w:lang w:val="fr-CA"/>
              </w:rPr>
              <w:t>(Juge Watson)</w:t>
            </w:r>
          </w:p>
        </w:tc>
        <w:tc>
          <w:tcPr>
            <w:tcW w:w="243" w:type="pct"/>
          </w:tcPr>
          <w:p w:rsidR="00CA5290" w:rsidRPr="00BE6616" w:rsidRDefault="00CA5290" w:rsidP="002E3508">
            <w:pPr>
              <w:rPr>
                <w:sz w:val="20"/>
                <w:lang w:val="fr-CA"/>
              </w:rPr>
            </w:pPr>
          </w:p>
        </w:tc>
        <w:tc>
          <w:tcPr>
            <w:tcW w:w="2330" w:type="pct"/>
          </w:tcPr>
          <w:p w:rsidR="00CA5290" w:rsidRPr="00BE6616" w:rsidRDefault="00CA5290" w:rsidP="002E3508">
            <w:pPr>
              <w:rPr>
                <w:sz w:val="20"/>
                <w:lang w:val="fr-CA"/>
              </w:rPr>
            </w:pPr>
            <w:r w:rsidRPr="00BE6616">
              <w:rPr>
                <w:sz w:val="20"/>
                <w:lang w:val="fr-CA"/>
              </w:rPr>
              <w:t>Demandeur déclaré coupable de harcèlement criminel et d'avoir manqué à son engagement en ayant communiqué indirectement avec la plaignante</w:t>
            </w:r>
          </w:p>
          <w:p w:rsidR="00CA5290" w:rsidRPr="00BE6616" w:rsidRDefault="00CA5290" w:rsidP="002E3508">
            <w:pPr>
              <w:rPr>
                <w:sz w:val="20"/>
                <w:lang w:val="fr-CA"/>
              </w:rPr>
            </w:pPr>
          </w:p>
        </w:tc>
      </w:tr>
      <w:tr w:rsidR="00CA5290" w:rsidRPr="00BE6616" w:rsidTr="002E3508">
        <w:tc>
          <w:tcPr>
            <w:tcW w:w="2427" w:type="pct"/>
          </w:tcPr>
          <w:p w:rsidR="00CA5290" w:rsidRPr="00BE6616" w:rsidRDefault="00CA5290" w:rsidP="002E3508">
            <w:pPr>
              <w:rPr>
                <w:sz w:val="20"/>
                <w:lang w:val="fr-CA"/>
              </w:rPr>
            </w:pPr>
            <w:r w:rsidRPr="00BE6616">
              <w:rPr>
                <w:sz w:val="20"/>
                <w:lang w:val="fr-CA"/>
              </w:rPr>
              <w:t>15 février 2011</w:t>
            </w:r>
          </w:p>
          <w:p w:rsidR="00CA5290" w:rsidRPr="00BE6616" w:rsidRDefault="00CA5290" w:rsidP="002E3508">
            <w:pPr>
              <w:rPr>
                <w:sz w:val="20"/>
                <w:lang w:val="fr-CA"/>
              </w:rPr>
            </w:pPr>
            <w:r w:rsidRPr="00BE6616">
              <w:rPr>
                <w:sz w:val="20"/>
                <w:lang w:val="fr-CA"/>
              </w:rPr>
              <w:t xml:space="preserve">Cour supérieure de justice de l'Ontario </w:t>
            </w:r>
          </w:p>
          <w:p w:rsidR="00CA5290" w:rsidRPr="00BE6616" w:rsidRDefault="00CA5290" w:rsidP="002E3508">
            <w:pPr>
              <w:rPr>
                <w:sz w:val="20"/>
                <w:lang w:val="fr-CA"/>
              </w:rPr>
            </w:pPr>
            <w:r w:rsidRPr="00BE6616">
              <w:rPr>
                <w:sz w:val="20"/>
                <w:lang w:val="fr-CA"/>
              </w:rPr>
              <w:t>(Juge Matheson)</w:t>
            </w:r>
          </w:p>
          <w:p w:rsidR="00CA5290" w:rsidRPr="00BE6616" w:rsidRDefault="00CA5290" w:rsidP="002E3508">
            <w:pPr>
              <w:rPr>
                <w:sz w:val="20"/>
                <w:lang w:val="fr-CA"/>
              </w:rPr>
            </w:pPr>
          </w:p>
        </w:tc>
        <w:tc>
          <w:tcPr>
            <w:tcW w:w="243" w:type="pct"/>
          </w:tcPr>
          <w:p w:rsidR="00CA5290" w:rsidRPr="00BE6616" w:rsidRDefault="00CA5290" w:rsidP="002E3508">
            <w:pPr>
              <w:rPr>
                <w:sz w:val="20"/>
                <w:lang w:val="fr-CA"/>
              </w:rPr>
            </w:pPr>
          </w:p>
        </w:tc>
        <w:tc>
          <w:tcPr>
            <w:tcW w:w="2330" w:type="pct"/>
          </w:tcPr>
          <w:p w:rsidR="00CA5290" w:rsidRPr="00BE6616" w:rsidRDefault="00CA5290" w:rsidP="002E3508">
            <w:pPr>
              <w:rPr>
                <w:sz w:val="20"/>
                <w:lang w:val="fr-CA"/>
              </w:rPr>
            </w:pPr>
            <w:r w:rsidRPr="00BE6616">
              <w:rPr>
                <w:sz w:val="20"/>
                <w:lang w:val="fr-CA"/>
              </w:rPr>
              <w:t>Appel rejeté</w:t>
            </w:r>
          </w:p>
        </w:tc>
      </w:tr>
      <w:tr w:rsidR="00CA5290" w:rsidRPr="00BE6616" w:rsidTr="00297F14">
        <w:trPr>
          <w:cantSplit/>
        </w:trPr>
        <w:tc>
          <w:tcPr>
            <w:tcW w:w="2427" w:type="pct"/>
          </w:tcPr>
          <w:p w:rsidR="00CA5290" w:rsidRPr="00BE6616" w:rsidRDefault="00CA5290" w:rsidP="002E3508">
            <w:pPr>
              <w:rPr>
                <w:sz w:val="20"/>
                <w:lang w:val="fr-CA"/>
              </w:rPr>
            </w:pPr>
            <w:r w:rsidRPr="00BE6616">
              <w:rPr>
                <w:sz w:val="20"/>
                <w:lang w:val="fr-CA"/>
              </w:rPr>
              <w:lastRenderedPageBreak/>
              <w:t>16 mai 2011</w:t>
            </w:r>
          </w:p>
          <w:p w:rsidR="00CA5290" w:rsidRPr="00BE6616" w:rsidRDefault="00CA5290" w:rsidP="002E3508">
            <w:pPr>
              <w:rPr>
                <w:sz w:val="20"/>
                <w:lang w:val="fr-CA"/>
              </w:rPr>
            </w:pPr>
            <w:r w:rsidRPr="00BE6616">
              <w:rPr>
                <w:sz w:val="20"/>
                <w:lang w:val="fr-CA"/>
              </w:rPr>
              <w:t xml:space="preserve">Cour d'appel de l'Ontario </w:t>
            </w:r>
          </w:p>
          <w:p w:rsidR="00CA5290" w:rsidRPr="00BE6616" w:rsidRDefault="00CA5290" w:rsidP="002E3508">
            <w:pPr>
              <w:rPr>
                <w:sz w:val="20"/>
                <w:lang w:val="fr-CA"/>
              </w:rPr>
            </w:pPr>
            <w:r w:rsidRPr="00BE6616">
              <w:rPr>
                <w:sz w:val="20"/>
                <w:lang w:val="fr-CA"/>
              </w:rPr>
              <w:t>(Juges Winkler, Moldaver et Simmons)</w:t>
            </w:r>
          </w:p>
          <w:p w:rsidR="00CA5290" w:rsidRPr="00BE6616" w:rsidRDefault="00CA5290" w:rsidP="002E3508">
            <w:pPr>
              <w:rPr>
                <w:sz w:val="20"/>
                <w:lang w:val="fr-CA"/>
              </w:rPr>
            </w:pPr>
          </w:p>
        </w:tc>
        <w:tc>
          <w:tcPr>
            <w:tcW w:w="243" w:type="pct"/>
          </w:tcPr>
          <w:p w:rsidR="00CA5290" w:rsidRPr="00BE6616" w:rsidRDefault="00CA5290" w:rsidP="002E3508">
            <w:pPr>
              <w:rPr>
                <w:sz w:val="20"/>
                <w:lang w:val="fr-CA"/>
              </w:rPr>
            </w:pPr>
          </w:p>
        </w:tc>
        <w:tc>
          <w:tcPr>
            <w:tcW w:w="2330" w:type="pct"/>
          </w:tcPr>
          <w:p w:rsidR="00CA5290" w:rsidRPr="00BE6616" w:rsidRDefault="00CA5290" w:rsidP="002E3508">
            <w:pPr>
              <w:rPr>
                <w:sz w:val="20"/>
                <w:lang w:val="fr-CA"/>
              </w:rPr>
            </w:pPr>
            <w:r w:rsidRPr="00BE6616">
              <w:rPr>
                <w:sz w:val="20"/>
                <w:lang w:val="fr-CA"/>
              </w:rPr>
              <w:t>Demande d'autorisation d'appel, rejetée</w:t>
            </w:r>
          </w:p>
        </w:tc>
      </w:tr>
      <w:tr w:rsidR="00CA5290" w:rsidRPr="00BE6616" w:rsidTr="00297F14">
        <w:trPr>
          <w:cantSplit/>
        </w:trPr>
        <w:tc>
          <w:tcPr>
            <w:tcW w:w="2427" w:type="pct"/>
          </w:tcPr>
          <w:p w:rsidR="00CA5290" w:rsidRPr="00BE6616" w:rsidRDefault="00CA5290" w:rsidP="002E3508">
            <w:pPr>
              <w:rPr>
                <w:sz w:val="20"/>
                <w:lang w:val="fr-CA"/>
              </w:rPr>
            </w:pPr>
            <w:r w:rsidRPr="00BE6616">
              <w:rPr>
                <w:sz w:val="20"/>
                <w:lang w:val="fr-CA"/>
              </w:rPr>
              <w:t>14 juin 2011</w:t>
            </w:r>
          </w:p>
          <w:p w:rsidR="00CA5290" w:rsidRPr="00BE6616" w:rsidRDefault="00CA5290" w:rsidP="002E3508">
            <w:pPr>
              <w:rPr>
                <w:sz w:val="20"/>
                <w:lang w:val="fr-CA"/>
              </w:rPr>
            </w:pPr>
            <w:r w:rsidRPr="00BE6616">
              <w:rPr>
                <w:sz w:val="20"/>
                <w:lang w:val="fr-CA"/>
              </w:rPr>
              <w:t>Cour suprême du Canada</w:t>
            </w:r>
          </w:p>
        </w:tc>
        <w:tc>
          <w:tcPr>
            <w:tcW w:w="243" w:type="pct"/>
          </w:tcPr>
          <w:p w:rsidR="00CA5290" w:rsidRPr="00BE6616" w:rsidRDefault="00CA5290" w:rsidP="002E3508">
            <w:pPr>
              <w:rPr>
                <w:sz w:val="20"/>
                <w:lang w:val="fr-CA"/>
              </w:rPr>
            </w:pPr>
          </w:p>
        </w:tc>
        <w:tc>
          <w:tcPr>
            <w:tcW w:w="2330" w:type="pct"/>
          </w:tcPr>
          <w:p w:rsidR="00CA5290" w:rsidRPr="00BE6616" w:rsidRDefault="00CA5290" w:rsidP="002E3508">
            <w:pPr>
              <w:rPr>
                <w:sz w:val="20"/>
                <w:lang w:val="fr-CA"/>
              </w:rPr>
            </w:pPr>
            <w:r w:rsidRPr="00BE6616">
              <w:rPr>
                <w:sz w:val="20"/>
                <w:lang w:val="fr-CA"/>
              </w:rPr>
              <w:t>Demande d'autorisation d'appel, déposée</w:t>
            </w:r>
          </w:p>
          <w:p w:rsidR="00CA5290" w:rsidRPr="00BE6616" w:rsidRDefault="00CA5290" w:rsidP="002E3508">
            <w:pPr>
              <w:rPr>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96"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7505F" w:rsidRPr="00F80A49" w:rsidTr="0087505F">
        <w:trPr>
          <w:cantSplit/>
        </w:trPr>
        <w:tc>
          <w:tcPr>
            <w:tcW w:w="1458" w:type="dxa"/>
          </w:tcPr>
          <w:p w:rsidR="0087505F" w:rsidRPr="007C3AB2" w:rsidRDefault="0087505F" w:rsidP="0087505F">
            <w:pPr>
              <w:rPr>
                <w:sz w:val="20"/>
                <w:szCs w:val="20"/>
              </w:rPr>
            </w:pPr>
            <w:r w:rsidRPr="007C3AB2">
              <w:rPr>
                <w:rStyle w:val="SCCFileNumberChar"/>
                <w:sz w:val="20"/>
                <w:szCs w:val="20"/>
              </w:rPr>
              <w:t>34320</w:t>
            </w:r>
          </w:p>
          <w:p w:rsidR="0087505F" w:rsidRPr="007C3AB2" w:rsidRDefault="0087505F" w:rsidP="0087505F">
            <w:pPr>
              <w:rPr>
                <w:b/>
                <w:sz w:val="20"/>
                <w:szCs w:val="20"/>
                <w:lang w:val="fr-CA"/>
              </w:rPr>
            </w:pPr>
          </w:p>
        </w:tc>
        <w:tc>
          <w:tcPr>
            <w:tcW w:w="8118" w:type="dxa"/>
          </w:tcPr>
          <w:p w:rsidR="0087505F" w:rsidRPr="007C3AB2" w:rsidRDefault="0087505F" w:rsidP="0087505F">
            <w:pPr>
              <w:jc w:val="both"/>
              <w:rPr>
                <w:sz w:val="20"/>
                <w:szCs w:val="20"/>
                <w:lang w:val="fr-CA"/>
              </w:rPr>
            </w:pPr>
            <w:r w:rsidRPr="007C3AB2">
              <w:rPr>
                <w:rStyle w:val="SCCLsocChar"/>
                <w:sz w:val="20"/>
                <w:szCs w:val="20"/>
              </w:rPr>
              <w:t>Alain Painchaud c. Usinage M.D. (2006) Inc., Michel Duchaine</w:t>
            </w:r>
            <w:r w:rsidR="007010F9">
              <w:rPr>
                <w:rStyle w:val="SCCLsocChar"/>
                <w:sz w:val="20"/>
                <w:szCs w:val="20"/>
              </w:rPr>
              <w:t xml:space="preserve">, </w:t>
            </w:r>
            <w:r w:rsidRPr="007C3AB2">
              <w:rPr>
                <w:rStyle w:val="SCCLsocChar"/>
                <w:sz w:val="20"/>
                <w:szCs w:val="20"/>
              </w:rPr>
              <w:t>Daniel Duchaine</w:t>
            </w:r>
            <w:r w:rsidR="007010F9">
              <w:rPr>
                <w:rStyle w:val="SCCLsocChar"/>
                <w:sz w:val="20"/>
                <w:szCs w:val="20"/>
              </w:rPr>
              <w:t xml:space="preserve"> et</w:t>
            </w:r>
            <w:r w:rsidRPr="007C3AB2">
              <w:rPr>
                <w:rStyle w:val="SCCLsocChar"/>
                <w:sz w:val="20"/>
                <w:szCs w:val="20"/>
              </w:rPr>
              <w:t xml:space="preserve"> Procureur général du Québec</w:t>
            </w:r>
            <w:r w:rsidRPr="007C3AB2">
              <w:rPr>
                <w:sz w:val="20"/>
                <w:szCs w:val="20"/>
                <w:lang w:val="fr-CA"/>
              </w:rPr>
              <w:t xml:space="preserve"> (Qc) (Civile) (Autorisation)</w:t>
            </w:r>
          </w:p>
          <w:p w:rsidR="0087505F" w:rsidRPr="007C3AB2" w:rsidRDefault="0087505F" w:rsidP="0087505F">
            <w:pPr>
              <w:jc w:val="both"/>
              <w:rPr>
                <w:sz w:val="20"/>
                <w:szCs w:val="20"/>
                <w:lang w:val="fr-CA"/>
              </w:rPr>
            </w:pPr>
          </w:p>
        </w:tc>
      </w:tr>
      <w:tr w:rsidR="0087505F" w:rsidRPr="00F80A49" w:rsidTr="0087505F">
        <w:trPr>
          <w:cantSplit/>
        </w:trPr>
        <w:tc>
          <w:tcPr>
            <w:tcW w:w="1458" w:type="dxa"/>
          </w:tcPr>
          <w:p w:rsidR="0087505F" w:rsidRPr="007C3AB2" w:rsidRDefault="0087505F" w:rsidP="0087505F">
            <w:pPr>
              <w:rPr>
                <w:sz w:val="20"/>
                <w:szCs w:val="20"/>
              </w:rPr>
            </w:pPr>
            <w:r w:rsidRPr="007C3AB2">
              <w:rPr>
                <w:sz w:val="20"/>
                <w:szCs w:val="20"/>
              </w:rPr>
              <w:t>Coram :</w:t>
            </w:r>
          </w:p>
        </w:tc>
        <w:tc>
          <w:tcPr>
            <w:tcW w:w="8118" w:type="dxa"/>
          </w:tcPr>
          <w:p w:rsidR="0087505F" w:rsidRPr="007C3AB2" w:rsidRDefault="0087505F" w:rsidP="0087505F">
            <w:pPr>
              <w:rPr>
                <w:sz w:val="20"/>
                <w:szCs w:val="20"/>
                <w:lang w:val="fr-CA"/>
              </w:rPr>
            </w:pPr>
            <w:r w:rsidRPr="0087505F">
              <w:rPr>
                <w:rStyle w:val="SCCCoramChar"/>
                <w:sz w:val="20"/>
                <w:szCs w:val="20"/>
                <w:lang w:val="fr-CA"/>
              </w:rPr>
              <w:t>Les juges LeBel, Fish et Cromwell</w:t>
            </w:r>
          </w:p>
          <w:p w:rsidR="0087505F" w:rsidRPr="007C3AB2" w:rsidRDefault="0087505F" w:rsidP="0087505F">
            <w:pPr>
              <w:rPr>
                <w:sz w:val="20"/>
                <w:szCs w:val="20"/>
                <w:u w:val="single"/>
                <w:lang w:val="fr-CA"/>
              </w:rPr>
            </w:pPr>
          </w:p>
        </w:tc>
      </w:tr>
      <w:tr w:rsidR="0087505F" w:rsidRPr="007C3AB2" w:rsidTr="0087505F">
        <w:trPr>
          <w:cantSplit/>
        </w:trPr>
        <w:tc>
          <w:tcPr>
            <w:tcW w:w="9576" w:type="dxa"/>
            <w:gridSpan w:val="2"/>
          </w:tcPr>
          <w:p w:rsidR="0087505F" w:rsidRPr="007C3AB2" w:rsidRDefault="0087505F" w:rsidP="0087505F">
            <w:pPr>
              <w:pStyle w:val="SCCShortJudgment"/>
              <w:rPr>
                <w:szCs w:val="20"/>
                <w:lang w:val="fr-CA"/>
              </w:rPr>
            </w:pPr>
            <w:r w:rsidRPr="007C3AB2">
              <w:rPr>
                <w:szCs w:val="20"/>
                <w:lang w:val="fr-CA"/>
              </w:rPr>
              <w:t>La demande d’autorisation d’appel de l’arrêt de la Cour d’appel du Québec (Québec), numéro 200-09-007293-118, 2011 QCCA 656, daté du 6 avril 2011, est rejetée sans dépens.</w:t>
            </w:r>
          </w:p>
          <w:p w:rsidR="0087505F" w:rsidRPr="007C3AB2" w:rsidRDefault="0087505F" w:rsidP="0087505F">
            <w:pPr>
              <w:pStyle w:val="SCCShortJudgment"/>
              <w:ind w:firstLine="0"/>
              <w:rPr>
                <w:szCs w:val="20"/>
                <w:lang w:val="fr-CA"/>
              </w:rPr>
            </w:pPr>
          </w:p>
          <w:p w:rsidR="0087505F" w:rsidRPr="007C3AB2" w:rsidRDefault="0087505F" w:rsidP="0087505F">
            <w:pPr>
              <w:pStyle w:val="SCCShortJudgment"/>
              <w:rPr>
                <w:szCs w:val="20"/>
              </w:rPr>
            </w:pPr>
            <w:r w:rsidRPr="007C3AB2">
              <w:rPr>
                <w:szCs w:val="20"/>
              </w:rPr>
              <w:t>The application for leave to appeal from the judgment of the Court of Appeal of Quebec (Québec), Number 200-09-007293-118, 2011 QCCA 656, dated April 6, 2011, is dismissed without costs.</w:t>
            </w:r>
          </w:p>
        </w:tc>
      </w:tr>
    </w:tbl>
    <w:p w:rsidR="007B50F9" w:rsidRDefault="007B50F9" w:rsidP="007B50F9">
      <w:pPr>
        <w:rPr>
          <w:sz w:val="20"/>
          <w:szCs w:val="20"/>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A5290" w:rsidRPr="00BE6616" w:rsidTr="002E3508">
        <w:tc>
          <w:tcPr>
            <w:tcW w:w="5000" w:type="pct"/>
            <w:gridSpan w:val="3"/>
          </w:tcPr>
          <w:p w:rsidR="00CA5290" w:rsidRPr="00BE6616" w:rsidRDefault="00CA5290" w:rsidP="002E3508">
            <w:pPr>
              <w:jc w:val="both"/>
              <w:rPr>
                <w:rFonts w:eastAsia="Calibri"/>
                <w:sz w:val="20"/>
              </w:rPr>
            </w:pPr>
            <w:r w:rsidRPr="00BE6616">
              <w:rPr>
                <w:rFonts w:eastAsia="Calibri"/>
                <w:sz w:val="20"/>
              </w:rPr>
              <w:t>Civil procedure — Whether Court of Appeal should have allowed motions in revocation of judgment and motions for leave to appeal.</w:t>
            </w:r>
          </w:p>
        </w:tc>
      </w:tr>
      <w:tr w:rsidR="00CA5290" w:rsidRPr="00BE6616" w:rsidTr="002E3508">
        <w:tc>
          <w:tcPr>
            <w:tcW w:w="5000" w:type="pct"/>
            <w:gridSpan w:val="3"/>
          </w:tcPr>
          <w:p w:rsidR="00CA5290" w:rsidRPr="00BE6616" w:rsidRDefault="00CA5290" w:rsidP="002E3508">
            <w:pPr>
              <w:jc w:val="both"/>
              <w:rPr>
                <w:rFonts w:eastAsia="Calibri"/>
                <w:sz w:val="20"/>
              </w:rPr>
            </w:pPr>
          </w:p>
        </w:tc>
      </w:tr>
      <w:tr w:rsidR="00CA5290" w:rsidRPr="00BE6616" w:rsidTr="002E3508">
        <w:tc>
          <w:tcPr>
            <w:tcW w:w="5000" w:type="pct"/>
            <w:gridSpan w:val="3"/>
          </w:tcPr>
          <w:p w:rsidR="00CA5290" w:rsidRPr="00BE6616" w:rsidRDefault="00CA5290" w:rsidP="002E3508">
            <w:pPr>
              <w:jc w:val="both"/>
              <w:rPr>
                <w:rFonts w:eastAsia="Calibri"/>
                <w:sz w:val="20"/>
              </w:rPr>
            </w:pPr>
            <w:r w:rsidRPr="00BE6616">
              <w:rPr>
                <w:rFonts w:eastAsia="Calibri"/>
                <w:sz w:val="20"/>
              </w:rPr>
              <w:t xml:space="preserve">Mr. Painchaud filed a defence to an action brought by the respondents, Usinage M.D. and Michel and Daniel Duchaine, and made a cross demand against the Attorney General of Quebec.  He argued that the motion to institute proceedings was a defamatory libel against him.  He claimed $7,000,000 from the Attorney General and sought an injunction against the Quebec government to force it to file criminal proceedings against certain government employees. </w:t>
            </w:r>
          </w:p>
          <w:p w:rsidR="00CA5290" w:rsidRPr="00BE6616" w:rsidRDefault="00CA5290" w:rsidP="002E3508">
            <w:pPr>
              <w:jc w:val="both"/>
              <w:rPr>
                <w:rFonts w:eastAsia="Calibri"/>
                <w:sz w:val="20"/>
              </w:rPr>
            </w:pPr>
          </w:p>
          <w:p w:rsidR="00CA5290" w:rsidRPr="00BE6616" w:rsidRDefault="00CA5290" w:rsidP="002E3508">
            <w:pPr>
              <w:jc w:val="both"/>
              <w:rPr>
                <w:rFonts w:eastAsia="Calibri"/>
                <w:sz w:val="20"/>
              </w:rPr>
            </w:pPr>
            <w:r w:rsidRPr="00BE6616">
              <w:rPr>
                <w:rFonts w:eastAsia="Calibri"/>
                <w:sz w:val="20"/>
              </w:rPr>
              <w:t>The Superior Court dismissed Mr. Painchaud’s cross demand at a preliminary stage.  Mr. Painchaud later tried unsuccessfully to appeal that judgment.  He was unable to have the judgment of the Court of Appeal refusing him leave to appeal revoked.</w:t>
            </w:r>
          </w:p>
          <w:p w:rsidR="00CA5290" w:rsidRPr="00BE6616" w:rsidRDefault="00CA5290" w:rsidP="002E3508">
            <w:pPr>
              <w:jc w:val="both"/>
              <w:rPr>
                <w:rFonts w:eastAsia="Calibri"/>
                <w:sz w:val="20"/>
              </w:rPr>
            </w:pPr>
          </w:p>
        </w:tc>
      </w:tr>
      <w:tr w:rsidR="00CA5290" w:rsidRPr="00BE6616" w:rsidTr="002E3508">
        <w:tc>
          <w:tcPr>
            <w:tcW w:w="2427" w:type="pct"/>
          </w:tcPr>
          <w:p w:rsidR="00CA5290" w:rsidRPr="00BE6616" w:rsidRDefault="00CA5290" w:rsidP="002E3508">
            <w:pPr>
              <w:jc w:val="both"/>
              <w:rPr>
                <w:rFonts w:eastAsia="Calibri"/>
                <w:sz w:val="20"/>
              </w:rPr>
            </w:pPr>
            <w:r w:rsidRPr="00BE6616">
              <w:rPr>
                <w:rFonts w:eastAsia="Calibri"/>
                <w:sz w:val="20"/>
              </w:rPr>
              <w:t>January 17, 2011</w:t>
            </w:r>
          </w:p>
          <w:p w:rsidR="00CA5290" w:rsidRPr="00BE6616" w:rsidRDefault="00CA5290" w:rsidP="002E3508">
            <w:pPr>
              <w:jc w:val="both"/>
              <w:rPr>
                <w:rFonts w:eastAsia="Calibri"/>
                <w:sz w:val="20"/>
              </w:rPr>
            </w:pPr>
            <w:r w:rsidRPr="00BE6616">
              <w:rPr>
                <w:rFonts w:eastAsia="Calibri"/>
                <w:sz w:val="20"/>
              </w:rPr>
              <w:t>Quebec Superior Court</w:t>
            </w:r>
          </w:p>
          <w:p w:rsidR="00CA5290" w:rsidRPr="00BE6616" w:rsidRDefault="00CA5290" w:rsidP="002E3508">
            <w:pPr>
              <w:jc w:val="both"/>
              <w:rPr>
                <w:rFonts w:eastAsia="Calibri"/>
                <w:sz w:val="20"/>
              </w:rPr>
            </w:pPr>
            <w:r w:rsidRPr="00BE6616">
              <w:rPr>
                <w:rFonts w:eastAsia="Calibri"/>
                <w:sz w:val="20"/>
              </w:rPr>
              <w:t>(Bergeron J.)</w:t>
            </w:r>
          </w:p>
          <w:p w:rsidR="00CA5290" w:rsidRPr="00BE6616" w:rsidRDefault="00CA5290" w:rsidP="002E3508">
            <w:pPr>
              <w:jc w:val="both"/>
              <w:rPr>
                <w:rFonts w:eastAsia="Calibri"/>
                <w:sz w:val="20"/>
              </w:rPr>
            </w:pPr>
            <w:r w:rsidRPr="00BE6616">
              <w:rPr>
                <w:rFonts w:eastAsia="Calibri"/>
                <w:sz w:val="20"/>
              </w:rPr>
              <w:t>2011 QCCS 206</w:t>
            </w:r>
          </w:p>
          <w:p w:rsidR="00CA5290" w:rsidRPr="00BE6616" w:rsidRDefault="00CA5290" w:rsidP="002E3508">
            <w:pPr>
              <w:jc w:val="both"/>
              <w:rPr>
                <w:rFonts w:eastAsia="Calibri"/>
                <w:sz w:val="20"/>
              </w:rPr>
            </w:pPr>
          </w:p>
        </w:tc>
        <w:tc>
          <w:tcPr>
            <w:tcW w:w="243" w:type="pct"/>
          </w:tcPr>
          <w:p w:rsidR="00CA5290" w:rsidRPr="00BE6616" w:rsidRDefault="00CA5290" w:rsidP="002E3508">
            <w:pPr>
              <w:jc w:val="both"/>
              <w:rPr>
                <w:rFonts w:eastAsia="Calibri"/>
                <w:sz w:val="20"/>
              </w:rPr>
            </w:pPr>
          </w:p>
        </w:tc>
        <w:tc>
          <w:tcPr>
            <w:tcW w:w="2330" w:type="pct"/>
          </w:tcPr>
          <w:p w:rsidR="00CA5290" w:rsidRPr="00BE6616" w:rsidRDefault="00CA5290" w:rsidP="002E3508">
            <w:pPr>
              <w:jc w:val="both"/>
              <w:rPr>
                <w:rFonts w:eastAsia="Calibri"/>
                <w:sz w:val="20"/>
              </w:rPr>
            </w:pPr>
            <w:r w:rsidRPr="00BE6616">
              <w:rPr>
                <w:rFonts w:eastAsia="Calibri"/>
                <w:sz w:val="20"/>
              </w:rPr>
              <w:t>Cross demands against Attorney General of Quebec dismissed</w:t>
            </w:r>
          </w:p>
          <w:p w:rsidR="00CA5290" w:rsidRPr="00BE6616" w:rsidRDefault="00CA5290" w:rsidP="002E3508">
            <w:pPr>
              <w:jc w:val="both"/>
              <w:rPr>
                <w:rFonts w:eastAsia="Calibri"/>
                <w:sz w:val="20"/>
              </w:rPr>
            </w:pPr>
          </w:p>
        </w:tc>
      </w:tr>
      <w:tr w:rsidR="00CA5290" w:rsidRPr="00BE6616" w:rsidTr="002E3508">
        <w:tc>
          <w:tcPr>
            <w:tcW w:w="2427" w:type="pct"/>
          </w:tcPr>
          <w:p w:rsidR="00CA5290" w:rsidRPr="00BE6616" w:rsidRDefault="00CA5290" w:rsidP="002E3508">
            <w:pPr>
              <w:jc w:val="both"/>
              <w:rPr>
                <w:rFonts w:eastAsia="Calibri"/>
                <w:sz w:val="20"/>
              </w:rPr>
            </w:pPr>
            <w:r w:rsidRPr="00BE6616">
              <w:rPr>
                <w:rFonts w:eastAsia="Calibri"/>
                <w:sz w:val="20"/>
              </w:rPr>
              <w:t>February 17, 2011</w:t>
            </w:r>
          </w:p>
          <w:p w:rsidR="00CA5290" w:rsidRPr="00BE6616" w:rsidRDefault="00CA5290" w:rsidP="002E3508">
            <w:pPr>
              <w:jc w:val="both"/>
              <w:rPr>
                <w:rFonts w:eastAsia="Calibri"/>
                <w:sz w:val="20"/>
              </w:rPr>
            </w:pPr>
            <w:r w:rsidRPr="00BE6616">
              <w:rPr>
                <w:rFonts w:eastAsia="Calibri"/>
                <w:sz w:val="20"/>
              </w:rPr>
              <w:t>Quebec Court of Appeal (Québec)</w:t>
            </w:r>
          </w:p>
          <w:p w:rsidR="00CA5290" w:rsidRPr="00BE6616" w:rsidRDefault="00CA5290" w:rsidP="002E3508">
            <w:pPr>
              <w:jc w:val="both"/>
              <w:rPr>
                <w:rFonts w:eastAsia="Calibri"/>
                <w:sz w:val="20"/>
              </w:rPr>
            </w:pPr>
            <w:r w:rsidRPr="00BE6616">
              <w:rPr>
                <w:rFonts w:eastAsia="Calibri"/>
                <w:sz w:val="20"/>
              </w:rPr>
              <w:t>(Giroux J.A.)</w:t>
            </w:r>
          </w:p>
          <w:p w:rsidR="00CA5290" w:rsidRPr="00BE6616" w:rsidRDefault="00CA5290" w:rsidP="002E3508">
            <w:pPr>
              <w:jc w:val="both"/>
              <w:rPr>
                <w:rFonts w:eastAsia="Calibri"/>
                <w:sz w:val="20"/>
              </w:rPr>
            </w:pPr>
            <w:r w:rsidRPr="00BE6616">
              <w:rPr>
                <w:rFonts w:eastAsia="Calibri"/>
                <w:sz w:val="20"/>
              </w:rPr>
              <w:t>2011 QCCA 316</w:t>
            </w:r>
          </w:p>
          <w:p w:rsidR="00CA5290" w:rsidRPr="00BE6616" w:rsidRDefault="00CA5290" w:rsidP="002E3508">
            <w:pPr>
              <w:jc w:val="both"/>
              <w:rPr>
                <w:rFonts w:eastAsia="Calibri"/>
                <w:sz w:val="20"/>
              </w:rPr>
            </w:pPr>
          </w:p>
        </w:tc>
        <w:tc>
          <w:tcPr>
            <w:tcW w:w="243" w:type="pct"/>
          </w:tcPr>
          <w:p w:rsidR="00CA5290" w:rsidRPr="00BE6616" w:rsidRDefault="00CA5290" w:rsidP="002E3508">
            <w:pPr>
              <w:jc w:val="both"/>
              <w:rPr>
                <w:rFonts w:eastAsia="Calibri"/>
                <w:sz w:val="20"/>
              </w:rPr>
            </w:pPr>
          </w:p>
        </w:tc>
        <w:tc>
          <w:tcPr>
            <w:tcW w:w="2330" w:type="pct"/>
          </w:tcPr>
          <w:p w:rsidR="00CA5290" w:rsidRPr="00BE6616" w:rsidRDefault="00CA5290" w:rsidP="002E3508">
            <w:pPr>
              <w:jc w:val="both"/>
              <w:rPr>
                <w:rFonts w:eastAsia="Calibri"/>
                <w:sz w:val="20"/>
              </w:rPr>
            </w:pPr>
            <w:r w:rsidRPr="00BE6616">
              <w:rPr>
                <w:rFonts w:eastAsia="Calibri"/>
                <w:sz w:val="20"/>
              </w:rPr>
              <w:t>Motion for leave to appeal dismissed</w:t>
            </w:r>
          </w:p>
          <w:p w:rsidR="00CA5290" w:rsidRPr="00BE6616" w:rsidRDefault="00CA5290" w:rsidP="002E3508">
            <w:pPr>
              <w:jc w:val="both"/>
              <w:rPr>
                <w:rFonts w:eastAsia="Calibri"/>
                <w:sz w:val="20"/>
              </w:rPr>
            </w:pPr>
          </w:p>
        </w:tc>
      </w:tr>
      <w:tr w:rsidR="00CA5290" w:rsidRPr="00BE6616" w:rsidTr="002E3508">
        <w:tc>
          <w:tcPr>
            <w:tcW w:w="2427" w:type="pct"/>
          </w:tcPr>
          <w:p w:rsidR="00CA5290" w:rsidRPr="00BE6616" w:rsidRDefault="00CA5290" w:rsidP="002E3508">
            <w:pPr>
              <w:jc w:val="both"/>
              <w:rPr>
                <w:rFonts w:eastAsia="Calibri"/>
                <w:sz w:val="20"/>
              </w:rPr>
            </w:pPr>
            <w:r w:rsidRPr="00BE6616">
              <w:rPr>
                <w:rFonts w:eastAsia="Calibri"/>
                <w:sz w:val="20"/>
              </w:rPr>
              <w:t>March 2, 2011</w:t>
            </w:r>
          </w:p>
          <w:p w:rsidR="00CA5290" w:rsidRPr="00BE6616" w:rsidRDefault="00CA5290" w:rsidP="002E3508">
            <w:pPr>
              <w:jc w:val="both"/>
              <w:rPr>
                <w:rFonts w:eastAsia="Calibri"/>
                <w:sz w:val="20"/>
              </w:rPr>
            </w:pPr>
            <w:r w:rsidRPr="00BE6616">
              <w:rPr>
                <w:rFonts w:eastAsia="Calibri"/>
                <w:sz w:val="20"/>
              </w:rPr>
              <w:t>Quebec Court of Appeal (Québec)</w:t>
            </w:r>
          </w:p>
          <w:p w:rsidR="00CA5290" w:rsidRPr="00BE6616" w:rsidRDefault="00CA5290" w:rsidP="002E3508">
            <w:pPr>
              <w:jc w:val="both"/>
              <w:rPr>
                <w:rFonts w:eastAsia="Calibri"/>
                <w:sz w:val="20"/>
              </w:rPr>
            </w:pPr>
            <w:r w:rsidRPr="00BE6616">
              <w:rPr>
                <w:rFonts w:eastAsia="Calibri"/>
                <w:sz w:val="20"/>
              </w:rPr>
              <w:t>(Dutil J.A.)</w:t>
            </w:r>
          </w:p>
          <w:p w:rsidR="00CA5290" w:rsidRPr="00BE6616" w:rsidRDefault="00CA5290" w:rsidP="002E3508">
            <w:pPr>
              <w:jc w:val="both"/>
              <w:rPr>
                <w:rFonts w:eastAsia="Calibri"/>
                <w:sz w:val="20"/>
              </w:rPr>
            </w:pPr>
            <w:r w:rsidRPr="00BE6616">
              <w:rPr>
                <w:rFonts w:eastAsia="Calibri"/>
                <w:sz w:val="20"/>
              </w:rPr>
              <w:t>2011 QCCA 384</w:t>
            </w:r>
          </w:p>
          <w:p w:rsidR="00CA5290" w:rsidRPr="00BE6616" w:rsidRDefault="00CA5290" w:rsidP="002E3508">
            <w:pPr>
              <w:jc w:val="both"/>
              <w:rPr>
                <w:rFonts w:eastAsia="Calibri"/>
                <w:sz w:val="20"/>
              </w:rPr>
            </w:pPr>
          </w:p>
        </w:tc>
        <w:tc>
          <w:tcPr>
            <w:tcW w:w="243" w:type="pct"/>
          </w:tcPr>
          <w:p w:rsidR="00CA5290" w:rsidRPr="00BE6616" w:rsidRDefault="00CA5290" w:rsidP="002E3508">
            <w:pPr>
              <w:jc w:val="both"/>
              <w:rPr>
                <w:rFonts w:eastAsia="Calibri"/>
                <w:sz w:val="20"/>
              </w:rPr>
            </w:pPr>
          </w:p>
        </w:tc>
        <w:tc>
          <w:tcPr>
            <w:tcW w:w="2330" w:type="pct"/>
          </w:tcPr>
          <w:p w:rsidR="00CA5290" w:rsidRPr="00BE6616" w:rsidRDefault="00CA5290" w:rsidP="002E3508">
            <w:pPr>
              <w:jc w:val="both"/>
              <w:rPr>
                <w:rFonts w:eastAsia="Calibri"/>
                <w:sz w:val="20"/>
              </w:rPr>
            </w:pPr>
            <w:r w:rsidRPr="00BE6616">
              <w:rPr>
                <w:rFonts w:eastAsia="Calibri"/>
                <w:sz w:val="20"/>
              </w:rPr>
              <w:t>Motion for leave to appeal and motion in revocation of judgment dismissed</w:t>
            </w:r>
          </w:p>
          <w:p w:rsidR="00CA5290" w:rsidRPr="00BE6616" w:rsidRDefault="00CA5290" w:rsidP="002E3508">
            <w:pPr>
              <w:jc w:val="both"/>
              <w:rPr>
                <w:rFonts w:eastAsia="Calibri"/>
                <w:sz w:val="20"/>
              </w:rPr>
            </w:pPr>
          </w:p>
        </w:tc>
      </w:tr>
      <w:tr w:rsidR="00CA5290" w:rsidRPr="00BE6616" w:rsidTr="00297F14">
        <w:trPr>
          <w:cantSplit/>
        </w:trPr>
        <w:tc>
          <w:tcPr>
            <w:tcW w:w="2427" w:type="pct"/>
          </w:tcPr>
          <w:p w:rsidR="00CA5290" w:rsidRPr="00BE6616" w:rsidRDefault="00CA5290" w:rsidP="002E3508">
            <w:pPr>
              <w:jc w:val="both"/>
              <w:rPr>
                <w:rFonts w:eastAsia="Calibri"/>
                <w:sz w:val="20"/>
              </w:rPr>
            </w:pPr>
            <w:r w:rsidRPr="00BE6616">
              <w:rPr>
                <w:rFonts w:eastAsia="Calibri"/>
                <w:sz w:val="20"/>
              </w:rPr>
              <w:lastRenderedPageBreak/>
              <w:t>April 6, 2011</w:t>
            </w:r>
          </w:p>
          <w:p w:rsidR="00CA5290" w:rsidRPr="00BE6616" w:rsidRDefault="00CA5290" w:rsidP="002E3508">
            <w:pPr>
              <w:jc w:val="both"/>
              <w:rPr>
                <w:rFonts w:eastAsia="Calibri"/>
                <w:sz w:val="20"/>
              </w:rPr>
            </w:pPr>
            <w:r w:rsidRPr="00BE6616">
              <w:rPr>
                <w:rFonts w:eastAsia="Calibri"/>
                <w:sz w:val="20"/>
              </w:rPr>
              <w:t>Quebec Court of Appeal (Québec)</w:t>
            </w:r>
          </w:p>
          <w:p w:rsidR="00CA5290" w:rsidRPr="00BE6616" w:rsidRDefault="00CA5290" w:rsidP="002E3508">
            <w:pPr>
              <w:jc w:val="both"/>
              <w:rPr>
                <w:rFonts w:eastAsia="Calibri"/>
                <w:sz w:val="20"/>
                <w:lang w:val="fr-CA"/>
              </w:rPr>
            </w:pPr>
            <w:r w:rsidRPr="00BE6616">
              <w:rPr>
                <w:rFonts w:eastAsia="Calibri"/>
                <w:sz w:val="20"/>
                <w:lang w:val="fr-CA"/>
              </w:rPr>
              <w:t>(Gagnon, Bouchard and Viens JJ.A.)</w:t>
            </w:r>
          </w:p>
          <w:p w:rsidR="00CA5290" w:rsidRPr="00BE6616" w:rsidRDefault="00CA5290" w:rsidP="002E3508">
            <w:pPr>
              <w:jc w:val="both"/>
              <w:rPr>
                <w:rFonts w:eastAsia="Calibri"/>
                <w:sz w:val="20"/>
              </w:rPr>
            </w:pPr>
            <w:r w:rsidRPr="00BE6616">
              <w:rPr>
                <w:rFonts w:eastAsia="Calibri"/>
                <w:sz w:val="20"/>
              </w:rPr>
              <w:t>2011 QCCA 656; 200-09-007293-118</w:t>
            </w:r>
          </w:p>
          <w:p w:rsidR="00CA5290" w:rsidRPr="00BE6616" w:rsidRDefault="00CA5290" w:rsidP="002E3508">
            <w:pPr>
              <w:jc w:val="both"/>
              <w:rPr>
                <w:rFonts w:eastAsia="Calibri"/>
                <w:sz w:val="20"/>
              </w:rPr>
            </w:pPr>
          </w:p>
        </w:tc>
        <w:tc>
          <w:tcPr>
            <w:tcW w:w="243" w:type="pct"/>
          </w:tcPr>
          <w:p w:rsidR="00CA5290" w:rsidRPr="00BE6616" w:rsidRDefault="00CA5290" w:rsidP="002E3508">
            <w:pPr>
              <w:jc w:val="both"/>
              <w:rPr>
                <w:rFonts w:eastAsia="Calibri"/>
                <w:sz w:val="20"/>
              </w:rPr>
            </w:pPr>
          </w:p>
        </w:tc>
        <w:tc>
          <w:tcPr>
            <w:tcW w:w="2330" w:type="pct"/>
          </w:tcPr>
          <w:p w:rsidR="00CA5290" w:rsidRPr="00BE6616" w:rsidRDefault="00CA5290" w:rsidP="002E3508">
            <w:pPr>
              <w:jc w:val="both"/>
              <w:rPr>
                <w:rFonts w:eastAsia="Calibri"/>
                <w:sz w:val="20"/>
              </w:rPr>
            </w:pPr>
            <w:r w:rsidRPr="00BE6616">
              <w:rPr>
                <w:rFonts w:eastAsia="Calibri"/>
                <w:sz w:val="20"/>
              </w:rPr>
              <w:t>Motion in revocation of judgment dismissed; motion for leave to appeal declared moot</w:t>
            </w:r>
          </w:p>
          <w:p w:rsidR="00CA5290" w:rsidRPr="00BE6616" w:rsidRDefault="00CA5290" w:rsidP="002E3508">
            <w:pPr>
              <w:jc w:val="both"/>
              <w:rPr>
                <w:rFonts w:eastAsia="Calibri"/>
                <w:sz w:val="20"/>
              </w:rPr>
            </w:pPr>
          </w:p>
        </w:tc>
      </w:tr>
      <w:tr w:rsidR="00CA5290" w:rsidRPr="00BE6616" w:rsidTr="00297F14">
        <w:trPr>
          <w:cantSplit/>
        </w:trPr>
        <w:tc>
          <w:tcPr>
            <w:tcW w:w="2427" w:type="pct"/>
          </w:tcPr>
          <w:p w:rsidR="00CA5290" w:rsidRPr="00BE6616" w:rsidRDefault="00CA5290" w:rsidP="002E3508">
            <w:pPr>
              <w:jc w:val="both"/>
              <w:rPr>
                <w:rFonts w:eastAsia="Calibri"/>
                <w:sz w:val="20"/>
              </w:rPr>
            </w:pPr>
            <w:r w:rsidRPr="00BE6616">
              <w:rPr>
                <w:rFonts w:eastAsia="Calibri"/>
                <w:sz w:val="20"/>
              </w:rPr>
              <w:t>June 6, 2011</w:t>
            </w:r>
          </w:p>
          <w:p w:rsidR="00CA5290" w:rsidRPr="00BE6616" w:rsidRDefault="00CA5290" w:rsidP="002E3508">
            <w:pPr>
              <w:jc w:val="both"/>
              <w:rPr>
                <w:rFonts w:eastAsia="Calibri"/>
                <w:sz w:val="20"/>
              </w:rPr>
            </w:pPr>
            <w:r w:rsidRPr="00BE6616">
              <w:rPr>
                <w:rFonts w:eastAsia="Calibri"/>
                <w:sz w:val="20"/>
              </w:rPr>
              <w:t>Supreme Court of Canada</w:t>
            </w:r>
          </w:p>
        </w:tc>
        <w:tc>
          <w:tcPr>
            <w:tcW w:w="243" w:type="pct"/>
          </w:tcPr>
          <w:p w:rsidR="00CA5290" w:rsidRPr="00BE6616" w:rsidRDefault="00CA5290" w:rsidP="002E3508">
            <w:pPr>
              <w:jc w:val="both"/>
              <w:rPr>
                <w:rFonts w:eastAsia="Calibri"/>
                <w:sz w:val="20"/>
              </w:rPr>
            </w:pPr>
          </w:p>
        </w:tc>
        <w:tc>
          <w:tcPr>
            <w:tcW w:w="2330" w:type="pct"/>
          </w:tcPr>
          <w:p w:rsidR="00CA5290" w:rsidRPr="00BE6616" w:rsidRDefault="00CA5290" w:rsidP="002E3508">
            <w:pPr>
              <w:jc w:val="both"/>
              <w:rPr>
                <w:rFonts w:eastAsia="Calibri"/>
                <w:sz w:val="20"/>
              </w:rPr>
            </w:pPr>
            <w:r w:rsidRPr="00BE6616">
              <w:rPr>
                <w:rFonts w:eastAsia="Calibri"/>
                <w:sz w:val="20"/>
              </w:rPr>
              <w:t>Application for leave to appeal filed</w:t>
            </w:r>
          </w:p>
          <w:p w:rsidR="00CA5290" w:rsidRPr="00BE6616" w:rsidRDefault="00CA5290" w:rsidP="002E350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97"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CA5290" w:rsidRPr="00F80A49" w:rsidTr="002E3508">
        <w:tc>
          <w:tcPr>
            <w:tcW w:w="5000" w:type="pct"/>
            <w:gridSpan w:val="3"/>
          </w:tcPr>
          <w:p w:rsidR="00CA5290" w:rsidRPr="00BE6616" w:rsidRDefault="00CA5290" w:rsidP="002E3508">
            <w:pPr>
              <w:jc w:val="both"/>
              <w:rPr>
                <w:rFonts w:eastAsia="Calibri"/>
                <w:sz w:val="20"/>
                <w:lang w:val="fr-CA"/>
              </w:rPr>
            </w:pPr>
            <w:r w:rsidRPr="00BE6616">
              <w:rPr>
                <w:rFonts w:eastAsia="Calibri"/>
                <w:sz w:val="20"/>
                <w:lang w:val="fr-CA"/>
              </w:rPr>
              <w:t>Procédure civile — La Cour d’appel aurait</w:t>
            </w:r>
            <w:r w:rsidRPr="00BE6616">
              <w:rPr>
                <w:rFonts w:eastAsia="Calibri"/>
                <w:sz w:val="20"/>
                <w:lang w:val="fr-CA"/>
              </w:rPr>
              <w:noBreakHyphen/>
              <w:t>elle dû accueillir les requêtes en rétractation de jugement et pour permission d’appel?</w:t>
            </w:r>
          </w:p>
        </w:tc>
      </w:tr>
      <w:tr w:rsidR="00CA5290" w:rsidRPr="00F80A49" w:rsidTr="002E3508">
        <w:tc>
          <w:tcPr>
            <w:tcW w:w="5000" w:type="pct"/>
            <w:gridSpan w:val="3"/>
          </w:tcPr>
          <w:p w:rsidR="00CA5290" w:rsidRPr="00BE6616" w:rsidRDefault="00CA5290" w:rsidP="002E3508">
            <w:pPr>
              <w:jc w:val="both"/>
              <w:rPr>
                <w:rFonts w:eastAsia="Calibri"/>
                <w:sz w:val="20"/>
                <w:lang w:val="fr-CA"/>
              </w:rPr>
            </w:pPr>
          </w:p>
        </w:tc>
      </w:tr>
      <w:tr w:rsidR="00CA5290" w:rsidRPr="00F80A49" w:rsidTr="002E3508">
        <w:tc>
          <w:tcPr>
            <w:tcW w:w="5000" w:type="pct"/>
            <w:gridSpan w:val="3"/>
          </w:tcPr>
          <w:p w:rsidR="00CA5290" w:rsidRPr="00BE6616" w:rsidRDefault="00CA5290" w:rsidP="002E3508">
            <w:pPr>
              <w:jc w:val="both"/>
              <w:rPr>
                <w:rFonts w:eastAsia="Calibri"/>
                <w:sz w:val="20"/>
                <w:lang w:val="fr-CA"/>
              </w:rPr>
            </w:pPr>
            <w:r w:rsidRPr="00BE6616">
              <w:rPr>
                <w:rFonts w:eastAsia="Calibri"/>
                <w:sz w:val="20"/>
                <w:lang w:val="fr-CA"/>
              </w:rPr>
              <w:t>Dans le cadre d’une poursuite intentée par les intimés Usinage M.D. et Michel et Daniel Duchaine, M. Painchaud a déposé une défense et formulé une demande reconventionnelle à l’encontre du procureur général du Québec.  Il a soutenu que la requête introductive d’instance constituait un libelle diffamatoire à son égard.  Il a réclamé contre le procureur général une somme de 7 000 000 $, et a demandé l’émission d’une injonction contre le gouvernement du Québec afin de forcer celui</w:t>
            </w:r>
            <w:r w:rsidRPr="00BE6616">
              <w:rPr>
                <w:rFonts w:eastAsia="Calibri"/>
                <w:sz w:val="20"/>
                <w:lang w:val="fr-CA"/>
              </w:rPr>
              <w:noBreakHyphen/>
              <w:t xml:space="preserve">ci à déposer des poursuites criminelles contre certains fonctionnaires. </w:t>
            </w:r>
          </w:p>
          <w:p w:rsidR="00CA5290" w:rsidRPr="00BE6616" w:rsidRDefault="00CA5290" w:rsidP="002E3508">
            <w:pPr>
              <w:jc w:val="both"/>
              <w:rPr>
                <w:rFonts w:eastAsia="Calibri"/>
                <w:sz w:val="20"/>
                <w:lang w:val="fr-CA"/>
              </w:rPr>
            </w:pPr>
          </w:p>
          <w:p w:rsidR="00CA5290" w:rsidRPr="00BE6616" w:rsidRDefault="00CA5290" w:rsidP="002E3508">
            <w:pPr>
              <w:jc w:val="both"/>
              <w:rPr>
                <w:rFonts w:eastAsia="Calibri"/>
                <w:sz w:val="20"/>
                <w:lang w:val="fr-CA"/>
              </w:rPr>
            </w:pPr>
            <w:r w:rsidRPr="00BE6616">
              <w:rPr>
                <w:rFonts w:eastAsia="Calibri"/>
                <w:sz w:val="20"/>
                <w:lang w:val="fr-CA"/>
              </w:rPr>
              <w:t>La Cour supérieure, a rejeté la demande reconventionnelle de M. Painchaud à un stade préliminaire.  M. Paichaud a tenté par la suite d’en appeler de ce jugement, mais en vain.  Il n’a pas été en mesure d’obtenir la rétractation du jugement de la Cour d’appel lui refusant la permission d’appel.</w:t>
            </w:r>
          </w:p>
          <w:p w:rsidR="00CA5290" w:rsidRPr="00BE6616" w:rsidRDefault="00CA5290" w:rsidP="002E3508">
            <w:pPr>
              <w:jc w:val="both"/>
              <w:rPr>
                <w:rFonts w:eastAsia="Calibri"/>
                <w:sz w:val="20"/>
                <w:lang w:val="fr-CA"/>
              </w:rPr>
            </w:pPr>
          </w:p>
        </w:tc>
      </w:tr>
      <w:tr w:rsidR="00CA5290" w:rsidRPr="00F80A49" w:rsidTr="002E3508">
        <w:tc>
          <w:tcPr>
            <w:tcW w:w="2427" w:type="pct"/>
          </w:tcPr>
          <w:p w:rsidR="00CA5290" w:rsidRPr="00BE6616" w:rsidRDefault="00CA5290" w:rsidP="002E3508">
            <w:pPr>
              <w:jc w:val="both"/>
              <w:rPr>
                <w:rFonts w:eastAsia="Calibri"/>
                <w:sz w:val="20"/>
                <w:lang w:val="fr-CA"/>
              </w:rPr>
            </w:pPr>
            <w:r w:rsidRPr="00BE6616">
              <w:rPr>
                <w:rFonts w:eastAsia="Calibri"/>
                <w:sz w:val="20"/>
                <w:lang w:val="fr-CA"/>
              </w:rPr>
              <w:t>Le 17 janvier 2011</w:t>
            </w:r>
          </w:p>
          <w:p w:rsidR="00CA5290" w:rsidRPr="00BE6616" w:rsidRDefault="00CA5290" w:rsidP="002E3508">
            <w:pPr>
              <w:jc w:val="both"/>
              <w:rPr>
                <w:rFonts w:eastAsia="Calibri"/>
                <w:sz w:val="20"/>
                <w:lang w:val="fr-CA"/>
              </w:rPr>
            </w:pPr>
            <w:r w:rsidRPr="00BE6616">
              <w:rPr>
                <w:rFonts w:eastAsia="Calibri"/>
                <w:sz w:val="20"/>
                <w:lang w:val="fr-CA"/>
              </w:rPr>
              <w:t>Cour supérieure du Québec</w:t>
            </w:r>
          </w:p>
          <w:p w:rsidR="00CA5290" w:rsidRPr="00BE6616" w:rsidRDefault="00CA5290" w:rsidP="002E3508">
            <w:pPr>
              <w:jc w:val="both"/>
              <w:rPr>
                <w:rFonts w:eastAsia="Calibri"/>
                <w:sz w:val="20"/>
                <w:lang w:val="fr-CA"/>
              </w:rPr>
            </w:pPr>
            <w:r w:rsidRPr="00BE6616">
              <w:rPr>
                <w:rFonts w:eastAsia="Calibri"/>
                <w:sz w:val="20"/>
                <w:lang w:val="fr-CA"/>
              </w:rPr>
              <w:t>(La juge Bergeron)</w:t>
            </w:r>
          </w:p>
          <w:p w:rsidR="00CA5290" w:rsidRPr="00BE6616" w:rsidRDefault="00CA5290" w:rsidP="002E3508">
            <w:pPr>
              <w:jc w:val="both"/>
              <w:rPr>
                <w:rFonts w:eastAsia="Calibri"/>
                <w:sz w:val="20"/>
                <w:lang w:val="fr-CA"/>
              </w:rPr>
            </w:pPr>
            <w:r w:rsidRPr="00BE6616">
              <w:rPr>
                <w:rFonts w:eastAsia="Calibri"/>
                <w:sz w:val="20"/>
                <w:lang w:val="fr-CA"/>
              </w:rPr>
              <w:t>2011 QCCS 206</w:t>
            </w:r>
          </w:p>
          <w:p w:rsidR="00CA5290" w:rsidRPr="00BE6616" w:rsidRDefault="00CA5290" w:rsidP="002E3508">
            <w:pPr>
              <w:jc w:val="both"/>
              <w:rPr>
                <w:rFonts w:eastAsia="Calibri"/>
                <w:sz w:val="20"/>
                <w:lang w:val="fr-CA"/>
              </w:rPr>
            </w:pPr>
          </w:p>
        </w:tc>
        <w:tc>
          <w:tcPr>
            <w:tcW w:w="243" w:type="pct"/>
          </w:tcPr>
          <w:p w:rsidR="00CA5290" w:rsidRPr="00BE6616" w:rsidRDefault="00CA5290" w:rsidP="002E3508">
            <w:pPr>
              <w:jc w:val="both"/>
              <w:rPr>
                <w:rFonts w:eastAsia="Calibri"/>
                <w:sz w:val="20"/>
                <w:lang w:val="fr-CA"/>
              </w:rPr>
            </w:pPr>
          </w:p>
        </w:tc>
        <w:tc>
          <w:tcPr>
            <w:tcW w:w="2330" w:type="pct"/>
          </w:tcPr>
          <w:p w:rsidR="00CA5290" w:rsidRPr="00BE6616" w:rsidRDefault="00CA5290" w:rsidP="002E3508">
            <w:pPr>
              <w:jc w:val="both"/>
              <w:rPr>
                <w:rFonts w:eastAsia="Calibri"/>
                <w:sz w:val="20"/>
                <w:lang w:val="fr-CA"/>
              </w:rPr>
            </w:pPr>
            <w:r w:rsidRPr="00BE6616">
              <w:rPr>
                <w:rFonts w:eastAsia="Calibri"/>
                <w:sz w:val="20"/>
                <w:lang w:val="fr-CA"/>
              </w:rPr>
              <w:t>Demandes reconventionnelles contre le procureur général du Québec rejetées</w:t>
            </w:r>
          </w:p>
          <w:p w:rsidR="00CA5290" w:rsidRPr="00BE6616" w:rsidRDefault="00CA5290" w:rsidP="002E3508">
            <w:pPr>
              <w:jc w:val="both"/>
              <w:rPr>
                <w:rFonts w:eastAsia="Calibri"/>
                <w:sz w:val="20"/>
                <w:lang w:val="fr-CA"/>
              </w:rPr>
            </w:pPr>
          </w:p>
        </w:tc>
      </w:tr>
      <w:tr w:rsidR="00CA5290" w:rsidRPr="00BE6616" w:rsidTr="002E3508">
        <w:tc>
          <w:tcPr>
            <w:tcW w:w="2427" w:type="pct"/>
          </w:tcPr>
          <w:p w:rsidR="00CA5290" w:rsidRPr="00BE6616" w:rsidRDefault="00CA5290" w:rsidP="002E3508">
            <w:pPr>
              <w:jc w:val="both"/>
              <w:rPr>
                <w:rFonts w:eastAsia="Calibri"/>
                <w:sz w:val="20"/>
                <w:lang w:val="fr-CA"/>
              </w:rPr>
            </w:pPr>
            <w:r w:rsidRPr="00BE6616">
              <w:rPr>
                <w:rFonts w:eastAsia="Calibri"/>
                <w:sz w:val="20"/>
                <w:lang w:val="fr-CA"/>
              </w:rPr>
              <w:t>Le 17 février 2011</w:t>
            </w:r>
          </w:p>
          <w:p w:rsidR="00CA5290" w:rsidRPr="00BE6616" w:rsidRDefault="00CA5290" w:rsidP="002E3508">
            <w:pPr>
              <w:jc w:val="both"/>
              <w:rPr>
                <w:rFonts w:eastAsia="Calibri"/>
                <w:sz w:val="20"/>
                <w:lang w:val="fr-CA"/>
              </w:rPr>
            </w:pPr>
            <w:r w:rsidRPr="00BE6616">
              <w:rPr>
                <w:rFonts w:eastAsia="Calibri"/>
                <w:sz w:val="20"/>
                <w:lang w:val="fr-CA"/>
              </w:rPr>
              <w:t>Cour d’appel du Québec (Québec)</w:t>
            </w:r>
          </w:p>
          <w:p w:rsidR="00CA5290" w:rsidRPr="00BE6616" w:rsidRDefault="00CA5290" w:rsidP="002E3508">
            <w:pPr>
              <w:jc w:val="both"/>
              <w:rPr>
                <w:rFonts w:eastAsia="Calibri"/>
                <w:sz w:val="20"/>
                <w:lang w:val="fr-CA"/>
              </w:rPr>
            </w:pPr>
            <w:r w:rsidRPr="00BE6616">
              <w:rPr>
                <w:rFonts w:eastAsia="Calibri"/>
                <w:sz w:val="20"/>
                <w:lang w:val="fr-CA"/>
              </w:rPr>
              <w:t>(Le juge Giroux)</w:t>
            </w:r>
          </w:p>
          <w:p w:rsidR="00CA5290" w:rsidRPr="00BE6616" w:rsidRDefault="00CA5290" w:rsidP="002E3508">
            <w:pPr>
              <w:jc w:val="both"/>
              <w:rPr>
                <w:rFonts w:eastAsia="Calibri"/>
                <w:sz w:val="20"/>
                <w:lang w:val="fr-CA"/>
              </w:rPr>
            </w:pPr>
            <w:r w:rsidRPr="00BE6616">
              <w:rPr>
                <w:rFonts w:eastAsia="Calibri"/>
                <w:sz w:val="20"/>
                <w:lang w:val="fr-CA"/>
              </w:rPr>
              <w:t>2011 QCCA 316</w:t>
            </w:r>
          </w:p>
          <w:p w:rsidR="00CA5290" w:rsidRPr="00BE6616" w:rsidRDefault="00CA5290" w:rsidP="002E3508">
            <w:pPr>
              <w:jc w:val="both"/>
              <w:rPr>
                <w:rFonts w:eastAsia="Calibri"/>
                <w:sz w:val="20"/>
                <w:lang w:val="fr-CA"/>
              </w:rPr>
            </w:pPr>
          </w:p>
        </w:tc>
        <w:tc>
          <w:tcPr>
            <w:tcW w:w="243" w:type="pct"/>
          </w:tcPr>
          <w:p w:rsidR="00CA5290" w:rsidRPr="00BE6616" w:rsidRDefault="00CA5290" w:rsidP="002E3508">
            <w:pPr>
              <w:jc w:val="both"/>
              <w:rPr>
                <w:rFonts w:eastAsia="Calibri"/>
                <w:sz w:val="20"/>
                <w:lang w:val="fr-CA"/>
              </w:rPr>
            </w:pPr>
          </w:p>
        </w:tc>
        <w:tc>
          <w:tcPr>
            <w:tcW w:w="2330" w:type="pct"/>
          </w:tcPr>
          <w:p w:rsidR="00CA5290" w:rsidRPr="00BE6616" w:rsidRDefault="00CA5290" w:rsidP="002E3508">
            <w:pPr>
              <w:jc w:val="both"/>
              <w:rPr>
                <w:rFonts w:eastAsia="Calibri"/>
                <w:sz w:val="20"/>
                <w:lang w:val="fr-CA"/>
              </w:rPr>
            </w:pPr>
            <w:r w:rsidRPr="00BE6616">
              <w:rPr>
                <w:rFonts w:eastAsia="Calibri"/>
                <w:sz w:val="20"/>
                <w:lang w:val="fr-CA"/>
              </w:rPr>
              <w:t>Requête pour permission d’appeler rejetée</w:t>
            </w:r>
          </w:p>
          <w:p w:rsidR="00CA5290" w:rsidRPr="00BE6616" w:rsidRDefault="00CA5290" w:rsidP="002E3508">
            <w:pPr>
              <w:jc w:val="both"/>
              <w:rPr>
                <w:rFonts w:eastAsia="Calibri"/>
                <w:sz w:val="20"/>
                <w:lang w:val="fr-CA"/>
              </w:rPr>
            </w:pPr>
          </w:p>
        </w:tc>
      </w:tr>
      <w:tr w:rsidR="00CA5290" w:rsidRPr="00FC7FF3" w:rsidTr="002E3508">
        <w:tc>
          <w:tcPr>
            <w:tcW w:w="2427" w:type="pct"/>
          </w:tcPr>
          <w:p w:rsidR="00CA5290" w:rsidRPr="00BE6616" w:rsidRDefault="00CA5290" w:rsidP="002E3508">
            <w:pPr>
              <w:jc w:val="both"/>
              <w:rPr>
                <w:rFonts w:eastAsia="Calibri"/>
                <w:sz w:val="20"/>
                <w:lang w:val="fr-CA"/>
              </w:rPr>
            </w:pPr>
            <w:r w:rsidRPr="00BE6616">
              <w:rPr>
                <w:rFonts w:eastAsia="Calibri"/>
                <w:sz w:val="20"/>
                <w:lang w:val="fr-CA"/>
              </w:rPr>
              <w:t>Le 2 mars 2011</w:t>
            </w:r>
          </w:p>
          <w:p w:rsidR="00CA5290" w:rsidRPr="00BE6616" w:rsidRDefault="00CA5290" w:rsidP="002E3508">
            <w:pPr>
              <w:jc w:val="both"/>
              <w:rPr>
                <w:rFonts w:eastAsia="Calibri"/>
                <w:sz w:val="20"/>
                <w:lang w:val="fr-CA"/>
              </w:rPr>
            </w:pPr>
            <w:r w:rsidRPr="00BE6616">
              <w:rPr>
                <w:rFonts w:eastAsia="Calibri"/>
                <w:sz w:val="20"/>
                <w:lang w:val="fr-CA"/>
              </w:rPr>
              <w:t>Cour d’appel du Québec (Québec)</w:t>
            </w:r>
          </w:p>
          <w:p w:rsidR="00CA5290" w:rsidRPr="00BE6616" w:rsidRDefault="00CA5290" w:rsidP="002E3508">
            <w:pPr>
              <w:jc w:val="both"/>
              <w:rPr>
                <w:rFonts w:eastAsia="Calibri"/>
                <w:sz w:val="20"/>
                <w:lang w:val="fr-CA"/>
              </w:rPr>
            </w:pPr>
            <w:r w:rsidRPr="00BE6616">
              <w:rPr>
                <w:rFonts w:eastAsia="Calibri"/>
                <w:sz w:val="20"/>
                <w:lang w:val="fr-CA"/>
              </w:rPr>
              <w:t>(La juge Dutil)</w:t>
            </w:r>
          </w:p>
          <w:p w:rsidR="00CA5290" w:rsidRPr="00BE6616" w:rsidRDefault="00CA5290" w:rsidP="002E3508">
            <w:pPr>
              <w:jc w:val="both"/>
              <w:rPr>
                <w:rFonts w:eastAsia="Calibri"/>
                <w:sz w:val="20"/>
                <w:lang w:val="fr-CA"/>
              </w:rPr>
            </w:pPr>
            <w:r w:rsidRPr="00BE6616">
              <w:rPr>
                <w:rFonts w:eastAsia="Calibri"/>
                <w:sz w:val="20"/>
                <w:lang w:val="fr-CA"/>
              </w:rPr>
              <w:t>2011 QCCA 384</w:t>
            </w:r>
          </w:p>
          <w:p w:rsidR="00CA5290" w:rsidRPr="00BE6616" w:rsidRDefault="00CA5290" w:rsidP="002E3508">
            <w:pPr>
              <w:jc w:val="both"/>
              <w:rPr>
                <w:rFonts w:eastAsia="Calibri"/>
                <w:sz w:val="20"/>
                <w:lang w:val="fr-CA"/>
              </w:rPr>
            </w:pPr>
          </w:p>
        </w:tc>
        <w:tc>
          <w:tcPr>
            <w:tcW w:w="243" w:type="pct"/>
          </w:tcPr>
          <w:p w:rsidR="00CA5290" w:rsidRPr="00BE6616" w:rsidRDefault="00CA5290" w:rsidP="002E3508">
            <w:pPr>
              <w:jc w:val="both"/>
              <w:rPr>
                <w:rFonts w:eastAsia="Calibri"/>
                <w:sz w:val="20"/>
                <w:lang w:val="fr-CA"/>
              </w:rPr>
            </w:pPr>
          </w:p>
        </w:tc>
        <w:tc>
          <w:tcPr>
            <w:tcW w:w="2330" w:type="pct"/>
          </w:tcPr>
          <w:p w:rsidR="00CA5290" w:rsidRPr="00BE6616" w:rsidRDefault="00CA5290" w:rsidP="002E3508">
            <w:pPr>
              <w:jc w:val="both"/>
              <w:rPr>
                <w:rFonts w:eastAsia="Calibri"/>
                <w:sz w:val="20"/>
                <w:lang w:val="fr-CA"/>
              </w:rPr>
            </w:pPr>
            <w:r w:rsidRPr="00BE6616">
              <w:rPr>
                <w:rFonts w:eastAsia="Calibri"/>
                <w:sz w:val="20"/>
                <w:lang w:val="fr-CA"/>
              </w:rPr>
              <w:t xml:space="preserve">Requêtes pour permission d’appeler et en rétractation de </w:t>
            </w:r>
            <w:proofErr w:type="gramStart"/>
            <w:r w:rsidRPr="00BE6616">
              <w:rPr>
                <w:rFonts w:eastAsia="Calibri"/>
                <w:sz w:val="20"/>
                <w:lang w:val="fr-CA"/>
              </w:rPr>
              <w:t>jugement rejetées</w:t>
            </w:r>
            <w:proofErr w:type="gramEnd"/>
          </w:p>
          <w:p w:rsidR="00CA5290" w:rsidRPr="00BE6616" w:rsidRDefault="00CA5290" w:rsidP="002E3508">
            <w:pPr>
              <w:jc w:val="both"/>
              <w:rPr>
                <w:rFonts w:eastAsia="Calibri"/>
                <w:sz w:val="20"/>
                <w:lang w:val="fr-CA"/>
              </w:rPr>
            </w:pPr>
          </w:p>
        </w:tc>
      </w:tr>
      <w:tr w:rsidR="00CA5290" w:rsidRPr="00F80A49" w:rsidTr="002E3508">
        <w:tc>
          <w:tcPr>
            <w:tcW w:w="2427" w:type="pct"/>
          </w:tcPr>
          <w:p w:rsidR="00CA5290" w:rsidRPr="00BE6616" w:rsidRDefault="00CA5290" w:rsidP="002E3508">
            <w:pPr>
              <w:jc w:val="both"/>
              <w:rPr>
                <w:rFonts w:eastAsia="Calibri"/>
                <w:sz w:val="20"/>
                <w:lang w:val="fr-CA"/>
              </w:rPr>
            </w:pPr>
            <w:r w:rsidRPr="00BE6616">
              <w:rPr>
                <w:rFonts w:eastAsia="Calibri"/>
                <w:sz w:val="20"/>
                <w:lang w:val="fr-CA"/>
              </w:rPr>
              <w:t>Le 6 avril 2011</w:t>
            </w:r>
          </w:p>
          <w:p w:rsidR="00CA5290" w:rsidRPr="00BE6616" w:rsidRDefault="00CA5290" w:rsidP="002E3508">
            <w:pPr>
              <w:jc w:val="both"/>
              <w:rPr>
                <w:rFonts w:eastAsia="Calibri"/>
                <w:sz w:val="20"/>
                <w:lang w:val="fr-CA"/>
              </w:rPr>
            </w:pPr>
            <w:r w:rsidRPr="00BE6616">
              <w:rPr>
                <w:rFonts w:eastAsia="Calibri"/>
                <w:sz w:val="20"/>
                <w:lang w:val="fr-CA"/>
              </w:rPr>
              <w:t>Cour d’appel du Québec (Québec)</w:t>
            </w:r>
          </w:p>
          <w:p w:rsidR="00CA5290" w:rsidRPr="00BE6616" w:rsidRDefault="00CA5290" w:rsidP="002E3508">
            <w:pPr>
              <w:jc w:val="both"/>
              <w:rPr>
                <w:rFonts w:eastAsia="Calibri"/>
                <w:sz w:val="20"/>
                <w:lang w:val="fr-CA"/>
              </w:rPr>
            </w:pPr>
            <w:r w:rsidRPr="00BE6616">
              <w:rPr>
                <w:rFonts w:eastAsia="Calibri"/>
                <w:sz w:val="20"/>
                <w:lang w:val="fr-CA"/>
              </w:rPr>
              <w:t>(Les juges Gagnon, Bouchard et Viens)</w:t>
            </w:r>
          </w:p>
          <w:p w:rsidR="00CA5290" w:rsidRPr="00BE6616" w:rsidRDefault="00CA5290" w:rsidP="002E3508">
            <w:pPr>
              <w:jc w:val="both"/>
              <w:rPr>
                <w:rFonts w:eastAsia="Calibri"/>
                <w:sz w:val="20"/>
                <w:lang w:val="fr-CA"/>
              </w:rPr>
            </w:pPr>
            <w:r w:rsidRPr="00BE6616">
              <w:rPr>
                <w:rFonts w:eastAsia="Calibri"/>
                <w:sz w:val="20"/>
                <w:lang w:val="fr-CA"/>
              </w:rPr>
              <w:t>2011 QCCA 656; 200</w:t>
            </w:r>
            <w:r w:rsidRPr="00BE6616">
              <w:rPr>
                <w:rFonts w:eastAsia="Calibri"/>
                <w:sz w:val="20"/>
                <w:lang w:val="fr-CA"/>
              </w:rPr>
              <w:noBreakHyphen/>
              <w:t>09</w:t>
            </w:r>
            <w:r w:rsidRPr="00BE6616">
              <w:rPr>
                <w:rFonts w:eastAsia="Calibri"/>
                <w:sz w:val="20"/>
                <w:lang w:val="fr-CA"/>
              </w:rPr>
              <w:noBreakHyphen/>
              <w:t>007293</w:t>
            </w:r>
            <w:r w:rsidRPr="00BE6616">
              <w:rPr>
                <w:rFonts w:eastAsia="Calibri"/>
                <w:sz w:val="20"/>
                <w:lang w:val="fr-CA"/>
              </w:rPr>
              <w:noBreakHyphen/>
              <w:t>118</w:t>
            </w:r>
          </w:p>
          <w:p w:rsidR="00CA5290" w:rsidRPr="00BE6616" w:rsidRDefault="00CA5290" w:rsidP="002E3508">
            <w:pPr>
              <w:jc w:val="both"/>
              <w:rPr>
                <w:rFonts w:eastAsia="Calibri"/>
                <w:sz w:val="20"/>
                <w:lang w:val="fr-CA"/>
              </w:rPr>
            </w:pPr>
          </w:p>
        </w:tc>
        <w:tc>
          <w:tcPr>
            <w:tcW w:w="243" w:type="pct"/>
          </w:tcPr>
          <w:p w:rsidR="00CA5290" w:rsidRPr="00BE6616" w:rsidRDefault="00CA5290" w:rsidP="002E3508">
            <w:pPr>
              <w:jc w:val="both"/>
              <w:rPr>
                <w:rFonts w:eastAsia="Calibri"/>
                <w:sz w:val="20"/>
                <w:lang w:val="fr-CA"/>
              </w:rPr>
            </w:pPr>
          </w:p>
        </w:tc>
        <w:tc>
          <w:tcPr>
            <w:tcW w:w="2330" w:type="pct"/>
          </w:tcPr>
          <w:p w:rsidR="00CA5290" w:rsidRPr="00BE6616" w:rsidRDefault="00CA5290" w:rsidP="002E3508">
            <w:pPr>
              <w:jc w:val="both"/>
              <w:rPr>
                <w:rFonts w:eastAsia="Calibri"/>
                <w:sz w:val="20"/>
                <w:lang w:val="fr-CA"/>
              </w:rPr>
            </w:pPr>
            <w:r w:rsidRPr="00BE6616">
              <w:rPr>
                <w:rFonts w:eastAsia="Calibri"/>
                <w:sz w:val="20"/>
                <w:lang w:val="fr-CA"/>
              </w:rPr>
              <w:t>Requête en rétractation de jugement rejetée; requête pour permission d’appeler déclarée sans objet</w:t>
            </w:r>
          </w:p>
          <w:p w:rsidR="00CA5290" w:rsidRPr="00BE6616" w:rsidRDefault="00CA5290" w:rsidP="002E3508">
            <w:pPr>
              <w:jc w:val="both"/>
              <w:rPr>
                <w:rFonts w:eastAsia="Calibri"/>
                <w:sz w:val="20"/>
                <w:lang w:val="fr-CA"/>
              </w:rPr>
            </w:pPr>
          </w:p>
        </w:tc>
      </w:tr>
      <w:tr w:rsidR="00CA5290" w:rsidRPr="00BE6616" w:rsidTr="002E3508">
        <w:tc>
          <w:tcPr>
            <w:tcW w:w="2427" w:type="pct"/>
          </w:tcPr>
          <w:p w:rsidR="00CA5290" w:rsidRPr="00BE6616" w:rsidRDefault="00CA5290" w:rsidP="002E3508">
            <w:pPr>
              <w:jc w:val="both"/>
              <w:rPr>
                <w:rFonts w:eastAsia="Calibri"/>
                <w:sz w:val="20"/>
                <w:lang w:val="fr-CA"/>
              </w:rPr>
            </w:pPr>
            <w:r w:rsidRPr="00BE6616">
              <w:rPr>
                <w:rFonts w:eastAsia="Calibri"/>
                <w:sz w:val="20"/>
                <w:lang w:val="fr-CA"/>
              </w:rPr>
              <w:t>Le 6 juin 2011</w:t>
            </w:r>
          </w:p>
          <w:p w:rsidR="00CA5290" w:rsidRPr="00BE6616" w:rsidRDefault="00CA5290" w:rsidP="002E3508">
            <w:pPr>
              <w:jc w:val="both"/>
              <w:rPr>
                <w:rFonts w:eastAsia="Calibri"/>
                <w:sz w:val="20"/>
                <w:lang w:val="fr-CA"/>
              </w:rPr>
            </w:pPr>
            <w:r w:rsidRPr="00BE6616">
              <w:rPr>
                <w:rFonts w:eastAsia="Calibri"/>
                <w:sz w:val="20"/>
                <w:lang w:val="fr-CA"/>
              </w:rPr>
              <w:t>Cour suprême du Canada</w:t>
            </w:r>
          </w:p>
        </w:tc>
        <w:tc>
          <w:tcPr>
            <w:tcW w:w="243" w:type="pct"/>
          </w:tcPr>
          <w:p w:rsidR="00CA5290" w:rsidRPr="00BE6616" w:rsidRDefault="00CA5290" w:rsidP="002E3508">
            <w:pPr>
              <w:jc w:val="both"/>
              <w:rPr>
                <w:rFonts w:eastAsia="Calibri"/>
                <w:sz w:val="20"/>
                <w:lang w:val="fr-CA"/>
              </w:rPr>
            </w:pPr>
          </w:p>
        </w:tc>
        <w:tc>
          <w:tcPr>
            <w:tcW w:w="2330" w:type="pct"/>
          </w:tcPr>
          <w:p w:rsidR="00CA5290" w:rsidRPr="00BE6616" w:rsidRDefault="00CA5290" w:rsidP="002E3508">
            <w:pPr>
              <w:jc w:val="both"/>
              <w:rPr>
                <w:rFonts w:eastAsia="Calibri"/>
                <w:sz w:val="20"/>
                <w:lang w:val="fr-CA"/>
              </w:rPr>
            </w:pPr>
            <w:r w:rsidRPr="00BE6616">
              <w:rPr>
                <w:rFonts w:eastAsia="Calibri"/>
                <w:sz w:val="20"/>
                <w:lang w:val="fr-CA"/>
              </w:rPr>
              <w:t>Demande d'autorisation d'appel déposée</w:t>
            </w:r>
          </w:p>
          <w:p w:rsidR="00CA5290" w:rsidRPr="00BE6616" w:rsidRDefault="00CA5290" w:rsidP="002E350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098"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A75E4" w:rsidRPr="009D5E94" w:rsidTr="002E3508">
        <w:trPr>
          <w:cantSplit/>
        </w:trPr>
        <w:tc>
          <w:tcPr>
            <w:tcW w:w="1458" w:type="dxa"/>
          </w:tcPr>
          <w:p w:rsidR="004A75E4" w:rsidRPr="009D5E94" w:rsidRDefault="004A75E4" w:rsidP="002E3508">
            <w:pPr>
              <w:rPr>
                <w:sz w:val="20"/>
                <w:szCs w:val="20"/>
              </w:rPr>
            </w:pPr>
            <w:r w:rsidRPr="009D5E94">
              <w:rPr>
                <w:rStyle w:val="SCCFileNumberChar"/>
                <w:sz w:val="20"/>
                <w:szCs w:val="20"/>
              </w:rPr>
              <w:lastRenderedPageBreak/>
              <w:t>34322</w:t>
            </w:r>
          </w:p>
          <w:p w:rsidR="004A75E4" w:rsidRPr="009D5E94" w:rsidRDefault="004A75E4" w:rsidP="002E3508">
            <w:pPr>
              <w:rPr>
                <w:b/>
                <w:sz w:val="20"/>
                <w:szCs w:val="20"/>
                <w:lang w:val="fr-CA"/>
              </w:rPr>
            </w:pPr>
          </w:p>
        </w:tc>
        <w:tc>
          <w:tcPr>
            <w:tcW w:w="8118" w:type="dxa"/>
          </w:tcPr>
          <w:p w:rsidR="004A75E4" w:rsidRPr="009D5E94" w:rsidRDefault="004A75E4" w:rsidP="002E3508">
            <w:pPr>
              <w:rPr>
                <w:sz w:val="20"/>
                <w:szCs w:val="20"/>
              </w:rPr>
            </w:pPr>
            <w:r w:rsidRPr="004A75E4">
              <w:rPr>
                <w:rStyle w:val="SCCLsocChar"/>
                <w:sz w:val="20"/>
                <w:szCs w:val="20"/>
                <w:lang w:val="en-CA"/>
              </w:rPr>
              <w:t>Sandra Nilsen v. Her Majesty the Queen</w:t>
            </w:r>
            <w:r w:rsidRPr="009D5E94">
              <w:rPr>
                <w:sz w:val="20"/>
                <w:szCs w:val="20"/>
              </w:rPr>
              <w:t xml:space="preserve"> (Ont.) (Criminal) (By Leave)</w:t>
            </w:r>
          </w:p>
          <w:p w:rsidR="004A75E4" w:rsidRPr="009D5E94" w:rsidRDefault="004A75E4" w:rsidP="002E3508">
            <w:pPr>
              <w:rPr>
                <w:sz w:val="20"/>
                <w:szCs w:val="20"/>
              </w:rPr>
            </w:pPr>
          </w:p>
        </w:tc>
      </w:tr>
      <w:tr w:rsidR="004A75E4" w:rsidRPr="009D5E94" w:rsidTr="002E3508">
        <w:trPr>
          <w:cantSplit/>
        </w:trPr>
        <w:tc>
          <w:tcPr>
            <w:tcW w:w="1458" w:type="dxa"/>
          </w:tcPr>
          <w:p w:rsidR="004A75E4" w:rsidRPr="009D5E94" w:rsidRDefault="004A75E4" w:rsidP="002E3508">
            <w:pPr>
              <w:rPr>
                <w:sz w:val="20"/>
                <w:szCs w:val="20"/>
              </w:rPr>
            </w:pPr>
            <w:r w:rsidRPr="009D5E94">
              <w:rPr>
                <w:sz w:val="20"/>
                <w:szCs w:val="20"/>
              </w:rPr>
              <w:t>Coram :</w:t>
            </w:r>
          </w:p>
        </w:tc>
        <w:tc>
          <w:tcPr>
            <w:tcW w:w="8118" w:type="dxa"/>
          </w:tcPr>
          <w:p w:rsidR="004A75E4" w:rsidRPr="009D5E94" w:rsidRDefault="004A75E4" w:rsidP="002E3508">
            <w:pPr>
              <w:rPr>
                <w:sz w:val="20"/>
                <w:szCs w:val="20"/>
              </w:rPr>
            </w:pPr>
            <w:r w:rsidRPr="009D5E94">
              <w:rPr>
                <w:rStyle w:val="SCCCoramChar"/>
                <w:sz w:val="20"/>
                <w:szCs w:val="20"/>
              </w:rPr>
              <w:t>McLachlin C.J. and Deschamps and Abella JJ.</w:t>
            </w:r>
          </w:p>
          <w:p w:rsidR="004A75E4" w:rsidRPr="009D5E94" w:rsidRDefault="004A75E4" w:rsidP="002E3508">
            <w:pPr>
              <w:rPr>
                <w:sz w:val="20"/>
                <w:szCs w:val="20"/>
                <w:u w:val="single"/>
              </w:rPr>
            </w:pPr>
          </w:p>
        </w:tc>
      </w:tr>
      <w:tr w:rsidR="004A75E4" w:rsidRPr="00F80A49" w:rsidTr="002E3508">
        <w:trPr>
          <w:cantSplit/>
        </w:trPr>
        <w:tc>
          <w:tcPr>
            <w:tcW w:w="9576" w:type="dxa"/>
            <w:gridSpan w:val="2"/>
          </w:tcPr>
          <w:p w:rsidR="004A75E4" w:rsidRPr="009D5E94" w:rsidRDefault="004A75E4" w:rsidP="002E3508">
            <w:pPr>
              <w:pStyle w:val="SCCShortJudgment"/>
              <w:rPr>
                <w:szCs w:val="20"/>
              </w:rPr>
            </w:pPr>
            <w:r w:rsidRPr="009D5E94">
              <w:rPr>
                <w:szCs w:val="20"/>
              </w:rPr>
              <w:t>The application for leave to appeal from the judgment of the Court of Appeal for Ontario, Number C48387, 2011 ONCA 322, dated April 12, 2011, is dismissed without costs.</w:t>
            </w:r>
          </w:p>
          <w:p w:rsidR="004A75E4" w:rsidRPr="009D5E94" w:rsidRDefault="004A75E4" w:rsidP="002E3508">
            <w:pPr>
              <w:pStyle w:val="SCCShortJudgment"/>
              <w:ind w:firstLine="0"/>
              <w:rPr>
                <w:szCs w:val="20"/>
              </w:rPr>
            </w:pPr>
          </w:p>
          <w:p w:rsidR="004A75E4" w:rsidRPr="009D5E94" w:rsidRDefault="004A75E4" w:rsidP="002E3508">
            <w:pPr>
              <w:pStyle w:val="SCCShortJudgment"/>
              <w:rPr>
                <w:szCs w:val="20"/>
                <w:lang w:val="fr-CA"/>
              </w:rPr>
            </w:pPr>
            <w:r w:rsidRPr="009D5E94">
              <w:rPr>
                <w:szCs w:val="20"/>
                <w:lang w:val="fr-CA"/>
              </w:rPr>
              <w:t>La demande d’autorisation d’appel de l’arrêt de la Cour d’appel de l’Ontario, numéro C48387, 2011 ONCA 322, daté du 12 avril 2011, est rejetée sans dépens.</w:t>
            </w:r>
          </w:p>
        </w:tc>
      </w:tr>
    </w:tbl>
    <w:p w:rsidR="007B50F9" w:rsidRPr="004A75E4" w:rsidRDefault="007B50F9" w:rsidP="007B50F9">
      <w:pPr>
        <w:rPr>
          <w:sz w:val="20"/>
          <w:szCs w:val="20"/>
          <w:lang w:val="fr-CA"/>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A5290" w:rsidRPr="00BE6616" w:rsidTr="002E3508">
        <w:tc>
          <w:tcPr>
            <w:tcW w:w="5000" w:type="pct"/>
            <w:gridSpan w:val="3"/>
          </w:tcPr>
          <w:p w:rsidR="00CA5290" w:rsidRPr="00BE6616" w:rsidRDefault="00CA5290" w:rsidP="002E3508">
            <w:pPr>
              <w:jc w:val="both"/>
              <w:rPr>
                <w:rFonts w:eastAsia="Calibri"/>
                <w:sz w:val="20"/>
              </w:rPr>
            </w:pPr>
            <w:r w:rsidRPr="00BE6616">
              <w:rPr>
                <w:rFonts w:eastAsia="Calibri"/>
                <w:iCs/>
                <w:sz w:val="20"/>
              </w:rPr>
              <w:t xml:space="preserve">Criminal law — Appeals — Procedure — Applicant applying for </w:t>
            </w:r>
            <w:r w:rsidRPr="00BE6616">
              <w:rPr>
                <w:rFonts w:eastAsia="Calibri"/>
                <w:i/>
                <w:iCs/>
                <w:sz w:val="20"/>
              </w:rPr>
              <w:t xml:space="preserve">certiorari </w:t>
            </w:r>
            <w:r w:rsidRPr="00BE6616">
              <w:rPr>
                <w:rFonts w:eastAsia="Calibri"/>
                <w:iCs/>
                <w:sz w:val="20"/>
              </w:rPr>
              <w:t>to quash convictions for violations relating to her dog — Whether lower court decisions made illegally</w:t>
            </w:r>
          </w:p>
          <w:p w:rsidR="00CA5290" w:rsidRPr="00BE6616" w:rsidRDefault="00CA5290" w:rsidP="002E3508">
            <w:pPr>
              <w:jc w:val="both"/>
              <w:rPr>
                <w:rFonts w:eastAsia="Calibri"/>
                <w:sz w:val="20"/>
              </w:rPr>
            </w:pPr>
          </w:p>
        </w:tc>
      </w:tr>
      <w:tr w:rsidR="00CA5290" w:rsidRPr="00BE6616" w:rsidTr="002E3508">
        <w:tc>
          <w:tcPr>
            <w:tcW w:w="5000" w:type="pct"/>
            <w:gridSpan w:val="3"/>
          </w:tcPr>
          <w:p w:rsidR="00CA5290" w:rsidRPr="00BE6616" w:rsidRDefault="00CA5290" w:rsidP="002E3508">
            <w:pPr>
              <w:jc w:val="both"/>
              <w:rPr>
                <w:rFonts w:eastAsia="Calibri"/>
                <w:sz w:val="20"/>
              </w:rPr>
            </w:pPr>
            <w:r w:rsidRPr="00BE6616">
              <w:rPr>
                <w:rFonts w:eastAsia="Calibri"/>
                <w:sz w:val="20"/>
              </w:rPr>
              <w:t xml:space="preserve">In 2006, Ms. Nilsen was convicted under the </w:t>
            </w:r>
            <w:r w:rsidRPr="00BE6616">
              <w:rPr>
                <w:rFonts w:eastAsia="Calibri"/>
                <w:i/>
                <w:sz w:val="20"/>
              </w:rPr>
              <w:t>Provincial Offences Act</w:t>
            </w:r>
            <w:r w:rsidRPr="00BE6616">
              <w:rPr>
                <w:rFonts w:eastAsia="Calibri"/>
                <w:sz w:val="20"/>
              </w:rPr>
              <w:t xml:space="preserve">, R.S.O. 1990, c. P.33 and the </w:t>
            </w:r>
            <w:r w:rsidRPr="00BE6616">
              <w:rPr>
                <w:rFonts w:eastAsia="Calibri"/>
                <w:i/>
                <w:sz w:val="20"/>
              </w:rPr>
              <w:t>Dog Owner’s Liability Act</w:t>
            </w:r>
            <w:r w:rsidRPr="00BE6616">
              <w:rPr>
                <w:rFonts w:eastAsia="Calibri"/>
                <w:sz w:val="20"/>
              </w:rPr>
              <w:t xml:space="preserve">, R.S.O. 1990, c. D.16 for allowing her dog to run at large, for failing to exercise reasonable precautions to prevent her dog from attacking another domestic animal and for being the owner of a dog that bit or attacked another domestic animal.  She applied for </w:t>
            </w:r>
            <w:r w:rsidRPr="00BE6616">
              <w:rPr>
                <w:rFonts w:eastAsia="Calibri"/>
                <w:i/>
                <w:iCs/>
                <w:sz w:val="20"/>
              </w:rPr>
              <w:t xml:space="preserve">certiorari </w:t>
            </w:r>
            <w:r w:rsidRPr="00BE6616">
              <w:rPr>
                <w:rFonts w:eastAsia="Calibri"/>
                <w:iCs/>
                <w:sz w:val="20"/>
              </w:rPr>
              <w:t>to quash her convictions.</w:t>
            </w:r>
          </w:p>
          <w:p w:rsidR="00CA5290" w:rsidRPr="00BE6616" w:rsidRDefault="00CA5290" w:rsidP="002E3508">
            <w:pPr>
              <w:jc w:val="both"/>
              <w:rPr>
                <w:rFonts w:eastAsia="Calibri"/>
                <w:sz w:val="20"/>
              </w:rPr>
            </w:pPr>
          </w:p>
        </w:tc>
      </w:tr>
      <w:tr w:rsidR="00CA5290" w:rsidRPr="00BE6616" w:rsidTr="00685976">
        <w:trPr>
          <w:cantSplit/>
        </w:trPr>
        <w:tc>
          <w:tcPr>
            <w:tcW w:w="2427" w:type="pct"/>
          </w:tcPr>
          <w:p w:rsidR="00CA5290" w:rsidRPr="00BE6616" w:rsidRDefault="00CA5290" w:rsidP="002E3508">
            <w:pPr>
              <w:jc w:val="both"/>
              <w:rPr>
                <w:rFonts w:eastAsia="Calibri"/>
                <w:sz w:val="20"/>
              </w:rPr>
            </w:pPr>
            <w:r w:rsidRPr="00BE6616">
              <w:rPr>
                <w:rFonts w:eastAsia="Calibri"/>
                <w:sz w:val="20"/>
              </w:rPr>
              <w:t>January 21, 2008</w:t>
            </w:r>
          </w:p>
          <w:p w:rsidR="00CA5290" w:rsidRPr="00BE6616" w:rsidRDefault="00CA5290" w:rsidP="002E3508">
            <w:pPr>
              <w:jc w:val="both"/>
              <w:rPr>
                <w:rFonts w:eastAsia="Calibri"/>
                <w:sz w:val="20"/>
              </w:rPr>
            </w:pPr>
            <w:r w:rsidRPr="00BE6616">
              <w:rPr>
                <w:rFonts w:eastAsia="Calibri"/>
                <w:sz w:val="20"/>
              </w:rPr>
              <w:t>Ontario Superior Court of Justice</w:t>
            </w:r>
          </w:p>
          <w:p w:rsidR="00CA5290" w:rsidRPr="00BE6616" w:rsidRDefault="00CA5290" w:rsidP="002E3508">
            <w:pPr>
              <w:jc w:val="both"/>
              <w:rPr>
                <w:rFonts w:eastAsia="Calibri"/>
                <w:sz w:val="20"/>
              </w:rPr>
            </w:pPr>
            <w:r w:rsidRPr="00BE6616">
              <w:rPr>
                <w:rFonts w:eastAsia="Calibri"/>
                <w:sz w:val="20"/>
              </w:rPr>
              <w:t>(Trafford J.)</w:t>
            </w:r>
          </w:p>
          <w:p w:rsidR="00CA5290" w:rsidRPr="00BE6616" w:rsidRDefault="00CA5290" w:rsidP="002E3508">
            <w:pPr>
              <w:jc w:val="both"/>
              <w:rPr>
                <w:rFonts w:eastAsia="Calibri"/>
                <w:sz w:val="20"/>
              </w:rPr>
            </w:pPr>
          </w:p>
        </w:tc>
        <w:tc>
          <w:tcPr>
            <w:tcW w:w="243" w:type="pct"/>
          </w:tcPr>
          <w:p w:rsidR="00CA5290" w:rsidRPr="00BE6616" w:rsidRDefault="00CA5290" w:rsidP="002E3508">
            <w:pPr>
              <w:jc w:val="both"/>
              <w:rPr>
                <w:rFonts w:eastAsia="Calibri"/>
                <w:sz w:val="20"/>
              </w:rPr>
            </w:pPr>
          </w:p>
        </w:tc>
        <w:tc>
          <w:tcPr>
            <w:tcW w:w="2330" w:type="pct"/>
          </w:tcPr>
          <w:p w:rsidR="00CA5290" w:rsidRPr="00BE6616" w:rsidRDefault="00CA5290" w:rsidP="002E3508">
            <w:pPr>
              <w:jc w:val="both"/>
              <w:rPr>
                <w:rFonts w:eastAsia="Calibri"/>
                <w:sz w:val="20"/>
              </w:rPr>
            </w:pPr>
            <w:r w:rsidRPr="00BE6616">
              <w:rPr>
                <w:rFonts w:eastAsia="Calibri"/>
                <w:sz w:val="20"/>
              </w:rPr>
              <w:t xml:space="preserve">Application for </w:t>
            </w:r>
            <w:r w:rsidRPr="00BE6616">
              <w:rPr>
                <w:rFonts w:eastAsia="Calibri"/>
                <w:i/>
                <w:sz w:val="20"/>
              </w:rPr>
              <w:t>certiorari</w:t>
            </w:r>
            <w:r w:rsidRPr="00BE6616">
              <w:rPr>
                <w:rFonts w:eastAsia="Calibri"/>
                <w:sz w:val="20"/>
              </w:rPr>
              <w:t xml:space="preserve"> dismissed</w:t>
            </w:r>
          </w:p>
          <w:p w:rsidR="00CA5290" w:rsidRPr="00BE6616" w:rsidRDefault="00CA5290" w:rsidP="002E3508">
            <w:pPr>
              <w:jc w:val="both"/>
              <w:rPr>
                <w:rFonts w:eastAsia="Calibri"/>
                <w:sz w:val="20"/>
              </w:rPr>
            </w:pPr>
          </w:p>
        </w:tc>
      </w:tr>
      <w:tr w:rsidR="00CA5290" w:rsidRPr="00BE6616" w:rsidTr="00685976">
        <w:trPr>
          <w:cantSplit/>
        </w:trPr>
        <w:tc>
          <w:tcPr>
            <w:tcW w:w="2427" w:type="pct"/>
          </w:tcPr>
          <w:p w:rsidR="00CA5290" w:rsidRPr="00BE6616" w:rsidRDefault="00CA5290" w:rsidP="002E3508">
            <w:pPr>
              <w:jc w:val="both"/>
              <w:rPr>
                <w:rFonts w:eastAsia="Calibri"/>
                <w:sz w:val="20"/>
              </w:rPr>
            </w:pPr>
            <w:r w:rsidRPr="00BE6616">
              <w:rPr>
                <w:rFonts w:eastAsia="Calibri"/>
                <w:sz w:val="20"/>
              </w:rPr>
              <w:t>April 12, 2011</w:t>
            </w:r>
          </w:p>
          <w:p w:rsidR="00CA5290" w:rsidRPr="00BE6616" w:rsidRDefault="00CA5290" w:rsidP="002E3508">
            <w:pPr>
              <w:jc w:val="both"/>
              <w:rPr>
                <w:rFonts w:eastAsia="Calibri"/>
                <w:sz w:val="20"/>
              </w:rPr>
            </w:pPr>
            <w:r w:rsidRPr="00BE6616">
              <w:rPr>
                <w:rFonts w:eastAsia="Calibri"/>
                <w:sz w:val="20"/>
              </w:rPr>
              <w:t>Court of Appeal for Ontario</w:t>
            </w:r>
          </w:p>
          <w:p w:rsidR="00CA5290" w:rsidRPr="00BE6616" w:rsidRDefault="00CA5290" w:rsidP="002E3508">
            <w:pPr>
              <w:jc w:val="both"/>
              <w:rPr>
                <w:rFonts w:eastAsia="Calibri"/>
                <w:sz w:val="20"/>
              </w:rPr>
            </w:pPr>
            <w:r w:rsidRPr="00BE6616">
              <w:rPr>
                <w:rFonts w:eastAsia="Calibri"/>
                <w:sz w:val="20"/>
              </w:rPr>
              <w:t>(Rosenberg, Rouleau and Karakatsanis JJ.A.)</w:t>
            </w:r>
          </w:p>
          <w:p w:rsidR="00CA5290" w:rsidRPr="00BE6616" w:rsidRDefault="00CA5290" w:rsidP="002E3508">
            <w:pPr>
              <w:jc w:val="both"/>
              <w:rPr>
                <w:rFonts w:eastAsia="Calibri"/>
                <w:sz w:val="20"/>
              </w:rPr>
            </w:pPr>
          </w:p>
        </w:tc>
        <w:tc>
          <w:tcPr>
            <w:tcW w:w="243" w:type="pct"/>
          </w:tcPr>
          <w:p w:rsidR="00CA5290" w:rsidRPr="00BE6616" w:rsidRDefault="00CA5290" w:rsidP="002E3508">
            <w:pPr>
              <w:jc w:val="both"/>
              <w:rPr>
                <w:rFonts w:eastAsia="Calibri"/>
                <w:sz w:val="20"/>
              </w:rPr>
            </w:pPr>
          </w:p>
        </w:tc>
        <w:tc>
          <w:tcPr>
            <w:tcW w:w="2330" w:type="pct"/>
          </w:tcPr>
          <w:p w:rsidR="00CA5290" w:rsidRPr="00BE6616" w:rsidRDefault="00CA5290" w:rsidP="002E3508">
            <w:pPr>
              <w:jc w:val="both"/>
              <w:rPr>
                <w:rFonts w:eastAsia="Calibri"/>
                <w:sz w:val="20"/>
              </w:rPr>
            </w:pPr>
            <w:r w:rsidRPr="00BE6616">
              <w:rPr>
                <w:rFonts w:eastAsia="Calibri"/>
                <w:sz w:val="20"/>
              </w:rPr>
              <w:t>Appeal dismissed</w:t>
            </w:r>
          </w:p>
          <w:p w:rsidR="00CA5290" w:rsidRPr="00BE6616" w:rsidRDefault="00CA5290" w:rsidP="002E3508">
            <w:pPr>
              <w:jc w:val="both"/>
              <w:rPr>
                <w:rFonts w:eastAsia="Calibri"/>
                <w:sz w:val="20"/>
              </w:rPr>
            </w:pPr>
          </w:p>
        </w:tc>
      </w:tr>
      <w:tr w:rsidR="00CA5290" w:rsidRPr="00BE6616" w:rsidTr="00685976">
        <w:trPr>
          <w:cantSplit/>
        </w:trPr>
        <w:tc>
          <w:tcPr>
            <w:tcW w:w="2427" w:type="pct"/>
          </w:tcPr>
          <w:p w:rsidR="00CA5290" w:rsidRPr="00BE6616" w:rsidRDefault="00CA5290" w:rsidP="002E3508">
            <w:pPr>
              <w:jc w:val="both"/>
              <w:rPr>
                <w:rFonts w:eastAsia="Calibri"/>
                <w:sz w:val="20"/>
              </w:rPr>
            </w:pPr>
            <w:r w:rsidRPr="00BE6616">
              <w:rPr>
                <w:rFonts w:eastAsia="Calibri"/>
                <w:sz w:val="20"/>
              </w:rPr>
              <w:t>June 9, 2011</w:t>
            </w:r>
          </w:p>
          <w:p w:rsidR="00CA5290" w:rsidRPr="00BE6616" w:rsidRDefault="00CA5290" w:rsidP="002E3508">
            <w:pPr>
              <w:jc w:val="both"/>
              <w:rPr>
                <w:rFonts w:eastAsia="Calibri"/>
                <w:sz w:val="20"/>
              </w:rPr>
            </w:pPr>
            <w:r w:rsidRPr="00BE6616">
              <w:rPr>
                <w:rFonts w:eastAsia="Calibri"/>
                <w:sz w:val="20"/>
              </w:rPr>
              <w:t>Supreme Court of Canada</w:t>
            </w:r>
          </w:p>
        </w:tc>
        <w:tc>
          <w:tcPr>
            <w:tcW w:w="243" w:type="pct"/>
          </w:tcPr>
          <w:p w:rsidR="00CA5290" w:rsidRPr="00BE6616" w:rsidRDefault="00CA5290" w:rsidP="002E3508">
            <w:pPr>
              <w:jc w:val="both"/>
              <w:rPr>
                <w:rFonts w:eastAsia="Calibri"/>
                <w:sz w:val="20"/>
              </w:rPr>
            </w:pPr>
          </w:p>
        </w:tc>
        <w:tc>
          <w:tcPr>
            <w:tcW w:w="2330" w:type="pct"/>
          </w:tcPr>
          <w:p w:rsidR="00CA5290" w:rsidRPr="00BE6616" w:rsidRDefault="00CA5290" w:rsidP="002E3508">
            <w:pPr>
              <w:jc w:val="both"/>
              <w:rPr>
                <w:rFonts w:eastAsia="Calibri"/>
                <w:sz w:val="20"/>
              </w:rPr>
            </w:pPr>
            <w:r w:rsidRPr="00BE6616">
              <w:rPr>
                <w:rFonts w:eastAsia="Calibri"/>
                <w:sz w:val="20"/>
              </w:rPr>
              <w:t>Application for leave to appeal filed</w:t>
            </w:r>
          </w:p>
          <w:p w:rsidR="00CA5290" w:rsidRPr="00BE6616" w:rsidRDefault="00CA5290" w:rsidP="002E350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099"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CA5290" w:rsidRPr="00F80A49" w:rsidTr="002E3508">
        <w:tc>
          <w:tcPr>
            <w:tcW w:w="5000" w:type="pct"/>
            <w:gridSpan w:val="3"/>
          </w:tcPr>
          <w:p w:rsidR="00CA5290" w:rsidRPr="00BE6616" w:rsidRDefault="00CA5290" w:rsidP="002E3508">
            <w:pPr>
              <w:jc w:val="both"/>
              <w:rPr>
                <w:rFonts w:eastAsia="Calibri"/>
                <w:sz w:val="20"/>
                <w:lang w:val="fr-CA"/>
              </w:rPr>
            </w:pPr>
            <w:r w:rsidRPr="00BE6616">
              <w:rPr>
                <w:rFonts w:eastAsia="Calibri"/>
                <w:iCs/>
                <w:sz w:val="20"/>
                <w:lang w:val="fr-CA"/>
              </w:rPr>
              <w:t xml:space="preserve">Droit criminel — Appels — Procédure — La demanderesse a demandé un </w:t>
            </w:r>
            <w:r w:rsidRPr="00BE6616">
              <w:rPr>
                <w:rFonts w:eastAsia="Calibri"/>
                <w:i/>
                <w:iCs/>
                <w:sz w:val="20"/>
                <w:lang w:val="fr-CA"/>
              </w:rPr>
              <w:t>certiorari</w:t>
            </w:r>
            <w:r w:rsidRPr="00BE6616">
              <w:rPr>
                <w:rFonts w:eastAsia="Calibri"/>
                <w:iCs/>
                <w:sz w:val="20"/>
                <w:lang w:val="fr-CA"/>
              </w:rPr>
              <w:t xml:space="preserve"> pour annuler des déclarations de culpabilité relativement à des infractions ayant trait à son chien — Les décisions de la juridiction inférieure ont</w:t>
            </w:r>
            <w:r w:rsidRPr="00BE6616">
              <w:rPr>
                <w:rFonts w:eastAsia="Calibri"/>
                <w:iCs/>
                <w:sz w:val="20"/>
                <w:lang w:val="fr-CA"/>
              </w:rPr>
              <w:noBreakHyphen/>
              <w:t>elles été rendues illégalement?</w:t>
            </w:r>
          </w:p>
          <w:p w:rsidR="00CA5290" w:rsidRPr="00BE6616" w:rsidRDefault="00CA5290" w:rsidP="002E3508">
            <w:pPr>
              <w:jc w:val="both"/>
              <w:rPr>
                <w:rFonts w:eastAsia="Calibri"/>
                <w:sz w:val="20"/>
                <w:lang w:val="fr-CA"/>
              </w:rPr>
            </w:pPr>
          </w:p>
        </w:tc>
      </w:tr>
      <w:tr w:rsidR="00CA5290" w:rsidRPr="00F80A49" w:rsidTr="002E3508">
        <w:tc>
          <w:tcPr>
            <w:tcW w:w="5000" w:type="pct"/>
            <w:gridSpan w:val="3"/>
          </w:tcPr>
          <w:p w:rsidR="00CA5290" w:rsidRPr="00BE6616" w:rsidRDefault="00CA5290" w:rsidP="002E3508">
            <w:pPr>
              <w:jc w:val="both"/>
              <w:rPr>
                <w:rFonts w:eastAsia="Calibri"/>
                <w:sz w:val="20"/>
                <w:lang w:val="fr-CA"/>
              </w:rPr>
            </w:pPr>
            <w:r w:rsidRPr="00BE6616">
              <w:rPr>
                <w:rFonts w:eastAsia="Calibri"/>
                <w:sz w:val="20"/>
                <w:lang w:val="fr-CA"/>
              </w:rPr>
              <w:t>En 2006, Mme Nilsen a été déclarée coupable sous le régime de la</w:t>
            </w:r>
            <w:r w:rsidRPr="00BE6616">
              <w:rPr>
                <w:rFonts w:eastAsia="Calibri"/>
                <w:i/>
                <w:sz w:val="20"/>
                <w:lang w:val="fr-CA"/>
              </w:rPr>
              <w:t xml:space="preserve"> Loi sur les infractions provinciales</w:t>
            </w:r>
            <w:r w:rsidRPr="00BE6616">
              <w:rPr>
                <w:rFonts w:eastAsia="Calibri"/>
                <w:sz w:val="20"/>
                <w:lang w:val="fr-CA"/>
              </w:rPr>
              <w:t>, L.R.O. 1990, ch. P.33 et de la</w:t>
            </w:r>
            <w:r w:rsidRPr="00BE6616">
              <w:rPr>
                <w:rFonts w:eastAsia="Calibri"/>
                <w:i/>
                <w:sz w:val="20"/>
                <w:lang w:val="fr-CA"/>
              </w:rPr>
              <w:t xml:space="preserve"> Loi sur la responsabilité des propriétaires de chiens</w:t>
            </w:r>
            <w:r w:rsidRPr="00BE6616">
              <w:rPr>
                <w:rFonts w:eastAsia="Calibri"/>
                <w:sz w:val="20"/>
                <w:lang w:val="fr-CA"/>
              </w:rPr>
              <w:t xml:space="preserve">, L.R.O. 1990, ch. D.16 pour avoir permis à son chien d'errer, avoir omis de prendre des précautions raisonnables pour empêcher son chien d'attaquer un autre animal domestique et avoir été la propriétaire d'un chien qui a mordu ou attaqué un autre animal domestique.  Elle a demandé un </w:t>
            </w:r>
            <w:r w:rsidRPr="00BE6616">
              <w:rPr>
                <w:rFonts w:eastAsia="Calibri"/>
                <w:i/>
                <w:iCs/>
                <w:sz w:val="20"/>
                <w:lang w:val="fr-CA"/>
              </w:rPr>
              <w:t>certiorari</w:t>
            </w:r>
            <w:r w:rsidRPr="00BE6616">
              <w:rPr>
                <w:rFonts w:eastAsia="Calibri"/>
                <w:iCs/>
                <w:sz w:val="20"/>
                <w:lang w:val="fr-CA"/>
              </w:rPr>
              <w:t xml:space="preserve"> pour annuler ces déclarations de culpabilité.</w:t>
            </w:r>
          </w:p>
          <w:p w:rsidR="00CA5290" w:rsidRPr="00BE6616" w:rsidRDefault="00CA5290" w:rsidP="002E3508">
            <w:pPr>
              <w:jc w:val="both"/>
              <w:rPr>
                <w:rFonts w:eastAsia="Calibri"/>
                <w:sz w:val="20"/>
                <w:lang w:val="fr-CA"/>
              </w:rPr>
            </w:pPr>
          </w:p>
        </w:tc>
      </w:tr>
      <w:tr w:rsidR="00CA5290" w:rsidRPr="00BE6616" w:rsidTr="002E3508">
        <w:tc>
          <w:tcPr>
            <w:tcW w:w="2427" w:type="pct"/>
          </w:tcPr>
          <w:p w:rsidR="00CA5290" w:rsidRPr="00BE6616" w:rsidRDefault="00CA5290" w:rsidP="002E3508">
            <w:pPr>
              <w:jc w:val="both"/>
              <w:rPr>
                <w:rFonts w:eastAsia="Calibri"/>
                <w:sz w:val="20"/>
                <w:lang w:val="fr-CA"/>
              </w:rPr>
            </w:pPr>
            <w:r w:rsidRPr="00BE6616">
              <w:rPr>
                <w:rFonts w:eastAsia="Calibri"/>
                <w:sz w:val="20"/>
                <w:lang w:val="fr-CA"/>
              </w:rPr>
              <w:t>21 janvier 2008</w:t>
            </w:r>
          </w:p>
          <w:p w:rsidR="00CA5290" w:rsidRPr="00BE6616" w:rsidRDefault="00CA5290" w:rsidP="002E3508">
            <w:pPr>
              <w:jc w:val="both"/>
              <w:rPr>
                <w:rFonts w:eastAsia="Calibri"/>
                <w:sz w:val="20"/>
                <w:lang w:val="fr-CA"/>
              </w:rPr>
            </w:pPr>
            <w:r w:rsidRPr="00BE6616">
              <w:rPr>
                <w:rFonts w:eastAsia="Calibri"/>
                <w:sz w:val="20"/>
                <w:lang w:val="fr-CA"/>
              </w:rPr>
              <w:t>Cour supérieure de justice de l'Ontario</w:t>
            </w:r>
          </w:p>
          <w:p w:rsidR="00CA5290" w:rsidRPr="00BE6616" w:rsidRDefault="00CA5290" w:rsidP="002E3508">
            <w:pPr>
              <w:jc w:val="both"/>
              <w:rPr>
                <w:rFonts w:eastAsia="Calibri"/>
                <w:sz w:val="20"/>
                <w:lang w:val="fr-CA"/>
              </w:rPr>
            </w:pPr>
            <w:r w:rsidRPr="00BE6616">
              <w:rPr>
                <w:rFonts w:eastAsia="Calibri"/>
                <w:sz w:val="20"/>
                <w:lang w:val="fr-CA"/>
              </w:rPr>
              <w:t>(Juge Trafford)</w:t>
            </w:r>
          </w:p>
          <w:p w:rsidR="00CA5290" w:rsidRPr="00BE6616" w:rsidRDefault="00CA5290" w:rsidP="002E3508">
            <w:pPr>
              <w:jc w:val="both"/>
              <w:rPr>
                <w:rFonts w:eastAsia="Calibri"/>
                <w:sz w:val="20"/>
                <w:lang w:val="fr-CA"/>
              </w:rPr>
            </w:pPr>
          </w:p>
        </w:tc>
        <w:tc>
          <w:tcPr>
            <w:tcW w:w="243" w:type="pct"/>
          </w:tcPr>
          <w:p w:rsidR="00CA5290" w:rsidRPr="00BE6616" w:rsidRDefault="00CA5290" w:rsidP="002E3508">
            <w:pPr>
              <w:jc w:val="both"/>
              <w:rPr>
                <w:rFonts w:eastAsia="Calibri"/>
                <w:sz w:val="20"/>
                <w:lang w:val="fr-CA"/>
              </w:rPr>
            </w:pPr>
          </w:p>
        </w:tc>
        <w:tc>
          <w:tcPr>
            <w:tcW w:w="2330" w:type="pct"/>
          </w:tcPr>
          <w:p w:rsidR="00CA5290" w:rsidRPr="00BE6616" w:rsidRDefault="00CA5290" w:rsidP="002E3508">
            <w:pPr>
              <w:jc w:val="both"/>
              <w:rPr>
                <w:rFonts w:eastAsia="Calibri"/>
                <w:sz w:val="20"/>
                <w:lang w:val="fr-CA"/>
              </w:rPr>
            </w:pPr>
            <w:r w:rsidRPr="00BE6616">
              <w:rPr>
                <w:rFonts w:eastAsia="Calibri"/>
                <w:sz w:val="20"/>
                <w:lang w:val="fr-CA"/>
              </w:rPr>
              <w:t xml:space="preserve">Demande de </w:t>
            </w:r>
            <w:r w:rsidRPr="00BE6616">
              <w:rPr>
                <w:rFonts w:eastAsia="Calibri"/>
                <w:i/>
                <w:sz w:val="20"/>
                <w:lang w:val="fr-CA"/>
              </w:rPr>
              <w:t>certiorari</w:t>
            </w:r>
            <w:r w:rsidRPr="00BE6616">
              <w:rPr>
                <w:rFonts w:eastAsia="Calibri"/>
                <w:sz w:val="20"/>
                <w:lang w:val="fr-CA"/>
              </w:rPr>
              <w:t xml:space="preserve"> rejetée</w:t>
            </w:r>
          </w:p>
          <w:p w:rsidR="00CA5290" w:rsidRPr="00BE6616" w:rsidRDefault="00CA5290" w:rsidP="002E3508">
            <w:pPr>
              <w:jc w:val="both"/>
              <w:rPr>
                <w:rFonts w:eastAsia="Calibri"/>
                <w:sz w:val="20"/>
                <w:lang w:val="fr-CA"/>
              </w:rPr>
            </w:pPr>
          </w:p>
        </w:tc>
      </w:tr>
      <w:tr w:rsidR="00CA5290" w:rsidRPr="00BE6616" w:rsidTr="00297F14">
        <w:trPr>
          <w:cantSplit/>
        </w:trPr>
        <w:tc>
          <w:tcPr>
            <w:tcW w:w="2427" w:type="pct"/>
          </w:tcPr>
          <w:p w:rsidR="00CA5290" w:rsidRPr="00BE6616" w:rsidRDefault="00CA5290" w:rsidP="002E3508">
            <w:pPr>
              <w:jc w:val="both"/>
              <w:rPr>
                <w:rFonts w:eastAsia="Calibri"/>
                <w:sz w:val="20"/>
                <w:lang w:val="fr-CA"/>
              </w:rPr>
            </w:pPr>
            <w:r w:rsidRPr="00BE6616">
              <w:rPr>
                <w:rFonts w:eastAsia="Calibri"/>
                <w:sz w:val="20"/>
                <w:lang w:val="fr-CA"/>
              </w:rPr>
              <w:lastRenderedPageBreak/>
              <w:t>12 avril 2011</w:t>
            </w:r>
          </w:p>
          <w:p w:rsidR="00CA5290" w:rsidRPr="00BE6616" w:rsidRDefault="00CA5290" w:rsidP="002E3508">
            <w:pPr>
              <w:jc w:val="both"/>
              <w:rPr>
                <w:rFonts w:eastAsia="Calibri"/>
                <w:sz w:val="20"/>
                <w:lang w:val="fr-CA"/>
              </w:rPr>
            </w:pPr>
            <w:r w:rsidRPr="00BE6616">
              <w:rPr>
                <w:rFonts w:eastAsia="Calibri"/>
                <w:sz w:val="20"/>
                <w:lang w:val="fr-CA"/>
              </w:rPr>
              <w:t xml:space="preserve">Cour d'appel de l'Ontario </w:t>
            </w:r>
          </w:p>
          <w:p w:rsidR="00CA5290" w:rsidRPr="00BE6616" w:rsidRDefault="00CA5290" w:rsidP="002E3508">
            <w:pPr>
              <w:jc w:val="both"/>
              <w:rPr>
                <w:rFonts w:eastAsia="Calibri"/>
                <w:sz w:val="20"/>
                <w:lang w:val="fr-CA"/>
              </w:rPr>
            </w:pPr>
            <w:r w:rsidRPr="00BE6616">
              <w:rPr>
                <w:rFonts w:eastAsia="Calibri"/>
                <w:sz w:val="20"/>
                <w:lang w:val="fr-CA"/>
              </w:rPr>
              <w:t>(Juges Rosenberg, Rouleau et Karakatsanis)</w:t>
            </w:r>
          </w:p>
          <w:p w:rsidR="00CA5290" w:rsidRPr="00BE6616" w:rsidRDefault="00CA5290" w:rsidP="002E3508">
            <w:pPr>
              <w:jc w:val="both"/>
              <w:rPr>
                <w:rFonts w:eastAsia="Calibri"/>
                <w:sz w:val="20"/>
                <w:lang w:val="fr-CA"/>
              </w:rPr>
            </w:pPr>
          </w:p>
        </w:tc>
        <w:tc>
          <w:tcPr>
            <w:tcW w:w="243" w:type="pct"/>
          </w:tcPr>
          <w:p w:rsidR="00CA5290" w:rsidRPr="00BE6616" w:rsidRDefault="00CA5290" w:rsidP="002E3508">
            <w:pPr>
              <w:jc w:val="both"/>
              <w:rPr>
                <w:rFonts w:eastAsia="Calibri"/>
                <w:sz w:val="20"/>
                <w:lang w:val="fr-CA"/>
              </w:rPr>
            </w:pPr>
          </w:p>
        </w:tc>
        <w:tc>
          <w:tcPr>
            <w:tcW w:w="2330" w:type="pct"/>
          </w:tcPr>
          <w:p w:rsidR="00CA5290" w:rsidRPr="00BE6616" w:rsidRDefault="00CA5290" w:rsidP="002E3508">
            <w:pPr>
              <w:jc w:val="both"/>
              <w:rPr>
                <w:rFonts w:eastAsia="Calibri"/>
                <w:sz w:val="20"/>
                <w:lang w:val="fr-CA"/>
              </w:rPr>
            </w:pPr>
            <w:r w:rsidRPr="00BE6616">
              <w:rPr>
                <w:rFonts w:eastAsia="Calibri"/>
                <w:sz w:val="20"/>
                <w:lang w:val="fr-CA"/>
              </w:rPr>
              <w:t>Appel rejeté</w:t>
            </w:r>
          </w:p>
          <w:p w:rsidR="00CA5290" w:rsidRPr="00BE6616" w:rsidRDefault="00CA5290" w:rsidP="002E3508">
            <w:pPr>
              <w:jc w:val="both"/>
              <w:rPr>
                <w:rFonts w:eastAsia="Calibri"/>
                <w:sz w:val="20"/>
                <w:lang w:val="fr-CA"/>
              </w:rPr>
            </w:pPr>
          </w:p>
        </w:tc>
      </w:tr>
      <w:tr w:rsidR="00CA5290" w:rsidRPr="00BE6616" w:rsidTr="00297F14">
        <w:trPr>
          <w:cantSplit/>
        </w:trPr>
        <w:tc>
          <w:tcPr>
            <w:tcW w:w="2427" w:type="pct"/>
          </w:tcPr>
          <w:p w:rsidR="00CA5290" w:rsidRPr="00BE6616" w:rsidRDefault="00CA5290" w:rsidP="002E3508">
            <w:pPr>
              <w:jc w:val="both"/>
              <w:rPr>
                <w:rFonts w:eastAsia="Calibri"/>
                <w:sz w:val="20"/>
                <w:lang w:val="fr-CA"/>
              </w:rPr>
            </w:pPr>
            <w:r w:rsidRPr="00BE6616">
              <w:rPr>
                <w:rFonts w:eastAsia="Calibri"/>
                <w:sz w:val="20"/>
                <w:lang w:val="fr-CA"/>
              </w:rPr>
              <w:t>9 juin 2011</w:t>
            </w:r>
          </w:p>
          <w:p w:rsidR="00CA5290" w:rsidRPr="00BE6616" w:rsidRDefault="00CA5290" w:rsidP="002E3508">
            <w:pPr>
              <w:jc w:val="both"/>
              <w:rPr>
                <w:rFonts w:eastAsia="Calibri"/>
                <w:sz w:val="20"/>
                <w:lang w:val="fr-CA"/>
              </w:rPr>
            </w:pPr>
            <w:r w:rsidRPr="00BE6616">
              <w:rPr>
                <w:rFonts w:eastAsia="Calibri"/>
                <w:sz w:val="20"/>
                <w:lang w:val="fr-CA"/>
              </w:rPr>
              <w:t>Cour suprême du Canada</w:t>
            </w:r>
          </w:p>
        </w:tc>
        <w:tc>
          <w:tcPr>
            <w:tcW w:w="243" w:type="pct"/>
          </w:tcPr>
          <w:p w:rsidR="00CA5290" w:rsidRPr="00BE6616" w:rsidRDefault="00CA5290" w:rsidP="002E3508">
            <w:pPr>
              <w:jc w:val="both"/>
              <w:rPr>
                <w:rFonts w:eastAsia="Calibri"/>
                <w:sz w:val="20"/>
                <w:lang w:val="fr-CA"/>
              </w:rPr>
            </w:pPr>
          </w:p>
        </w:tc>
        <w:tc>
          <w:tcPr>
            <w:tcW w:w="2330" w:type="pct"/>
          </w:tcPr>
          <w:p w:rsidR="00CA5290" w:rsidRPr="00BE6616" w:rsidRDefault="00CA5290" w:rsidP="002E3508">
            <w:pPr>
              <w:jc w:val="both"/>
              <w:rPr>
                <w:rFonts w:eastAsia="Calibri"/>
                <w:sz w:val="20"/>
                <w:lang w:val="fr-CA"/>
              </w:rPr>
            </w:pPr>
            <w:r w:rsidRPr="00BE6616">
              <w:rPr>
                <w:rFonts w:eastAsia="Calibri"/>
                <w:sz w:val="20"/>
                <w:lang w:val="fr-CA"/>
              </w:rPr>
              <w:t>Demande d'autorisation d'appel, déposée</w:t>
            </w:r>
          </w:p>
          <w:p w:rsidR="00CA5290" w:rsidRPr="00BE6616" w:rsidRDefault="00CA5290" w:rsidP="002E350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100"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85976" w:rsidRPr="00F80A49" w:rsidTr="003D0848">
        <w:trPr>
          <w:cantSplit/>
        </w:trPr>
        <w:tc>
          <w:tcPr>
            <w:tcW w:w="1458" w:type="dxa"/>
          </w:tcPr>
          <w:p w:rsidR="00685976" w:rsidRPr="007C3AB2" w:rsidRDefault="00685976" w:rsidP="003D0848">
            <w:pPr>
              <w:rPr>
                <w:sz w:val="20"/>
                <w:szCs w:val="20"/>
              </w:rPr>
            </w:pPr>
            <w:r w:rsidRPr="007C3AB2">
              <w:rPr>
                <w:rStyle w:val="SCCFileNumberChar"/>
                <w:sz w:val="20"/>
                <w:szCs w:val="20"/>
              </w:rPr>
              <w:t>34328</w:t>
            </w:r>
          </w:p>
          <w:p w:rsidR="00685976" w:rsidRPr="007C3AB2" w:rsidRDefault="00685976" w:rsidP="003D0848">
            <w:pPr>
              <w:rPr>
                <w:b/>
                <w:sz w:val="20"/>
                <w:szCs w:val="20"/>
                <w:lang w:val="fr-CA"/>
              </w:rPr>
            </w:pPr>
          </w:p>
        </w:tc>
        <w:tc>
          <w:tcPr>
            <w:tcW w:w="8118" w:type="dxa"/>
          </w:tcPr>
          <w:p w:rsidR="00685976" w:rsidRPr="007C3AB2" w:rsidRDefault="00685976" w:rsidP="003D0848">
            <w:pPr>
              <w:rPr>
                <w:sz w:val="20"/>
                <w:szCs w:val="20"/>
                <w:lang w:val="fr-CA"/>
              </w:rPr>
            </w:pPr>
            <w:r w:rsidRPr="007C3AB2">
              <w:rPr>
                <w:rStyle w:val="SCCLsocChar"/>
                <w:sz w:val="20"/>
                <w:szCs w:val="20"/>
              </w:rPr>
              <w:t>Sylvain Paquette c. Nutrition Fitness Cardio Inc.</w:t>
            </w:r>
            <w:r w:rsidRPr="007C3AB2">
              <w:rPr>
                <w:sz w:val="20"/>
                <w:szCs w:val="20"/>
                <w:lang w:val="fr-CA"/>
              </w:rPr>
              <w:t xml:space="preserve"> (Qc) (Civile) (Autorisation)</w:t>
            </w:r>
          </w:p>
          <w:p w:rsidR="00685976" w:rsidRPr="007C3AB2" w:rsidRDefault="00685976" w:rsidP="003D0848">
            <w:pPr>
              <w:rPr>
                <w:sz w:val="20"/>
                <w:szCs w:val="20"/>
                <w:lang w:val="fr-CA"/>
              </w:rPr>
            </w:pPr>
          </w:p>
        </w:tc>
      </w:tr>
      <w:tr w:rsidR="00685976" w:rsidRPr="00F80A49" w:rsidTr="003D0848">
        <w:trPr>
          <w:cantSplit/>
        </w:trPr>
        <w:tc>
          <w:tcPr>
            <w:tcW w:w="1458" w:type="dxa"/>
          </w:tcPr>
          <w:p w:rsidR="00685976" w:rsidRPr="007C3AB2" w:rsidRDefault="00685976" w:rsidP="003D0848">
            <w:pPr>
              <w:rPr>
                <w:sz w:val="20"/>
                <w:szCs w:val="20"/>
              </w:rPr>
            </w:pPr>
            <w:r w:rsidRPr="007C3AB2">
              <w:rPr>
                <w:sz w:val="20"/>
                <w:szCs w:val="20"/>
              </w:rPr>
              <w:t>Coram :</w:t>
            </w:r>
          </w:p>
        </w:tc>
        <w:tc>
          <w:tcPr>
            <w:tcW w:w="8118" w:type="dxa"/>
          </w:tcPr>
          <w:p w:rsidR="00685976" w:rsidRPr="007C3AB2" w:rsidRDefault="00685976" w:rsidP="003D0848">
            <w:pPr>
              <w:rPr>
                <w:sz w:val="20"/>
                <w:szCs w:val="20"/>
                <w:lang w:val="fr-CA"/>
              </w:rPr>
            </w:pPr>
            <w:r w:rsidRPr="00685976">
              <w:rPr>
                <w:rStyle w:val="SCCCoramChar"/>
                <w:sz w:val="20"/>
                <w:szCs w:val="20"/>
                <w:lang w:val="fr-CA"/>
              </w:rPr>
              <w:t>Les juges LeBel, Fish et Cromwell</w:t>
            </w:r>
          </w:p>
          <w:p w:rsidR="00685976" w:rsidRPr="007C3AB2" w:rsidRDefault="00685976" w:rsidP="003D0848">
            <w:pPr>
              <w:rPr>
                <w:sz w:val="20"/>
                <w:szCs w:val="20"/>
                <w:u w:val="single"/>
                <w:lang w:val="fr-CA"/>
              </w:rPr>
            </w:pPr>
          </w:p>
        </w:tc>
      </w:tr>
      <w:tr w:rsidR="00685976" w:rsidRPr="007C3AB2" w:rsidTr="003D0848">
        <w:trPr>
          <w:cantSplit/>
        </w:trPr>
        <w:tc>
          <w:tcPr>
            <w:tcW w:w="9576" w:type="dxa"/>
            <w:gridSpan w:val="2"/>
          </w:tcPr>
          <w:p w:rsidR="00685976" w:rsidRPr="007C3AB2" w:rsidRDefault="00685976" w:rsidP="003D0848">
            <w:pPr>
              <w:pStyle w:val="SCCShortJudgment"/>
              <w:rPr>
                <w:szCs w:val="20"/>
                <w:lang w:val="fr-CA"/>
              </w:rPr>
            </w:pPr>
            <w:r w:rsidRPr="007C3AB2">
              <w:rPr>
                <w:szCs w:val="20"/>
                <w:lang w:val="fr-CA"/>
              </w:rPr>
              <w:t>La demande d’autorisation d’appel de l’arrêt de la Cour d’appel du Québec (Montréal), numéro 500-09-021575-113, 2011 QCCA 723, daté du 14 avril 2011, est rejetée avec dépens.</w:t>
            </w:r>
          </w:p>
          <w:p w:rsidR="00685976" w:rsidRPr="007C3AB2" w:rsidRDefault="00685976" w:rsidP="003D0848">
            <w:pPr>
              <w:pStyle w:val="SCCShortJudgment"/>
              <w:ind w:firstLine="0"/>
              <w:rPr>
                <w:szCs w:val="20"/>
                <w:lang w:val="fr-CA"/>
              </w:rPr>
            </w:pPr>
          </w:p>
          <w:p w:rsidR="00685976" w:rsidRPr="007C3AB2" w:rsidRDefault="00685976" w:rsidP="003D0848">
            <w:pPr>
              <w:pStyle w:val="SCCShortJudgment"/>
              <w:rPr>
                <w:szCs w:val="20"/>
              </w:rPr>
            </w:pPr>
            <w:r w:rsidRPr="007C3AB2">
              <w:rPr>
                <w:szCs w:val="20"/>
              </w:rPr>
              <w:t>The application for leave to appeal from the judgment of the Court of Appeal of Quebec (Montréal), Number 500-09-021575-113, 2011 QCCA 723, dated April 14, 2011, is dismissed with costs.</w:t>
            </w:r>
          </w:p>
        </w:tc>
      </w:tr>
    </w:tbl>
    <w:p w:rsidR="007B50F9" w:rsidRDefault="007B50F9" w:rsidP="007B50F9">
      <w:pPr>
        <w:rPr>
          <w:sz w:val="20"/>
          <w:szCs w:val="20"/>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A5290" w:rsidRPr="00BE6616" w:rsidTr="002E3508">
        <w:tc>
          <w:tcPr>
            <w:tcW w:w="5000" w:type="pct"/>
            <w:gridSpan w:val="3"/>
          </w:tcPr>
          <w:p w:rsidR="00CA5290" w:rsidRPr="00BE6616" w:rsidRDefault="00CA5290" w:rsidP="002E3508">
            <w:pPr>
              <w:jc w:val="both"/>
              <w:rPr>
                <w:rFonts w:eastAsia="Calibri"/>
                <w:sz w:val="20"/>
              </w:rPr>
            </w:pPr>
            <w:r w:rsidRPr="00BE6616">
              <w:rPr>
                <w:rFonts w:eastAsia="Calibri"/>
                <w:sz w:val="20"/>
              </w:rPr>
              <w:t>Civil procedure — Transaction — Homologation — Appeal — Leave to appeal — Whether Court of Appeal judge should have granted leave to appeal.</w:t>
            </w:r>
          </w:p>
        </w:tc>
      </w:tr>
      <w:tr w:rsidR="00CA5290" w:rsidRPr="00BE6616" w:rsidTr="002E3508">
        <w:tc>
          <w:tcPr>
            <w:tcW w:w="5000" w:type="pct"/>
            <w:gridSpan w:val="3"/>
          </w:tcPr>
          <w:p w:rsidR="00CA5290" w:rsidRPr="00BE6616" w:rsidRDefault="00CA5290" w:rsidP="002E3508">
            <w:pPr>
              <w:jc w:val="both"/>
              <w:rPr>
                <w:rFonts w:eastAsia="Calibri"/>
                <w:sz w:val="20"/>
              </w:rPr>
            </w:pPr>
          </w:p>
        </w:tc>
      </w:tr>
      <w:tr w:rsidR="00CA5290" w:rsidRPr="00BE6616" w:rsidTr="002E3508">
        <w:tc>
          <w:tcPr>
            <w:tcW w:w="5000" w:type="pct"/>
            <w:gridSpan w:val="3"/>
          </w:tcPr>
          <w:p w:rsidR="00CA5290" w:rsidRPr="00BE6616" w:rsidRDefault="00CA5290" w:rsidP="002E3508">
            <w:pPr>
              <w:jc w:val="both"/>
              <w:rPr>
                <w:rFonts w:eastAsia="Calibri"/>
                <w:sz w:val="20"/>
              </w:rPr>
            </w:pPr>
            <w:r w:rsidRPr="00BE6616">
              <w:rPr>
                <w:rFonts w:eastAsia="Calibri"/>
                <w:sz w:val="20"/>
              </w:rPr>
              <w:t>In 2003, the applicant, Mr. Paquette, injured himself while performing work on the premises of the respondent, Nutrition Fitness Cardio.  He brought an action in liability against the respondent seeking $280,530.78 in damages.  The hearing on the issue of liability was held on March 12, 2009 before Fournier J. of the Superior Court.  At the end of the day, the judge met with the parties’ attorneys and stated that, in his view, Mr. Paquette had not proved that Nutrition Fitness Cardio was at fault.  As soon as the hearing began the next day, the attorneys stated that the case was being settled out of court and that an application for an out</w:t>
            </w:r>
            <w:r w:rsidRPr="00BE6616">
              <w:rPr>
                <w:rFonts w:eastAsia="Calibri"/>
                <w:sz w:val="20"/>
              </w:rPr>
              <w:noBreakHyphen/>
              <w:t>of</w:t>
            </w:r>
            <w:r w:rsidRPr="00BE6616">
              <w:rPr>
                <w:rFonts w:eastAsia="Calibri"/>
                <w:sz w:val="20"/>
              </w:rPr>
              <w:noBreakHyphen/>
              <w:t>court settlement would be filed.  This was recorded in the minutes.</w:t>
            </w:r>
          </w:p>
          <w:p w:rsidR="00CA5290" w:rsidRPr="00BE6616" w:rsidRDefault="00CA5290" w:rsidP="002E3508">
            <w:pPr>
              <w:jc w:val="both"/>
              <w:rPr>
                <w:rFonts w:eastAsia="Calibri"/>
                <w:sz w:val="20"/>
              </w:rPr>
            </w:pPr>
          </w:p>
          <w:p w:rsidR="00CA5290" w:rsidRPr="00BE6616" w:rsidRDefault="00CA5290" w:rsidP="002E3508">
            <w:pPr>
              <w:jc w:val="both"/>
              <w:rPr>
                <w:rFonts w:eastAsia="Calibri"/>
                <w:sz w:val="20"/>
              </w:rPr>
            </w:pPr>
            <w:r w:rsidRPr="00BE6616">
              <w:rPr>
                <w:rFonts w:eastAsia="Calibri"/>
                <w:sz w:val="20"/>
              </w:rPr>
              <w:t>Nutrition Fitness Cardio sent Mr. Paquette a cheque for $5,000, but the cheque was returned to it, so it brought a motion in the Superior Court to have the transaction homologated.  In response, Mr. Paquette filed a motion to disavow his attorney’s acts, arguing that he had never authorized his attorney to accept the offer made by Nutrition Fitness Cardio.</w:t>
            </w:r>
          </w:p>
          <w:p w:rsidR="00CA5290" w:rsidRPr="00BE6616" w:rsidRDefault="00CA5290" w:rsidP="002E3508">
            <w:pPr>
              <w:jc w:val="both"/>
              <w:rPr>
                <w:rFonts w:eastAsia="Calibri"/>
                <w:sz w:val="20"/>
              </w:rPr>
            </w:pPr>
          </w:p>
          <w:p w:rsidR="00CA5290" w:rsidRPr="00BE6616" w:rsidRDefault="00CA5290" w:rsidP="002E3508">
            <w:pPr>
              <w:jc w:val="both"/>
              <w:rPr>
                <w:rFonts w:eastAsia="Calibri"/>
                <w:sz w:val="20"/>
              </w:rPr>
            </w:pPr>
            <w:r w:rsidRPr="00BE6616">
              <w:rPr>
                <w:rFonts w:eastAsia="Calibri"/>
                <w:sz w:val="20"/>
              </w:rPr>
              <w:t>The Superior Court dismissed the disavowal motion and homologated the transaction.  Chamberland J.A. of the Court of Appeal refused leave to appeal, noting that the issue of whether Mr. Paquette had authorized the transaction in this case was a purely factual issue and that Mr. Paquette’s motion for leave to appeal showed no palpable and overriding error that warranted the intervention of the Court of Appeal.</w:t>
            </w:r>
          </w:p>
          <w:p w:rsidR="00CA5290" w:rsidRPr="00BE6616" w:rsidRDefault="00CA5290" w:rsidP="002E3508">
            <w:pPr>
              <w:jc w:val="both"/>
              <w:rPr>
                <w:rFonts w:eastAsia="Calibri"/>
                <w:sz w:val="20"/>
              </w:rPr>
            </w:pPr>
          </w:p>
        </w:tc>
      </w:tr>
      <w:tr w:rsidR="00CA5290" w:rsidRPr="00BE6616" w:rsidTr="002E3508">
        <w:tc>
          <w:tcPr>
            <w:tcW w:w="2427" w:type="pct"/>
          </w:tcPr>
          <w:p w:rsidR="00CA5290" w:rsidRPr="00BE6616" w:rsidRDefault="00CA5290" w:rsidP="002E3508">
            <w:pPr>
              <w:jc w:val="both"/>
              <w:rPr>
                <w:rFonts w:eastAsia="Calibri"/>
                <w:sz w:val="20"/>
              </w:rPr>
            </w:pPr>
            <w:r w:rsidRPr="00BE6616">
              <w:rPr>
                <w:rFonts w:eastAsia="Calibri"/>
                <w:sz w:val="20"/>
              </w:rPr>
              <w:t>March 8, 2011</w:t>
            </w:r>
          </w:p>
          <w:p w:rsidR="00CA5290" w:rsidRPr="00BE6616" w:rsidRDefault="00CA5290" w:rsidP="002E3508">
            <w:pPr>
              <w:jc w:val="both"/>
              <w:rPr>
                <w:rFonts w:eastAsia="Calibri"/>
                <w:sz w:val="20"/>
              </w:rPr>
            </w:pPr>
            <w:r w:rsidRPr="00BE6616">
              <w:rPr>
                <w:rFonts w:eastAsia="Calibri"/>
                <w:sz w:val="20"/>
              </w:rPr>
              <w:t>Quebec Superior Court</w:t>
            </w:r>
          </w:p>
          <w:p w:rsidR="00CA5290" w:rsidRPr="00BE6616" w:rsidRDefault="00CA5290" w:rsidP="002E3508">
            <w:pPr>
              <w:jc w:val="both"/>
              <w:rPr>
                <w:rFonts w:eastAsia="Calibri"/>
                <w:sz w:val="20"/>
              </w:rPr>
            </w:pPr>
            <w:r w:rsidRPr="00BE6616">
              <w:rPr>
                <w:rFonts w:eastAsia="Calibri"/>
                <w:sz w:val="20"/>
              </w:rPr>
              <w:t>(Déziel J.)</w:t>
            </w:r>
          </w:p>
          <w:p w:rsidR="00CA5290" w:rsidRPr="00BE6616" w:rsidRDefault="00CA5290" w:rsidP="002E3508">
            <w:pPr>
              <w:jc w:val="both"/>
              <w:rPr>
                <w:rFonts w:eastAsia="Calibri"/>
                <w:sz w:val="20"/>
              </w:rPr>
            </w:pPr>
            <w:r w:rsidRPr="00BE6616">
              <w:rPr>
                <w:rFonts w:eastAsia="Calibri"/>
                <w:sz w:val="20"/>
              </w:rPr>
              <w:t>2011 QCCS 992</w:t>
            </w:r>
          </w:p>
          <w:p w:rsidR="00CA5290" w:rsidRPr="00BE6616" w:rsidRDefault="00CA5290" w:rsidP="002E3508">
            <w:pPr>
              <w:jc w:val="both"/>
              <w:rPr>
                <w:rFonts w:eastAsia="Calibri"/>
                <w:sz w:val="20"/>
              </w:rPr>
            </w:pPr>
          </w:p>
        </w:tc>
        <w:tc>
          <w:tcPr>
            <w:tcW w:w="243" w:type="pct"/>
          </w:tcPr>
          <w:p w:rsidR="00CA5290" w:rsidRPr="00BE6616" w:rsidRDefault="00CA5290" w:rsidP="002E3508">
            <w:pPr>
              <w:jc w:val="both"/>
              <w:rPr>
                <w:rFonts w:eastAsia="Calibri"/>
                <w:sz w:val="20"/>
              </w:rPr>
            </w:pPr>
          </w:p>
        </w:tc>
        <w:tc>
          <w:tcPr>
            <w:tcW w:w="2330" w:type="pct"/>
          </w:tcPr>
          <w:p w:rsidR="00CA5290" w:rsidRPr="00BE6616" w:rsidRDefault="00CA5290" w:rsidP="002E3508">
            <w:pPr>
              <w:jc w:val="both"/>
              <w:rPr>
                <w:rFonts w:eastAsia="Calibri"/>
                <w:sz w:val="20"/>
              </w:rPr>
            </w:pPr>
            <w:r w:rsidRPr="00BE6616">
              <w:rPr>
                <w:rFonts w:eastAsia="Calibri"/>
                <w:sz w:val="20"/>
              </w:rPr>
              <w:t xml:space="preserve">Motion in homologation of transaction allowed; disavowal motion dismissed </w:t>
            </w:r>
          </w:p>
        </w:tc>
      </w:tr>
      <w:tr w:rsidR="00CA5290" w:rsidRPr="00BE6616" w:rsidTr="00297F14">
        <w:trPr>
          <w:cantSplit/>
        </w:trPr>
        <w:tc>
          <w:tcPr>
            <w:tcW w:w="2427" w:type="pct"/>
          </w:tcPr>
          <w:p w:rsidR="00CA5290" w:rsidRPr="00BE6616" w:rsidRDefault="00CA5290" w:rsidP="002E3508">
            <w:pPr>
              <w:jc w:val="both"/>
              <w:rPr>
                <w:rFonts w:eastAsia="Calibri"/>
                <w:sz w:val="20"/>
              </w:rPr>
            </w:pPr>
            <w:r w:rsidRPr="00BE6616">
              <w:rPr>
                <w:rFonts w:eastAsia="Calibri"/>
                <w:sz w:val="20"/>
              </w:rPr>
              <w:lastRenderedPageBreak/>
              <w:t>April 14, 2011</w:t>
            </w:r>
          </w:p>
          <w:p w:rsidR="00CA5290" w:rsidRPr="00BE6616" w:rsidRDefault="00CA5290" w:rsidP="002E3508">
            <w:pPr>
              <w:jc w:val="both"/>
              <w:rPr>
                <w:rFonts w:eastAsia="Calibri"/>
                <w:sz w:val="20"/>
              </w:rPr>
            </w:pPr>
            <w:r w:rsidRPr="00BE6616">
              <w:rPr>
                <w:rFonts w:eastAsia="Calibri"/>
                <w:sz w:val="20"/>
              </w:rPr>
              <w:t>Quebec Court of Appeal (Montréal)</w:t>
            </w:r>
          </w:p>
          <w:p w:rsidR="00CA5290" w:rsidRPr="00BE6616" w:rsidRDefault="00CA5290" w:rsidP="002E3508">
            <w:pPr>
              <w:jc w:val="both"/>
              <w:rPr>
                <w:rFonts w:eastAsia="Calibri"/>
                <w:sz w:val="20"/>
              </w:rPr>
            </w:pPr>
            <w:r w:rsidRPr="00BE6616">
              <w:rPr>
                <w:rFonts w:eastAsia="Calibri"/>
                <w:sz w:val="20"/>
              </w:rPr>
              <w:t>(Chamberland J.A.)</w:t>
            </w:r>
          </w:p>
          <w:p w:rsidR="00CA5290" w:rsidRPr="00BE6616" w:rsidRDefault="00CA5290" w:rsidP="002E3508">
            <w:pPr>
              <w:jc w:val="both"/>
              <w:rPr>
                <w:rFonts w:eastAsia="Calibri"/>
                <w:sz w:val="20"/>
              </w:rPr>
            </w:pPr>
            <w:r w:rsidRPr="00BE6616">
              <w:rPr>
                <w:rFonts w:eastAsia="Calibri"/>
                <w:sz w:val="20"/>
              </w:rPr>
              <w:t>2011 QCCA 723; 500-09-021575-113</w:t>
            </w:r>
          </w:p>
          <w:p w:rsidR="00CA5290" w:rsidRPr="00BE6616" w:rsidRDefault="00CA5290" w:rsidP="002E3508">
            <w:pPr>
              <w:jc w:val="both"/>
              <w:rPr>
                <w:rFonts w:eastAsia="Calibri"/>
                <w:sz w:val="20"/>
              </w:rPr>
            </w:pPr>
          </w:p>
        </w:tc>
        <w:tc>
          <w:tcPr>
            <w:tcW w:w="243" w:type="pct"/>
          </w:tcPr>
          <w:p w:rsidR="00CA5290" w:rsidRPr="00BE6616" w:rsidRDefault="00CA5290" w:rsidP="002E3508">
            <w:pPr>
              <w:jc w:val="both"/>
              <w:rPr>
                <w:rFonts w:eastAsia="Calibri"/>
                <w:sz w:val="20"/>
              </w:rPr>
            </w:pPr>
          </w:p>
        </w:tc>
        <w:tc>
          <w:tcPr>
            <w:tcW w:w="2330" w:type="pct"/>
          </w:tcPr>
          <w:p w:rsidR="00CA5290" w:rsidRPr="00BE6616" w:rsidRDefault="00CA5290" w:rsidP="002E3508">
            <w:pPr>
              <w:jc w:val="both"/>
              <w:rPr>
                <w:rFonts w:eastAsia="Calibri"/>
                <w:sz w:val="20"/>
              </w:rPr>
            </w:pPr>
            <w:r w:rsidRPr="00BE6616">
              <w:rPr>
                <w:rFonts w:eastAsia="Calibri"/>
                <w:sz w:val="20"/>
              </w:rPr>
              <w:t>Motion for leave to appeal dismissed</w:t>
            </w:r>
          </w:p>
          <w:p w:rsidR="00CA5290" w:rsidRPr="00BE6616" w:rsidRDefault="00CA5290" w:rsidP="002E3508">
            <w:pPr>
              <w:jc w:val="both"/>
              <w:rPr>
                <w:rFonts w:eastAsia="Calibri"/>
                <w:sz w:val="20"/>
              </w:rPr>
            </w:pPr>
          </w:p>
        </w:tc>
      </w:tr>
      <w:tr w:rsidR="00CA5290" w:rsidRPr="00BE6616" w:rsidTr="00297F14">
        <w:trPr>
          <w:cantSplit/>
        </w:trPr>
        <w:tc>
          <w:tcPr>
            <w:tcW w:w="2427" w:type="pct"/>
          </w:tcPr>
          <w:p w:rsidR="00CA5290" w:rsidRPr="00BE6616" w:rsidRDefault="00CA5290" w:rsidP="002E3508">
            <w:pPr>
              <w:jc w:val="both"/>
              <w:rPr>
                <w:rFonts w:eastAsia="Calibri"/>
                <w:sz w:val="20"/>
              </w:rPr>
            </w:pPr>
            <w:r w:rsidRPr="00BE6616">
              <w:rPr>
                <w:rFonts w:eastAsia="Calibri"/>
                <w:sz w:val="20"/>
              </w:rPr>
              <w:t>May 25, 2011</w:t>
            </w:r>
          </w:p>
          <w:p w:rsidR="00CA5290" w:rsidRPr="00BE6616" w:rsidRDefault="00CA5290" w:rsidP="002E3508">
            <w:pPr>
              <w:jc w:val="both"/>
              <w:rPr>
                <w:rFonts w:eastAsia="Calibri"/>
                <w:sz w:val="20"/>
              </w:rPr>
            </w:pPr>
            <w:r w:rsidRPr="00BE6616">
              <w:rPr>
                <w:rFonts w:eastAsia="Calibri"/>
                <w:sz w:val="20"/>
              </w:rPr>
              <w:t>Supreme Court of Canada</w:t>
            </w:r>
          </w:p>
        </w:tc>
        <w:tc>
          <w:tcPr>
            <w:tcW w:w="243" w:type="pct"/>
          </w:tcPr>
          <w:p w:rsidR="00CA5290" w:rsidRPr="00BE6616" w:rsidRDefault="00CA5290" w:rsidP="002E3508">
            <w:pPr>
              <w:jc w:val="both"/>
              <w:rPr>
                <w:rFonts w:eastAsia="Calibri"/>
                <w:sz w:val="20"/>
              </w:rPr>
            </w:pPr>
          </w:p>
        </w:tc>
        <w:tc>
          <w:tcPr>
            <w:tcW w:w="2330" w:type="pct"/>
          </w:tcPr>
          <w:p w:rsidR="00CA5290" w:rsidRPr="00BE6616" w:rsidRDefault="00CA5290" w:rsidP="002E3508">
            <w:pPr>
              <w:jc w:val="both"/>
              <w:rPr>
                <w:rFonts w:eastAsia="Calibri"/>
                <w:sz w:val="20"/>
              </w:rPr>
            </w:pPr>
            <w:r w:rsidRPr="00BE6616">
              <w:rPr>
                <w:rFonts w:eastAsia="Calibri"/>
                <w:sz w:val="20"/>
              </w:rPr>
              <w:t>Application for leave to appeal filed</w:t>
            </w:r>
          </w:p>
          <w:p w:rsidR="00CA5290" w:rsidRPr="00BE6616" w:rsidRDefault="00CA5290" w:rsidP="002E350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101"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CA5290" w:rsidRPr="00F80A49" w:rsidTr="002E3508">
        <w:tc>
          <w:tcPr>
            <w:tcW w:w="5000" w:type="pct"/>
            <w:gridSpan w:val="3"/>
          </w:tcPr>
          <w:p w:rsidR="00CA5290" w:rsidRPr="00BE6616" w:rsidRDefault="00CA5290" w:rsidP="002E3508">
            <w:pPr>
              <w:jc w:val="both"/>
              <w:rPr>
                <w:rFonts w:eastAsia="Calibri"/>
                <w:sz w:val="20"/>
                <w:lang w:val="fr-CA"/>
              </w:rPr>
            </w:pPr>
            <w:r w:rsidRPr="00BE6616">
              <w:rPr>
                <w:rFonts w:eastAsia="Calibri"/>
                <w:sz w:val="20"/>
                <w:lang w:val="fr-CA"/>
              </w:rPr>
              <w:t>Procédure civile — Transaction — Homologation — Appel — Permission d’appel — Le juge de la Cour d’appel aurait</w:t>
            </w:r>
            <w:r w:rsidRPr="00BE6616">
              <w:rPr>
                <w:rFonts w:eastAsia="Calibri"/>
                <w:sz w:val="20"/>
                <w:lang w:val="fr-CA"/>
              </w:rPr>
              <w:noBreakHyphen/>
              <w:t>il dû accorder l’autorisation d’appel?</w:t>
            </w:r>
          </w:p>
        </w:tc>
      </w:tr>
      <w:tr w:rsidR="00CA5290" w:rsidRPr="00F80A49" w:rsidTr="002E3508">
        <w:tc>
          <w:tcPr>
            <w:tcW w:w="5000" w:type="pct"/>
            <w:gridSpan w:val="3"/>
          </w:tcPr>
          <w:p w:rsidR="00CA5290" w:rsidRPr="00BE6616" w:rsidRDefault="00CA5290" w:rsidP="002E3508">
            <w:pPr>
              <w:jc w:val="both"/>
              <w:rPr>
                <w:rFonts w:eastAsia="Calibri"/>
                <w:sz w:val="20"/>
                <w:lang w:val="fr-CA"/>
              </w:rPr>
            </w:pPr>
          </w:p>
        </w:tc>
      </w:tr>
      <w:tr w:rsidR="00CA5290" w:rsidRPr="00F80A49" w:rsidTr="002E3508">
        <w:tc>
          <w:tcPr>
            <w:tcW w:w="5000" w:type="pct"/>
            <w:gridSpan w:val="3"/>
          </w:tcPr>
          <w:p w:rsidR="00CA5290" w:rsidRPr="00BE6616" w:rsidRDefault="00CA5290" w:rsidP="002E3508">
            <w:pPr>
              <w:jc w:val="both"/>
              <w:rPr>
                <w:rFonts w:eastAsia="Calibri"/>
                <w:sz w:val="20"/>
                <w:lang w:val="fr-CA"/>
              </w:rPr>
            </w:pPr>
            <w:r w:rsidRPr="00BE6616">
              <w:rPr>
                <w:rFonts w:eastAsia="Calibri"/>
                <w:sz w:val="20"/>
                <w:lang w:val="fr-CA"/>
              </w:rPr>
              <w:t>En 2003, le demandeur M. Paquette se blesse alors qu’il exécute des travaux chez l’intimée Nutrition Fitness Cardio.  Il la poursuit alors en responsabilité et lui réclame une somme de 280 530,78 $ à titre de dommages</w:t>
            </w:r>
            <w:r w:rsidRPr="00BE6616">
              <w:rPr>
                <w:rFonts w:eastAsia="Calibri"/>
                <w:sz w:val="20"/>
                <w:lang w:val="fr-CA"/>
              </w:rPr>
              <w:noBreakHyphen/>
              <w:t>intérêts. L’audition sur la question de la responsabilité a lieu le 12 mars 2009 devant le juge Fournier de la Cour supérieure.  En fin de journée, le juge rencontre les avocats des parties et souligne que selon lui, M. Paquette n’a pas prouvé la faute de Nutrition Fitness Cardio.  Le lendemain, au tout début de l’audience, les procureurs déclarent que le dossier est réglé hors cour et qu’une demande de règlement hors cour sera déposée au dossier.  Cela est consigné au procès</w:t>
            </w:r>
            <w:r w:rsidRPr="00BE6616">
              <w:rPr>
                <w:rFonts w:eastAsia="Calibri"/>
                <w:sz w:val="20"/>
                <w:lang w:val="fr-CA"/>
              </w:rPr>
              <w:noBreakHyphen/>
              <w:t>verbal.</w:t>
            </w:r>
          </w:p>
          <w:p w:rsidR="00CA5290" w:rsidRPr="00BE6616" w:rsidRDefault="00CA5290" w:rsidP="002E3508">
            <w:pPr>
              <w:jc w:val="both"/>
              <w:rPr>
                <w:rFonts w:eastAsia="Calibri"/>
                <w:sz w:val="20"/>
                <w:lang w:val="fr-CA"/>
              </w:rPr>
            </w:pPr>
          </w:p>
          <w:p w:rsidR="00CA5290" w:rsidRPr="00BE6616" w:rsidRDefault="00CA5290" w:rsidP="002E3508">
            <w:pPr>
              <w:jc w:val="both"/>
              <w:rPr>
                <w:rFonts w:eastAsia="Calibri"/>
                <w:sz w:val="20"/>
                <w:lang w:val="fr-CA"/>
              </w:rPr>
            </w:pPr>
            <w:r w:rsidRPr="00BE6616">
              <w:rPr>
                <w:rFonts w:eastAsia="Calibri"/>
                <w:sz w:val="20"/>
                <w:lang w:val="fr-CA"/>
              </w:rPr>
              <w:t>Nutrition Fitness Cardio fait parvenir à M. Paquette un chèque au montant de 5 000 $, mais le chèque lui est retourné.  Elle s’adresse alors à la Cour supérieure par requête pour faire homologuer la transaction.  En réponse, M. Paquette dépose une requête en désaveu des actes posés par son procureur.  Il soutient qu’il n’a jamais autorisé son procureur à accepter l’offre de Nutrition Fitness Cardio.</w:t>
            </w:r>
          </w:p>
          <w:p w:rsidR="00CA5290" w:rsidRPr="00BE6616" w:rsidRDefault="00CA5290" w:rsidP="002E3508">
            <w:pPr>
              <w:jc w:val="both"/>
              <w:rPr>
                <w:rFonts w:eastAsia="Calibri"/>
                <w:sz w:val="20"/>
                <w:lang w:val="fr-CA"/>
              </w:rPr>
            </w:pPr>
          </w:p>
          <w:p w:rsidR="00CA5290" w:rsidRPr="00BE6616" w:rsidRDefault="00CA5290" w:rsidP="002E3508">
            <w:pPr>
              <w:jc w:val="both"/>
              <w:rPr>
                <w:rFonts w:eastAsia="Calibri"/>
                <w:sz w:val="20"/>
                <w:lang w:val="fr-CA"/>
              </w:rPr>
            </w:pPr>
            <w:r w:rsidRPr="00BE6616">
              <w:rPr>
                <w:rFonts w:eastAsia="Calibri"/>
                <w:sz w:val="20"/>
                <w:lang w:val="fr-CA"/>
              </w:rPr>
              <w:t>La Cour supérieure rejette la requête en désaveu et homologue la transaction.  Le juge Chamberland de la Cour d’appel refuse la persmission d’appel.  Il note que la question de savoir si M. Paquette avait autorisé la transaction dans la présente affaire est une pure question de fait et que la requête pour permission d’appeler de M. Paquette ne fait pas voir d’erreur manifeste et déterminante justifiant une intervention de la Cour d’appel.</w:t>
            </w:r>
          </w:p>
          <w:p w:rsidR="00CA5290" w:rsidRPr="00BE6616" w:rsidRDefault="00CA5290" w:rsidP="002E3508">
            <w:pPr>
              <w:jc w:val="both"/>
              <w:rPr>
                <w:rFonts w:eastAsia="Calibri"/>
                <w:sz w:val="20"/>
                <w:lang w:val="fr-CA"/>
              </w:rPr>
            </w:pPr>
          </w:p>
        </w:tc>
      </w:tr>
      <w:tr w:rsidR="00CA5290" w:rsidRPr="00F80A49" w:rsidTr="002E3508">
        <w:tc>
          <w:tcPr>
            <w:tcW w:w="2427" w:type="pct"/>
          </w:tcPr>
          <w:p w:rsidR="00CA5290" w:rsidRPr="00BE6616" w:rsidRDefault="00CA5290" w:rsidP="002E3508">
            <w:pPr>
              <w:jc w:val="both"/>
              <w:rPr>
                <w:rFonts w:eastAsia="Calibri"/>
                <w:sz w:val="20"/>
                <w:lang w:val="fr-CA"/>
              </w:rPr>
            </w:pPr>
            <w:r w:rsidRPr="00BE6616">
              <w:rPr>
                <w:rFonts w:eastAsia="Calibri"/>
                <w:sz w:val="20"/>
                <w:lang w:val="fr-CA"/>
              </w:rPr>
              <w:t>Le 8 mars 2011</w:t>
            </w:r>
          </w:p>
          <w:p w:rsidR="00CA5290" w:rsidRPr="00BE6616" w:rsidRDefault="00CA5290" w:rsidP="002E3508">
            <w:pPr>
              <w:jc w:val="both"/>
              <w:rPr>
                <w:rFonts w:eastAsia="Calibri"/>
                <w:sz w:val="20"/>
                <w:lang w:val="fr-CA"/>
              </w:rPr>
            </w:pPr>
            <w:r w:rsidRPr="00BE6616">
              <w:rPr>
                <w:rFonts w:eastAsia="Calibri"/>
                <w:sz w:val="20"/>
                <w:lang w:val="fr-CA"/>
              </w:rPr>
              <w:t>Cour supérieure du Québec</w:t>
            </w:r>
          </w:p>
          <w:p w:rsidR="00CA5290" w:rsidRPr="00BE6616" w:rsidRDefault="00CA5290" w:rsidP="002E3508">
            <w:pPr>
              <w:jc w:val="both"/>
              <w:rPr>
                <w:rFonts w:eastAsia="Calibri"/>
                <w:sz w:val="20"/>
                <w:lang w:val="fr-CA"/>
              </w:rPr>
            </w:pPr>
            <w:r w:rsidRPr="00BE6616">
              <w:rPr>
                <w:rFonts w:eastAsia="Calibri"/>
                <w:sz w:val="20"/>
                <w:lang w:val="fr-CA"/>
              </w:rPr>
              <w:t>(Le juge Déziel)</w:t>
            </w:r>
          </w:p>
          <w:p w:rsidR="00CA5290" w:rsidRPr="00BE6616" w:rsidRDefault="00CA5290" w:rsidP="002E3508">
            <w:pPr>
              <w:jc w:val="both"/>
              <w:rPr>
                <w:rFonts w:eastAsia="Calibri"/>
                <w:sz w:val="20"/>
                <w:lang w:val="fr-CA"/>
              </w:rPr>
            </w:pPr>
            <w:r w:rsidRPr="00BE6616">
              <w:rPr>
                <w:rFonts w:eastAsia="Calibri"/>
                <w:sz w:val="20"/>
                <w:lang w:val="fr-CA"/>
              </w:rPr>
              <w:t>2011 QCCS 992</w:t>
            </w:r>
          </w:p>
          <w:p w:rsidR="00CA5290" w:rsidRPr="00BE6616" w:rsidRDefault="00CA5290" w:rsidP="002E3508">
            <w:pPr>
              <w:jc w:val="both"/>
              <w:rPr>
                <w:rFonts w:eastAsia="Calibri"/>
                <w:sz w:val="20"/>
              </w:rPr>
            </w:pPr>
          </w:p>
        </w:tc>
        <w:tc>
          <w:tcPr>
            <w:tcW w:w="243" w:type="pct"/>
          </w:tcPr>
          <w:p w:rsidR="00CA5290" w:rsidRPr="00BE6616" w:rsidRDefault="00CA5290" w:rsidP="002E3508">
            <w:pPr>
              <w:jc w:val="both"/>
              <w:rPr>
                <w:rFonts w:eastAsia="Calibri"/>
                <w:sz w:val="20"/>
              </w:rPr>
            </w:pPr>
          </w:p>
        </w:tc>
        <w:tc>
          <w:tcPr>
            <w:tcW w:w="2330" w:type="pct"/>
          </w:tcPr>
          <w:p w:rsidR="00CA5290" w:rsidRPr="00BE6616" w:rsidRDefault="00CA5290" w:rsidP="002E3508">
            <w:pPr>
              <w:jc w:val="both"/>
              <w:rPr>
                <w:rFonts w:eastAsia="Calibri"/>
                <w:sz w:val="20"/>
                <w:lang w:val="fr-CA"/>
              </w:rPr>
            </w:pPr>
            <w:r w:rsidRPr="00BE6616">
              <w:rPr>
                <w:rFonts w:eastAsia="Calibri"/>
                <w:sz w:val="20"/>
                <w:lang w:val="fr-CA"/>
              </w:rPr>
              <w:t xml:space="preserve">Requête en homologation d’une transaction accueillie; requête en désaveur rejetée </w:t>
            </w:r>
          </w:p>
        </w:tc>
      </w:tr>
      <w:tr w:rsidR="00CA5290" w:rsidRPr="00BE6616" w:rsidTr="002E3508">
        <w:tc>
          <w:tcPr>
            <w:tcW w:w="2427" w:type="pct"/>
          </w:tcPr>
          <w:p w:rsidR="00CA5290" w:rsidRPr="00BE6616" w:rsidRDefault="00CA5290" w:rsidP="002E3508">
            <w:pPr>
              <w:jc w:val="both"/>
              <w:rPr>
                <w:rFonts w:eastAsia="Calibri"/>
                <w:sz w:val="20"/>
                <w:lang w:val="fr-CA"/>
              </w:rPr>
            </w:pPr>
            <w:r w:rsidRPr="00BE6616">
              <w:rPr>
                <w:rFonts w:eastAsia="Calibri"/>
                <w:sz w:val="20"/>
                <w:lang w:val="fr-CA"/>
              </w:rPr>
              <w:t>Le 14 avril 2011</w:t>
            </w:r>
          </w:p>
          <w:p w:rsidR="00CA5290" w:rsidRPr="00BE6616" w:rsidRDefault="00CA5290" w:rsidP="002E3508">
            <w:pPr>
              <w:jc w:val="both"/>
              <w:rPr>
                <w:rFonts w:eastAsia="Calibri"/>
                <w:sz w:val="20"/>
                <w:lang w:val="fr-CA"/>
              </w:rPr>
            </w:pPr>
            <w:r w:rsidRPr="00BE6616">
              <w:rPr>
                <w:rFonts w:eastAsia="Calibri"/>
                <w:sz w:val="20"/>
                <w:lang w:val="fr-CA"/>
              </w:rPr>
              <w:t>Cour d’appel du Québec (Montréal)</w:t>
            </w:r>
          </w:p>
          <w:p w:rsidR="00CA5290" w:rsidRPr="00BE6616" w:rsidRDefault="00CA5290" w:rsidP="002E3508">
            <w:pPr>
              <w:jc w:val="both"/>
              <w:rPr>
                <w:rFonts w:eastAsia="Calibri"/>
                <w:sz w:val="20"/>
                <w:lang w:val="fr-CA"/>
              </w:rPr>
            </w:pPr>
            <w:r w:rsidRPr="00BE6616">
              <w:rPr>
                <w:rFonts w:eastAsia="Calibri"/>
                <w:sz w:val="20"/>
                <w:lang w:val="fr-CA"/>
              </w:rPr>
              <w:t>(Le juge Chamberland)</w:t>
            </w:r>
          </w:p>
          <w:p w:rsidR="00CA5290" w:rsidRPr="00BE6616" w:rsidRDefault="00CA5290" w:rsidP="002E3508">
            <w:pPr>
              <w:jc w:val="both"/>
              <w:rPr>
                <w:rFonts w:eastAsia="Calibri"/>
                <w:sz w:val="20"/>
                <w:lang w:val="fr-CA"/>
              </w:rPr>
            </w:pPr>
            <w:r w:rsidRPr="00BE6616">
              <w:rPr>
                <w:rFonts w:eastAsia="Calibri"/>
                <w:sz w:val="20"/>
                <w:lang w:val="fr-CA"/>
              </w:rPr>
              <w:t>2011 QCCA 723; 500</w:t>
            </w:r>
            <w:r w:rsidRPr="00BE6616">
              <w:rPr>
                <w:rFonts w:eastAsia="Calibri"/>
                <w:sz w:val="20"/>
                <w:lang w:val="fr-CA"/>
              </w:rPr>
              <w:noBreakHyphen/>
              <w:t>09</w:t>
            </w:r>
            <w:r w:rsidRPr="00BE6616">
              <w:rPr>
                <w:rFonts w:eastAsia="Calibri"/>
                <w:sz w:val="20"/>
                <w:lang w:val="fr-CA"/>
              </w:rPr>
              <w:noBreakHyphen/>
              <w:t>021575</w:t>
            </w:r>
            <w:r w:rsidRPr="00BE6616">
              <w:rPr>
                <w:rFonts w:eastAsia="Calibri"/>
                <w:sz w:val="20"/>
                <w:lang w:val="fr-CA"/>
              </w:rPr>
              <w:noBreakHyphen/>
              <w:t>113</w:t>
            </w:r>
          </w:p>
          <w:p w:rsidR="00CA5290" w:rsidRPr="00BE6616" w:rsidRDefault="00CA5290" w:rsidP="002E3508">
            <w:pPr>
              <w:jc w:val="both"/>
              <w:rPr>
                <w:rFonts w:eastAsia="Calibri"/>
                <w:sz w:val="20"/>
              </w:rPr>
            </w:pPr>
          </w:p>
        </w:tc>
        <w:tc>
          <w:tcPr>
            <w:tcW w:w="243" w:type="pct"/>
          </w:tcPr>
          <w:p w:rsidR="00CA5290" w:rsidRPr="00BE6616" w:rsidRDefault="00CA5290" w:rsidP="002E3508">
            <w:pPr>
              <w:jc w:val="both"/>
              <w:rPr>
                <w:rFonts w:eastAsia="Calibri"/>
                <w:sz w:val="20"/>
              </w:rPr>
            </w:pPr>
          </w:p>
        </w:tc>
        <w:tc>
          <w:tcPr>
            <w:tcW w:w="2330" w:type="pct"/>
          </w:tcPr>
          <w:p w:rsidR="00CA5290" w:rsidRPr="00BE6616" w:rsidRDefault="00CA5290" w:rsidP="002E3508">
            <w:pPr>
              <w:jc w:val="both"/>
              <w:rPr>
                <w:rFonts w:eastAsia="Calibri"/>
                <w:sz w:val="20"/>
                <w:lang w:val="fr-CA"/>
              </w:rPr>
            </w:pPr>
            <w:r w:rsidRPr="00BE6616">
              <w:rPr>
                <w:rFonts w:eastAsia="Calibri"/>
                <w:sz w:val="20"/>
                <w:lang w:val="fr-CA"/>
              </w:rPr>
              <w:t>Requête pour permission d’appeler rejetée</w:t>
            </w:r>
          </w:p>
          <w:p w:rsidR="00CA5290" w:rsidRPr="00BE6616" w:rsidRDefault="00CA5290" w:rsidP="002E3508">
            <w:pPr>
              <w:jc w:val="both"/>
              <w:rPr>
                <w:rFonts w:eastAsia="Calibri"/>
                <w:sz w:val="20"/>
                <w:lang w:val="fr-CA"/>
              </w:rPr>
            </w:pPr>
          </w:p>
        </w:tc>
      </w:tr>
      <w:tr w:rsidR="00CA5290" w:rsidRPr="00BE6616" w:rsidTr="002E3508">
        <w:tc>
          <w:tcPr>
            <w:tcW w:w="2427" w:type="pct"/>
          </w:tcPr>
          <w:p w:rsidR="00CA5290" w:rsidRPr="00BE6616" w:rsidRDefault="00CA5290" w:rsidP="002E3508">
            <w:pPr>
              <w:jc w:val="both"/>
              <w:rPr>
                <w:rFonts w:eastAsia="Calibri"/>
                <w:sz w:val="20"/>
                <w:lang w:val="fr-CA"/>
              </w:rPr>
            </w:pPr>
            <w:r w:rsidRPr="00BE6616">
              <w:rPr>
                <w:rFonts w:eastAsia="Calibri"/>
                <w:sz w:val="20"/>
                <w:lang w:val="fr-CA"/>
              </w:rPr>
              <w:t>Le 25 mai 2011</w:t>
            </w:r>
          </w:p>
          <w:p w:rsidR="00CA5290" w:rsidRPr="00BE6616" w:rsidRDefault="00CA5290" w:rsidP="002E3508">
            <w:pPr>
              <w:jc w:val="both"/>
              <w:rPr>
                <w:rFonts w:eastAsia="Calibri"/>
                <w:sz w:val="20"/>
                <w:lang w:val="fr-CA"/>
              </w:rPr>
            </w:pPr>
            <w:r w:rsidRPr="00BE6616">
              <w:rPr>
                <w:rFonts w:eastAsia="Calibri"/>
                <w:sz w:val="20"/>
                <w:lang w:val="fr-CA"/>
              </w:rPr>
              <w:t>Cour suprême du Canada</w:t>
            </w:r>
          </w:p>
        </w:tc>
        <w:tc>
          <w:tcPr>
            <w:tcW w:w="243" w:type="pct"/>
          </w:tcPr>
          <w:p w:rsidR="00CA5290" w:rsidRPr="00BE6616" w:rsidRDefault="00CA5290" w:rsidP="002E3508">
            <w:pPr>
              <w:jc w:val="both"/>
              <w:rPr>
                <w:rFonts w:eastAsia="Calibri"/>
                <w:sz w:val="20"/>
                <w:lang w:val="fr-CA"/>
              </w:rPr>
            </w:pPr>
          </w:p>
        </w:tc>
        <w:tc>
          <w:tcPr>
            <w:tcW w:w="2330" w:type="pct"/>
          </w:tcPr>
          <w:p w:rsidR="00CA5290" w:rsidRPr="00BE6616" w:rsidRDefault="00CA5290" w:rsidP="002E3508">
            <w:pPr>
              <w:jc w:val="both"/>
              <w:rPr>
                <w:rFonts w:eastAsia="Calibri"/>
                <w:sz w:val="20"/>
                <w:lang w:val="fr-CA"/>
              </w:rPr>
            </w:pPr>
            <w:r w:rsidRPr="00BE6616">
              <w:rPr>
                <w:rFonts w:eastAsia="Calibri"/>
                <w:sz w:val="20"/>
                <w:lang w:val="fr-CA"/>
              </w:rPr>
              <w:t>Demande d'autorisation d'appel déposée</w:t>
            </w:r>
          </w:p>
          <w:p w:rsidR="00CA5290" w:rsidRPr="00BE6616" w:rsidRDefault="00CA5290" w:rsidP="002E350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102"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E2776" w:rsidRPr="007C3AB2" w:rsidTr="003D0848">
        <w:trPr>
          <w:cantSplit/>
        </w:trPr>
        <w:tc>
          <w:tcPr>
            <w:tcW w:w="1458" w:type="dxa"/>
          </w:tcPr>
          <w:p w:rsidR="00CE2776" w:rsidRPr="007C3AB2" w:rsidRDefault="00CE2776" w:rsidP="003D0848">
            <w:pPr>
              <w:rPr>
                <w:sz w:val="20"/>
                <w:szCs w:val="20"/>
              </w:rPr>
            </w:pPr>
            <w:r w:rsidRPr="007C3AB2">
              <w:rPr>
                <w:rStyle w:val="SCCFileNumberChar"/>
                <w:sz w:val="20"/>
                <w:szCs w:val="20"/>
              </w:rPr>
              <w:lastRenderedPageBreak/>
              <w:t>34332</w:t>
            </w:r>
          </w:p>
          <w:p w:rsidR="00CE2776" w:rsidRPr="007C3AB2" w:rsidRDefault="00CE2776" w:rsidP="003D0848">
            <w:pPr>
              <w:rPr>
                <w:b/>
                <w:sz w:val="20"/>
                <w:szCs w:val="20"/>
                <w:lang w:val="fr-CA"/>
              </w:rPr>
            </w:pPr>
          </w:p>
        </w:tc>
        <w:tc>
          <w:tcPr>
            <w:tcW w:w="8118" w:type="dxa"/>
          </w:tcPr>
          <w:p w:rsidR="00CE2776" w:rsidRPr="007C3AB2" w:rsidRDefault="00CE2776" w:rsidP="003D0848">
            <w:pPr>
              <w:jc w:val="both"/>
              <w:rPr>
                <w:sz w:val="20"/>
                <w:szCs w:val="20"/>
              </w:rPr>
            </w:pPr>
            <w:r w:rsidRPr="00CE2776">
              <w:rPr>
                <w:rStyle w:val="SCCLsocChar"/>
                <w:sz w:val="20"/>
                <w:szCs w:val="20"/>
                <w:lang w:val="en-CA"/>
              </w:rPr>
              <w:t>James Joseph Lukezic, Walker Hall Winery Ltd., Lukezic Group Ltd. and Walker Hall Group Ltd. v. Royal Bank of Canada</w:t>
            </w:r>
            <w:r w:rsidRPr="007C3AB2">
              <w:rPr>
                <w:sz w:val="20"/>
                <w:szCs w:val="20"/>
              </w:rPr>
              <w:t xml:space="preserve"> (Ont.) (Civil) (By Leave)</w:t>
            </w:r>
          </w:p>
          <w:p w:rsidR="00CE2776" w:rsidRPr="007C3AB2" w:rsidRDefault="00CE2776" w:rsidP="003D0848">
            <w:pPr>
              <w:rPr>
                <w:sz w:val="20"/>
                <w:szCs w:val="20"/>
              </w:rPr>
            </w:pPr>
          </w:p>
        </w:tc>
      </w:tr>
      <w:tr w:rsidR="00CE2776" w:rsidRPr="007C3AB2" w:rsidTr="003D0848">
        <w:trPr>
          <w:cantSplit/>
        </w:trPr>
        <w:tc>
          <w:tcPr>
            <w:tcW w:w="1458" w:type="dxa"/>
          </w:tcPr>
          <w:p w:rsidR="00CE2776" w:rsidRPr="007C3AB2" w:rsidRDefault="00CE2776" w:rsidP="003D0848">
            <w:pPr>
              <w:rPr>
                <w:sz w:val="20"/>
                <w:szCs w:val="20"/>
              </w:rPr>
            </w:pPr>
            <w:r w:rsidRPr="007C3AB2">
              <w:rPr>
                <w:sz w:val="20"/>
                <w:szCs w:val="20"/>
              </w:rPr>
              <w:t>Coram :</w:t>
            </w:r>
          </w:p>
        </w:tc>
        <w:tc>
          <w:tcPr>
            <w:tcW w:w="8118" w:type="dxa"/>
          </w:tcPr>
          <w:p w:rsidR="00CE2776" w:rsidRPr="007C3AB2" w:rsidRDefault="00CE2776" w:rsidP="003D0848">
            <w:pPr>
              <w:rPr>
                <w:sz w:val="20"/>
                <w:szCs w:val="20"/>
              </w:rPr>
            </w:pPr>
            <w:r w:rsidRPr="007C3AB2">
              <w:rPr>
                <w:rStyle w:val="SCCCoramChar"/>
                <w:sz w:val="20"/>
                <w:szCs w:val="20"/>
              </w:rPr>
              <w:t>McLachlin C.J. and Deschamps and Fish JJ.</w:t>
            </w:r>
          </w:p>
          <w:p w:rsidR="00CE2776" w:rsidRPr="007C3AB2" w:rsidRDefault="00CE2776" w:rsidP="003D0848">
            <w:pPr>
              <w:rPr>
                <w:sz w:val="20"/>
                <w:szCs w:val="20"/>
                <w:u w:val="single"/>
              </w:rPr>
            </w:pPr>
          </w:p>
        </w:tc>
      </w:tr>
      <w:tr w:rsidR="00CE2776" w:rsidRPr="00F80A49" w:rsidTr="003D0848">
        <w:trPr>
          <w:cantSplit/>
        </w:trPr>
        <w:tc>
          <w:tcPr>
            <w:tcW w:w="9576" w:type="dxa"/>
            <w:gridSpan w:val="2"/>
          </w:tcPr>
          <w:p w:rsidR="00CE2776" w:rsidRPr="007C3AB2" w:rsidRDefault="00CE2776" w:rsidP="003D0848">
            <w:pPr>
              <w:pStyle w:val="SCCShortJudgment"/>
              <w:rPr>
                <w:szCs w:val="20"/>
              </w:rPr>
            </w:pPr>
            <w:r w:rsidRPr="007C3AB2">
              <w:rPr>
                <w:szCs w:val="20"/>
              </w:rPr>
              <w:t>The application for leave to appeal from the judgment of the Court of Appeal for Ontario, Number C52487, 2011 ONCA 314, dated April 19, 2011, is dismissed with costs.</w:t>
            </w:r>
          </w:p>
          <w:p w:rsidR="00CE2776" w:rsidRPr="007C3AB2" w:rsidRDefault="00CE2776" w:rsidP="003D0848">
            <w:pPr>
              <w:pStyle w:val="SCCShortJudgment"/>
              <w:ind w:firstLine="0"/>
              <w:rPr>
                <w:szCs w:val="20"/>
              </w:rPr>
            </w:pPr>
          </w:p>
          <w:p w:rsidR="00CE2776" w:rsidRPr="007C3AB2" w:rsidRDefault="00CE2776" w:rsidP="003D0848">
            <w:pPr>
              <w:pStyle w:val="SCCShortJudgment"/>
              <w:rPr>
                <w:szCs w:val="20"/>
                <w:lang w:val="fr-CA"/>
              </w:rPr>
            </w:pPr>
            <w:r w:rsidRPr="007C3AB2">
              <w:rPr>
                <w:szCs w:val="20"/>
                <w:lang w:val="fr-CA"/>
              </w:rPr>
              <w:t>La demande d’autorisation d’appel de l’arrêt de la Cour d’appel de l’Ontario, numéro C52487, 2011 ONCA 314, daté du 19 avril 2011, est rejetée avec dépens.</w:t>
            </w:r>
          </w:p>
        </w:tc>
      </w:tr>
    </w:tbl>
    <w:p w:rsidR="007B50F9" w:rsidRPr="00CE2776" w:rsidRDefault="007B50F9" w:rsidP="007B50F9">
      <w:pPr>
        <w:rPr>
          <w:sz w:val="20"/>
          <w:szCs w:val="20"/>
          <w:lang w:val="fr-CA"/>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06700" w:rsidRPr="00BE6616" w:rsidTr="002E3508">
        <w:tc>
          <w:tcPr>
            <w:tcW w:w="5000" w:type="pct"/>
            <w:gridSpan w:val="3"/>
          </w:tcPr>
          <w:p w:rsidR="00C06700" w:rsidRPr="00BE6616" w:rsidRDefault="00C06700" w:rsidP="002E3508">
            <w:pPr>
              <w:jc w:val="both"/>
              <w:rPr>
                <w:rFonts w:eastAsia="Calibri"/>
                <w:sz w:val="20"/>
              </w:rPr>
            </w:pPr>
            <w:r w:rsidRPr="00BE6616">
              <w:rPr>
                <w:rFonts w:eastAsia="Calibri"/>
                <w:sz w:val="20"/>
              </w:rPr>
              <w:t>Bankruptcy and insolvency — Receiver — Order for receivership — Whether bank conducted itself in negligent fashion</w:t>
            </w:r>
          </w:p>
          <w:p w:rsidR="00C06700" w:rsidRPr="00BE6616" w:rsidRDefault="00C06700" w:rsidP="002E3508">
            <w:pPr>
              <w:jc w:val="both"/>
              <w:rPr>
                <w:rFonts w:eastAsia="Calibri"/>
                <w:sz w:val="20"/>
              </w:rPr>
            </w:pPr>
          </w:p>
        </w:tc>
      </w:tr>
      <w:tr w:rsidR="00C06700" w:rsidRPr="00BE6616" w:rsidTr="002E3508">
        <w:tc>
          <w:tcPr>
            <w:tcW w:w="5000" w:type="pct"/>
            <w:gridSpan w:val="3"/>
          </w:tcPr>
          <w:p w:rsidR="00C06700" w:rsidRPr="00BE6616" w:rsidRDefault="00C06700" w:rsidP="002E3508">
            <w:pPr>
              <w:jc w:val="both"/>
              <w:rPr>
                <w:rFonts w:eastAsia="Calibri"/>
                <w:sz w:val="20"/>
              </w:rPr>
            </w:pPr>
            <w:r w:rsidRPr="00BE6616">
              <w:rPr>
                <w:rFonts w:eastAsia="Calibri"/>
                <w:sz w:val="20"/>
              </w:rPr>
              <w:t>Mr. Lukezic is the director and sole shareholder of Walker Hall Winery Ltd. (“Walker Hall”).  The Royal Bank of Canada obtained a consent order appointing BDO Dunwoody as receiver of Walker Hall on December 23, 2009.  At the time, Walker Hall was represented by counsel.  Mr. Lukezic alleges that he consented to the order on the condition that he would be advanced the sum of $150,000.  He brought a motion to nullify the receivership order and an order penalizing the Royal Bank for damages of $2 million.</w:t>
            </w:r>
          </w:p>
          <w:p w:rsidR="00C06700" w:rsidRPr="00BE6616" w:rsidRDefault="00C06700" w:rsidP="002E3508">
            <w:pPr>
              <w:jc w:val="both"/>
              <w:rPr>
                <w:rFonts w:eastAsia="Calibri"/>
                <w:sz w:val="20"/>
              </w:rPr>
            </w:pPr>
          </w:p>
        </w:tc>
      </w:tr>
      <w:tr w:rsidR="00C06700" w:rsidRPr="00BE6616" w:rsidTr="00DF1031">
        <w:trPr>
          <w:cantSplit/>
        </w:trPr>
        <w:tc>
          <w:tcPr>
            <w:tcW w:w="2427" w:type="pct"/>
          </w:tcPr>
          <w:p w:rsidR="00C06700" w:rsidRPr="00BE6616" w:rsidRDefault="00C06700" w:rsidP="002E3508">
            <w:pPr>
              <w:jc w:val="both"/>
              <w:rPr>
                <w:rFonts w:eastAsia="Calibri"/>
                <w:sz w:val="20"/>
              </w:rPr>
            </w:pPr>
            <w:r w:rsidRPr="00BE6616">
              <w:rPr>
                <w:rFonts w:eastAsia="Calibri"/>
                <w:sz w:val="20"/>
              </w:rPr>
              <w:t>July 30, 2010</w:t>
            </w:r>
          </w:p>
          <w:p w:rsidR="00C06700" w:rsidRPr="00BE6616" w:rsidRDefault="00C06700" w:rsidP="002E3508">
            <w:pPr>
              <w:jc w:val="both"/>
              <w:rPr>
                <w:rFonts w:eastAsia="Calibri"/>
                <w:sz w:val="20"/>
              </w:rPr>
            </w:pPr>
            <w:r w:rsidRPr="00BE6616">
              <w:rPr>
                <w:rFonts w:eastAsia="Calibri"/>
                <w:sz w:val="20"/>
              </w:rPr>
              <w:t>Ontario Superior Court of Justice</w:t>
            </w:r>
          </w:p>
          <w:p w:rsidR="00C06700" w:rsidRPr="00BE6616" w:rsidRDefault="00C06700" w:rsidP="002E3508">
            <w:pPr>
              <w:jc w:val="both"/>
              <w:rPr>
                <w:rFonts w:eastAsia="Calibri"/>
                <w:sz w:val="20"/>
              </w:rPr>
            </w:pPr>
            <w:r w:rsidRPr="00BE6616">
              <w:rPr>
                <w:rFonts w:eastAsia="Calibri"/>
                <w:sz w:val="20"/>
              </w:rPr>
              <w:t>(Morawetz J.)</w:t>
            </w:r>
          </w:p>
          <w:p w:rsidR="00C06700" w:rsidRPr="00BE6616" w:rsidRDefault="00C06700" w:rsidP="002E3508">
            <w:pPr>
              <w:jc w:val="both"/>
              <w:rPr>
                <w:rFonts w:eastAsia="Calibri"/>
                <w:sz w:val="20"/>
              </w:rPr>
            </w:pPr>
            <w:r w:rsidRPr="00BE6616">
              <w:rPr>
                <w:rFonts w:eastAsia="Calibri"/>
                <w:sz w:val="20"/>
              </w:rPr>
              <w:t>2010 ONSC 4236</w:t>
            </w:r>
          </w:p>
          <w:p w:rsidR="00C06700" w:rsidRPr="00BE6616" w:rsidRDefault="00C06700" w:rsidP="002E3508">
            <w:pPr>
              <w:jc w:val="both"/>
              <w:rPr>
                <w:rFonts w:eastAsia="Calibri"/>
                <w:sz w:val="20"/>
              </w:rPr>
            </w:pPr>
          </w:p>
        </w:tc>
        <w:tc>
          <w:tcPr>
            <w:tcW w:w="243" w:type="pct"/>
          </w:tcPr>
          <w:p w:rsidR="00C06700" w:rsidRPr="00BE6616" w:rsidRDefault="00C06700" w:rsidP="002E3508">
            <w:pPr>
              <w:jc w:val="both"/>
              <w:rPr>
                <w:rFonts w:eastAsia="Calibri"/>
                <w:sz w:val="20"/>
              </w:rPr>
            </w:pPr>
          </w:p>
        </w:tc>
        <w:tc>
          <w:tcPr>
            <w:tcW w:w="2330" w:type="pct"/>
          </w:tcPr>
          <w:p w:rsidR="00C06700" w:rsidRPr="00BE6616" w:rsidRDefault="00C06700" w:rsidP="002E3508">
            <w:pPr>
              <w:jc w:val="both"/>
              <w:rPr>
                <w:rFonts w:eastAsia="Calibri"/>
                <w:sz w:val="20"/>
              </w:rPr>
            </w:pPr>
            <w:r w:rsidRPr="00BE6616">
              <w:rPr>
                <w:rFonts w:eastAsia="Calibri"/>
                <w:sz w:val="20"/>
              </w:rPr>
              <w:t>Applicant’s motion to set aside order of receivership dismissed</w:t>
            </w:r>
          </w:p>
          <w:p w:rsidR="00C06700" w:rsidRPr="00BE6616" w:rsidRDefault="00C06700" w:rsidP="002E3508">
            <w:pPr>
              <w:jc w:val="both"/>
              <w:rPr>
                <w:rFonts w:eastAsia="Calibri"/>
                <w:sz w:val="20"/>
              </w:rPr>
            </w:pPr>
          </w:p>
          <w:p w:rsidR="00C06700" w:rsidRPr="00BE6616" w:rsidRDefault="00C06700" w:rsidP="002E3508">
            <w:pPr>
              <w:jc w:val="both"/>
              <w:rPr>
                <w:rFonts w:eastAsia="Calibri"/>
                <w:sz w:val="20"/>
              </w:rPr>
            </w:pPr>
          </w:p>
        </w:tc>
      </w:tr>
      <w:tr w:rsidR="00C06700" w:rsidRPr="00BE6616" w:rsidTr="00DF1031">
        <w:trPr>
          <w:cantSplit/>
        </w:trPr>
        <w:tc>
          <w:tcPr>
            <w:tcW w:w="2427" w:type="pct"/>
          </w:tcPr>
          <w:p w:rsidR="00C06700" w:rsidRPr="00BE6616" w:rsidRDefault="00C06700" w:rsidP="002E3508">
            <w:pPr>
              <w:jc w:val="both"/>
              <w:rPr>
                <w:rFonts w:eastAsia="Calibri"/>
                <w:sz w:val="20"/>
              </w:rPr>
            </w:pPr>
            <w:r w:rsidRPr="00BE6616">
              <w:rPr>
                <w:rFonts w:eastAsia="Calibri"/>
                <w:sz w:val="20"/>
              </w:rPr>
              <w:t>April 19, 2011</w:t>
            </w:r>
          </w:p>
          <w:p w:rsidR="00C06700" w:rsidRPr="00BE6616" w:rsidRDefault="00C06700" w:rsidP="002E3508">
            <w:pPr>
              <w:jc w:val="both"/>
              <w:rPr>
                <w:rFonts w:eastAsia="Calibri"/>
                <w:sz w:val="20"/>
              </w:rPr>
            </w:pPr>
            <w:r w:rsidRPr="00BE6616">
              <w:rPr>
                <w:rFonts w:eastAsia="Calibri"/>
                <w:sz w:val="20"/>
              </w:rPr>
              <w:t>Court of Appeal for Ontario</w:t>
            </w:r>
          </w:p>
          <w:p w:rsidR="00C06700" w:rsidRPr="00BE6616" w:rsidRDefault="00C06700" w:rsidP="002E3508">
            <w:pPr>
              <w:jc w:val="both"/>
              <w:rPr>
                <w:rFonts w:eastAsia="Calibri"/>
                <w:sz w:val="20"/>
              </w:rPr>
            </w:pPr>
            <w:r w:rsidRPr="00BE6616">
              <w:rPr>
                <w:rFonts w:eastAsia="Calibri"/>
                <w:sz w:val="20"/>
              </w:rPr>
              <w:t>(Goudge, Gillese and Watt JJ.A.)</w:t>
            </w:r>
          </w:p>
          <w:p w:rsidR="00C06700" w:rsidRPr="00BE6616" w:rsidRDefault="00C06700" w:rsidP="002E3508">
            <w:pPr>
              <w:jc w:val="both"/>
              <w:rPr>
                <w:rFonts w:eastAsia="Calibri"/>
                <w:sz w:val="20"/>
              </w:rPr>
            </w:pPr>
            <w:r w:rsidRPr="00BE6616">
              <w:rPr>
                <w:rFonts w:eastAsia="Calibri"/>
                <w:sz w:val="20"/>
              </w:rPr>
              <w:t>2011 ONCA 314</w:t>
            </w:r>
          </w:p>
          <w:p w:rsidR="00C06700" w:rsidRPr="00BE6616" w:rsidRDefault="00C06700" w:rsidP="002E3508">
            <w:pPr>
              <w:jc w:val="both"/>
              <w:rPr>
                <w:rFonts w:eastAsia="Calibri"/>
                <w:sz w:val="20"/>
              </w:rPr>
            </w:pPr>
          </w:p>
        </w:tc>
        <w:tc>
          <w:tcPr>
            <w:tcW w:w="243" w:type="pct"/>
          </w:tcPr>
          <w:p w:rsidR="00C06700" w:rsidRPr="00BE6616" w:rsidRDefault="00C06700" w:rsidP="002E3508">
            <w:pPr>
              <w:jc w:val="both"/>
              <w:rPr>
                <w:rFonts w:eastAsia="Calibri"/>
                <w:sz w:val="20"/>
              </w:rPr>
            </w:pPr>
          </w:p>
        </w:tc>
        <w:tc>
          <w:tcPr>
            <w:tcW w:w="2330" w:type="pct"/>
          </w:tcPr>
          <w:p w:rsidR="00C06700" w:rsidRPr="00BE6616" w:rsidRDefault="00C06700" w:rsidP="002E3508">
            <w:pPr>
              <w:jc w:val="both"/>
              <w:rPr>
                <w:rFonts w:eastAsia="Calibri"/>
                <w:sz w:val="20"/>
              </w:rPr>
            </w:pPr>
            <w:r w:rsidRPr="00BE6616">
              <w:rPr>
                <w:rFonts w:eastAsia="Calibri"/>
                <w:sz w:val="20"/>
              </w:rPr>
              <w:t>Appeal dismissed</w:t>
            </w:r>
          </w:p>
          <w:p w:rsidR="00C06700" w:rsidRPr="00BE6616" w:rsidRDefault="00C06700" w:rsidP="002E3508">
            <w:pPr>
              <w:jc w:val="both"/>
              <w:rPr>
                <w:rFonts w:eastAsia="Calibri"/>
                <w:sz w:val="20"/>
              </w:rPr>
            </w:pPr>
          </w:p>
        </w:tc>
      </w:tr>
      <w:tr w:rsidR="00C06700" w:rsidRPr="00BE6616" w:rsidTr="00DF1031">
        <w:trPr>
          <w:cantSplit/>
        </w:trPr>
        <w:tc>
          <w:tcPr>
            <w:tcW w:w="2427" w:type="pct"/>
          </w:tcPr>
          <w:p w:rsidR="00C06700" w:rsidRPr="00BE6616" w:rsidRDefault="00C06700" w:rsidP="002E3508">
            <w:pPr>
              <w:jc w:val="both"/>
              <w:rPr>
                <w:rFonts w:eastAsia="Calibri"/>
                <w:sz w:val="20"/>
              </w:rPr>
            </w:pPr>
            <w:r w:rsidRPr="00BE6616">
              <w:rPr>
                <w:rFonts w:eastAsia="Calibri"/>
                <w:sz w:val="20"/>
              </w:rPr>
              <w:t>June 14, 2011</w:t>
            </w:r>
          </w:p>
          <w:p w:rsidR="00C06700" w:rsidRPr="00BE6616" w:rsidRDefault="00C06700" w:rsidP="002E3508">
            <w:pPr>
              <w:jc w:val="both"/>
              <w:rPr>
                <w:rFonts w:eastAsia="Calibri"/>
                <w:sz w:val="20"/>
              </w:rPr>
            </w:pPr>
            <w:r w:rsidRPr="00BE6616">
              <w:rPr>
                <w:rFonts w:eastAsia="Calibri"/>
                <w:sz w:val="20"/>
              </w:rPr>
              <w:t>Supreme Court of Canada</w:t>
            </w:r>
          </w:p>
        </w:tc>
        <w:tc>
          <w:tcPr>
            <w:tcW w:w="243" w:type="pct"/>
          </w:tcPr>
          <w:p w:rsidR="00C06700" w:rsidRPr="00BE6616" w:rsidRDefault="00C06700" w:rsidP="002E3508">
            <w:pPr>
              <w:jc w:val="both"/>
              <w:rPr>
                <w:rFonts w:eastAsia="Calibri"/>
                <w:sz w:val="20"/>
              </w:rPr>
            </w:pPr>
          </w:p>
        </w:tc>
        <w:tc>
          <w:tcPr>
            <w:tcW w:w="2330" w:type="pct"/>
          </w:tcPr>
          <w:p w:rsidR="00C06700" w:rsidRPr="00BE6616" w:rsidRDefault="00C06700" w:rsidP="002E3508">
            <w:pPr>
              <w:jc w:val="both"/>
              <w:rPr>
                <w:rFonts w:eastAsia="Calibri"/>
                <w:sz w:val="20"/>
              </w:rPr>
            </w:pPr>
            <w:r w:rsidRPr="00BE6616">
              <w:rPr>
                <w:rFonts w:eastAsia="Calibri"/>
                <w:sz w:val="20"/>
              </w:rPr>
              <w:t>Application for leave to appeal filed</w:t>
            </w:r>
          </w:p>
          <w:p w:rsidR="00C06700" w:rsidRPr="00BE6616" w:rsidRDefault="00C06700" w:rsidP="002E350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103"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C06700" w:rsidRPr="00F80A49" w:rsidTr="002E3508">
        <w:tc>
          <w:tcPr>
            <w:tcW w:w="5000" w:type="pct"/>
            <w:gridSpan w:val="3"/>
          </w:tcPr>
          <w:p w:rsidR="00C06700" w:rsidRPr="00BE6616" w:rsidRDefault="00C06700" w:rsidP="002E3508">
            <w:pPr>
              <w:jc w:val="both"/>
              <w:rPr>
                <w:rFonts w:eastAsia="Calibri"/>
                <w:sz w:val="20"/>
                <w:lang w:val="fr-CA"/>
              </w:rPr>
            </w:pPr>
            <w:r w:rsidRPr="00BE6616">
              <w:rPr>
                <w:rFonts w:eastAsia="Calibri"/>
                <w:sz w:val="20"/>
                <w:lang w:val="fr-CA"/>
              </w:rPr>
              <w:t>Faillite et insolvabilité — Séquestres — Ordonnance de mise sous séquestre — La banque a</w:t>
            </w:r>
            <w:r w:rsidRPr="00BE6616">
              <w:rPr>
                <w:rFonts w:eastAsia="Calibri"/>
                <w:sz w:val="20"/>
                <w:lang w:val="fr-CA"/>
              </w:rPr>
              <w:noBreakHyphen/>
              <w:t>t</w:t>
            </w:r>
            <w:r w:rsidRPr="00BE6616">
              <w:rPr>
                <w:rFonts w:eastAsia="Calibri"/>
                <w:sz w:val="20"/>
                <w:lang w:val="fr-CA"/>
              </w:rPr>
              <w:noBreakHyphen/>
              <w:t>elle agi de façon négligente?</w:t>
            </w:r>
          </w:p>
          <w:p w:rsidR="00C06700" w:rsidRPr="00BE6616" w:rsidRDefault="00C06700" w:rsidP="002E3508">
            <w:pPr>
              <w:jc w:val="both"/>
              <w:rPr>
                <w:rFonts w:eastAsia="Calibri"/>
                <w:sz w:val="20"/>
                <w:lang w:val="fr-CA"/>
              </w:rPr>
            </w:pPr>
          </w:p>
        </w:tc>
      </w:tr>
      <w:tr w:rsidR="00C06700" w:rsidRPr="00F80A49" w:rsidTr="002E3508">
        <w:tc>
          <w:tcPr>
            <w:tcW w:w="5000" w:type="pct"/>
            <w:gridSpan w:val="3"/>
          </w:tcPr>
          <w:p w:rsidR="00C06700" w:rsidRPr="00BE6616" w:rsidRDefault="00C06700" w:rsidP="002E3508">
            <w:pPr>
              <w:jc w:val="both"/>
              <w:rPr>
                <w:rFonts w:eastAsia="Calibri"/>
                <w:sz w:val="20"/>
                <w:lang w:val="fr-CA"/>
              </w:rPr>
            </w:pPr>
            <w:r w:rsidRPr="00BE6616">
              <w:rPr>
                <w:rFonts w:eastAsia="Calibri"/>
                <w:sz w:val="20"/>
                <w:lang w:val="fr-CA"/>
              </w:rPr>
              <w:t>Monsieur Lukezic est l'administrateur et l'unique actionnaire de Walker Hall Winery Ltd. (« Walker Hall »).  La Banque Royale du Canada a obtenu une ordonnance par consentement nommant BDO Dunwoody séquestre de Walker Hall le 23 décembre 2009.  À l'époque, Walker Hall était représentée par un avocat.  Monsieur Lukezic allègue qu'il avait consenti à l'ordonnance à la condition qu'on lui avance la somme de 150 000 $.  Il a présenté une motion en nullité de l’ordonnance de mise sous séquestre et pour une ordonnance pénalisant la Banque Royale à titre de dommages</w:t>
            </w:r>
            <w:r w:rsidRPr="00BE6616">
              <w:rPr>
                <w:rFonts w:eastAsia="Calibri"/>
                <w:sz w:val="20"/>
                <w:lang w:val="fr-CA"/>
              </w:rPr>
              <w:noBreakHyphen/>
              <w:t>intérêts de 2 millions de dollars.</w:t>
            </w:r>
          </w:p>
          <w:p w:rsidR="00C06700" w:rsidRPr="00BE6616" w:rsidRDefault="00C06700" w:rsidP="002E3508">
            <w:pPr>
              <w:jc w:val="both"/>
              <w:rPr>
                <w:rFonts w:eastAsia="Calibri"/>
                <w:sz w:val="20"/>
                <w:lang w:val="fr-CA"/>
              </w:rPr>
            </w:pPr>
          </w:p>
        </w:tc>
      </w:tr>
      <w:tr w:rsidR="00C06700" w:rsidRPr="00F80A49" w:rsidTr="002E3508">
        <w:tc>
          <w:tcPr>
            <w:tcW w:w="2427" w:type="pct"/>
          </w:tcPr>
          <w:p w:rsidR="00C06700" w:rsidRPr="00BE6616" w:rsidRDefault="00C06700" w:rsidP="002E3508">
            <w:pPr>
              <w:jc w:val="both"/>
              <w:rPr>
                <w:rFonts w:eastAsia="Calibri"/>
                <w:sz w:val="20"/>
                <w:lang w:val="fr-CA"/>
              </w:rPr>
            </w:pPr>
            <w:r w:rsidRPr="00BE6616">
              <w:rPr>
                <w:rFonts w:eastAsia="Calibri"/>
                <w:sz w:val="20"/>
                <w:lang w:val="fr-CA"/>
              </w:rPr>
              <w:lastRenderedPageBreak/>
              <w:t>30 juillet 2010</w:t>
            </w:r>
          </w:p>
          <w:p w:rsidR="00C06700" w:rsidRPr="00BE6616" w:rsidRDefault="00C06700" w:rsidP="002E3508">
            <w:pPr>
              <w:jc w:val="both"/>
              <w:rPr>
                <w:rFonts w:eastAsia="Calibri"/>
                <w:sz w:val="20"/>
                <w:lang w:val="fr-CA"/>
              </w:rPr>
            </w:pPr>
            <w:r w:rsidRPr="00BE6616">
              <w:rPr>
                <w:rFonts w:eastAsia="Calibri"/>
                <w:sz w:val="20"/>
                <w:lang w:val="fr-CA"/>
              </w:rPr>
              <w:t xml:space="preserve">Cour supérieure de justice de l'Ontario </w:t>
            </w:r>
          </w:p>
          <w:p w:rsidR="00C06700" w:rsidRPr="00BE6616" w:rsidRDefault="00C06700" w:rsidP="002E3508">
            <w:pPr>
              <w:jc w:val="both"/>
              <w:rPr>
                <w:rFonts w:eastAsia="Calibri"/>
                <w:sz w:val="20"/>
                <w:lang w:val="fr-CA"/>
              </w:rPr>
            </w:pPr>
            <w:r w:rsidRPr="00BE6616">
              <w:rPr>
                <w:rFonts w:eastAsia="Calibri"/>
                <w:sz w:val="20"/>
                <w:lang w:val="fr-CA"/>
              </w:rPr>
              <w:t>(Juge Morawetz)</w:t>
            </w:r>
          </w:p>
          <w:p w:rsidR="00C06700" w:rsidRPr="00BE6616" w:rsidRDefault="00C06700" w:rsidP="002E3508">
            <w:pPr>
              <w:jc w:val="both"/>
              <w:rPr>
                <w:rFonts w:eastAsia="Calibri"/>
                <w:sz w:val="20"/>
                <w:lang w:val="fr-CA"/>
              </w:rPr>
            </w:pPr>
            <w:r w:rsidRPr="00BE6616">
              <w:rPr>
                <w:rFonts w:eastAsia="Calibri"/>
                <w:sz w:val="20"/>
                <w:lang w:val="fr-CA"/>
              </w:rPr>
              <w:t>2010 ONSC 4236</w:t>
            </w:r>
          </w:p>
          <w:p w:rsidR="00C06700" w:rsidRPr="00BE6616" w:rsidRDefault="00C06700" w:rsidP="002E3508">
            <w:pPr>
              <w:jc w:val="both"/>
              <w:rPr>
                <w:rFonts w:eastAsia="Calibri"/>
                <w:sz w:val="20"/>
                <w:lang w:val="fr-CA"/>
              </w:rPr>
            </w:pPr>
          </w:p>
        </w:tc>
        <w:tc>
          <w:tcPr>
            <w:tcW w:w="243" w:type="pct"/>
          </w:tcPr>
          <w:p w:rsidR="00C06700" w:rsidRPr="00BE6616" w:rsidRDefault="00C06700" w:rsidP="002E3508">
            <w:pPr>
              <w:jc w:val="both"/>
              <w:rPr>
                <w:rFonts w:eastAsia="Calibri"/>
                <w:sz w:val="20"/>
                <w:lang w:val="fr-CA"/>
              </w:rPr>
            </w:pPr>
          </w:p>
        </w:tc>
        <w:tc>
          <w:tcPr>
            <w:tcW w:w="2330" w:type="pct"/>
          </w:tcPr>
          <w:p w:rsidR="00C06700" w:rsidRPr="00BE6616" w:rsidRDefault="00C06700" w:rsidP="002E3508">
            <w:pPr>
              <w:jc w:val="both"/>
              <w:rPr>
                <w:rFonts w:eastAsia="Calibri"/>
                <w:sz w:val="20"/>
                <w:lang w:val="fr-CA"/>
              </w:rPr>
            </w:pPr>
            <w:r w:rsidRPr="00BE6616">
              <w:rPr>
                <w:rFonts w:eastAsia="Calibri"/>
                <w:sz w:val="20"/>
                <w:lang w:val="fr-CA"/>
              </w:rPr>
              <w:t>Motion du demandeur en annulation de l’ordonnance de mise sous séquestre, rejetée</w:t>
            </w:r>
          </w:p>
          <w:p w:rsidR="00C06700" w:rsidRPr="00BE6616" w:rsidRDefault="00C06700" w:rsidP="002E3508">
            <w:pPr>
              <w:jc w:val="both"/>
              <w:rPr>
                <w:rFonts w:eastAsia="Calibri"/>
                <w:sz w:val="20"/>
                <w:lang w:val="fr-CA"/>
              </w:rPr>
            </w:pPr>
          </w:p>
          <w:p w:rsidR="00C06700" w:rsidRPr="00BE6616" w:rsidRDefault="00C06700" w:rsidP="002E3508">
            <w:pPr>
              <w:jc w:val="both"/>
              <w:rPr>
                <w:rFonts w:eastAsia="Calibri"/>
                <w:sz w:val="20"/>
                <w:lang w:val="fr-CA"/>
              </w:rPr>
            </w:pPr>
          </w:p>
        </w:tc>
      </w:tr>
      <w:tr w:rsidR="00C06700" w:rsidRPr="00BE6616" w:rsidTr="002E3508">
        <w:tc>
          <w:tcPr>
            <w:tcW w:w="2427" w:type="pct"/>
          </w:tcPr>
          <w:p w:rsidR="00C06700" w:rsidRPr="00BE6616" w:rsidRDefault="00C06700" w:rsidP="002E3508">
            <w:pPr>
              <w:jc w:val="both"/>
              <w:rPr>
                <w:rFonts w:eastAsia="Calibri"/>
                <w:sz w:val="20"/>
                <w:lang w:val="fr-CA"/>
              </w:rPr>
            </w:pPr>
            <w:r w:rsidRPr="00BE6616">
              <w:rPr>
                <w:rFonts w:eastAsia="Calibri"/>
                <w:sz w:val="20"/>
                <w:lang w:val="fr-CA"/>
              </w:rPr>
              <w:t>19 avril 2011</w:t>
            </w:r>
          </w:p>
          <w:p w:rsidR="00C06700" w:rsidRPr="00BE6616" w:rsidRDefault="00C06700" w:rsidP="002E3508">
            <w:pPr>
              <w:jc w:val="both"/>
              <w:rPr>
                <w:rFonts w:eastAsia="Calibri"/>
                <w:sz w:val="20"/>
                <w:lang w:val="fr-CA"/>
              </w:rPr>
            </w:pPr>
            <w:r w:rsidRPr="00BE6616">
              <w:rPr>
                <w:rFonts w:eastAsia="Calibri"/>
                <w:sz w:val="20"/>
                <w:lang w:val="fr-CA"/>
              </w:rPr>
              <w:t xml:space="preserve">Cour d'appel de l’Ontario </w:t>
            </w:r>
          </w:p>
          <w:p w:rsidR="00C06700" w:rsidRPr="00BE6616" w:rsidRDefault="00C06700" w:rsidP="002E3508">
            <w:pPr>
              <w:jc w:val="both"/>
              <w:rPr>
                <w:rFonts w:eastAsia="Calibri"/>
                <w:sz w:val="20"/>
                <w:lang w:val="fr-CA"/>
              </w:rPr>
            </w:pPr>
            <w:r w:rsidRPr="00BE6616">
              <w:rPr>
                <w:rFonts w:eastAsia="Calibri"/>
                <w:sz w:val="20"/>
                <w:lang w:val="fr-CA"/>
              </w:rPr>
              <w:t>(Juges Goudge, Gillese et Watt)</w:t>
            </w:r>
          </w:p>
          <w:p w:rsidR="00C06700" w:rsidRPr="00BE6616" w:rsidRDefault="00C06700" w:rsidP="002E3508">
            <w:pPr>
              <w:jc w:val="both"/>
              <w:rPr>
                <w:rFonts w:eastAsia="Calibri"/>
                <w:sz w:val="20"/>
                <w:lang w:val="fr-CA"/>
              </w:rPr>
            </w:pPr>
            <w:r w:rsidRPr="00BE6616">
              <w:rPr>
                <w:rFonts w:eastAsia="Calibri"/>
                <w:sz w:val="20"/>
                <w:lang w:val="fr-CA"/>
              </w:rPr>
              <w:t>2011 ONCA 314</w:t>
            </w:r>
          </w:p>
          <w:p w:rsidR="00C06700" w:rsidRPr="00BE6616" w:rsidRDefault="00C06700" w:rsidP="002E3508">
            <w:pPr>
              <w:jc w:val="both"/>
              <w:rPr>
                <w:rFonts w:eastAsia="Calibri"/>
                <w:sz w:val="20"/>
                <w:lang w:val="fr-CA"/>
              </w:rPr>
            </w:pPr>
          </w:p>
        </w:tc>
        <w:tc>
          <w:tcPr>
            <w:tcW w:w="243" w:type="pct"/>
          </w:tcPr>
          <w:p w:rsidR="00C06700" w:rsidRPr="00BE6616" w:rsidRDefault="00C06700" w:rsidP="002E3508">
            <w:pPr>
              <w:jc w:val="both"/>
              <w:rPr>
                <w:rFonts w:eastAsia="Calibri"/>
                <w:sz w:val="20"/>
                <w:lang w:val="fr-CA"/>
              </w:rPr>
            </w:pPr>
          </w:p>
        </w:tc>
        <w:tc>
          <w:tcPr>
            <w:tcW w:w="2330" w:type="pct"/>
          </w:tcPr>
          <w:p w:rsidR="00C06700" w:rsidRPr="00BE6616" w:rsidRDefault="00C06700" w:rsidP="002E3508">
            <w:pPr>
              <w:jc w:val="both"/>
              <w:rPr>
                <w:rFonts w:eastAsia="Calibri"/>
                <w:sz w:val="20"/>
                <w:lang w:val="fr-CA"/>
              </w:rPr>
            </w:pPr>
            <w:r w:rsidRPr="00BE6616">
              <w:rPr>
                <w:rFonts w:eastAsia="Calibri"/>
                <w:sz w:val="20"/>
                <w:lang w:val="fr-CA"/>
              </w:rPr>
              <w:t>Appel rejeté</w:t>
            </w:r>
          </w:p>
          <w:p w:rsidR="00C06700" w:rsidRPr="00BE6616" w:rsidRDefault="00C06700" w:rsidP="002E3508">
            <w:pPr>
              <w:jc w:val="both"/>
              <w:rPr>
                <w:rFonts w:eastAsia="Calibri"/>
                <w:sz w:val="20"/>
                <w:lang w:val="fr-CA"/>
              </w:rPr>
            </w:pPr>
          </w:p>
        </w:tc>
      </w:tr>
      <w:tr w:rsidR="00C06700" w:rsidRPr="00BE6616" w:rsidTr="002E3508">
        <w:tc>
          <w:tcPr>
            <w:tcW w:w="2427" w:type="pct"/>
          </w:tcPr>
          <w:p w:rsidR="00C06700" w:rsidRPr="00BE6616" w:rsidRDefault="00C06700" w:rsidP="002E3508">
            <w:pPr>
              <w:jc w:val="both"/>
              <w:rPr>
                <w:rFonts w:eastAsia="Calibri"/>
                <w:sz w:val="20"/>
                <w:lang w:val="fr-CA"/>
              </w:rPr>
            </w:pPr>
            <w:r w:rsidRPr="00BE6616">
              <w:rPr>
                <w:rFonts w:eastAsia="Calibri"/>
                <w:sz w:val="20"/>
                <w:lang w:val="fr-CA"/>
              </w:rPr>
              <w:t>14 juin 2011</w:t>
            </w:r>
          </w:p>
          <w:p w:rsidR="00C06700" w:rsidRPr="00BE6616" w:rsidRDefault="00C06700" w:rsidP="002E3508">
            <w:pPr>
              <w:jc w:val="both"/>
              <w:rPr>
                <w:rFonts w:eastAsia="Calibri"/>
                <w:sz w:val="20"/>
                <w:lang w:val="fr-CA"/>
              </w:rPr>
            </w:pPr>
            <w:r w:rsidRPr="00BE6616">
              <w:rPr>
                <w:rFonts w:eastAsia="Calibri"/>
                <w:sz w:val="20"/>
                <w:lang w:val="fr-CA"/>
              </w:rPr>
              <w:t>Cour suprême du Canada</w:t>
            </w:r>
          </w:p>
        </w:tc>
        <w:tc>
          <w:tcPr>
            <w:tcW w:w="243" w:type="pct"/>
          </w:tcPr>
          <w:p w:rsidR="00C06700" w:rsidRPr="00BE6616" w:rsidRDefault="00C06700" w:rsidP="002E3508">
            <w:pPr>
              <w:jc w:val="both"/>
              <w:rPr>
                <w:rFonts w:eastAsia="Calibri"/>
                <w:sz w:val="20"/>
                <w:lang w:val="fr-CA"/>
              </w:rPr>
            </w:pPr>
          </w:p>
        </w:tc>
        <w:tc>
          <w:tcPr>
            <w:tcW w:w="2330" w:type="pct"/>
          </w:tcPr>
          <w:p w:rsidR="00C06700" w:rsidRPr="00BE6616" w:rsidRDefault="00C06700" w:rsidP="002E3508">
            <w:pPr>
              <w:jc w:val="both"/>
              <w:rPr>
                <w:rFonts w:eastAsia="Calibri"/>
                <w:sz w:val="20"/>
                <w:lang w:val="fr-CA"/>
              </w:rPr>
            </w:pPr>
            <w:r w:rsidRPr="00BE6616">
              <w:rPr>
                <w:rFonts w:eastAsia="Calibri"/>
                <w:sz w:val="20"/>
                <w:lang w:val="fr-CA"/>
              </w:rPr>
              <w:t>Demande d'autorisation d'appel, déposée</w:t>
            </w:r>
          </w:p>
          <w:p w:rsidR="00C06700" w:rsidRPr="00BE6616" w:rsidRDefault="00C06700" w:rsidP="002E350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104"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F1031" w:rsidRPr="00F80A49" w:rsidTr="003D0848">
        <w:trPr>
          <w:cantSplit/>
        </w:trPr>
        <w:tc>
          <w:tcPr>
            <w:tcW w:w="1458" w:type="dxa"/>
          </w:tcPr>
          <w:p w:rsidR="00DF1031" w:rsidRPr="007C3AB2" w:rsidRDefault="00DF1031" w:rsidP="003D0848">
            <w:pPr>
              <w:rPr>
                <w:sz w:val="20"/>
                <w:szCs w:val="20"/>
              </w:rPr>
            </w:pPr>
            <w:r w:rsidRPr="007C3AB2">
              <w:rPr>
                <w:rStyle w:val="SCCFileNumberChar"/>
                <w:sz w:val="20"/>
                <w:szCs w:val="20"/>
              </w:rPr>
              <w:t>34334</w:t>
            </w:r>
          </w:p>
          <w:p w:rsidR="00DF1031" w:rsidRPr="007C3AB2" w:rsidRDefault="00DF1031" w:rsidP="003D0848">
            <w:pPr>
              <w:rPr>
                <w:b/>
                <w:sz w:val="20"/>
                <w:szCs w:val="20"/>
                <w:lang w:val="fr-CA"/>
              </w:rPr>
            </w:pPr>
          </w:p>
        </w:tc>
        <w:tc>
          <w:tcPr>
            <w:tcW w:w="8118" w:type="dxa"/>
          </w:tcPr>
          <w:p w:rsidR="00DF1031" w:rsidRPr="007C3AB2" w:rsidRDefault="00DF1031" w:rsidP="003D0848">
            <w:pPr>
              <w:rPr>
                <w:sz w:val="20"/>
                <w:szCs w:val="20"/>
                <w:lang w:val="fr-CA"/>
              </w:rPr>
            </w:pPr>
            <w:r w:rsidRPr="007C3AB2">
              <w:rPr>
                <w:rStyle w:val="SCCLsocChar"/>
                <w:sz w:val="20"/>
                <w:szCs w:val="20"/>
              </w:rPr>
              <w:t>Giao Le c. Banque de Montréal</w:t>
            </w:r>
            <w:r w:rsidRPr="007C3AB2">
              <w:rPr>
                <w:sz w:val="20"/>
                <w:szCs w:val="20"/>
                <w:lang w:val="fr-CA"/>
              </w:rPr>
              <w:t xml:space="preserve"> (Qc) (Civile) (Autorisation)</w:t>
            </w:r>
          </w:p>
          <w:p w:rsidR="00DF1031" w:rsidRPr="007C3AB2" w:rsidRDefault="00DF1031" w:rsidP="003D0848">
            <w:pPr>
              <w:rPr>
                <w:sz w:val="20"/>
                <w:szCs w:val="20"/>
                <w:lang w:val="fr-CA"/>
              </w:rPr>
            </w:pPr>
          </w:p>
        </w:tc>
      </w:tr>
      <w:tr w:rsidR="00DF1031" w:rsidRPr="00F80A49" w:rsidTr="003D0848">
        <w:trPr>
          <w:cantSplit/>
        </w:trPr>
        <w:tc>
          <w:tcPr>
            <w:tcW w:w="1458" w:type="dxa"/>
          </w:tcPr>
          <w:p w:rsidR="00DF1031" w:rsidRPr="007C3AB2" w:rsidRDefault="00DF1031" w:rsidP="003D0848">
            <w:pPr>
              <w:rPr>
                <w:sz w:val="20"/>
                <w:szCs w:val="20"/>
              </w:rPr>
            </w:pPr>
            <w:r w:rsidRPr="007C3AB2">
              <w:rPr>
                <w:sz w:val="20"/>
                <w:szCs w:val="20"/>
              </w:rPr>
              <w:t>Coram :</w:t>
            </w:r>
          </w:p>
        </w:tc>
        <w:tc>
          <w:tcPr>
            <w:tcW w:w="8118" w:type="dxa"/>
          </w:tcPr>
          <w:p w:rsidR="00DF1031" w:rsidRPr="007C3AB2" w:rsidRDefault="00DF1031" w:rsidP="003D0848">
            <w:pPr>
              <w:rPr>
                <w:sz w:val="20"/>
                <w:szCs w:val="20"/>
                <w:lang w:val="fr-CA"/>
              </w:rPr>
            </w:pPr>
            <w:r w:rsidRPr="00DF1031">
              <w:rPr>
                <w:rStyle w:val="SCCCoramChar"/>
                <w:sz w:val="20"/>
                <w:szCs w:val="20"/>
                <w:lang w:val="fr-CA"/>
              </w:rPr>
              <w:t>La juge en chef McLachlin et les juges Deschamps et Fish</w:t>
            </w:r>
          </w:p>
          <w:p w:rsidR="00DF1031" w:rsidRPr="007C3AB2" w:rsidRDefault="00DF1031" w:rsidP="003D0848">
            <w:pPr>
              <w:rPr>
                <w:sz w:val="20"/>
                <w:szCs w:val="20"/>
                <w:u w:val="single"/>
                <w:lang w:val="fr-CA"/>
              </w:rPr>
            </w:pPr>
          </w:p>
        </w:tc>
      </w:tr>
      <w:tr w:rsidR="00DF1031" w:rsidRPr="007C3AB2" w:rsidTr="003D0848">
        <w:trPr>
          <w:cantSplit/>
        </w:trPr>
        <w:tc>
          <w:tcPr>
            <w:tcW w:w="9576" w:type="dxa"/>
            <w:gridSpan w:val="2"/>
          </w:tcPr>
          <w:p w:rsidR="00DF1031" w:rsidRPr="007C3AB2" w:rsidRDefault="00DF1031" w:rsidP="003D0848">
            <w:pPr>
              <w:pStyle w:val="SCCShortJudgment"/>
              <w:rPr>
                <w:szCs w:val="20"/>
                <w:lang w:val="fr-CA"/>
              </w:rPr>
            </w:pPr>
            <w:r w:rsidRPr="007C3AB2">
              <w:rPr>
                <w:szCs w:val="20"/>
                <w:lang w:val="fr-CA"/>
              </w:rPr>
              <w:t>La demande d’autorisation d’appel de l’arrêt de la Cour d’appel du Québec (Montréal), numéro 500-09-021544-119, 2011 QCCA 781, daté du 27 avril 2011, est rejetée avec dépens.</w:t>
            </w:r>
          </w:p>
          <w:p w:rsidR="00DF1031" w:rsidRPr="007C3AB2" w:rsidRDefault="00DF1031" w:rsidP="003D0848">
            <w:pPr>
              <w:pStyle w:val="SCCShortJudgment"/>
              <w:ind w:firstLine="0"/>
              <w:rPr>
                <w:szCs w:val="20"/>
                <w:lang w:val="fr-CA"/>
              </w:rPr>
            </w:pPr>
          </w:p>
          <w:p w:rsidR="00DF1031" w:rsidRPr="007C3AB2" w:rsidRDefault="00DF1031" w:rsidP="003D0848">
            <w:pPr>
              <w:pStyle w:val="SCCShortJudgment"/>
              <w:rPr>
                <w:szCs w:val="20"/>
              </w:rPr>
            </w:pPr>
            <w:r w:rsidRPr="007C3AB2">
              <w:rPr>
                <w:szCs w:val="20"/>
              </w:rPr>
              <w:t>The application for leave to appeal from the judgment of the Court of Appeal of Quebec (Montréal), Number 500-09-021544-119, 2011 QCCA 781, dated April 27, 2011, is dismissed with costs.</w:t>
            </w:r>
          </w:p>
        </w:tc>
      </w:tr>
    </w:tbl>
    <w:p w:rsidR="007B50F9" w:rsidRDefault="007B50F9" w:rsidP="007B50F9">
      <w:pPr>
        <w:rPr>
          <w:sz w:val="20"/>
          <w:szCs w:val="20"/>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06700" w:rsidRPr="00BE6616" w:rsidTr="002E3508">
        <w:tc>
          <w:tcPr>
            <w:tcW w:w="5000" w:type="pct"/>
            <w:gridSpan w:val="3"/>
          </w:tcPr>
          <w:p w:rsidR="00C06700" w:rsidRPr="00BE6616" w:rsidRDefault="00C06700" w:rsidP="002E3508">
            <w:pPr>
              <w:jc w:val="both"/>
              <w:rPr>
                <w:rFonts w:eastAsia="Calibri"/>
                <w:sz w:val="20"/>
              </w:rPr>
            </w:pPr>
            <w:r w:rsidRPr="00BE6616">
              <w:rPr>
                <w:rFonts w:eastAsia="Calibri"/>
                <w:sz w:val="20"/>
              </w:rPr>
              <w:t xml:space="preserve">Civil procedure — Appeal — Leave to appeal — Motion to dismiss proceeding — Whether Superior Court erred in dismissing applicant’s defence and cross demand — Whether Court of Appeal should have granted leave to appeal — </w:t>
            </w:r>
            <w:r w:rsidRPr="00BE6616">
              <w:rPr>
                <w:rFonts w:eastAsia="Calibri"/>
                <w:i/>
                <w:sz w:val="20"/>
              </w:rPr>
              <w:t>Code of Civil Procedure</w:t>
            </w:r>
            <w:r w:rsidRPr="00BE6616">
              <w:rPr>
                <w:rFonts w:eastAsia="Calibri"/>
                <w:sz w:val="20"/>
              </w:rPr>
              <w:t>, R.S.Q., c. C</w:t>
            </w:r>
            <w:r w:rsidRPr="00BE6616">
              <w:rPr>
                <w:rFonts w:eastAsia="Calibri"/>
                <w:sz w:val="20"/>
              </w:rPr>
              <w:noBreakHyphen/>
              <w:t>25, arts. 26, 54.1 and 511.</w:t>
            </w:r>
          </w:p>
        </w:tc>
      </w:tr>
      <w:tr w:rsidR="00C06700" w:rsidRPr="00BE6616" w:rsidTr="002E3508">
        <w:tc>
          <w:tcPr>
            <w:tcW w:w="5000" w:type="pct"/>
            <w:gridSpan w:val="3"/>
          </w:tcPr>
          <w:p w:rsidR="00C06700" w:rsidRPr="00BE6616" w:rsidRDefault="00C06700" w:rsidP="002E3508">
            <w:pPr>
              <w:jc w:val="both"/>
              <w:rPr>
                <w:rFonts w:eastAsia="Calibri"/>
                <w:sz w:val="20"/>
              </w:rPr>
            </w:pPr>
          </w:p>
        </w:tc>
      </w:tr>
      <w:tr w:rsidR="00C06700" w:rsidRPr="00BE6616" w:rsidTr="002E3508">
        <w:tc>
          <w:tcPr>
            <w:tcW w:w="5000" w:type="pct"/>
            <w:gridSpan w:val="3"/>
          </w:tcPr>
          <w:p w:rsidR="00C06700" w:rsidRPr="00BE6616" w:rsidRDefault="00C06700" w:rsidP="002E3508">
            <w:pPr>
              <w:jc w:val="both"/>
              <w:rPr>
                <w:rFonts w:eastAsia="Calibri"/>
                <w:sz w:val="20"/>
              </w:rPr>
            </w:pPr>
            <w:r w:rsidRPr="00BE6616">
              <w:rPr>
                <w:rFonts w:eastAsia="Calibri"/>
                <w:sz w:val="20"/>
              </w:rPr>
              <w:t>The respondent bank brought a motion to institute proceedings against the applicant, Mr. Le, for forced surrender, sale by judicial authority and repayment of a hypothecary loan.  Mr. Le filed a defence and a cross demand.  During an examination, he admitted, among other things, that he had acted as a nominee for the purchase of the immovable in return for $2,500.  He also admitted that he had not seen the immovable prior to the purchase and had not negotiated the price.  The bank then requested that the defence and the cross demand be dismissed under arts. </w:t>
            </w:r>
            <w:proofErr w:type="gramStart"/>
            <w:r w:rsidRPr="00BE6616">
              <w:rPr>
                <w:rFonts w:eastAsia="Calibri"/>
                <w:sz w:val="20"/>
              </w:rPr>
              <w:t xml:space="preserve">54.1 </w:t>
            </w:r>
            <w:r w:rsidRPr="00BE6616">
              <w:rPr>
                <w:rFonts w:eastAsia="Calibri"/>
                <w:i/>
                <w:sz w:val="20"/>
              </w:rPr>
              <w:t>et seq.</w:t>
            </w:r>
            <w:r w:rsidRPr="00BE6616">
              <w:rPr>
                <w:rFonts w:eastAsia="Calibri"/>
                <w:sz w:val="20"/>
              </w:rPr>
              <w:t xml:space="preserve"> of the </w:t>
            </w:r>
            <w:r w:rsidRPr="00BE6616">
              <w:rPr>
                <w:rFonts w:eastAsia="Calibri"/>
                <w:i/>
                <w:sz w:val="20"/>
              </w:rPr>
              <w:t>Code of Civil Procedure</w:t>
            </w:r>
            <w:r w:rsidRPr="00BE6616">
              <w:rPr>
                <w:rFonts w:eastAsia="Calibri"/>
                <w:sz w:val="20"/>
              </w:rPr>
              <w:t xml:space="preserve"> and arts.</w:t>
            </w:r>
            <w:proofErr w:type="gramEnd"/>
            <w:r w:rsidRPr="00BE6616">
              <w:rPr>
                <w:rFonts w:eastAsia="Calibri"/>
                <w:sz w:val="20"/>
              </w:rPr>
              <w:t xml:space="preserve"> 1451 </w:t>
            </w:r>
            <w:r w:rsidRPr="00BE6616">
              <w:rPr>
                <w:rFonts w:eastAsia="Calibri"/>
                <w:i/>
                <w:sz w:val="20"/>
              </w:rPr>
              <w:t>et seq.</w:t>
            </w:r>
            <w:r w:rsidRPr="00BE6616">
              <w:rPr>
                <w:rFonts w:eastAsia="Calibri"/>
                <w:sz w:val="20"/>
              </w:rPr>
              <w:t xml:space="preserve"> of the </w:t>
            </w:r>
            <w:r w:rsidRPr="00BE6616">
              <w:rPr>
                <w:rFonts w:eastAsia="Calibri"/>
                <w:i/>
                <w:sz w:val="20"/>
              </w:rPr>
              <w:t>Civil Code of Québec</w:t>
            </w:r>
            <w:r w:rsidRPr="00BE6616">
              <w:rPr>
                <w:rFonts w:eastAsia="Calibri"/>
                <w:sz w:val="20"/>
              </w:rPr>
              <w:t>.  It alleged that the proceeding was improper and had no chance of success.</w:t>
            </w:r>
          </w:p>
          <w:p w:rsidR="00C06700" w:rsidRPr="00BE6616" w:rsidRDefault="00C06700" w:rsidP="002E3508">
            <w:pPr>
              <w:jc w:val="both"/>
              <w:rPr>
                <w:rFonts w:eastAsia="Calibri"/>
                <w:sz w:val="20"/>
              </w:rPr>
            </w:pPr>
          </w:p>
          <w:p w:rsidR="00C06700" w:rsidRPr="00BE6616" w:rsidRDefault="00C06700" w:rsidP="002E3508">
            <w:pPr>
              <w:jc w:val="both"/>
              <w:rPr>
                <w:rFonts w:eastAsia="Calibri"/>
                <w:sz w:val="20"/>
              </w:rPr>
            </w:pPr>
            <w:r w:rsidRPr="00BE6616">
              <w:rPr>
                <w:rFonts w:eastAsia="Calibri"/>
                <w:sz w:val="20"/>
              </w:rPr>
              <w:t xml:space="preserve">The Superior Court allowed the bank’s motion.  Goodwin J. concluded that Mr. Le’s proceeding was improper, dilatory and had no chance of success.  In particular, he noted that the facts alleged by Mr. Le did not form a basis for validly contesting the hypothecary action, since the third party representations relied on by Mr. Le could not be set up against the bank.  In addition, the cross demand had no relationship with the principal demand and would not involve the same mode of proof as the principal demand. </w:t>
            </w:r>
          </w:p>
          <w:p w:rsidR="00C06700" w:rsidRPr="00BE6616" w:rsidRDefault="00C06700" w:rsidP="002E3508">
            <w:pPr>
              <w:jc w:val="both"/>
              <w:rPr>
                <w:rFonts w:eastAsia="Calibri"/>
                <w:sz w:val="20"/>
              </w:rPr>
            </w:pPr>
          </w:p>
          <w:p w:rsidR="00C06700" w:rsidRPr="00BE6616" w:rsidRDefault="00C06700" w:rsidP="002E3508">
            <w:pPr>
              <w:jc w:val="both"/>
              <w:rPr>
                <w:rFonts w:eastAsia="Calibri"/>
                <w:sz w:val="20"/>
              </w:rPr>
            </w:pPr>
            <w:r w:rsidRPr="00BE6616">
              <w:rPr>
                <w:rFonts w:eastAsia="Calibri"/>
                <w:sz w:val="20"/>
              </w:rPr>
              <w:t>Chamberland J.A. of the Court of Appeal refused leave to appeal on the ground that an appeal would have no chance of success.  He noted that, [</w:t>
            </w:r>
            <w:r w:rsidRPr="00BE6616">
              <w:rPr>
                <w:rFonts w:eastAsia="Calibri"/>
                <w:smallCaps/>
                <w:sz w:val="20"/>
              </w:rPr>
              <w:t>translation</w:t>
            </w:r>
            <w:r w:rsidRPr="00BE6616">
              <w:rPr>
                <w:rFonts w:eastAsia="Calibri"/>
                <w:sz w:val="20"/>
              </w:rPr>
              <w:t>] “now that the matter has turned out badly, [Mr. Le] wants to reproach the bank for not uncovering the scheme to which he was a party” (para. 3).  He added that, in light of the information before him, the trial judge had correctly exercised his judicial discretion by refusing to hear two witnesses proposed by Mr. Le.</w:t>
            </w:r>
          </w:p>
          <w:p w:rsidR="00C06700" w:rsidRPr="00BE6616" w:rsidRDefault="00C06700" w:rsidP="002E3508">
            <w:pPr>
              <w:jc w:val="both"/>
              <w:rPr>
                <w:rFonts w:eastAsia="Calibri"/>
                <w:sz w:val="20"/>
              </w:rPr>
            </w:pPr>
          </w:p>
        </w:tc>
      </w:tr>
      <w:tr w:rsidR="00C06700" w:rsidRPr="00BE6616" w:rsidTr="002E3508">
        <w:tc>
          <w:tcPr>
            <w:tcW w:w="2427" w:type="pct"/>
          </w:tcPr>
          <w:p w:rsidR="00C06700" w:rsidRPr="00BE6616" w:rsidRDefault="00C06700" w:rsidP="002E3508">
            <w:pPr>
              <w:jc w:val="both"/>
              <w:rPr>
                <w:rFonts w:eastAsia="Calibri"/>
                <w:sz w:val="20"/>
              </w:rPr>
            </w:pPr>
            <w:r w:rsidRPr="00BE6616">
              <w:rPr>
                <w:rFonts w:eastAsia="Calibri"/>
                <w:sz w:val="20"/>
              </w:rPr>
              <w:lastRenderedPageBreak/>
              <w:t>February 25, 2011</w:t>
            </w:r>
          </w:p>
          <w:p w:rsidR="00C06700" w:rsidRPr="00BE6616" w:rsidRDefault="00C06700" w:rsidP="002E3508">
            <w:pPr>
              <w:jc w:val="both"/>
              <w:rPr>
                <w:rFonts w:eastAsia="Calibri"/>
                <w:sz w:val="20"/>
              </w:rPr>
            </w:pPr>
            <w:r w:rsidRPr="00BE6616">
              <w:rPr>
                <w:rFonts w:eastAsia="Calibri"/>
                <w:sz w:val="20"/>
              </w:rPr>
              <w:t>Quebec Superior Court</w:t>
            </w:r>
          </w:p>
          <w:p w:rsidR="00C06700" w:rsidRPr="00BE6616" w:rsidRDefault="00C06700" w:rsidP="002E3508">
            <w:pPr>
              <w:jc w:val="both"/>
              <w:rPr>
                <w:rFonts w:eastAsia="Calibri"/>
                <w:sz w:val="20"/>
              </w:rPr>
            </w:pPr>
            <w:r w:rsidRPr="00BE6616">
              <w:rPr>
                <w:rFonts w:eastAsia="Calibri"/>
                <w:sz w:val="20"/>
              </w:rPr>
              <w:t>(Goodwin J.)</w:t>
            </w:r>
          </w:p>
          <w:p w:rsidR="00C06700" w:rsidRPr="00BE6616" w:rsidRDefault="00C06700" w:rsidP="002E3508">
            <w:pPr>
              <w:jc w:val="both"/>
              <w:rPr>
                <w:rFonts w:eastAsia="Calibri"/>
                <w:sz w:val="20"/>
              </w:rPr>
            </w:pPr>
            <w:r w:rsidRPr="00BE6616">
              <w:rPr>
                <w:rFonts w:eastAsia="Calibri"/>
                <w:sz w:val="20"/>
              </w:rPr>
              <w:t>2011 QCCS 1099</w:t>
            </w:r>
          </w:p>
          <w:p w:rsidR="00C06700" w:rsidRPr="00BE6616" w:rsidRDefault="00C06700" w:rsidP="002E3508">
            <w:pPr>
              <w:jc w:val="both"/>
              <w:rPr>
                <w:rFonts w:eastAsia="Calibri"/>
                <w:sz w:val="20"/>
              </w:rPr>
            </w:pPr>
          </w:p>
        </w:tc>
        <w:tc>
          <w:tcPr>
            <w:tcW w:w="243" w:type="pct"/>
          </w:tcPr>
          <w:p w:rsidR="00C06700" w:rsidRPr="00BE6616" w:rsidRDefault="00C06700" w:rsidP="002E3508">
            <w:pPr>
              <w:jc w:val="both"/>
              <w:rPr>
                <w:rFonts w:eastAsia="Calibri"/>
                <w:sz w:val="20"/>
              </w:rPr>
            </w:pPr>
          </w:p>
        </w:tc>
        <w:tc>
          <w:tcPr>
            <w:tcW w:w="2330" w:type="pct"/>
          </w:tcPr>
          <w:p w:rsidR="00C06700" w:rsidRPr="00BE6616" w:rsidRDefault="00C06700" w:rsidP="002E3508">
            <w:pPr>
              <w:jc w:val="both"/>
              <w:rPr>
                <w:rFonts w:eastAsia="Calibri"/>
                <w:sz w:val="20"/>
              </w:rPr>
            </w:pPr>
            <w:r w:rsidRPr="00BE6616">
              <w:rPr>
                <w:rFonts w:eastAsia="Calibri"/>
                <w:sz w:val="20"/>
              </w:rPr>
              <w:t>Defence and cross demand dismissed</w:t>
            </w:r>
          </w:p>
          <w:p w:rsidR="00C06700" w:rsidRPr="00BE6616" w:rsidRDefault="00C06700" w:rsidP="002E3508">
            <w:pPr>
              <w:jc w:val="both"/>
              <w:rPr>
                <w:rFonts w:eastAsia="Calibri"/>
                <w:sz w:val="20"/>
              </w:rPr>
            </w:pPr>
          </w:p>
        </w:tc>
      </w:tr>
      <w:tr w:rsidR="00C06700" w:rsidRPr="00BE6616" w:rsidTr="002E3508">
        <w:tc>
          <w:tcPr>
            <w:tcW w:w="2427" w:type="pct"/>
          </w:tcPr>
          <w:p w:rsidR="00C06700" w:rsidRPr="00BE6616" w:rsidRDefault="00C06700" w:rsidP="002E3508">
            <w:pPr>
              <w:jc w:val="both"/>
              <w:rPr>
                <w:rFonts w:eastAsia="Calibri"/>
                <w:sz w:val="20"/>
              </w:rPr>
            </w:pPr>
            <w:r w:rsidRPr="00BE6616">
              <w:rPr>
                <w:rFonts w:eastAsia="Calibri"/>
                <w:sz w:val="20"/>
              </w:rPr>
              <w:t>April 27, 2011</w:t>
            </w:r>
          </w:p>
          <w:p w:rsidR="00C06700" w:rsidRPr="00BE6616" w:rsidRDefault="00C06700" w:rsidP="002E3508">
            <w:pPr>
              <w:jc w:val="both"/>
              <w:rPr>
                <w:rFonts w:eastAsia="Calibri"/>
                <w:sz w:val="20"/>
              </w:rPr>
            </w:pPr>
            <w:r w:rsidRPr="00BE6616">
              <w:rPr>
                <w:rFonts w:eastAsia="Calibri"/>
                <w:sz w:val="20"/>
              </w:rPr>
              <w:t>Quebec Court of Appeal (Montréal)</w:t>
            </w:r>
          </w:p>
          <w:p w:rsidR="00C06700" w:rsidRPr="00BE6616" w:rsidRDefault="00C06700" w:rsidP="002E3508">
            <w:pPr>
              <w:jc w:val="both"/>
              <w:rPr>
                <w:rFonts w:eastAsia="Calibri"/>
                <w:sz w:val="20"/>
              </w:rPr>
            </w:pPr>
            <w:r w:rsidRPr="00BE6616">
              <w:rPr>
                <w:rFonts w:eastAsia="Calibri"/>
                <w:sz w:val="20"/>
              </w:rPr>
              <w:t>(Chamberland J.A.)</w:t>
            </w:r>
          </w:p>
          <w:p w:rsidR="00C06700" w:rsidRPr="00BE6616" w:rsidRDefault="00C06700" w:rsidP="002E3508">
            <w:pPr>
              <w:jc w:val="both"/>
              <w:rPr>
                <w:rFonts w:eastAsia="Calibri"/>
                <w:sz w:val="20"/>
              </w:rPr>
            </w:pPr>
            <w:r w:rsidRPr="00BE6616">
              <w:rPr>
                <w:rFonts w:eastAsia="Calibri"/>
                <w:sz w:val="20"/>
              </w:rPr>
              <w:t>2011 QCCA 781; 500</w:t>
            </w:r>
            <w:r w:rsidRPr="00BE6616">
              <w:rPr>
                <w:rFonts w:eastAsia="Calibri"/>
                <w:sz w:val="20"/>
              </w:rPr>
              <w:noBreakHyphen/>
              <w:t>09</w:t>
            </w:r>
            <w:r w:rsidRPr="00BE6616">
              <w:rPr>
                <w:rFonts w:eastAsia="Calibri"/>
                <w:sz w:val="20"/>
              </w:rPr>
              <w:noBreakHyphen/>
              <w:t>021544</w:t>
            </w:r>
            <w:r w:rsidRPr="00BE6616">
              <w:rPr>
                <w:rFonts w:eastAsia="Calibri"/>
                <w:sz w:val="20"/>
              </w:rPr>
              <w:noBreakHyphen/>
              <w:t>119</w:t>
            </w:r>
          </w:p>
          <w:p w:rsidR="00C06700" w:rsidRPr="00BE6616" w:rsidRDefault="00C06700" w:rsidP="002E3508">
            <w:pPr>
              <w:jc w:val="both"/>
              <w:rPr>
                <w:rFonts w:eastAsia="Calibri"/>
                <w:sz w:val="20"/>
              </w:rPr>
            </w:pPr>
          </w:p>
        </w:tc>
        <w:tc>
          <w:tcPr>
            <w:tcW w:w="243" w:type="pct"/>
          </w:tcPr>
          <w:p w:rsidR="00C06700" w:rsidRPr="00BE6616" w:rsidRDefault="00C06700" w:rsidP="002E3508">
            <w:pPr>
              <w:jc w:val="both"/>
              <w:rPr>
                <w:rFonts w:eastAsia="Calibri"/>
                <w:sz w:val="20"/>
              </w:rPr>
            </w:pPr>
          </w:p>
        </w:tc>
        <w:tc>
          <w:tcPr>
            <w:tcW w:w="2330" w:type="pct"/>
          </w:tcPr>
          <w:p w:rsidR="00C06700" w:rsidRPr="00BE6616" w:rsidRDefault="00C06700" w:rsidP="002E3508">
            <w:pPr>
              <w:jc w:val="both"/>
              <w:rPr>
                <w:rFonts w:eastAsia="Calibri"/>
                <w:sz w:val="20"/>
              </w:rPr>
            </w:pPr>
            <w:r w:rsidRPr="00BE6616">
              <w:rPr>
                <w:rFonts w:eastAsia="Calibri"/>
                <w:sz w:val="20"/>
              </w:rPr>
              <w:t>Motion for leave to appeal dismissed</w:t>
            </w:r>
          </w:p>
          <w:p w:rsidR="00C06700" w:rsidRPr="00BE6616" w:rsidRDefault="00C06700" w:rsidP="002E3508">
            <w:pPr>
              <w:jc w:val="both"/>
              <w:rPr>
                <w:rFonts w:eastAsia="Calibri"/>
                <w:sz w:val="20"/>
              </w:rPr>
            </w:pPr>
          </w:p>
        </w:tc>
      </w:tr>
      <w:tr w:rsidR="00C06700" w:rsidRPr="00BE6616" w:rsidTr="002E3508">
        <w:tc>
          <w:tcPr>
            <w:tcW w:w="2427" w:type="pct"/>
          </w:tcPr>
          <w:p w:rsidR="00C06700" w:rsidRPr="00BE6616" w:rsidRDefault="00C06700" w:rsidP="002E3508">
            <w:pPr>
              <w:jc w:val="both"/>
              <w:rPr>
                <w:rFonts w:eastAsia="Calibri"/>
                <w:sz w:val="20"/>
              </w:rPr>
            </w:pPr>
            <w:r w:rsidRPr="00BE6616">
              <w:rPr>
                <w:rFonts w:eastAsia="Calibri"/>
                <w:sz w:val="20"/>
              </w:rPr>
              <w:t xml:space="preserve">June 24, 2011 </w:t>
            </w:r>
          </w:p>
          <w:p w:rsidR="00C06700" w:rsidRPr="00BE6616" w:rsidRDefault="00C06700" w:rsidP="002E3508">
            <w:pPr>
              <w:jc w:val="both"/>
              <w:rPr>
                <w:rFonts w:eastAsia="Calibri"/>
                <w:sz w:val="20"/>
              </w:rPr>
            </w:pPr>
            <w:r w:rsidRPr="00BE6616">
              <w:rPr>
                <w:rFonts w:eastAsia="Calibri"/>
                <w:sz w:val="20"/>
              </w:rPr>
              <w:t>Supreme Court of Canada</w:t>
            </w:r>
          </w:p>
        </w:tc>
        <w:tc>
          <w:tcPr>
            <w:tcW w:w="243" w:type="pct"/>
          </w:tcPr>
          <w:p w:rsidR="00C06700" w:rsidRPr="00BE6616" w:rsidRDefault="00C06700" w:rsidP="002E3508">
            <w:pPr>
              <w:jc w:val="both"/>
              <w:rPr>
                <w:rFonts w:eastAsia="Calibri"/>
                <w:sz w:val="20"/>
              </w:rPr>
            </w:pPr>
          </w:p>
        </w:tc>
        <w:tc>
          <w:tcPr>
            <w:tcW w:w="2330" w:type="pct"/>
          </w:tcPr>
          <w:p w:rsidR="00C06700" w:rsidRPr="00BE6616" w:rsidRDefault="00C06700" w:rsidP="002E3508">
            <w:pPr>
              <w:jc w:val="both"/>
              <w:rPr>
                <w:rFonts w:eastAsia="Calibri"/>
                <w:sz w:val="20"/>
              </w:rPr>
            </w:pPr>
            <w:r w:rsidRPr="00BE6616">
              <w:rPr>
                <w:rFonts w:eastAsia="Calibri"/>
                <w:sz w:val="20"/>
              </w:rPr>
              <w:t>Application for leave to appeal filed</w:t>
            </w: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105" style="width:2in;height:1pt" o:hrpct="0" o:hralign="center" o:hrstd="t" o:hrnoshade="t" o:hr="t" fillcolor="black [3213]" stroked="f"/>
        </w:pict>
      </w:r>
    </w:p>
    <w:p w:rsidR="007B50F9" w:rsidRDefault="007B50F9" w:rsidP="007B50F9">
      <w:pPr>
        <w:rPr>
          <w:sz w:val="20"/>
          <w:szCs w:val="20"/>
          <w:lang w:val="fr-CA"/>
        </w:rPr>
      </w:pPr>
    </w:p>
    <w:p w:rsidR="007B50F9" w:rsidRPr="007B50F9" w:rsidRDefault="007B50F9" w:rsidP="007B50F9">
      <w:pPr>
        <w:rPr>
          <w:sz w:val="20"/>
          <w:szCs w:val="20"/>
          <w:u w:val="single"/>
          <w:lang w:val="fr-CA"/>
        </w:rPr>
      </w:pPr>
      <w:r>
        <w:rPr>
          <w:sz w:val="20"/>
          <w:szCs w:val="20"/>
          <w:u w:val="single"/>
          <w:lang w:val="fr-CA"/>
        </w:rPr>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C06700" w:rsidRPr="004B3C1C" w:rsidTr="002E3508">
        <w:tc>
          <w:tcPr>
            <w:tcW w:w="5000" w:type="pct"/>
            <w:gridSpan w:val="3"/>
          </w:tcPr>
          <w:p w:rsidR="00C06700" w:rsidRPr="00BE6616" w:rsidRDefault="00C06700" w:rsidP="002E3508">
            <w:pPr>
              <w:jc w:val="both"/>
              <w:rPr>
                <w:rFonts w:eastAsia="Calibri"/>
                <w:sz w:val="20"/>
                <w:lang w:val="fr-CA"/>
              </w:rPr>
            </w:pPr>
            <w:r w:rsidRPr="00BE6616">
              <w:rPr>
                <w:rFonts w:eastAsia="Calibri"/>
                <w:sz w:val="20"/>
                <w:lang w:val="fr-CA"/>
              </w:rPr>
              <w:t>Procédure civile — Appel — Permission d’appel — Requête en rejet d’une procédure — La Cour supérieure a</w:t>
            </w:r>
            <w:r w:rsidRPr="00BE6616">
              <w:rPr>
                <w:rFonts w:eastAsia="Calibri"/>
                <w:sz w:val="20"/>
                <w:lang w:val="fr-CA"/>
              </w:rPr>
              <w:noBreakHyphen/>
              <w:t>t</w:t>
            </w:r>
            <w:r w:rsidRPr="00BE6616">
              <w:rPr>
                <w:rFonts w:eastAsia="Calibri"/>
                <w:sz w:val="20"/>
                <w:lang w:val="fr-CA"/>
              </w:rPr>
              <w:noBreakHyphen/>
              <w:t>elle fait erreur en rejetant la défense et demande reconventionnelle du demandeur? — La Cour d’appel aurait</w:t>
            </w:r>
            <w:r w:rsidRPr="00BE6616">
              <w:rPr>
                <w:rFonts w:eastAsia="Calibri"/>
                <w:sz w:val="20"/>
                <w:lang w:val="fr-CA"/>
              </w:rPr>
              <w:noBreakHyphen/>
              <w:t xml:space="preserve">elle dû permettre l’appel? — </w:t>
            </w:r>
            <w:r w:rsidRPr="00BE6616">
              <w:rPr>
                <w:rFonts w:eastAsia="Calibri"/>
                <w:i/>
                <w:sz w:val="20"/>
                <w:lang w:val="fr-CA"/>
              </w:rPr>
              <w:t>Code de procédure civile</w:t>
            </w:r>
            <w:r w:rsidRPr="00BE6616">
              <w:rPr>
                <w:rFonts w:eastAsia="Calibri"/>
                <w:sz w:val="20"/>
                <w:lang w:val="fr-CA"/>
              </w:rPr>
              <w:t>, L.R.Q., ch. C</w:t>
            </w:r>
            <w:r w:rsidRPr="00BE6616">
              <w:rPr>
                <w:rFonts w:eastAsia="Calibri"/>
                <w:sz w:val="20"/>
                <w:lang w:val="fr-CA"/>
              </w:rPr>
              <w:noBreakHyphen/>
              <w:t>25, art. 26, 54.1 et 511.</w:t>
            </w:r>
          </w:p>
        </w:tc>
      </w:tr>
      <w:tr w:rsidR="00C06700" w:rsidRPr="004B3C1C" w:rsidTr="002E3508">
        <w:tc>
          <w:tcPr>
            <w:tcW w:w="5000" w:type="pct"/>
            <w:gridSpan w:val="3"/>
          </w:tcPr>
          <w:p w:rsidR="00C06700" w:rsidRPr="00BE6616" w:rsidRDefault="00C06700" w:rsidP="002E3508">
            <w:pPr>
              <w:jc w:val="both"/>
              <w:rPr>
                <w:rFonts w:eastAsia="Calibri"/>
                <w:sz w:val="20"/>
                <w:lang w:val="fr-CA"/>
              </w:rPr>
            </w:pPr>
          </w:p>
        </w:tc>
      </w:tr>
      <w:tr w:rsidR="00C06700" w:rsidRPr="00F80A49" w:rsidTr="002E3508">
        <w:tc>
          <w:tcPr>
            <w:tcW w:w="5000" w:type="pct"/>
            <w:gridSpan w:val="3"/>
          </w:tcPr>
          <w:p w:rsidR="00C06700" w:rsidRPr="00BE6616" w:rsidRDefault="00C06700" w:rsidP="002E3508">
            <w:pPr>
              <w:jc w:val="both"/>
              <w:rPr>
                <w:rFonts w:eastAsia="Calibri"/>
                <w:sz w:val="20"/>
                <w:lang w:val="fr-CA"/>
              </w:rPr>
            </w:pPr>
            <w:r w:rsidRPr="00BE6616">
              <w:rPr>
                <w:rFonts w:eastAsia="Calibri"/>
                <w:sz w:val="20"/>
                <w:lang w:val="fr-CA"/>
              </w:rPr>
              <w:t>La banque intimée a institué une requête introductive d’instance en délaissement forcé, vente sous contrôle de justice et en remboursement d’un prêt hypothécaire contre le demandeur, M. Le.  Ce dernier a produit une défense et demande reconventionnelle.  Au cours d’un interrogatoire, M. </w:t>
            </w:r>
            <w:proofErr w:type="gramStart"/>
            <w:r w:rsidRPr="00BE6616">
              <w:rPr>
                <w:rFonts w:eastAsia="Calibri"/>
                <w:sz w:val="20"/>
                <w:lang w:val="fr-CA"/>
              </w:rPr>
              <w:t>Le a</w:t>
            </w:r>
            <w:proofErr w:type="gramEnd"/>
            <w:r w:rsidRPr="00BE6616">
              <w:rPr>
                <w:rFonts w:eastAsia="Calibri"/>
                <w:sz w:val="20"/>
                <w:lang w:val="fr-CA"/>
              </w:rPr>
              <w:t xml:space="preserve"> avoué, entre autres, avoir agi à titre de prête</w:t>
            </w:r>
            <w:r w:rsidRPr="00BE6616">
              <w:rPr>
                <w:rFonts w:eastAsia="Calibri"/>
                <w:sz w:val="20"/>
                <w:lang w:val="fr-CA"/>
              </w:rPr>
              <w:noBreakHyphen/>
              <w:t xml:space="preserve">nom pour l’achat de l’immeuble, contre rémunération de 2 500 $.  Il a aussi admis n’avoir pas vu l’immeuble avant l’achat et n’en avoir pas négocié le prix.  La banque a alors requis le rejet de la défense et demande reconventionnelle en vertu </w:t>
            </w:r>
            <w:proofErr w:type="gramStart"/>
            <w:r w:rsidRPr="00BE6616">
              <w:rPr>
                <w:rFonts w:eastAsia="Calibri"/>
                <w:sz w:val="20"/>
                <w:lang w:val="fr-CA"/>
              </w:rPr>
              <w:t>des art</w:t>
            </w:r>
            <w:proofErr w:type="gramEnd"/>
            <w:r w:rsidRPr="00BE6616">
              <w:rPr>
                <w:rFonts w:eastAsia="Calibri"/>
                <w:sz w:val="20"/>
                <w:lang w:val="fr-CA"/>
              </w:rPr>
              <w:t xml:space="preserve">. 54.1 et suivants du </w:t>
            </w:r>
            <w:r w:rsidRPr="00BE6616">
              <w:rPr>
                <w:rFonts w:eastAsia="Calibri"/>
                <w:i/>
                <w:sz w:val="20"/>
                <w:lang w:val="fr-CA"/>
              </w:rPr>
              <w:t>Code de procédure civile</w:t>
            </w:r>
            <w:r w:rsidRPr="00BE6616">
              <w:rPr>
                <w:rFonts w:eastAsia="Calibri"/>
                <w:sz w:val="20"/>
                <w:lang w:val="fr-CA"/>
              </w:rPr>
              <w:t xml:space="preserve"> et </w:t>
            </w:r>
            <w:proofErr w:type="gramStart"/>
            <w:r w:rsidRPr="00BE6616">
              <w:rPr>
                <w:rFonts w:eastAsia="Calibri"/>
                <w:sz w:val="20"/>
                <w:lang w:val="fr-CA"/>
              </w:rPr>
              <w:t>des art</w:t>
            </w:r>
            <w:proofErr w:type="gramEnd"/>
            <w:r w:rsidRPr="00BE6616">
              <w:rPr>
                <w:rFonts w:eastAsia="Calibri"/>
                <w:sz w:val="20"/>
                <w:lang w:val="fr-CA"/>
              </w:rPr>
              <w:t xml:space="preserve">. 1451 et suivants du </w:t>
            </w:r>
            <w:r w:rsidRPr="00BE6616">
              <w:rPr>
                <w:rFonts w:eastAsia="Calibri"/>
                <w:i/>
                <w:sz w:val="20"/>
                <w:lang w:val="fr-CA"/>
              </w:rPr>
              <w:t>Code civil du Québec</w:t>
            </w:r>
            <w:r w:rsidRPr="00BE6616">
              <w:rPr>
                <w:rFonts w:eastAsia="Calibri"/>
                <w:sz w:val="20"/>
                <w:lang w:val="fr-CA"/>
              </w:rPr>
              <w:t>.  Elle a allégué que la procédure était abusive et qu’elle n’avait aucune chance de succès.</w:t>
            </w:r>
          </w:p>
          <w:p w:rsidR="00C06700" w:rsidRPr="00BE6616" w:rsidRDefault="00C06700" w:rsidP="002E3508">
            <w:pPr>
              <w:jc w:val="both"/>
              <w:rPr>
                <w:rFonts w:eastAsia="Calibri"/>
                <w:sz w:val="20"/>
                <w:lang w:val="fr-CA"/>
              </w:rPr>
            </w:pPr>
          </w:p>
          <w:p w:rsidR="00C06700" w:rsidRPr="00BE6616" w:rsidRDefault="00C06700" w:rsidP="002E3508">
            <w:pPr>
              <w:jc w:val="both"/>
              <w:rPr>
                <w:rFonts w:eastAsia="Calibri"/>
                <w:sz w:val="20"/>
                <w:lang w:val="fr-CA"/>
              </w:rPr>
            </w:pPr>
            <w:r w:rsidRPr="00BE6616">
              <w:rPr>
                <w:rFonts w:eastAsia="Calibri"/>
                <w:sz w:val="20"/>
                <w:lang w:val="fr-CA"/>
              </w:rPr>
              <w:t xml:space="preserve">La Cour supérieure a accueilli la requête de la banque.  Le juge Goodwin a conclu que la procédure de M. Le était abusive, dilatoire, et qu’elle n’avait aucune chance de succès.  En particulier, il a souligné que les faits allégués par M. Le ne donnaient pas ouverture à une contestation valable de la demande hypothécaire, car les représentations de tiers invoquées par M. Le n’étaient pas opposables à la banque.  De plus, la demande reconventionnelle ne présente pas de connexité et ne procèderait pas par le même mode de preuve que la demande principale. </w:t>
            </w:r>
          </w:p>
          <w:p w:rsidR="00C06700" w:rsidRPr="00BE6616" w:rsidRDefault="00C06700" w:rsidP="002E3508">
            <w:pPr>
              <w:jc w:val="both"/>
              <w:rPr>
                <w:rFonts w:eastAsia="Calibri"/>
                <w:sz w:val="20"/>
                <w:lang w:val="fr-CA"/>
              </w:rPr>
            </w:pPr>
          </w:p>
          <w:p w:rsidR="00C06700" w:rsidRPr="00BE6616" w:rsidRDefault="00C06700" w:rsidP="002E3508">
            <w:pPr>
              <w:jc w:val="both"/>
              <w:rPr>
                <w:rFonts w:eastAsia="Calibri"/>
                <w:sz w:val="20"/>
                <w:lang w:val="fr-CA"/>
              </w:rPr>
            </w:pPr>
            <w:r w:rsidRPr="00BE6616">
              <w:rPr>
                <w:rFonts w:eastAsia="Calibri"/>
                <w:sz w:val="20"/>
                <w:lang w:val="fr-CA"/>
              </w:rPr>
              <w:t>Le juge Chamberland de la Cour d’appel a refusé la permission d’appel au motif qu’un appel n’aurait aucune chance de succès.  Il a souligné que « maintenant que l’affaire a mal tourné, [M. Le] voudrait faire reproche à la banque de ne pas avoir débusqué le stratagème dont il se faisait le complice » (par. 3).  Il a ajouté qu’à la lumière des informations dont il dispose, le juge de première instance a correctement exercé sa discrétion judiciaire en refusant d’entendre deux témoins proposés par M. Le.</w:t>
            </w:r>
          </w:p>
          <w:p w:rsidR="00C06700" w:rsidRPr="00BE6616" w:rsidRDefault="00C06700" w:rsidP="002E3508">
            <w:pPr>
              <w:jc w:val="both"/>
              <w:rPr>
                <w:rFonts w:eastAsia="Calibri"/>
                <w:sz w:val="20"/>
                <w:lang w:val="fr-CA"/>
              </w:rPr>
            </w:pPr>
          </w:p>
        </w:tc>
      </w:tr>
      <w:tr w:rsidR="00C06700" w:rsidRPr="00BE6616" w:rsidTr="002E3508">
        <w:tc>
          <w:tcPr>
            <w:tcW w:w="2427" w:type="pct"/>
          </w:tcPr>
          <w:p w:rsidR="00C06700" w:rsidRPr="00BE6616" w:rsidRDefault="00C06700" w:rsidP="002E3508">
            <w:pPr>
              <w:jc w:val="both"/>
              <w:rPr>
                <w:rFonts w:eastAsia="Calibri"/>
                <w:sz w:val="20"/>
                <w:lang w:val="fr-CA"/>
              </w:rPr>
            </w:pPr>
            <w:r w:rsidRPr="00BE6616">
              <w:rPr>
                <w:rFonts w:eastAsia="Calibri"/>
                <w:sz w:val="20"/>
                <w:lang w:val="fr-CA"/>
              </w:rPr>
              <w:t>Le 25 février 2011</w:t>
            </w:r>
          </w:p>
          <w:p w:rsidR="00C06700" w:rsidRPr="00BE6616" w:rsidRDefault="00C06700" w:rsidP="002E3508">
            <w:pPr>
              <w:jc w:val="both"/>
              <w:rPr>
                <w:rFonts w:eastAsia="Calibri"/>
                <w:sz w:val="20"/>
                <w:lang w:val="fr-CA"/>
              </w:rPr>
            </w:pPr>
            <w:r w:rsidRPr="00BE6616">
              <w:rPr>
                <w:rFonts w:eastAsia="Calibri"/>
                <w:sz w:val="20"/>
                <w:lang w:val="fr-CA"/>
              </w:rPr>
              <w:t>Cour supérieure du Québec</w:t>
            </w:r>
          </w:p>
          <w:p w:rsidR="00C06700" w:rsidRPr="00BE6616" w:rsidRDefault="00C06700" w:rsidP="002E3508">
            <w:pPr>
              <w:jc w:val="both"/>
              <w:rPr>
                <w:rFonts w:eastAsia="Calibri"/>
                <w:sz w:val="20"/>
                <w:lang w:val="fr-CA"/>
              </w:rPr>
            </w:pPr>
            <w:r w:rsidRPr="00BE6616">
              <w:rPr>
                <w:rFonts w:eastAsia="Calibri"/>
                <w:sz w:val="20"/>
                <w:lang w:val="fr-CA"/>
              </w:rPr>
              <w:t>(Le juge Goodwin)</w:t>
            </w:r>
          </w:p>
          <w:p w:rsidR="00C06700" w:rsidRPr="00BE6616" w:rsidRDefault="00C06700" w:rsidP="002E3508">
            <w:pPr>
              <w:jc w:val="both"/>
              <w:rPr>
                <w:rFonts w:eastAsia="Calibri"/>
                <w:sz w:val="20"/>
                <w:lang w:val="fr-CA"/>
              </w:rPr>
            </w:pPr>
            <w:r w:rsidRPr="00BE6616">
              <w:rPr>
                <w:rFonts w:eastAsia="Calibri"/>
                <w:sz w:val="20"/>
                <w:lang w:val="fr-CA"/>
              </w:rPr>
              <w:t>2011 QCCS 1099</w:t>
            </w:r>
          </w:p>
          <w:p w:rsidR="00C06700" w:rsidRPr="00BE6616" w:rsidRDefault="00C06700" w:rsidP="002E3508">
            <w:pPr>
              <w:jc w:val="both"/>
              <w:rPr>
                <w:rFonts w:eastAsia="Calibri"/>
                <w:sz w:val="20"/>
              </w:rPr>
            </w:pPr>
          </w:p>
        </w:tc>
        <w:tc>
          <w:tcPr>
            <w:tcW w:w="243" w:type="pct"/>
          </w:tcPr>
          <w:p w:rsidR="00C06700" w:rsidRPr="00BE6616" w:rsidRDefault="00C06700" w:rsidP="002E3508">
            <w:pPr>
              <w:jc w:val="both"/>
              <w:rPr>
                <w:rFonts w:eastAsia="Calibri"/>
                <w:sz w:val="20"/>
              </w:rPr>
            </w:pPr>
          </w:p>
        </w:tc>
        <w:tc>
          <w:tcPr>
            <w:tcW w:w="2330" w:type="pct"/>
          </w:tcPr>
          <w:p w:rsidR="00C06700" w:rsidRPr="00BE6616" w:rsidRDefault="00C06700" w:rsidP="002E3508">
            <w:pPr>
              <w:jc w:val="both"/>
              <w:rPr>
                <w:rFonts w:eastAsia="Calibri"/>
                <w:sz w:val="20"/>
                <w:lang w:val="fr-CA"/>
              </w:rPr>
            </w:pPr>
            <w:r w:rsidRPr="00BE6616">
              <w:rPr>
                <w:rFonts w:eastAsia="Calibri"/>
                <w:sz w:val="20"/>
                <w:lang w:val="fr-CA"/>
              </w:rPr>
              <w:t>Défense et demande reconventionnelle rejetées</w:t>
            </w:r>
          </w:p>
          <w:p w:rsidR="00C06700" w:rsidRPr="00BE6616" w:rsidRDefault="00C06700" w:rsidP="002E3508">
            <w:pPr>
              <w:jc w:val="both"/>
              <w:rPr>
                <w:rFonts w:eastAsia="Calibri"/>
                <w:sz w:val="20"/>
                <w:lang w:val="fr-CA"/>
              </w:rPr>
            </w:pPr>
          </w:p>
        </w:tc>
      </w:tr>
      <w:tr w:rsidR="00C06700" w:rsidRPr="00BE6616" w:rsidTr="00297F14">
        <w:trPr>
          <w:cantSplit/>
        </w:trPr>
        <w:tc>
          <w:tcPr>
            <w:tcW w:w="2427" w:type="pct"/>
          </w:tcPr>
          <w:p w:rsidR="00C06700" w:rsidRPr="00BE6616" w:rsidRDefault="00C06700" w:rsidP="002E3508">
            <w:pPr>
              <w:jc w:val="both"/>
              <w:rPr>
                <w:rFonts w:eastAsia="Calibri"/>
                <w:sz w:val="20"/>
                <w:lang w:val="fr-CA"/>
              </w:rPr>
            </w:pPr>
            <w:r w:rsidRPr="00BE6616">
              <w:rPr>
                <w:rFonts w:eastAsia="Calibri"/>
                <w:sz w:val="20"/>
                <w:lang w:val="fr-CA"/>
              </w:rPr>
              <w:lastRenderedPageBreak/>
              <w:t>Le 27 avril 2011</w:t>
            </w:r>
          </w:p>
          <w:p w:rsidR="00C06700" w:rsidRPr="00BE6616" w:rsidRDefault="00C06700" w:rsidP="002E3508">
            <w:pPr>
              <w:jc w:val="both"/>
              <w:rPr>
                <w:rFonts w:eastAsia="Calibri"/>
                <w:sz w:val="20"/>
                <w:lang w:val="fr-CA"/>
              </w:rPr>
            </w:pPr>
            <w:r w:rsidRPr="00BE6616">
              <w:rPr>
                <w:rFonts w:eastAsia="Calibri"/>
                <w:sz w:val="20"/>
                <w:lang w:val="fr-CA"/>
              </w:rPr>
              <w:t>Cour d’appel du Québec (Montréal)</w:t>
            </w:r>
          </w:p>
          <w:p w:rsidR="00C06700" w:rsidRPr="00BE6616" w:rsidRDefault="00C06700" w:rsidP="002E3508">
            <w:pPr>
              <w:jc w:val="both"/>
              <w:rPr>
                <w:rFonts w:eastAsia="Calibri"/>
                <w:sz w:val="20"/>
                <w:lang w:val="fr-CA"/>
              </w:rPr>
            </w:pPr>
            <w:r w:rsidRPr="00BE6616">
              <w:rPr>
                <w:rFonts w:eastAsia="Calibri"/>
                <w:sz w:val="20"/>
                <w:lang w:val="fr-CA"/>
              </w:rPr>
              <w:t>(Le juge Chamberland)</w:t>
            </w:r>
          </w:p>
          <w:p w:rsidR="00C06700" w:rsidRPr="00BE6616" w:rsidRDefault="00C06700" w:rsidP="002E3508">
            <w:pPr>
              <w:jc w:val="both"/>
              <w:rPr>
                <w:rFonts w:eastAsia="Calibri"/>
                <w:sz w:val="20"/>
                <w:lang w:val="fr-CA"/>
              </w:rPr>
            </w:pPr>
            <w:r w:rsidRPr="00BE6616">
              <w:rPr>
                <w:rFonts w:eastAsia="Calibri"/>
                <w:sz w:val="20"/>
                <w:lang w:val="fr-CA"/>
              </w:rPr>
              <w:t>2011 QCCA 781; 500</w:t>
            </w:r>
            <w:r w:rsidRPr="00BE6616">
              <w:rPr>
                <w:rFonts w:eastAsia="Calibri"/>
                <w:sz w:val="20"/>
                <w:lang w:val="fr-CA"/>
              </w:rPr>
              <w:noBreakHyphen/>
              <w:t>09</w:t>
            </w:r>
            <w:r w:rsidRPr="00BE6616">
              <w:rPr>
                <w:rFonts w:eastAsia="Calibri"/>
                <w:sz w:val="20"/>
                <w:lang w:val="fr-CA"/>
              </w:rPr>
              <w:noBreakHyphen/>
              <w:t>021544</w:t>
            </w:r>
            <w:r w:rsidRPr="00BE6616">
              <w:rPr>
                <w:rFonts w:eastAsia="Calibri"/>
                <w:sz w:val="20"/>
                <w:lang w:val="fr-CA"/>
              </w:rPr>
              <w:noBreakHyphen/>
              <w:t>119</w:t>
            </w:r>
          </w:p>
          <w:p w:rsidR="00C06700" w:rsidRPr="00BE6616" w:rsidRDefault="00C06700" w:rsidP="002E3508">
            <w:pPr>
              <w:jc w:val="both"/>
              <w:rPr>
                <w:rFonts w:eastAsia="Calibri"/>
                <w:sz w:val="20"/>
                <w:lang w:val="fr-CA"/>
              </w:rPr>
            </w:pPr>
          </w:p>
        </w:tc>
        <w:tc>
          <w:tcPr>
            <w:tcW w:w="243" w:type="pct"/>
          </w:tcPr>
          <w:p w:rsidR="00C06700" w:rsidRPr="00BE6616" w:rsidRDefault="00C06700" w:rsidP="002E3508">
            <w:pPr>
              <w:jc w:val="both"/>
              <w:rPr>
                <w:rFonts w:eastAsia="Calibri"/>
                <w:sz w:val="20"/>
                <w:lang w:val="fr-CA"/>
              </w:rPr>
            </w:pPr>
          </w:p>
        </w:tc>
        <w:tc>
          <w:tcPr>
            <w:tcW w:w="2330" w:type="pct"/>
          </w:tcPr>
          <w:p w:rsidR="00C06700" w:rsidRPr="00BE6616" w:rsidRDefault="00C06700" w:rsidP="002E3508">
            <w:pPr>
              <w:jc w:val="both"/>
              <w:rPr>
                <w:rFonts w:eastAsia="Calibri"/>
                <w:sz w:val="20"/>
                <w:lang w:val="fr-CA"/>
              </w:rPr>
            </w:pPr>
            <w:r w:rsidRPr="00BE6616">
              <w:rPr>
                <w:rFonts w:eastAsia="Calibri"/>
                <w:sz w:val="20"/>
                <w:lang w:val="fr-CA"/>
              </w:rPr>
              <w:t>Requête pour permission d'appeler rejetée</w:t>
            </w:r>
          </w:p>
          <w:p w:rsidR="00C06700" w:rsidRPr="00BE6616" w:rsidRDefault="00C06700" w:rsidP="002E3508">
            <w:pPr>
              <w:jc w:val="both"/>
              <w:rPr>
                <w:rFonts w:eastAsia="Calibri"/>
                <w:sz w:val="20"/>
                <w:lang w:val="fr-CA"/>
              </w:rPr>
            </w:pPr>
          </w:p>
        </w:tc>
      </w:tr>
      <w:tr w:rsidR="00C06700" w:rsidRPr="00BE6616" w:rsidTr="00297F14">
        <w:trPr>
          <w:cantSplit/>
        </w:trPr>
        <w:tc>
          <w:tcPr>
            <w:tcW w:w="2427" w:type="pct"/>
          </w:tcPr>
          <w:p w:rsidR="00C06700" w:rsidRPr="00BE6616" w:rsidRDefault="00C06700" w:rsidP="002E3508">
            <w:pPr>
              <w:jc w:val="both"/>
              <w:rPr>
                <w:rFonts w:eastAsia="Calibri"/>
                <w:sz w:val="20"/>
                <w:lang w:val="fr-CA"/>
              </w:rPr>
            </w:pPr>
            <w:r w:rsidRPr="00BE6616">
              <w:rPr>
                <w:rFonts w:eastAsia="Calibri"/>
                <w:sz w:val="20"/>
                <w:lang w:val="fr-CA"/>
              </w:rPr>
              <w:t xml:space="preserve">Le 24 juin 2011 </w:t>
            </w:r>
          </w:p>
          <w:p w:rsidR="00C06700" w:rsidRPr="00BE6616" w:rsidRDefault="00C06700" w:rsidP="002E3508">
            <w:pPr>
              <w:jc w:val="both"/>
              <w:rPr>
                <w:rFonts w:eastAsia="Calibri"/>
                <w:sz w:val="20"/>
                <w:lang w:val="fr-CA"/>
              </w:rPr>
            </w:pPr>
            <w:r w:rsidRPr="00BE6616">
              <w:rPr>
                <w:rFonts w:eastAsia="Calibri"/>
                <w:sz w:val="20"/>
                <w:lang w:val="fr-CA"/>
              </w:rPr>
              <w:t>Cour suprême du Canada</w:t>
            </w:r>
          </w:p>
        </w:tc>
        <w:tc>
          <w:tcPr>
            <w:tcW w:w="243" w:type="pct"/>
          </w:tcPr>
          <w:p w:rsidR="00C06700" w:rsidRPr="00BE6616" w:rsidRDefault="00C06700" w:rsidP="002E3508">
            <w:pPr>
              <w:jc w:val="both"/>
              <w:rPr>
                <w:rFonts w:eastAsia="Calibri"/>
                <w:sz w:val="20"/>
                <w:lang w:val="fr-CA"/>
              </w:rPr>
            </w:pPr>
          </w:p>
        </w:tc>
        <w:tc>
          <w:tcPr>
            <w:tcW w:w="2330" w:type="pct"/>
          </w:tcPr>
          <w:p w:rsidR="00C06700" w:rsidRPr="00BE6616" w:rsidRDefault="00C06700" w:rsidP="002E3508">
            <w:pPr>
              <w:jc w:val="both"/>
              <w:rPr>
                <w:rFonts w:eastAsia="Calibri"/>
                <w:sz w:val="20"/>
                <w:lang w:val="fr-CA"/>
              </w:rPr>
            </w:pPr>
            <w:r w:rsidRPr="00BE6616">
              <w:rPr>
                <w:rFonts w:eastAsia="Calibri"/>
                <w:sz w:val="20"/>
                <w:lang w:val="fr-CA"/>
              </w:rPr>
              <w:t>Demande d’autorisation d’appel déposée</w:t>
            </w: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106" style="width:2in;height:1pt" o:hrpct="0" o:hralign="center" o:hrstd="t" o:hrnoshade="t" o:hr="t" fillcolor="black [3213]" stroked="f"/>
        </w:pict>
      </w:r>
    </w:p>
    <w:p w:rsidR="007B50F9" w:rsidRDefault="007B50F9" w:rsidP="007B50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D0848" w:rsidRPr="007C3AB2" w:rsidTr="003D0848">
        <w:trPr>
          <w:cantSplit/>
        </w:trPr>
        <w:tc>
          <w:tcPr>
            <w:tcW w:w="1458" w:type="dxa"/>
          </w:tcPr>
          <w:p w:rsidR="003D0848" w:rsidRPr="007C3AB2" w:rsidRDefault="003D0848" w:rsidP="003D0848">
            <w:pPr>
              <w:rPr>
                <w:sz w:val="20"/>
                <w:szCs w:val="20"/>
              </w:rPr>
            </w:pPr>
            <w:r w:rsidRPr="007C3AB2">
              <w:rPr>
                <w:rStyle w:val="SCCFileNumberChar"/>
                <w:sz w:val="20"/>
                <w:szCs w:val="20"/>
              </w:rPr>
              <w:t>343</w:t>
            </w:r>
            <w:r>
              <w:rPr>
                <w:rStyle w:val="SCCFileNumberChar"/>
                <w:sz w:val="20"/>
                <w:szCs w:val="20"/>
              </w:rPr>
              <w:t>65</w:t>
            </w:r>
          </w:p>
          <w:p w:rsidR="003D0848" w:rsidRPr="007C3AB2" w:rsidRDefault="003D0848" w:rsidP="003D0848">
            <w:pPr>
              <w:rPr>
                <w:b/>
                <w:sz w:val="20"/>
                <w:szCs w:val="20"/>
                <w:lang w:val="fr-CA"/>
              </w:rPr>
            </w:pPr>
          </w:p>
        </w:tc>
        <w:tc>
          <w:tcPr>
            <w:tcW w:w="8118" w:type="dxa"/>
          </w:tcPr>
          <w:p w:rsidR="003D0848" w:rsidRDefault="003D0848" w:rsidP="00F16CEE">
            <w:pPr>
              <w:rPr>
                <w:rStyle w:val="SCCLsocChar"/>
                <w:sz w:val="20"/>
                <w:szCs w:val="20"/>
              </w:rPr>
            </w:pPr>
            <w:r w:rsidRPr="00F16CEE">
              <w:rPr>
                <w:rFonts w:eastAsia="Calibri"/>
                <w:b/>
                <w:sz w:val="20"/>
                <w:u w:val="single"/>
                <w:lang w:val="fr-CA"/>
              </w:rPr>
              <w:t>Composite Technologies et Innovation CTI inc. c. Baultar Concept inc.</w:t>
            </w:r>
            <w:r>
              <w:rPr>
                <w:rFonts w:eastAsia="Calibri"/>
                <w:b/>
                <w:sz w:val="20"/>
                <w:lang w:val="fr-CA"/>
              </w:rPr>
              <w:t xml:space="preserve"> </w:t>
            </w:r>
            <w:r w:rsidRPr="00BE6616">
              <w:rPr>
                <w:rFonts w:eastAsia="Calibri"/>
                <w:sz w:val="20"/>
              </w:rPr>
              <w:t>(Q</w:t>
            </w:r>
            <w:r>
              <w:rPr>
                <w:rFonts w:eastAsia="Calibri"/>
                <w:sz w:val="20"/>
              </w:rPr>
              <w:t>c</w:t>
            </w:r>
            <w:r w:rsidRPr="00BE6616">
              <w:rPr>
                <w:rFonts w:eastAsia="Calibri"/>
                <w:sz w:val="20"/>
              </w:rPr>
              <w:t>) (Civil</w:t>
            </w:r>
            <w:r>
              <w:rPr>
                <w:rFonts w:eastAsia="Calibri"/>
                <w:sz w:val="20"/>
              </w:rPr>
              <w:t>e</w:t>
            </w:r>
            <w:r w:rsidRPr="00BE6616">
              <w:rPr>
                <w:rFonts w:eastAsia="Calibri"/>
                <w:sz w:val="20"/>
              </w:rPr>
              <w:t>) (</w:t>
            </w:r>
            <w:r>
              <w:rPr>
                <w:rFonts w:eastAsia="Calibri"/>
                <w:sz w:val="20"/>
              </w:rPr>
              <w:t>Autorisation</w:t>
            </w:r>
            <w:r w:rsidRPr="00BE6616">
              <w:rPr>
                <w:rFonts w:eastAsia="Calibri"/>
                <w:sz w:val="20"/>
              </w:rPr>
              <w:t>)</w:t>
            </w:r>
          </w:p>
          <w:p w:rsidR="003D0848" w:rsidRPr="007C3AB2" w:rsidRDefault="003D0848" w:rsidP="003D0848">
            <w:pPr>
              <w:rPr>
                <w:sz w:val="20"/>
                <w:szCs w:val="20"/>
                <w:lang w:val="fr-CA"/>
              </w:rPr>
            </w:pPr>
          </w:p>
        </w:tc>
      </w:tr>
      <w:tr w:rsidR="003D0848" w:rsidRPr="00F80A49" w:rsidTr="003D0848">
        <w:trPr>
          <w:cantSplit/>
        </w:trPr>
        <w:tc>
          <w:tcPr>
            <w:tcW w:w="1458" w:type="dxa"/>
          </w:tcPr>
          <w:p w:rsidR="003D0848" w:rsidRPr="007C3AB2" w:rsidRDefault="003D0848" w:rsidP="003D0848">
            <w:pPr>
              <w:rPr>
                <w:sz w:val="20"/>
                <w:szCs w:val="20"/>
              </w:rPr>
            </w:pPr>
            <w:r w:rsidRPr="007C3AB2">
              <w:rPr>
                <w:sz w:val="20"/>
                <w:szCs w:val="20"/>
              </w:rPr>
              <w:t>Coram :</w:t>
            </w:r>
          </w:p>
        </w:tc>
        <w:tc>
          <w:tcPr>
            <w:tcW w:w="8118" w:type="dxa"/>
          </w:tcPr>
          <w:p w:rsidR="003D0848" w:rsidRDefault="00452C70" w:rsidP="003D0848">
            <w:pPr>
              <w:rPr>
                <w:sz w:val="20"/>
                <w:szCs w:val="20"/>
                <w:lang w:val="fr-CA"/>
              </w:rPr>
            </w:pPr>
            <w:r w:rsidRPr="00452C70">
              <w:rPr>
                <w:sz w:val="20"/>
                <w:szCs w:val="20"/>
                <w:lang w:val="fr-CA"/>
              </w:rPr>
              <w:t>Les juges LeBel, Fish et Cromwell</w:t>
            </w:r>
          </w:p>
          <w:p w:rsidR="00BD00D1" w:rsidRPr="00452C70" w:rsidRDefault="00BD00D1" w:rsidP="003D0848">
            <w:pPr>
              <w:rPr>
                <w:sz w:val="20"/>
                <w:szCs w:val="20"/>
                <w:u w:val="single"/>
                <w:lang w:val="fr-CA"/>
              </w:rPr>
            </w:pPr>
          </w:p>
        </w:tc>
      </w:tr>
      <w:tr w:rsidR="003D0848" w:rsidRPr="00452C70" w:rsidTr="003D0848">
        <w:trPr>
          <w:cantSplit/>
        </w:trPr>
        <w:tc>
          <w:tcPr>
            <w:tcW w:w="9576" w:type="dxa"/>
            <w:gridSpan w:val="2"/>
          </w:tcPr>
          <w:p w:rsidR="003D0848" w:rsidRPr="00452C70" w:rsidRDefault="00452C70" w:rsidP="003D0848">
            <w:pPr>
              <w:pStyle w:val="SCCShortJudgment"/>
              <w:rPr>
                <w:szCs w:val="20"/>
                <w:lang w:val="fr-CA"/>
              </w:rPr>
            </w:pPr>
            <w:r w:rsidRPr="00452C70">
              <w:rPr>
                <w:szCs w:val="20"/>
                <w:lang w:val="fr-CA"/>
              </w:rPr>
              <w:t>La demande d’autorisation d’appel de l’arrêt de la Cour d’appel du Québec (Montréal), numéro 500-09-020424-107, 2011 QCCA 837, daté du 5 mai 2011, est rejetée avec dépens.</w:t>
            </w:r>
          </w:p>
          <w:p w:rsidR="003D0848" w:rsidRPr="007C3AB2" w:rsidRDefault="003D0848" w:rsidP="003D0848">
            <w:pPr>
              <w:pStyle w:val="SCCShortJudgment"/>
              <w:ind w:firstLine="0"/>
              <w:rPr>
                <w:szCs w:val="20"/>
                <w:lang w:val="fr-CA"/>
              </w:rPr>
            </w:pPr>
          </w:p>
          <w:p w:rsidR="003D0848" w:rsidRPr="00452C70" w:rsidRDefault="00452C70" w:rsidP="003D0848">
            <w:pPr>
              <w:pStyle w:val="SCCShortJudgment"/>
              <w:rPr>
                <w:szCs w:val="20"/>
              </w:rPr>
            </w:pPr>
            <w:r w:rsidRPr="00862C57">
              <w:rPr>
                <w:szCs w:val="20"/>
              </w:rPr>
              <w:t xml:space="preserve">The application for leave to appeal from the judgment of the </w:t>
            </w:r>
            <w:r w:rsidRPr="00862C57">
              <w:rPr>
                <w:szCs w:val="20"/>
                <w:lang w:val="en-US"/>
              </w:rPr>
              <w:t>Court of Appeal of Quebec (Montréal)</w:t>
            </w:r>
            <w:r w:rsidRPr="00862C57">
              <w:rPr>
                <w:szCs w:val="20"/>
              </w:rPr>
              <w:t xml:space="preserve">, Number </w:t>
            </w:r>
            <w:r w:rsidRPr="00862C57">
              <w:rPr>
                <w:szCs w:val="20"/>
                <w:lang w:val="en-US"/>
              </w:rPr>
              <w:t>500-09-020424-107</w:t>
            </w:r>
            <w:r w:rsidRPr="00862C57">
              <w:rPr>
                <w:szCs w:val="20"/>
              </w:rPr>
              <w:t xml:space="preserve">, </w:t>
            </w:r>
            <w:r w:rsidRPr="00862C57">
              <w:rPr>
                <w:szCs w:val="20"/>
                <w:lang w:val="en-US"/>
              </w:rPr>
              <w:t xml:space="preserve">2011 QCCA 837, </w:t>
            </w:r>
            <w:r w:rsidRPr="00862C57">
              <w:rPr>
                <w:szCs w:val="20"/>
              </w:rPr>
              <w:t xml:space="preserve">dated </w:t>
            </w:r>
            <w:r w:rsidRPr="00862C57">
              <w:rPr>
                <w:szCs w:val="20"/>
                <w:lang w:val="en-US"/>
              </w:rPr>
              <w:t>May 5, 2011,</w:t>
            </w:r>
            <w:r w:rsidRPr="00862C57">
              <w:rPr>
                <w:szCs w:val="20"/>
              </w:rPr>
              <w:t xml:space="preserve"> is dismissed with costs.</w:t>
            </w:r>
          </w:p>
        </w:tc>
      </w:tr>
    </w:tbl>
    <w:p w:rsidR="007B50F9" w:rsidRPr="00452C70" w:rsidRDefault="007B50F9" w:rsidP="007B50F9">
      <w:pPr>
        <w:rPr>
          <w:sz w:val="20"/>
          <w:szCs w:val="20"/>
        </w:rPr>
      </w:pPr>
    </w:p>
    <w:p w:rsidR="007B50F9" w:rsidRPr="007B50F9" w:rsidRDefault="007B50F9" w:rsidP="007B50F9">
      <w:pPr>
        <w:rPr>
          <w:sz w:val="20"/>
          <w:szCs w:val="20"/>
        </w:rPr>
      </w:pPr>
      <w:r>
        <w:rPr>
          <w:sz w:val="20"/>
          <w:szCs w:val="20"/>
          <w:u w:val="single"/>
        </w:rPr>
        <w:t>CASE SUMMARY</w:t>
      </w:r>
    </w:p>
    <w:p w:rsidR="007B50F9" w:rsidRDefault="007B50F9" w:rsidP="007B50F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06700" w:rsidRPr="00BE6616" w:rsidTr="002E3508">
        <w:tc>
          <w:tcPr>
            <w:tcW w:w="5000" w:type="pct"/>
            <w:gridSpan w:val="3"/>
          </w:tcPr>
          <w:p w:rsidR="00C06700" w:rsidRPr="00BE6616" w:rsidRDefault="00C06700" w:rsidP="002E3508">
            <w:pPr>
              <w:jc w:val="both"/>
              <w:rPr>
                <w:rFonts w:eastAsia="Calibri"/>
                <w:sz w:val="20"/>
              </w:rPr>
            </w:pPr>
            <w:r w:rsidRPr="00BE6616">
              <w:rPr>
                <w:rFonts w:eastAsia="Calibri"/>
                <w:sz w:val="20"/>
              </w:rPr>
              <w:t>Contracts — Contract of enterprise or for services — Non</w:t>
            </w:r>
            <w:r w:rsidRPr="00BE6616">
              <w:rPr>
                <w:rFonts w:eastAsia="Calibri"/>
                <w:sz w:val="20"/>
              </w:rPr>
              <w:noBreakHyphen/>
              <w:t>performance or suspension of obligations — Allegation of late resiliation of contract for services — Whether Court of Appeal erred in concluding that performance of contract had been suspended by agreement of parties.</w:t>
            </w:r>
          </w:p>
        </w:tc>
      </w:tr>
      <w:tr w:rsidR="00C06700" w:rsidRPr="00BE6616" w:rsidTr="002E3508">
        <w:tc>
          <w:tcPr>
            <w:tcW w:w="5000" w:type="pct"/>
            <w:gridSpan w:val="3"/>
          </w:tcPr>
          <w:p w:rsidR="00C06700" w:rsidRPr="00BE6616" w:rsidRDefault="00C06700" w:rsidP="002E3508">
            <w:pPr>
              <w:jc w:val="both"/>
              <w:rPr>
                <w:rFonts w:eastAsia="Calibri"/>
                <w:sz w:val="20"/>
              </w:rPr>
            </w:pPr>
          </w:p>
        </w:tc>
      </w:tr>
      <w:tr w:rsidR="00C06700" w:rsidRPr="00BE6616" w:rsidTr="002E3508">
        <w:tc>
          <w:tcPr>
            <w:tcW w:w="5000" w:type="pct"/>
            <w:gridSpan w:val="3"/>
          </w:tcPr>
          <w:p w:rsidR="00C06700" w:rsidRPr="00BE6616" w:rsidRDefault="00C06700" w:rsidP="002E3508">
            <w:pPr>
              <w:jc w:val="both"/>
              <w:rPr>
                <w:rFonts w:eastAsia="Calibri"/>
                <w:sz w:val="20"/>
              </w:rPr>
            </w:pPr>
            <w:r w:rsidRPr="00BE6616">
              <w:rPr>
                <w:rFonts w:eastAsia="Calibri"/>
                <w:sz w:val="20"/>
              </w:rPr>
              <w:t>In early 2005, the parties entered into a contract under which the applicant was to develop a product for the respondent.  Their collaboration was suspended the following March.  In the fall of 2006, the opening of a position with the respondent revived the question of the initial contract.  The respondent indicated at that time that any contractual relationship had been terminated.  The applicant claimed payment for the hours of work provided for in the contract, which it believed had remained in effect in the meantime.</w:t>
            </w:r>
          </w:p>
          <w:p w:rsidR="00C06700" w:rsidRPr="00BE6616" w:rsidRDefault="00C06700" w:rsidP="002E3508">
            <w:pPr>
              <w:jc w:val="both"/>
              <w:rPr>
                <w:rFonts w:eastAsia="Calibri"/>
                <w:sz w:val="20"/>
              </w:rPr>
            </w:pPr>
          </w:p>
        </w:tc>
      </w:tr>
      <w:tr w:rsidR="00C06700" w:rsidRPr="00BE6616" w:rsidTr="002E3508">
        <w:tc>
          <w:tcPr>
            <w:tcW w:w="2427" w:type="pct"/>
          </w:tcPr>
          <w:p w:rsidR="00C06700" w:rsidRPr="00BE6616" w:rsidRDefault="00C06700" w:rsidP="002E3508">
            <w:pPr>
              <w:jc w:val="both"/>
              <w:rPr>
                <w:rFonts w:eastAsia="Calibri"/>
                <w:sz w:val="20"/>
              </w:rPr>
            </w:pPr>
            <w:r w:rsidRPr="00BE6616">
              <w:rPr>
                <w:rFonts w:eastAsia="Calibri"/>
                <w:sz w:val="20"/>
              </w:rPr>
              <w:t>January 11, 2010</w:t>
            </w:r>
          </w:p>
          <w:p w:rsidR="00C06700" w:rsidRPr="00BE6616" w:rsidRDefault="00C06700" w:rsidP="002E3508">
            <w:pPr>
              <w:jc w:val="both"/>
              <w:rPr>
                <w:rFonts w:eastAsia="Calibri"/>
                <w:sz w:val="20"/>
              </w:rPr>
            </w:pPr>
            <w:r w:rsidRPr="00BE6616">
              <w:rPr>
                <w:rFonts w:eastAsia="Calibri"/>
                <w:sz w:val="20"/>
              </w:rPr>
              <w:t>Court of Québec</w:t>
            </w:r>
          </w:p>
          <w:p w:rsidR="00C06700" w:rsidRPr="00BE6616" w:rsidRDefault="00C06700" w:rsidP="002E3508">
            <w:pPr>
              <w:jc w:val="both"/>
              <w:rPr>
                <w:rFonts w:eastAsia="Calibri"/>
                <w:sz w:val="20"/>
              </w:rPr>
            </w:pPr>
            <w:r w:rsidRPr="00BE6616">
              <w:rPr>
                <w:rFonts w:eastAsia="Calibri"/>
                <w:sz w:val="20"/>
              </w:rPr>
              <w:t>(Judge Théroux)</w:t>
            </w:r>
          </w:p>
          <w:p w:rsidR="00C06700" w:rsidRPr="00BE6616" w:rsidRDefault="00C06700" w:rsidP="002E3508">
            <w:pPr>
              <w:jc w:val="both"/>
              <w:rPr>
                <w:rFonts w:eastAsia="Calibri"/>
                <w:sz w:val="20"/>
              </w:rPr>
            </w:pPr>
            <w:r w:rsidRPr="00BE6616">
              <w:rPr>
                <w:rFonts w:eastAsia="Calibri"/>
                <w:sz w:val="20"/>
              </w:rPr>
              <w:t>Neutral citation: 2010 QCCQ 529</w:t>
            </w:r>
          </w:p>
          <w:p w:rsidR="00C06700" w:rsidRPr="00BE6616" w:rsidRDefault="00C06700" w:rsidP="002E3508">
            <w:pPr>
              <w:jc w:val="both"/>
              <w:rPr>
                <w:rFonts w:eastAsia="Calibri"/>
                <w:sz w:val="20"/>
              </w:rPr>
            </w:pPr>
          </w:p>
        </w:tc>
        <w:tc>
          <w:tcPr>
            <w:tcW w:w="243" w:type="pct"/>
          </w:tcPr>
          <w:p w:rsidR="00C06700" w:rsidRPr="00BE6616" w:rsidRDefault="00C06700" w:rsidP="002E3508">
            <w:pPr>
              <w:jc w:val="both"/>
              <w:rPr>
                <w:rFonts w:eastAsia="Calibri"/>
                <w:sz w:val="20"/>
              </w:rPr>
            </w:pPr>
          </w:p>
        </w:tc>
        <w:tc>
          <w:tcPr>
            <w:tcW w:w="2330" w:type="pct"/>
          </w:tcPr>
          <w:p w:rsidR="00C06700" w:rsidRPr="00BE6616" w:rsidRDefault="00C06700" w:rsidP="002E3508">
            <w:pPr>
              <w:jc w:val="both"/>
              <w:rPr>
                <w:rFonts w:eastAsia="Calibri"/>
                <w:sz w:val="20"/>
              </w:rPr>
            </w:pPr>
            <w:r w:rsidRPr="00BE6616">
              <w:rPr>
                <w:rFonts w:eastAsia="Calibri"/>
                <w:sz w:val="20"/>
              </w:rPr>
              <w:t>Applicant’s action allowed; respondent condemned to pay applicant $55,902 in salary</w:t>
            </w:r>
          </w:p>
          <w:p w:rsidR="00C06700" w:rsidRPr="00BE6616" w:rsidRDefault="00C06700" w:rsidP="002E3508">
            <w:pPr>
              <w:jc w:val="both"/>
              <w:rPr>
                <w:rFonts w:eastAsia="Calibri"/>
                <w:sz w:val="20"/>
              </w:rPr>
            </w:pPr>
          </w:p>
          <w:p w:rsidR="00C06700" w:rsidRPr="00BE6616" w:rsidRDefault="00C06700" w:rsidP="002E3508">
            <w:pPr>
              <w:jc w:val="both"/>
              <w:rPr>
                <w:rFonts w:eastAsia="Calibri"/>
                <w:sz w:val="20"/>
              </w:rPr>
            </w:pPr>
          </w:p>
        </w:tc>
      </w:tr>
      <w:tr w:rsidR="00C06700" w:rsidRPr="00BE6616" w:rsidTr="002E3508">
        <w:tc>
          <w:tcPr>
            <w:tcW w:w="2427" w:type="pct"/>
          </w:tcPr>
          <w:p w:rsidR="00C06700" w:rsidRPr="00BE6616" w:rsidRDefault="00C06700" w:rsidP="002E3508">
            <w:pPr>
              <w:jc w:val="both"/>
              <w:rPr>
                <w:rFonts w:eastAsia="Calibri"/>
                <w:sz w:val="20"/>
              </w:rPr>
            </w:pPr>
            <w:r w:rsidRPr="00BE6616">
              <w:rPr>
                <w:rFonts w:eastAsia="Calibri"/>
                <w:sz w:val="20"/>
              </w:rPr>
              <w:t>May 5, 2011</w:t>
            </w:r>
          </w:p>
          <w:p w:rsidR="00C06700" w:rsidRPr="00BE6616" w:rsidRDefault="00C06700" w:rsidP="002E3508">
            <w:pPr>
              <w:jc w:val="both"/>
              <w:rPr>
                <w:rFonts w:eastAsia="Calibri"/>
                <w:sz w:val="20"/>
              </w:rPr>
            </w:pPr>
            <w:r w:rsidRPr="00BE6616">
              <w:rPr>
                <w:rFonts w:eastAsia="Calibri"/>
                <w:sz w:val="20"/>
              </w:rPr>
              <w:t>Quebec Court of Appeal (Montréal)</w:t>
            </w:r>
          </w:p>
          <w:p w:rsidR="00C06700" w:rsidRPr="00BE6616" w:rsidRDefault="00C06700" w:rsidP="002E3508">
            <w:pPr>
              <w:jc w:val="both"/>
              <w:rPr>
                <w:rFonts w:eastAsia="Calibri"/>
                <w:sz w:val="20"/>
              </w:rPr>
            </w:pPr>
            <w:r w:rsidRPr="00BE6616">
              <w:rPr>
                <w:rFonts w:eastAsia="Calibri"/>
                <w:sz w:val="20"/>
              </w:rPr>
              <w:t>(Dalphond, Hilton and Dutil JJ.A.)</w:t>
            </w:r>
          </w:p>
          <w:p w:rsidR="00C06700" w:rsidRPr="00BE6616" w:rsidRDefault="00C06700" w:rsidP="002E3508">
            <w:pPr>
              <w:jc w:val="both"/>
              <w:rPr>
                <w:rFonts w:eastAsia="Calibri"/>
                <w:sz w:val="20"/>
              </w:rPr>
            </w:pPr>
            <w:r w:rsidRPr="00BE6616">
              <w:rPr>
                <w:rFonts w:eastAsia="Calibri"/>
                <w:sz w:val="20"/>
              </w:rPr>
              <w:t>Neutral citation: 2011 QCCA 837</w:t>
            </w:r>
          </w:p>
          <w:p w:rsidR="00C06700" w:rsidRPr="00BE6616" w:rsidRDefault="00C06700" w:rsidP="002E3508">
            <w:pPr>
              <w:jc w:val="both"/>
              <w:rPr>
                <w:rFonts w:eastAsia="Calibri"/>
                <w:sz w:val="20"/>
              </w:rPr>
            </w:pPr>
          </w:p>
        </w:tc>
        <w:tc>
          <w:tcPr>
            <w:tcW w:w="243" w:type="pct"/>
          </w:tcPr>
          <w:p w:rsidR="00C06700" w:rsidRPr="00BE6616" w:rsidRDefault="00C06700" w:rsidP="002E3508">
            <w:pPr>
              <w:jc w:val="both"/>
              <w:rPr>
                <w:rFonts w:eastAsia="Calibri"/>
                <w:sz w:val="20"/>
              </w:rPr>
            </w:pPr>
          </w:p>
        </w:tc>
        <w:tc>
          <w:tcPr>
            <w:tcW w:w="2330" w:type="pct"/>
          </w:tcPr>
          <w:p w:rsidR="00C06700" w:rsidRPr="00BE6616" w:rsidRDefault="00C06700" w:rsidP="002E3508">
            <w:pPr>
              <w:jc w:val="both"/>
              <w:rPr>
                <w:rFonts w:eastAsia="Calibri"/>
                <w:sz w:val="20"/>
              </w:rPr>
            </w:pPr>
            <w:r w:rsidRPr="00BE6616">
              <w:rPr>
                <w:rFonts w:eastAsia="Calibri"/>
                <w:sz w:val="20"/>
              </w:rPr>
              <w:t>Appeal allowed; applicant’s action dismissed</w:t>
            </w:r>
          </w:p>
        </w:tc>
      </w:tr>
      <w:tr w:rsidR="00C06700" w:rsidRPr="00BE6616" w:rsidTr="002E3508">
        <w:tc>
          <w:tcPr>
            <w:tcW w:w="2427" w:type="pct"/>
          </w:tcPr>
          <w:p w:rsidR="00C06700" w:rsidRPr="00BE6616" w:rsidRDefault="00C06700" w:rsidP="002E3508">
            <w:pPr>
              <w:jc w:val="both"/>
              <w:rPr>
                <w:rFonts w:eastAsia="Calibri"/>
                <w:sz w:val="20"/>
              </w:rPr>
            </w:pPr>
            <w:r w:rsidRPr="00BE6616">
              <w:rPr>
                <w:rFonts w:eastAsia="Calibri"/>
                <w:sz w:val="20"/>
              </w:rPr>
              <w:t>August 2, 2011</w:t>
            </w:r>
          </w:p>
          <w:p w:rsidR="00C06700" w:rsidRPr="00BE6616" w:rsidRDefault="00C06700" w:rsidP="002E3508">
            <w:pPr>
              <w:jc w:val="both"/>
              <w:rPr>
                <w:rFonts w:eastAsia="Calibri"/>
                <w:sz w:val="20"/>
              </w:rPr>
            </w:pPr>
            <w:r w:rsidRPr="00BE6616">
              <w:rPr>
                <w:rFonts w:eastAsia="Calibri"/>
                <w:sz w:val="20"/>
              </w:rPr>
              <w:t>Supreme Court of Canada</w:t>
            </w:r>
          </w:p>
        </w:tc>
        <w:tc>
          <w:tcPr>
            <w:tcW w:w="243" w:type="pct"/>
          </w:tcPr>
          <w:p w:rsidR="00C06700" w:rsidRPr="00BE6616" w:rsidRDefault="00C06700" w:rsidP="002E3508">
            <w:pPr>
              <w:jc w:val="both"/>
              <w:rPr>
                <w:rFonts w:eastAsia="Calibri"/>
                <w:sz w:val="20"/>
              </w:rPr>
            </w:pPr>
          </w:p>
        </w:tc>
        <w:tc>
          <w:tcPr>
            <w:tcW w:w="2330" w:type="pct"/>
          </w:tcPr>
          <w:p w:rsidR="00C06700" w:rsidRPr="00BE6616" w:rsidRDefault="00C06700" w:rsidP="002E3508">
            <w:pPr>
              <w:jc w:val="both"/>
              <w:rPr>
                <w:rFonts w:eastAsia="Calibri"/>
                <w:sz w:val="20"/>
              </w:rPr>
            </w:pPr>
            <w:r w:rsidRPr="00BE6616">
              <w:rPr>
                <w:rFonts w:eastAsia="Calibri"/>
                <w:sz w:val="20"/>
              </w:rPr>
              <w:t>Application for leave to appeal filed</w:t>
            </w:r>
          </w:p>
          <w:p w:rsidR="00C06700" w:rsidRPr="00BE6616" w:rsidRDefault="00C06700" w:rsidP="002E3508">
            <w:pPr>
              <w:jc w:val="both"/>
              <w:rPr>
                <w:rFonts w:eastAsia="Calibri"/>
                <w:sz w:val="20"/>
              </w:rPr>
            </w:pPr>
          </w:p>
        </w:tc>
      </w:tr>
    </w:tbl>
    <w:p w:rsidR="007B50F9" w:rsidRDefault="007B50F9" w:rsidP="007B50F9">
      <w:pPr>
        <w:rPr>
          <w:sz w:val="20"/>
          <w:szCs w:val="20"/>
        </w:rPr>
      </w:pPr>
    </w:p>
    <w:p w:rsidR="007B50F9" w:rsidRDefault="004D21E4" w:rsidP="007B50F9">
      <w:pPr>
        <w:rPr>
          <w:sz w:val="20"/>
          <w:szCs w:val="20"/>
          <w:lang w:val="fr-CA"/>
        </w:rPr>
      </w:pPr>
      <w:r w:rsidRPr="004D21E4">
        <w:rPr>
          <w:sz w:val="20"/>
          <w:szCs w:val="20"/>
          <w:lang w:val="fr-CA"/>
        </w:rPr>
        <w:pict>
          <v:rect id="_x0000_i1107" style="width:2in;height:1pt" o:hrpct="0" o:hralign="center" o:hrstd="t" o:hrnoshade="t" o:hr="t" fillcolor="black [3213]" stroked="f"/>
        </w:pict>
      </w:r>
    </w:p>
    <w:p w:rsidR="007B50F9" w:rsidRDefault="007B50F9" w:rsidP="007B50F9">
      <w:pPr>
        <w:rPr>
          <w:sz w:val="20"/>
          <w:szCs w:val="20"/>
          <w:lang w:val="fr-CA"/>
        </w:rPr>
      </w:pPr>
    </w:p>
    <w:p w:rsidR="00B84801" w:rsidRDefault="00B84801">
      <w:pPr>
        <w:rPr>
          <w:sz w:val="20"/>
          <w:szCs w:val="20"/>
          <w:u w:val="single"/>
          <w:lang w:val="fr-CA"/>
        </w:rPr>
      </w:pPr>
      <w:r>
        <w:rPr>
          <w:sz w:val="20"/>
          <w:szCs w:val="20"/>
          <w:u w:val="single"/>
          <w:lang w:val="fr-CA"/>
        </w:rPr>
        <w:br w:type="page"/>
      </w:r>
    </w:p>
    <w:p w:rsidR="007B50F9" w:rsidRPr="007B50F9" w:rsidRDefault="007B50F9" w:rsidP="007B50F9">
      <w:pPr>
        <w:rPr>
          <w:sz w:val="20"/>
          <w:szCs w:val="20"/>
          <w:u w:val="single"/>
          <w:lang w:val="fr-CA"/>
        </w:rPr>
      </w:pPr>
      <w:r>
        <w:rPr>
          <w:sz w:val="20"/>
          <w:szCs w:val="20"/>
          <w:u w:val="single"/>
          <w:lang w:val="fr-CA"/>
        </w:rPr>
        <w:lastRenderedPageBreak/>
        <w:t>RÉSUMÉ DE L’AFFAIRE</w:t>
      </w:r>
    </w:p>
    <w:p w:rsidR="007B50F9" w:rsidRDefault="007B50F9" w:rsidP="007B50F9">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C06700" w:rsidRPr="00F80A49" w:rsidTr="002E3508">
        <w:tc>
          <w:tcPr>
            <w:tcW w:w="5000" w:type="pct"/>
            <w:gridSpan w:val="3"/>
          </w:tcPr>
          <w:p w:rsidR="00C06700" w:rsidRPr="00BE6616" w:rsidRDefault="00C06700" w:rsidP="002E3508">
            <w:pPr>
              <w:jc w:val="both"/>
              <w:rPr>
                <w:rFonts w:eastAsia="Calibri"/>
                <w:sz w:val="20"/>
                <w:lang w:val="fr-FR"/>
              </w:rPr>
            </w:pPr>
            <w:r w:rsidRPr="00BE6616">
              <w:rPr>
                <w:rFonts w:eastAsia="Calibri"/>
                <w:sz w:val="20"/>
                <w:lang w:val="fr-CA"/>
              </w:rPr>
              <w:t>Contrats — Contrat d’entreprise ou de services — Inexécution ou suspension des obligations — Allégation de résiliation tardive d’un contrat de services — La Cour d’appel a</w:t>
            </w:r>
            <w:r w:rsidRPr="00BE6616">
              <w:rPr>
                <w:rFonts w:eastAsia="Calibri"/>
                <w:sz w:val="20"/>
                <w:lang w:val="fr-CA"/>
              </w:rPr>
              <w:noBreakHyphen/>
              <w:t>t</w:t>
            </w:r>
            <w:r w:rsidRPr="00BE6616">
              <w:rPr>
                <w:rFonts w:eastAsia="Calibri"/>
                <w:sz w:val="20"/>
                <w:lang w:val="fr-CA"/>
              </w:rPr>
              <w:noBreakHyphen/>
              <w:t>elle conclu à tort que l’exécution du contrat avait été suspendue de l’accord des parties?</w:t>
            </w:r>
          </w:p>
        </w:tc>
      </w:tr>
      <w:tr w:rsidR="00C06700" w:rsidRPr="00F80A49" w:rsidTr="002E3508">
        <w:tc>
          <w:tcPr>
            <w:tcW w:w="5000" w:type="pct"/>
            <w:gridSpan w:val="3"/>
          </w:tcPr>
          <w:p w:rsidR="00C06700" w:rsidRPr="00BE6616" w:rsidRDefault="00C06700" w:rsidP="002E3508">
            <w:pPr>
              <w:jc w:val="both"/>
              <w:rPr>
                <w:rFonts w:eastAsia="Calibri"/>
                <w:sz w:val="20"/>
                <w:lang w:val="fr-CA"/>
              </w:rPr>
            </w:pPr>
          </w:p>
        </w:tc>
      </w:tr>
      <w:tr w:rsidR="00C06700" w:rsidRPr="00F80A49" w:rsidTr="002E3508">
        <w:tc>
          <w:tcPr>
            <w:tcW w:w="5000" w:type="pct"/>
            <w:gridSpan w:val="3"/>
          </w:tcPr>
          <w:p w:rsidR="00C06700" w:rsidRPr="00BE6616" w:rsidRDefault="00C06700" w:rsidP="002E3508">
            <w:pPr>
              <w:jc w:val="both"/>
              <w:rPr>
                <w:rFonts w:eastAsia="Calibri"/>
                <w:sz w:val="20"/>
                <w:lang w:val="fr-CA"/>
              </w:rPr>
            </w:pPr>
            <w:r w:rsidRPr="00BE6616">
              <w:rPr>
                <w:rFonts w:eastAsia="Calibri"/>
                <w:sz w:val="20"/>
                <w:lang w:val="fr-CA"/>
              </w:rPr>
              <w:t>Au début de 2005, les parties ont conclu un contrat par lequel la demanderesse développe un produit pour le bénéfice de l’intimée. La collaboration est suspendue en mars suivant.  À l’automne 2006, l’ouverture d’un poste chez l’intimée relance la question du contrat initial.  L’intimée indique alors que tout lien contractuel est rompu.  La demanderesse réclame le paiement des heures de travail prévues par le contrat, qu’elle considère être resté en vigueur dans l’intervalle.</w:t>
            </w:r>
          </w:p>
          <w:p w:rsidR="00C06700" w:rsidRPr="00BE6616" w:rsidRDefault="00C06700" w:rsidP="002E3508">
            <w:pPr>
              <w:jc w:val="both"/>
              <w:rPr>
                <w:rFonts w:eastAsia="Calibri"/>
                <w:sz w:val="20"/>
                <w:lang w:val="fr-CA"/>
              </w:rPr>
            </w:pPr>
          </w:p>
        </w:tc>
      </w:tr>
      <w:tr w:rsidR="00C06700" w:rsidRPr="00F80A49" w:rsidTr="002E3508">
        <w:tc>
          <w:tcPr>
            <w:tcW w:w="2427" w:type="pct"/>
          </w:tcPr>
          <w:p w:rsidR="00C06700" w:rsidRPr="00BE6616" w:rsidRDefault="00C06700" w:rsidP="002E3508">
            <w:pPr>
              <w:jc w:val="both"/>
              <w:rPr>
                <w:rFonts w:eastAsia="Calibri"/>
                <w:sz w:val="20"/>
                <w:lang w:val="fr-CA"/>
              </w:rPr>
            </w:pPr>
            <w:r w:rsidRPr="00BE6616">
              <w:rPr>
                <w:rFonts w:eastAsia="Calibri"/>
                <w:sz w:val="20"/>
                <w:lang w:val="fr-CA"/>
              </w:rPr>
              <w:t>Le 11 janvier 2010</w:t>
            </w:r>
          </w:p>
          <w:p w:rsidR="00C06700" w:rsidRPr="00BE6616" w:rsidRDefault="00C06700" w:rsidP="002E3508">
            <w:pPr>
              <w:jc w:val="both"/>
              <w:rPr>
                <w:rFonts w:eastAsia="Calibri"/>
                <w:sz w:val="20"/>
                <w:lang w:val="fr-CA"/>
              </w:rPr>
            </w:pPr>
            <w:r w:rsidRPr="00BE6616">
              <w:rPr>
                <w:rFonts w:eastAsia="Calibri"/>
                <w:sz w:val="20"/>
                <w:lang w:val="fr-CA"/>
              </w:rPr>
              <w:t>Cour du Québec</w:t>
            </w:r>
          </w:p>
          <w:p w:rsidR="00C06700" w:rsidRPr="00BE6616" w:rsidRDefault="00C06700" w:rsidP="002E3508">
            <w:pPr>
              <w:jc w:val="both"/>
              <w:rPr>
                <w:rFonts w:eastAsia="Calibri"/>
                <w:sz w:val="20"/>
                <w:lang w:val="fr-CA"/>
              </w:rPr>
            </w:pPr>
            <w:r w:rsidRPr="00BE6616">
              <w:rPr>
                <w:rFonts w:eastAsia="Calibri"/>
                <w:sz w:val="20"/>
                <w:lang w:val="fr-CA"/>
              </w:rPr>
              <w:t>(Le juge Théroux)</w:t>
            </w:r>
          </w:p>
          <w:p w:rsidR="00C06700" w:rsidRPr="00BE6616" w:rsidRDefault="00C06700" w:rsidP="002E3508">
            <w:pPr>
              <w:jc w:val="both"/>
              <w:rPr>
                <w:rFonts w:eastAsia="Calibri"/>
                <w:sz w:val="20"/>
                <w:lang w:val="fr-CA"/>
              </w:rPr>
            </w:pPr>
            <w:r w:rsidRPr="00BE6616">
              <w:rPr>
                <w:rFonts w:eastAsia="Calibri"/>
                <w:sz w:val="20"/>
                <w:lang w:val="fr-CA"/>
              </w:rPr>
              <w:t>Référence neutre : 2010 QCCQ 529</w:t>
            </w:r>
          </w:p>
          <w:p w:rsidR="00C06700" w:rsidRPr="00BE6616" w:rsidRDefault="00C06700" w:rsidP="002E3508">
            <w:pPr>
              <w:jc w:val="both"/>
              <w:rPr>
                <w:rFonts w:eastAsia="Calibri"/>
                <w:sz w:val="20"/>
                <w:lang w:val="fr-FR"/>
              </w:rPr>
            </w:pPr>
          </w:p>
        </w:tc>
        <w:tc>
          <w:tcPr>
            <w:tcW w:w="243" w:type="pct"/>
          </w:tcPr>
          <w:p w:rsidR="00C06700" w:rsidRPr="00BE6616" w:rsidRDefault="00C06700" w:rsidP="002E3508">
            <w:pPr>
              <w:jc w:val="both"/>
              <w:rPr>
                <w:rFonts w:eastAsia="Calibri"/>
                <w:sz w:val="20"/>
                <w:lang w:val="fr-FR"/>
              </w:rPr>
            </w:pPr>
          </w:p>
        </w:tc>
        <w:tc>
          <w:tcPr>
            <w:tcW w:w="2330" w:type="pct"/>
          </w:tcPr>
          <w:p w:rsidR="00C06700" w:rsidRPr="00BE6616" w:rsidRDefault="00C06700" w:rsidP="002E3508">
            <w:pPr>
              <w:jc w:val="both"/>
              <w:rPr>
                <w:rFonts w:eastAsia="Calibri"/>
                <w:sz w:val="20"/>
                <w:lang w:val="fr-CA"/>
              </w:rPr>
            </w:pPr>
            <w:r w:rsidRPr="00BE6616">
              <w:rPr>
                <w:rFonts w:eastAsia="Calibri"/>
                <w:sz w:val="20"/>
                <w:lang w:val="fr-CA"/>
              </w:rPr>
              <w:t>Action de la demanderesse accueillie; intimée condamnée à lui verser 55 902 $ en salaire.</w:t>
            </w:r>
          </w:p>
          <w:p w:rsidR="00C06700" w:rsidRPr="00BE6616" w:rsidRDefault="00C06700" w:rsidP="002E3508">
            <w:pPr>
              <w:jc w:val="both"/>
              <w:rPr>
                <w:rFonts w:eastAsia="Calibri"/>
                <w:sz w:val="20"/>
                <w:lang w:val="fr-CA"/>
              </w:rPr>
            </w:pPr>
          </w:p>
          <w:p w:rsidR="00C06700" w:rsidRPr="00BE6616" w:rsidRDefault="00C06700" w:rsidP="002E3508">
            <w:pPr>
              <w:jc w:val="both"/>
              <w:rPr>
                <w:rFonts w:eastAsia="Calibri"/>
                <w:sz w:val="20"/>
                <w:lang w:val="fr-CA"/>
              </w:rPr>
            </w:pPr>
          </w:p>
        </w:tc>
      </w:tr>
      <w:tr w:rsidR="00C06700" w:rsidRPr="00F80A49" w:rsidTr="002E3508">
        <w:tc>
          <w:tcPr>
            <w:tcW w:w="2427" w:type="pct"/>
          </w:tcPr>
          <w:p w:rsidR="00C06700" w:rsidRPr="00BE6616" w:rsidRDefault="00C06700" w:rsidP="002E3508">
            <w:pPr>
              <w:jc w:val="both"/>
              <w:rPr>
                <w:rFonts w:eastAsia="Calibri"/>
                <w:sz w:val="20"/>
                <w:lang w:val="fr-CA"/>
              </w:rPr>
            </w:pPr>
            <w:r w:rsidRPr="00BE6616">
              <w:rPr>
                <w:rFonts w:eastAsia="Calibri"/>
                <w:sz w:val="20"/>
                <w:lang w:val="fr-CA"/>
              </w:rPr>
              <w:t>Le 5 mai 2011</w:t>
            </w:r>
          </w:p>
          <w:p w:rsidR="00C06700" w:rsidRPr="00BE6616" w:rsidRDefault="00C06700" w:rsidP="002E3508">
            <w:pPr>
              <w:jc w:val="both"/>
              <w:rPr>
                <w:rFonts w:eastAsia="Calibri"/>
                <w:sz w:val="20"/>
                <w:lang w:val="fr-CA"/>
              </w:rPr>
            </w:pPr>
            <w:r w:rsidRPr="00BE6616">
              <w:rPr>
                <w:rFonts w:eastAsia="Calibri"/>
                <w:sz w:val="20"/>
                <w:lang w:val="fr-CA"/>
              </w:rPr>
              <w:t>Cour d’appel du Québec (Montréal)</w:t>
            </w:r>
          </w:p>
          <w:p w:rsidR="00C06700" w:rsidRPr="00BE6616" w:rsidRDefault="00C06700" w:rsidP="002E3508">
            <w:pPr>
              <w:jc w:val="both"/>
              <w:rPr>
                <w:rFonts w:eastAsia="Calibri"/>
                <w:sz w:val="20"/>
                <w:lang w:val="fr-CA"/>
              </w:rPr>
            </w:pPr>
            <w:r w:rsidRPr="00BE6616">
              <w:rPr>
                <w:rFonts w:eastAsia="Calibri"/>
                <w:sz w:val="20"/>
                <w:lang w:val="fr-CA"/>
              </w:rPr>
              <w:t>(Les juges Dalphond, Hilton et Dutil)</w:t>
            </w:r>
          </w:p>
          <w:p w:rsidR="00C06700" w:rsidRPr="00BE6616" w:rsidRDefault="00C06700" w:rsidP="002E3508">
            <w:pPr>
              <w:jc w:val="both"/>
              <w:rPr>
                <w:rFonts w:eastAsia="Calibri"/>
                <w:sz w:val="20"/>
                <w:lang w:val="fr-CA"/>
              </w:rPr>
            </w:pPr>
            <w:r w:rsidRPr="00BE6616">
              <w:rPr>
                <w:rFonts w:eastAsia="Calibri"/>
                <w:sz w:val="20"/>
                <w:lang w:val="fr-CA"/>
              </w:rPr>
              <w:t>Référence neutre : 2011 QCCA 837</w:t>
            </w:r>
          </w:p>
          <w:p w:rsidR="00C06700" w:rsidRPr="00BE6616" w:rsidRDefault="00C06700" w:rsidP="002E3508">
            <w:pPr>
              <w:jc w:val="both"/>
              <w:rPr>
                <w:rFonts w:eastAsia="Calibri"/>
                <w:sz w:val="20"/>
              </w:rPr>
            </w:pPr>
          </w:p>
        </w:tc>
        <w:tc>
          <w:tcPr>
            <w:tcW w:w="243" w:type="pct"/>
          </w:tcPr>
          <w:p w:rsidR="00C06700" w:rsidRPr="00BE6616" w:rsidRDefault="00C06700" w:rsidP="002E3508">
            <w:pPr>
              <w:jc w:val="both"/>
              <w:rPr>
                <w:rFonts w:eastAsia="Calibri"/>
                <w:sz w:val="20"/>
              </w:rPr>
            </w:pPr>
          </w:p>
        </w:tc>
        <w:tc>
          <w:tcPr>
            <w:tcW w:w="2330" w:type="pct"/>
          </w:tcPr>
          <w:p w:rsidR="00C06700" w:rsidRPr="00BE6616" w:rsidRDefault="00C06700" w:rsidP="002E3508">
            <w:pPr>
              <w:jc w:val="both"/>
              <w:rPr>
                <w:rFonts w:eastAsia="Calibri"/>
                <w:sz w:val="20"/>
                <w:lang w:val="fr-CA"/>
              </w:rPr>
            </w:pPr>
            <w:r w:rsidRPr="00BE6616">
              <w:rPr>
                <w:rFonts w:eastAsia="Calibri"/>
                <w:sz w:val="20"/>
                <w:lang w:val="fr-CA"/>
              </w:rPr>
              <w:t>Appel accueilli; action de la demanderesse rejetée.</w:t>
            </w:r>
          </w:p>
        </w:tc>
      </w:tr>
      <w:tr w:rsidR="00C06700" w:rsidRPr="00BE6616" w:rsidTr="002E3508">
        <w:tc>
          <w:tcPr>
            <w:tcW w:w="2427" w:type="pct"/>
          </w:tcPr>
          <w:p w:rsidR="00C06700" w:rsidRPr="00BE6616" w:rsidRDefault="00C06700" w:rsidP="002E3508">
            <w:pPr>
              <w:jc w:val="both"/>
              <w:rPr>
                <w:rFonts w:eastAsia="Calibri"/>
                <w:sz w:val="20"/>
                <w:lang w:val="fr-CA"/>
              </w:rPr>
            </w:pPr>
            <w:r w:rsidRPr="00BE6616">
              <w:rPr>
                <w:rFonts w:eastAsia="Calibri"/>
                <w:sz w:val="20"/>
                <w:lang w:val="fr-CA"/>
              </w:rPr>
              <w:t>Le 2 août 2011</w:t>
            </w:r>
          </w:p>
          <w:p w:rsidR="00C06700" w:rsidRPr="00BE6616" w:rsidRDefault="00C06700" w:rsidP="00C06700">
            <w:pPr>
              <w:jc w:val="both"/>
              <w:rPr>
                <w:rFonts w:eastAsia="Calibri"/>
                <w:sz w:val="20"/>
                <w:lang w:val="fr-FR"/>
              </w:rPr>
            </w:pPr>
            <w:r w:rsidRPr="00BE6616">
              <w:rPr>
                <w:rFonts w:eastAsia="Calibri"/>
                <w:sz w:val="20"/>
                <w:lang w:val="fr-CA"/>
              </w:rPr>
              <w:t>Cour suprême du Canada</w:t>
            </w:r>
          </w:p>
        </w:tc>
        <w:tc>
          <w:tcPr>
            <w:tcW w:w="243" w:type="pct"/>
          </w:tcPr>
          <w:p w:rsidR="00C06700" w:rsidRPr="00BE6616" w:rsidRDefault="00C06700" w:rsidP="002E3508">
            <w:pPr>
              <w:jc w:val="both"/>
              <w:rPr>
                <w:rFonts w:eastAsia="Calibri"/>
                <w:sz w:val="20"/>
                <w:lang w:val="fr-FR"/>
              </w:rPr>
            </w:pPr>
          </w:p>
        </w:tc>
        <w:tc>
          <w:tcPr>
            <w:tcW w:w="2330" w:type="pct"/>
          </w:tcPr>
          <w:p w:rsidR="00C06700" w:rsidRPr="00BE6616" w:rsidRDefault="00C06700" w:rsidP="002E3508">
            <w:pPr>
              <w:jc w:val="both"/>
              <w:rPr>
                <w:rFonts w:eastAsia="Calibri"/>
                <w:sz w:val="20"/>
                <w:lang w:val="fr-CA"/>
              </w:rPr>
            </w:pPr>
            <w:r w:rsidRPr="00BE6616">
              <w:rPr>
                <w:rFonts w:eastAsia="Calibri"/>
                <w:sz w:val="20"/>
                <w:lang w:val="fr-CA"/>
              </w:rPr>
              <w:t>Demande d'autorisation d'appel déposée.</w:t>
            </w:r>
          </w:p>
          <w:p w:rsidR="00C06700" w:rsidRPr="00BE6616" w:rsidRDefault="00C06700" w:rsidP="002E3508">
            <w:pPr>
              <w:jc w:val="both"/>
              <w:rPr>
                <w:rFonts w:eastAsia="Calibri"/>
                <w:sz w:val="20"/>
                <w:lang w:val="fr-CA"/>
              </w:rPr>
            </w:pPr>
          </w:p>
        </w:tc>
      </w:tr>
    </w:tbl>
    <w:p w:rsidR="007B50F9" w:rsidRDefault="007B50F9" w:rsidP="007B50F9">
      <w:pPr>
        <w:rPr>
          <w:sz w:val="20"/>
          <w:szCs w:val="20"/>
          <w:lang w:val="fr-CA"/>
        </w:rPr>
      </w:pPr>
    </w:p>
    <w:p w:rsidR="007B50F9" w:rsidRDefault="004D21E4" w:rsidP="007B50F9">
      <w:pPr>
        <w:rPr>
          <w:sz w:val="20"/>
          <w:szCs w:val="20"/>
          <w:lang w:val="fr-CA"/>
        </w:rPr>
      </w:pPr>
      <w:r w:rsidRPr="004D21E4">
        <w:rPr>
          <w:sz w:val="20"/>
          <w:szCs w:val="20"/>
          <w:lang w:val="fr-CA"/>
        </w:rPr>
        <w:pict>
          <v:rect id="_x0000_i1108" style="width:2in;height:1pt" o:hrpct="0" o:hralign="center" o:hrstd="t" o:hrnoshade="t" o:hr="t" fillcolor="black [3213]" stroked="f"/>
        </w:pict>
      </w:r>
    </w:p>
    <w:p w:rsidR="007B50F9" w:rsidRDefault="007B50F9" w:rsidP="007B50F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0D38AD" w:rsidRPr="000D0691" w:rsidRDefault="000D38AD" w:rsidP="000D38AD">
      <w:pPr>
        <w:tabs>
          <w:tab w:val="left" w:pos="-1440"/>
          <w:tab w:val="left" w:pos="-720"/>
        </w:tabs>
        <w:jc w:val="both"/>
        <w:rPr>
          <w:sz w:val="20"/>
          <w:szCs w:val="20"/>
        </w:rPr>
      </w:pPr>
      <w:r w:rsidRPr="000D0691">
        <w:rPr>
          <w:sz w:val="20"/>
          <w:szCs w:val="20"/>
        </w:rPr>
        <w:t>07.10.2011</w:t>
      </w:r>
    </w:p>
    <w:p w:rsidR="000D38AD" w:rsidRPr="000D0691" w:rsidRDefault="000D38AD" w:rsidP="000D38AD">
      <w:pPr>
        <w:tabs>
          <w:tab w:val="left" w:pos="-1440"/>
          <w:tab w:val="left" w:pos="-720"/>
        </w:tabs>
        <w:jc w:val="both"/>
        <w:rPr>
          <w:sz w:val="20"/>
          <w:szCs w:val="20"/>
        </w:rPr>
      </w:pPr>
    </w:p>
    <w:p w:rsidR="000D38AD" w:rsidRPr="000D0691" w:rsidRDefault="000D38AD" w:rsidP="000D38AD">
      <w:pPr>
        <w:jc w:val="both"/>
        <w:rPr>
          <w:sz w:val="20"/>
          <w:szCs w:val="20"/>
        </w:rPr>
      </w:pPr>
      <w:r w:rsidRPr="000D0691">
        <w:rPr>
          <w:sz w:val="20"/>
          <w:szCs w:val="20"/>
        </w:rPr>
        <w:t>Before / Devant:   THE DEPUTY REGISTRAR / LA REGISTRAIRE ADJOINTE</w:t>
      </w:r>
    </w:p>
    <w:p w:rsidR="000D38AD" w:rsidRPr="000D0691" w:rsidRDefault="000D38AD" w:rsidP="000D38AD">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0D38AD" w:rsidRPr="00F80A49" w:rsidTr="00C73BED">
        <w:tc>
          <w:tcPr>
            <w:tcW w:w="4338" w:type="dxa"/>
          </w:tcPr>
          <w:p w:rsidR="000D38AD" w:rsidRPr="000D0691" w:rsidRDefault="004D21E4" w:rsidP="00C73BED">
            <w:pPr>
              <w:tabs>
                <w:tab w:val="left" w:pos="-1440"/>
                <w:tab w:val="left" w:pos="-720"/>
              </w:tabs>
              <w:jc w:val="both"/>
              <w:rPr>
                <w:sz w:val="20"/>
                <w:szCs w:val="20"/>
              </w:rPr>
            </w:pPr>
            <w:r w:rsidRPr="000D0691">
              <w:rPr>
                <w:sz w:val="20"/>
                <w:szCs w:val="20"/>
              </w:rPr>
              <w:fldChar w:fldCharType="begin"/>
            </w:r>
            <w:r w:rsidR="000D38AD" w:rsidRPr="000D0691">
              <w:rPr>
                <w:sz w:val="20"/>
                <w:szCs w:val="20"/>
              </w:rPr>
              <w:instrText xml:space="preserve"> SEQ CHAPTER \h \r 1</w:instrText>
            </w:r>
            <w:r w:rsidRPr="000D0691">
              <w:rPr>
                <w:sz w:val="20"/>
                <w:szCs w:val="20"/>
              </w:rPr>
              <w:fldChar w:fldCharType="end"/>
            </w:r>
            <w:r w:rsidR="000D38AD" w:rsidRPr="000D0691">
              <w:rPr>
                <w:b/>
                <w:bCs/>
                <w:sz w:val="20"/>
                <w:szCs w:val="20"/>
              </w:rPr>
              <w:t>Motion to extend the time to serve and file the respondents’ response</w:t>
            </w:r>
          </w:p>
        </w:tc>
        <w:tc>
          <w:tcPr>
            <w:tcW w:w="1170" w:type="dxa"/>
          </w:tcPr>
          <w:p w:rsidR="000D38AD" w:rsidRPr="000D0691" w:rsidRDefault="000D38AD" w:rsidP="00C73BED">
            <w:pPr>
              <w:tabs>
                <w:tab w:val="left" w:pos="-1440"/>
                <w:tab w:val="left" w:pos="-720"/>
              </w:tabs>
              <w:jc w:val="both"/>
              <w:rPr>
                <w:sz w:val="20"/>
                <w:szCs w:val="20"/>
              </w:rPr>
            </w:pPr>
          </w:p>
          <w:p w:rsidR="000D38AD" w:rsidRPr="000D0691" w:rsidRDefault="000D38AD" w:rsidP="00C73BED">
            <w:pPr>
              <w:tabs>
                <w:tab w:val="left" w:pos="-1440"/>
                <w:tab w:val="left" w:pos="-720"/>
              </w:tabs>
              <w:jc w:val="both"/>
              <w:rPr>
                <w:sz w:val="20"/>
                <w:szCs w:val="20"/>
              </w:rPr>
            </w:pPr>
          </w:p>
          <w:p w:rsidR="000D38AD" w:rsidRPr="000D0691" w:rsidRDefault="000D38AD" w:rsidP="00C73BED">
            <w:pPr>
              <w:tabs>
                <w:tab w:val="left" w:pos="-1440"/>
                <w:tab w:val="left" w:pos="-720"/>
              </w:tabs>
              <w:jc w:val="both"/>
              <w:rPr>
                <w:sz w:val="20"/>
                <w:szCs w:val="20"/>
              </w:rPr>
            </w:pPr>
          </w:p>
        </w:tc>
        <w:tc>
          <w:tcPr>
            <w:tcW w:w="4327" w:type="dxa"/>
          </w:tcPr>
          <w:p w:rsidR="000D38AD" w:rsidRPr="000D0691" w:rsidRDefault="004D21E4" w:rsidP="00C73BED">
            <w:pPr>
              <w:tabs>
                <w:tab w:val="left" w:pos="-1440"/>
                <w:tab w:val="left" w:pos="-720"/>
              </w:tabs>
              <w:jc w:val="both"/>
              <w:rPr>
                <w:sz w:val="20"/>
                <w:szCs w:val="20"/>
                <w:lang w:val="fr-CA"/>
              </w:rPr>
            </w:pPr>
            <w:r w:rsidRPr="000D0691">
              <w:rPr>
                <w:sz w:val="20"/>
                <w:szCs w:val="20"/>
              </w:rPr>
              <w:fldChar w:fldCharType="begin"/>
            </w:r>
            <w:r w:rsidR="000D38AD" w:rsidRPr="000D0691">
              <w:rPr>
                <w:sz w:val="20"/>
                <w:szCs w:val="20"/>
                <w:lang w:val="fr-CA"/>
              </w:rPr>
              <w:instrText xml:space="preserve"> SEQ CHAPTER \h \r 1</w:instrText>
            </w:r>
            <w:r w:rsidRPr="000D0691">
              <w:rPr>
                <w:sz w:val="20"/>
                <w:szCs w:val="20"/>
              </w:rPr>
              <w:fldChar w:fldCharType="end"/>
            </w:r>
            <w:r w:rsidR="000D38AD" w:rsidRPr="000D0691">
              <w:rPr>
                <w:b/>
                <w:bCs/>
                <w:sz w:val="20"/>
                <w:szCs w:val="20"/>
                <w:lang w:val="fr-CA"/>
              </w:rPr>
              <w:t>Requête en prorogation du délai de signification et de dépôt de la réponse de l’intimée</w:t>
            </w:r>
          </w:p>
        </w:tc>
      </w:tr>
      <w:tr w:rsidR="000D38AD" w:rsidRPr="000D0691" w:rsidTr="00C73BED">
        <w:tc>
          <w:tcPr>
            <w:tcW w:w="4338" w:type="dxa"/>
          </w:tcPr>
          <w:p w:rsidR="000D38AD" w:rsidRPr="000D0691" w:rsidRDefault="000D38AD" w:rsidP="00C73BED">
            <w:pPr>
              <w:tabs>
                <w:tab w:val="left" w:pos="-1440"/>
                <w:tab w:val="left" w:pos="-720"/>
              </w:tabs>
              <w:jc w:val="both"/>
              <w:rPr>
                <w:sz w:val="20"/>
                <w:szCs w:val="20"/>
              </w:rPr>
            </w:pPr>
            <w:r w:rsidRPr="000D0691">
              <w:rPr>
                <w:sz w:val="20"/>
                <w:szCs w:val="20"/>
              </w:rPr>
              <w:t>Tung Chi Duong</w:t>
            </w:r>
          </w:p>
          <w:p w:rsidR="000D38AD" w:rsidRPr="000D0691" w:rsidRDefault="000D38AD" w:rsidP="00C73BED">
            <w:pPr>
              <w:tabs>
                <w:tab w:val="left" w:pos="-1440"/>
                <w:tab w:val="left" w:pos="-720"/>
              </w:tabs>
              <w:jc w:val="both"/>
              <w:rPr>
                <w:sz w:val="20"/>
                <w:szCs w:val="20"/>
              </w:rPr>
            </w:pPr>
          </w:p>
          <w:p w:rsidR="000D38AD" w:rsidRPr="000D0691" w:rsidRDefault="000D38AD" w:rsidP="00C73BED">
            <w:pPr>
              <w:tabs>
                <w:tab w:val="left" w:pos="-1440"/>
                <w:tab w:val="left" w:pos="-720"/>
              </w:tabs>
              <w:jc w:val="both"/>
              <w:rPr>
                <w:sz w:val="20"/>
                <w:szCs w:val="20"/>
              </w:rPr>
            </w:pPr>
            <w:r w:rsidRPr="000D0691">
              <w:rPr>
                <w:sz w:val="20"/>
                <w:szCs w:val="20"/>
              </w:rPr>
              <w:tab/>
              <w:t>v. (34340)</w:t>
            </w:r>
          </w:p>
          <w:p w:rsidR="000D38AD" w:rsidRPr="000D0691" w:rsidRDefault="000D38AD" w:rsidP="00C73BED">
            <w:pPr>
              <w:tabs>
                <w:tab w:val="left" w:pos="-1440"/>
                <w:tab w:val="left" w:pos="-720"/>
              </w:tabs>
              <w:jc w:val="both"/>
              <w:rPr>
                <w:sz w:val="20"/>
                <w:szCs w:val="20"/>
              </w:rPr>
            </w:pPr>
          </w:p>
          <w:p w:rsidR="000D38AD" w:rsidRPr="000D0691" w:rsidRDefault="000D38AD" w:rsidP="00C73BED">
            <w:pPr>
              <w:tabs>
                <w:tab w:val="left" w:pos="-1440"/>
                <w:tab w:val="left" w:pos="-720"/>
              </w:tabs>
              <w:jc w:val="both"/>
              <w:rPr>
                <w:sz w:val="20"/>
                <w:szCs w:val="20"/>
              </w:rPr>
            </w:pPr>
            <w:r w:rsidRPr="000D0691">
              <w:rPr>
                <w:sz w:val="20"/>
                <w:szCs w:val="20"/>
              </w:rPr>
              <w:t>Her Majesty the Queen (Crim.) (Ont.)</w:t>
            </w:r>
          </w:p>
        </w:tc>
        <w:tc>
          <w:tcPr>
            <w:tcW w:w="1170" w:type="dxa"/>
          </w:tcPr>
          <w:p w:rsidR="000D38AD" w:rsidRPr="000D0691" w:rsidRDefault="000D38AD" w:rsidP="00C73BED">
            <w:pPr>
              <w:tabs>
                <w:tab w:val="left" w:pos="-1440"/>
                <w:tab w:val="left" w:pos="-720"/>
              </w:tabs>
              <w:jc w:val="both"/>
              <w:rPr>
                <w:sz w:val="20"/>
                <w:szCs w:val="20"/>
              </w:rPr>
            </w:pPr>
          </w:p>
        </w:tc>
        <w:tc>
          <w:tcPr>
            <w:tcW w:w="4327" w:type="dxa"/>
          </w:tcPr>
          <w:p w:rsidR="000D38AD" w:rsidRPr="000D0691" w:rsidRDefault="000D38AD" w:rsidP="00C73BED">
            <w:pPr>
              <w:tabs>
                <w:tab w:val="left" w:pos="-1440"/>
                <w:tab w:val="left" w:pos="-720"/>
              </w:tabs>
              <w:jc w:val="both"/>
              <w:rPr>
                <w:sz w:val="20"/>
                <w:szCs w:val="20"/>
              </w:rPr>
            </w:pPr>
          </w:p>
        </w:tc>
      </w:tr>
    </w:tbl>
    <w:p w:rsidR="000D38AD" w:rsidRPr="000D0691" w:rsidRDefault="000D38AD" w:rsidP="000D38AD">
      <w:pPr>
        <w:tabs>
          <w:tab w:val="left" w:pos="-1440"/>
          <w:tab w:val="left" w:pos="-720"/>
        </w:tabs>
        <w:jc w:val="both"/>
        <w:rPr>
          <w:b/>
          <w:sz w:val="20"/>
          <w:szCs w:val="20"/>
        </w:rPr>
      </w:pPr>
    </w:p>
    <w:p w:rsidR="000D38AD" w:rsidRPr="000D0691" w:rsidRDefault="000D38AD" w:rsidP="000D38AD">
      <w:pPr>
        <w:tabs>
          <w:tab w:val="left" w:pos="-1440"/>
          <w:tab w:val="left" w:pos="-720"/>
        </w:tabs>
        <w:jc w:val="both"/>
        <w:rPr>
          <w:sz w:val="20"/>
          <w:szCs w:val="20"/>
        </w:rPr>
      </w:pPr>
      <w:r w:rsidRPr="000D0691">
        <w:rPr>
          <w:b/>
          <w:sz w:val="20"/>
          <w:szCs w:val="20"/>
        </w:rPr>
        <w:t>GRANTED / ACCORDÉE</w:t>
      </w:r>
    </w:p>
    <w:p w:rsidR="000D38AD" w:rsidRPr="000D0691" w:rsidRDefault="000D38AD" w:rsidP="000D38AD">
      <w:pPr>
        <w:tabs>
          <w:tab w:val="left" w:pos="-1440"/>
          <w:tab w:val="left" w:pos="-720"/>
        </w:tabs>
        <w:jc w:val="both"/>
        <w:rPr>
          <w:sz w:val="20"/>
          <w:szCs w:val="20"/>
        </w:rPr>
      </w:pPr>
    </w:p>
    <w:p w:rsidR="000D38AD" w:rsidRPr="000D0691" w:rsidRDefault="000D38AD" w:rsidP="000D38AD">
      <w:pPr>
        <w:tabs>
          <w:tab w:val="left" w:pos="-1440"/>
          <w:tab w:val="left" w:pos="-720"/>
        </w:tabs>
        <w:spacing w:line="-19" w:lineRule="auto"/>
        <w:jc w:val="both"/>
        <w:rPr>
          <w:sz w:val="20"/>
          <w:szCs w:val="20"/>
        </w:rPr>
      </w:pPr>
    </w:p>
    <w:p w:rsidR="000D38AD" w:rsidRPr="000D0691" w:rsidRDefault="004D21E4" w:rsidP="000D38AD">
      <w:pPr>
        <w:tabs>
          <w:tab w:val="left" w:pos="-1440"/>
          <w:tab w:val="left" w:pos="-720"/>
        </w:tabs>
        <w:jc w:val="both"/>
        <w:rPr>
          <w:sz w:val="20"/>
          <w:szCs w:val="20"/>
        </w:rPr>
      </w:pPr>
      <w:r w:rsidRPr="004D21E4">
        <w:rPr>
          <w:sz w:val="20"/>
          <w:szCs w:val="20"/>
          <w:lang w:val="fr-CA"/>
        </w:rPr>
        <w:pict>
          <v:rect id="_x0000_i1111" style="width:2in;height:1pt" o:hrpct="0" o:hralign="center" o:hrstd="t" o:hrnoshade="t" o:hr="t" fillcolor="black [3213]" stroked="f"/>
        </w:pict>
      </w:r>
    </w:p>
    <w:p w:rsidR="000D38AD" w:rsidRPr="000D0691" w:rsidRDefault="000D38AD" w:rsidP="000D38AD">
      <w:pPr>
        <w:tabs>
          <w:tab w:val="left" w:pos="-1440"/>
          <w:tab w:val="left" w:pos="-720"/>
        </w:tabs>
        <w:jc w:val="both"/>
        <w:rPr>
          <w:sz w:val="20"/>
          <w:szCs w:val="20"/>
        </w:rPr>
      </w:pPr>
    </w:p>
    <w:p w:rsidR="000D38AD" w:rsidRPr="000D0691" w:rsidRDefault="000D38AD" w:rsidP="000D38AD">
      <w:pPr>
        <w:tabs>
          <w:tab w:val="left" w:pos="-1440"/>
          <w:tab w:val="left" w:pos="-720"/>
        </w:tabs>
        <w:jc w:val="both"/>
        <w:rPr>
          <w:sz w:val="20"/>
          <w:szCs w:val="20"/>
          <w:lang w:val="fr-CA"/>
        </w:rPr>
      </w:pPr>
      <w:r w:rsidRPr="000D0691">
        <w:rPr>
          <w:sz w:val="20"/>
          <w:szCs w:val="20"/>
          <w:lang w:val="fr-CA"/>
        </w:rPr>
        <w:t>07.10.2011</w:t>
      </w:r>
    </w:p>
    <w:p w:rsidR="000D38AD" w:rsidRPr="000D0691" w:rsidRDefault="000D38AD" w:rsidP="000D38AD">
      <w:pPr>
        <w:tabs>
          <w:tab w:val="left" w:pos="-1440"/>
          <w:tab w:val="left" w:pos="-720"/>
        </w:tabs>
        <w:jc w:val="both"/>
        <w:rPr>
          <w:sz w:val="20"/>
          <w:szCs w:val="20"/>
          <w:lang w:val="fr-CA"/>
        </w:rPr>
      </w:pPr>
    </w:p>
    <w:p w:rsidR="000D38AD" w:rsidRPr="000D0691" w:rsidRDefault="000D38AD" w:rsidP="000D38AD">
      <w:pPr>
        <w:tabs>
          <w:tab w:val="left" w:pos="-1440"/>
          <w:tab w:val="left" w:pos="-720"/>
        </w:tabs>
        <w:jc w:val="both"/>
        <w:rPr>
          <w:sz w:val="20"/>
          <w:szCs w:val="20"/>
          <w:lang w:val="fr-CA"/>
        </w:rPr>
      </w:pPr>
      <w:r w:rsidRPr="000D0691">
        <w:rPr>
          <w:sz w:val="20"/>
          <w:szCs w:val="20"/>
          <w:lang w:val="fr-CA"/>
        </w:rPr>
        <w:t>Before / Devant :   ROTHSTEIN J. / LE JUGE ROTHSTEIN</w:t>
      </w:r>
    </w:p>
    <w:p w:rsidR="000D38AD" w:rsidRPr="000D0691" w:rsidRDefault="000D38AD" w:rsidP="000D38A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0D38AD" w:rsidRPr="000D0691" w:rsidTr="00C73BED">
        <w:tc>
          <w:tcPr>
            <w:tcW w:w="4338" w:type="dxa"/>
            <w:gridSpan w:val="2"/>
          </w:tcPr>
          <w:p w:rsidR="000D38AD" w:rsidRPr="000D0691" w:rsidRDefault="000D38AD" w:rsidP="00C73BED">
            <w:pPr>
              <w:rPr>
                <w:b/>
                <w:sz w:val="20"/>
                <w:szCs w:val="20"/>
              </w:rPr>
            </w:pPr>
            <w:r w:rsidRPr="000D0691">
              <w:rPr>
                <w:b/>
                <w:sz w:val="20"/>
                <w:szCs w:val="20"/>
              </w:rPr>
              <w:t>Motions for leave to intervene</w:t>
            </w:r>
            <w:r w:rsidRPr="000D0691">
              <w:rPr>
                <w:sz w:val="20"/>
                <w:szCs w:val="20"/>
              </w:rPr>
              <w:t xml:space="preserve"> </w:t>
            </w:r>
            <w:r w:rsidR="004D21E4" w:rsidRPr="000D0691">
              <w:rPr>
                <w:sz w:val="20"/>
                <w:szCs w:val="20"/>
              </w:rPr>
              <w:fldChar w:fldCharType="begin"/>
            </w:r>
            <w:r w:rsidRPr="000D0691">
              <w:rPr>
                <w:sz w:val="20"/>
                <w:szCs w:val="20"/>
              </w:rPr>
              <w:instrText xml:space="preserve"> SEQ CHAPTER \h \r 1</w:instrText>
            </w:r>
            <w:r w:rsidR="004D21E4" w:rsidRPr="000D0691">
              <w:rPr>
                <w:sz w:val="20"/>
                <w:szCs w:val="20"/>
              </w:rPr>
              <w:fldChar w:fldCharType="end"/>
            </w:r>
          </w:p>
        </w:tc>
        <w:tc>
          <w:tcPr>
            <w:tcW w:w="1170" w:type="dxa"/>
          </w:tcPr>
          <w:p w:rsidR="000D38AD" w:rsidRPr="000D0691" w:rsidRDefault="000D38AD" w:rsidP="00C73BED">
            <w:pPr>
              <w:rPr>
                <w:sz w:val="20"/>
                <w:szCs w:val="20"/>
              </w:rPr>
            </w:pPr>
          </w:p>
          <w:p w:rsidR="000D38AD" w:rsidRPr="000D0691" w:rsidRDefault="000D38AD" w:rsidP="00C73BED">
            <w:pPr>
              <w:rPr>
                <w:sz w:val="20"/>
                <w:szCs w:val="20"/>
              </w:rPr>
            </w:pPr>
          </w:p>
        </w:tc>
        <w:tc>
          <w:tcPr>
            <w:tcW w:w="4327" w:type="dxa"/>
          </w:tcPr>
          <w:p w:rsidR="000D38AD" w:rsidRPr="000D0691" w:rsidRDefault="000D38AD" w:rsidP="00C73BED">
            <w:pPr>
              <w:rPr>
                <w:b/>
                <w:sz w:val="20"/>
                <w:szCs w:val="20"/>
              </w:rPr>
            </w:pPr>
            <w:r w:rsidRPr="000D0691">
              <w:rPr>
                <w:b/>
                <w:bCs/>
                <w:sz w:val="20"/>
                <w:szCs w:val="20"/>
                <w:lang w:val="fr-CA"/>
              </w:rPr>
              <w:t>Requêtes en autorisation d’intervenir</w:t>
            </w:r>
            <w:r w:rsidRPr="000D0691">
              <w:rPr>
                <w:sz w:val="20"/>
                <w:szCs w:val="20"/>
              </w:rPr>
              <w:t xml:space="preserve"> </w:t>
            </w:r>
            <w:r w:rsidR="004D21E4" w:rsidRPr="000D0691">
              <w:rPr>
                <w:sz w:val="20"/>
                <w:szCs w:val="20"/>
              </w:rPr>
              <w:fldChar w:fldCharType="begin"/>
            </w:r>
            <w:r w:rsidRPr="000D0691">
              <w:rPr>
                <w:sz w:val="20"/>
                <w:szCs w:val="20"/>
              </w:rPr>
              <w:instrText xml:space="preserve"> SEQ CHAPTER \h \r 1</w:instrText>
            </w:r>
            <w:r w:rsidR="004D21E4" w:rsidRPr="000D0691">
              <w:rPr>
                <w:sz w:val="20"/>
                <w:szCs w:val="20"/>
              </w:rPr>
              <w:fldChar w:fldCharType="end"/>
            </w:r>
          </w:p>
        </w:tc>
      </w:tr>
      <w:tr w:rsidR="000D38AD" w:rsidRPr="000D0691" w:rsidTr="00C73BED">
        <w:tc>
          <w:tcPr>
            <w:tcW w:w="1368" w:type="dxa"/>
          </w:tcPr>
          <w:p w:rsidR="000D38AD" w:rsidRPr="000D0691" w:rsidRDefault="000D38AD" w:rsidP="00C73BED">
            <w:pPr>
              <w:rPr>
                <w:sz w:val="20"/>
                <w:szCs w:val="20"/>
              </w:rPr>
            </w:pPr>
            <w:r w:rsidRPr="000D0691">
              <w:rPr>
                <w:sz w:val="20"/>
                <w:szCs w:val="20"/>
              </w:rPr>
              <w:t>BY / PAR</w:t>
            </w:r>
          </w:p>
        </w:tc>
        <w:tc>
          <w:tcPr>
            <w:tcW w:w="2970" w:type="dxa"/>
          </w:tcPr>
          <w:p w:rsidR="000D38AD" w:rsidRPr="000D0691" w:rsidRDefault="000D38AD" w:rsidP="00C73BED">
            <w:pPr>
              <w:rPr>
                <w:sz w:val="20"/>
                <w:szCs w:val="20"/>
              </w:rPr>
            </w:pPr>
            <w:r w:rsidRPr="000D0691">
              <w:rPr>
                <w:sz w:val="20"/>
                <w:szCs w:val="20"/>
              </w:rPr>
              <w:t>Urban Alliance on Race Relations;</w:t>
            </w:r>
          </w:p>
        </w:tc>
        <w:tc>
          <w:tcPr>
            <w:tcW w:w="1170" w:type="dxa"/>
          </w:tcPr>
          <w:p w:rsidR="000D38AD" w:rsidRPr="000D0691" w:rsidRDefault="000D38AD" w:rsidP="00C73BED">
            <w:pPr>
              <w:rPr>
                <w:sz w:val="20"/>
                <w:szCs w:val="20"/>
              </w:rPr>
            </w:pPr>
          </w:p>
        </w:tc>
        <w:tc>
          <w:tcPr>
            <w:tcW w:w="4327" w:type="dxa"/>
          </w:tcPr>
          <w:p w:rsidR="000D38AD" w:rsidRPr="000D0691" w:rsidRDefault="000D38AD" w:rsidP="00C73BED">
            <w:pPr>
              <w:rPr>
                <w:sz w:val="20"/>
                <w:szCs w:val="20"/>
              </w:rPr>
            </w:pPr>
          </w:p>
        </w:tc>
      </w:tr>
      <w:tr w:rsidR="000D38AD" w:rsidRPr="000D0691" w:rsidTr="00C73BED">
        <w:tc>
          <w:tcPr>
            <w:tcW w:w="1368" w:type="dxa"/>
          </w:tcPr>
          <w:p w:rsidR="000D38AD" w:rsidRPr="000D0691" w:rsidRDefault="000D38AD" w:rsidP="00C73BED">
            <w:pPr>
              <w:rPr>
                <w:sz w:val="20"/>
                <w:szCs w:val="20"/>
              </w:rPr>
            </w:pPr>
          </w:p>
        </w:tc>
        <w:tc>
          <w:tcPr>
            <w:tcW w:w="2970" w:type="dxa"/>
          </w:tcPr>
          <w:p w:rsidR="000D38AD" w:rsidRPr="000D0691" w:rsidRDefault="000D38AD" w:rsidP="00C73BED">
            <w:pPr>
              <w:rPr>
                <w:sz w:val="20"/>
                <w:szCs w:val="20"/>
              </w:rPr>
            </w:pPr>
            <w:r w:rsidRPr="000D0691">
              <w:rPr>
                <w:sz w:val="20"/>
                <w:szCs w:val="20"/>
              </w:rPr>
              <w:t>Criminal Lawyers Association (Ontario);</w:t>
            </w:r>
          </w:p>
        </w:tc>
        <w:tc>
          <w:tcPr>
            <w:tcW w:w="1170" w:type="dxa"/>
          </w:tcPr>
          <w:p w:rsidR="000D38AD" w:rsidRPr="000D0691" w:rsidRDefault="000D38AD" w:rsidP="00C73BED">
            <w:pPr>
              <w:rPr>
                <w:sz w:val="20"/>
                <w:szCs w:val="20"/>
              </w:rPr>
            </w:pPr>
          </w:p>
        </w:tc>
        <w:tc>
          <w:tcPr>
            <w:tcW w:w="4327" w:type="dxa"/>
          </w:tcPr>
          <w:p w:rsidR="000D38AD" w:rsidRPr="000D0691" w:rsidRDefault="000D38AD" w:rsidP="00C73BED">
            <w:pPr>
              <w:rPr>
                <w:sz w:val="20"/>
                <w:szCs w:val="20"/>
              </w:rPr>
            </w:pPr>
          </w:p>
        </w:tc>
      </w:tr>
      <w:tr w:rsidR="000D38AD" w:rsidRPr="000D0691" w:rsidTr="00C73BED">
        <w:tc>
          <w:tcPr>
            <w:tcW w:w="1368" w:type="dxa"/>
          </w:tcPr>
          <w:p w:rsidR="000D38AD" w:rsidRPr="000D0691" w:rsidRDefault="000D38AD" w:rsidP="00C73BED">
            <w:pPr>
              <w:rPr>
                <w:sz w:val="20"/>
                <w:szCs w:val="20"/>
              </w:rPr>
            </w:pPr>
          </w:p>
        </w:tc>
        <w:tc>
          <w:tcPr>
            <w:tcW w:w="2970" w:type="dxa"/>
          </w:tcPr>
          <w:p w:rsidR="000D38AD" w:rsidRPr="000D0691" w:rsidRDefault="000D38AD" w:rsidP="00C73BED">
            <w:pPr>
              <w:rPr>
                <w:sz w:val="20"/>
                <w:szCs w:val="20"/>
              </w:rPr>
            </w:pPr>
            <w:r w:rsidRPr="000D0691">
              <w:rPr>
                <w:sz w:val="20"/>
                <w:szCs w:val="20"/>
              </w:rPr>
              <w:t>British Columbia Civil Liberties Association;</w:t>
            </w:r>
          </w:p>
        </w:tc>
        <w:tc>
          <w:tcPr>
            <w:tcW w:w="1170" w:type="dxa"/>
          </w:tcPr>
          <w:p w:rsidR="000D38AD" w:rsidRPr="000D0691" w:rsidRDefault="000D38AD" w:rsidP="00C73BED">
            <w:pPr>
              <w:rPr>
                <w:sz w:val="20"/>
                <w:szCs w:val="20"/>
              </w:rPr>
            </w:pPr>
          </w:p>
        </w:tc>
        <w:tc>
          <w:tcPr>
            <w:tcW w:w="4327" w:type="dxa"/>
          </w:tcPr>
          <w:p w:rsidR="000D38AD" w:rsidRPr="000D0691" w:rsidRDefault="000D38AD" w:rsidP="00C73BED">
            <w:pPr>
              <w:rPr>
                <w:sz w:val="20"/>
                <w:szCs w:val="20"/>
              </w:rPr>
            </w:pPr>
          </w:p>
        </w:tc>
      </w:tr>
      <w:tr w:rsidR="000D38AD" w:rsidRPr="000D0691" w:rsidTr="00C73BED">
        <w:tc>
          <w:tcPr>
            <w:tcW w:w="1368" w:type="dxa"/>
          </w:tcPr>
          <w:p w:rsidR="000D38AD" w:rsidRPr="000D0691" w:rsidRDefault="000D38AD" w:rsidP="00C73BED">
            <w:pPr>
              <w:rPr>
                <w:sz w:val="20"/>
                <w:szCs w:val="20"/>
              </w:rPr>
            </w:pPr>
          </w:p>
        </w:tc>
        <w:tc>
          <w:tcPr>
            <w:tcW w:w="2970" w:type="dxa"/>
          </w:tcPr>
          <w:p w:rsidR="000D38AD" w:rsidRPr="000D0691" w:rsidRDefault="000D38AD" w:rsidP="00C73BED">
            <w:pPr>
              <w:rPr>
                <w:sz w:val="20"/>
                <w:szCs w:val="20"/>
              </w:rPr>
            </w:pPr>
            <w:r w:rsidRPr="000D0691">
              <w:rPr>
                <w:sz w:val="20"/>
                <w:szCs w:val="20"/>
              </w:rPr>
              <w:t>Canadian Police Association;</w:t>
            </w:r>
          </w:p>
        </w:tc>
        <w:tc>
          <w:tcPr>
            <w:tcW w:w="1170" w:type="dxa"/>
          </w:tcPr>
          <w:p w:rsidR="000D38AD" w:rsidRPr="000D0691" w:rsidRDefault="000D38AD" w:rsidP="00C73BED">
            <w:pPr>
              <w:rPr>
                <w:sz w:val="20"/>
                <w:szCs w:val="20"/>
              </w:rPr>
            </w:pPr>
          </w:p>
        </w:tc>
        <w:tc>
          <w:tcPr>
            <w:tcW w:w="4327" w:type="dxa"/>
          </w:tcPr>
          <w:p w:rsidR="000D38AD" w:rsidRPr="000D0691" w:rsidRDefault="000D38AD" w:rsidP="00C73BED">
            <w:pPr>
              <w:rPr>
                <w:sz w:val="20"/>
                <w:szCs w:val="20"/>
              </w:rPr>
            </w:pPr>
          </w:p>
        </w:tc>
      </w:tr>
      <w:tr w:rsidR="000D38AD" w:rsidRPr="000D0691" w:rsidTr="00C73BED">
        <w:tc>
          <w:tcPr>
            <w:tcW w:w="1368" w:type="dxa"/>
          </w:tcPr>
          <w:p w:rsidR="000D38AD" w:rsidRPr="000D0691" w:rsidRDefault="000D38AD" w:rsidP="00C73BED">
            <w:pPr>
              <w:rPr>
                <w:sz w:val="20"/>
                <w:szCs w:val="20"/>
              </w:rPr>
            </w:pPr>
          </w:p>
        </w:tc>
        <w:tc>
          <w:tcPr>
            <w:tcW w:w="2970" w:type="dxa"/>
          </w:tcPr>
          <w:p w:rsidR="000D38AD" w:rsidRPr="000D0691" w:rsidRDefault="000D38AD" w:rsidP="00C73BED">
            <w:pPr>
              <w:rPr>
                <w:sz w:val="20"/>
                <w:szCs w:val="20"/>
              </w:rPr>
            </w:pPr>
            <w:r w:rsidRPr="000D0691">
              <w:rPr>
                <w:sz w:val="20"/>
                <w:szCs w:val="20"/>
              </w:rPr>
              <w:t>Attorney General of Ontario;</w:t>
            </w:r>
          </w:p>
        </w:tc>
        <w:tc>
          <w:tcPr>
            <w:tcW w:w="1170" w:type="dxa"/>
          </w:tcPr>
          <w:p w:rsidR="000D38AD" w:rsidRPr="000D0691" w:rsidRDefault="000D38AD" w:rsidP="00C73BED">
            <w:pPr>
              <w:rPr>
                <w:sz w:val="20"/>
                <w:szCs w:val="20"/>
              </w:rPr>
            </w:pPr>
          </w:p>
        </w:tc>
        <w:tc>
          <w:tcPr>
            <w:tcW w:w="4327" w:type="dxa"/>
          </w:tcPr>
          <w:p w:rsidR="000D38AD" w:rsidRPr="000D0691" w:rsidRDefault="000D38AD" w:rsidP="00C73BED">
            <w:pPr>
              <w:rPr>
                <w:sz w:val="20"/>
                <w:szCs w:val="20"/>
              </w:rPr>
            </w:pPr>
          </w:p>
        </w:tc>
      </w:tr>
      <w:tr w:rsidR="000D38AD" w:rsidRPr="000D0691" w:rsidTr="00C73BED">
        <w:tc>
          <w:tcPr>
            <w:tcW w:w="1368" w:type="dxa"/>
          </w:tcPr>
          <w:p w:rsidR="000D38AD" w:rsidRPr="000D0691" w:rsidRDefault="000D38AD" w:rsidP="00C73BED">
            <w:pPr>
              <w:rPr>
                <w:sz w:val="20"/>
                <w:szCs w:val="20"/>
              </w:rPr>
            </w:pPr>
          </w:p>
        </w:tc>
        <w:tc>
          <w:tcPr>
            <w:tcW w:w="2970" w:type="dxa"/>
          </w:tcPr>
          <w:p w:rsidR="000D38AD" w:rsidRPr="000D0691" w:rsidRDefault="000D38AD" w:rsidP="00C73BED">
            <w:pPr>
              <w:rPr>
                <w:sz w:val="20"/>
                <w:szCs w:val="20"/>
              </w:rPr>
            </w:pPr>
            <w:r w:rsidRPr="000D0691">
              <w:rPr>
                <w:sz w:val="20"/>
                <w:szCs w:val="20"/>
              </w:rPr>
              <w:t>Canadian Civil Liberties Association</w:t>
            </w:r>
          </w:p>
        </w:tc>
        <w:tc>
          <w:tcPr>
            <w:tcW w:w="1170" w:type="dxa"/>
          </w:tcPr>
          <w:p w:rsidR="000D38AD" w:rsidRPr="000D0691" w:rsidRDefault="000D38AD" w:rsidP="00C73BED">
            <w:pPr>
              <w:rPr>
                <w:sz w:val="20"/>
                <w:szCs w:val="20"/>
              </w:rPr>
            </w:pPr>
          </w:p>
        </w:tc>
        <w:tc>
          <w:tcPr>
            <w:tcW w:w="4327" w:type="dxa"/>
          </w:tcPr>
          <w:p w:rsidR="000D38AD" w:rsidRPr="000D0691" w:rsidRDefault="000D38AD" w:rsidP="00C73BED">
            <w:pPr>
              <w:rPr>
                <w:sz w:val="20"/>
                <w:szCs w:val="20"/>
              </w:rPr>
            </w:pPr>
          </w:p>
        </w:tc>
      </w:tr>
      <w:tr w:rsidR="000D38AD" w:rsidRPr="000D0691" w:rsidTr="00C73BED">
        <w:tc>
          <w:tcPr>
            <w:tcW w:w="1368" w:type="dxa"/>
          </w:tcPr>
          <w:p w:rsidR="000D38AD" w:rsidRPr="000D0691" w:rsidRDefault="000D38AD" w:rsidP="00C73BED">
            <w:pPr>
              <w:rPr>
                <w:sz w:val="20"/>
                <w:szCs w:val="20"/>
              </w:rPr>
            </w:pPr>
          </w:p>
        </w:tc>
        <w:tc>
          <w:tcPr>
            <w:tcW w:w="2970" w:type="dxa"/>
          </w:tcPr>
          <w:p w:rsidR="000D38AD" w:rsidRPr="000D0691" w:rsidRDefault="000D38AD" w:rsidP="00C73BED">
            <w:pPr>
              <w:rPr>
                <w:sz w:val="20"/>
                <w:szCs w:val="20"/>
              </w:rPr>
            </w:pPr>
          </w:p>
        </w:tc>
        <w:tc>
          <w:tcPr>
            <w:tcW w:w="1170" w:type="dxa"/>
          </w:tcPr>
          <w:p w:rsidR="000D38AD" w:rsidRPr="000D0691" w:rsidRDefault="000D38AD" w:rsidP="00C73BED">
            <w:pPr>
              <w:rPr>
                <w:sz w:val="20"/>
                <w:szCs w:val="20"/>
              </w:rPr>
            </w:pPr>
          </w:p>
        </w:tc>
        <w:tc>
          <w:tcPr>
            <w:tcW w:w="4327" w:type="dxa"/>
          </w:tcPr>
          <w:p w:rsidR="000D38AD" w:rsidRPr="000D0691" w:rsidRDefault="000D38AD" w:rsidP="00C73BED">
            <w:pPr>
              <w:rPr>
                <w:sz w:val="20"/>
                <w:szCs w:val="20"/>
              </w:rPr>
            </w:pPr>
          </w:p>
        </w:tc>
      </w:tr>
      <w:tr w:rsidR="000D38AD" w:rsidRPr="000D0691" w:rsidTr="00C73BED">
        <w:tc>
          <w:tcPr>
            <w:tcW w:w="1368" w:type="dxa"/>
          </w:tcPr>
          <w:p w:rsidR="000D38AD" w:rsidRPr="000D0691" w:rsidRDefault="000D38AD" w:rsidP="00C73BED">
            <w:pPr>
              <w:rPr>
                <w:sz w:val="20"/>
                <w:szCs w:val="20"/>
              </w:rPr>
            </w:pPr>
            <w:r w:rsidRPr="000D0691">
              <w:rPr>
                <w:sz w:val="20"/>
                <w:szCs w:val="20"/>
              </w:rPr>
              <w:t>IN / DANS :</w:t>
            </w:r>
          </w:p>
        </w:tc>
        <w:tc>
          <w:tcPr>
            <w:tcW w:w="2970" w:type="dxa"/>
          </w:tcPr>
          <w:p w:rsidR="000D38AD" w:rsidRPr="000D0691" w:rsidRDefault="000D38AD" w:rsidP="00C73BED">
            <w:pPr>
              <w:rPr>
                <w:sz w:val="20"/>
                <w:szCs w:val="20"/>
              </w:rPr>
            </w:pPr>
            <w:r w:rsidRPr="000D0691">
              <w:rPr>
                <w:sz w:val="20"/>
                <w:szCs w:val="20"/>
              </w:rPr>
              <w:t>Wayne Penner</w:t>
            </w:r>
          </w:p>
          <w:p w:rsidR="000D38AD" w:rsidRPr="000D0691" w:rsidRDefault="000D38AD" w:rsidP="00C73BED">
            <w:pPr>
              <w:rPr>
                <w:sz w:val="20"/>
                <w:szCs w:val="20"/>
              </w:rPr>
            </w:pPr>
          </w:p>
        </w:tc>
        <w:tc>
          <w:tcPr>
            <w:tcW w:w="1170" w:type="dxa"/>
          </w:tcPr>
          <w:p w:rsidR="000D38AD" w:rsidRPr="000D0691" w:rsidRDefault="000D38AD" w:rsidP="00C73BED">
            <w:pPr>
              <w:rPr>
                <w:sz w:val="20"/>
                <w:szCs w:val="20"/>
              </w:rPr>
            </w:pPr>
          </w:p>
        </w:tc>
        <w:tc>
          <w:tcPr>
            <w:tcW w:w="4327" w:type="dxa"/>
          </w:tcPr>
          <w:p w:rsidR="000D38AD" w:rsidRPr="000D0691" w:rsidRDefault="000D38AD" w:rsidP="00C73BED">
            <w:pPr>
              <w:rPr>
                <w:sz w:val="20"/>
                <w:szCs w:val="20"/>
              </w:rPr>
            </w:pPr>
          </w:p>
        </w:tc>
      </w:tr>
      <w:tr w:rsidR="000D38AD" w:rsidRPr="000D0691" w:rsidTr="00C73BED">
        <w:tc>
          <w:tcPr>
            <w:tcW w:w="1368" w:type="dxa"/>
          </w:tcPr>
          <w:p w:rsidR="000D38AD" w:rsidRPr="000D0691" w:rsidRDefault="000D38AD" w:rsidP="00C73BED">
            <w:pPr>
              <w:rPr>
                <w:sz w:val="20"/>
                <w:szCs w:val="20"/>
              </w:rPr>
            </w:pPr>
          </w:p>
        </w:tc>
        <w:tc>
          <w:tcPr>
            <w:tcW w:w="2970" w:type="dxa"/>
          </w:tcPr>
          <w:p w:rsidR="000D38AD" w:rsidRPr="000D0691" w:rsidRDefault="000D38AD" w:rsidP="00C73BED">
            <w:pPr>
              <w:rPr>
                <w:sz w:val="20"/>
                <w:szCs w:val="20"/>
              </w:rPr>
            </w:pPr>
            <w:r w:rsidRPr="000D0691">
              <w:rPr>
                <w:sz w:val="20"/>
                <w:szCs w:val="20"/>
              </w:rPr>
              <w:tab/>
              <w:t>v. (33959)</w:t>
            </w:r>
          </w:p>
          <w:p w:rsidR="000D38AD" w:rsidRPr="000D0691" w:rsidRDefault="000D38AD" w:rsidP="00C73BED">
            <w:pPr>
              <w:rPr>
                <w:sz w:val="20"/>
                <w:szCs w:val="20"/>
              </w:rPr>
            </w:pPr>
          </w:p>
        </w:tc>
        <w:tc>
          <w:tcPr>
            <w:tcW w:w="1170" w:type="dxa"/>
          </w:tcPr>
          <w:p w:rsidR="000D38AD" w:rsidRPr="000D0691" w:rsidRDefault="000D38AD" w:rsidP="00C73BED">
            <w:pPr>
              <w:rPr>
                <w:sz w:val="20"/>
                <w:szCs w:val="20"/>
              </w:rPr>
            </w:pPr>
          </w:p>
        </w:tc>
        <w:tc>
          <w:tcPr>
            <w:tcW w:w="4327" w:type="dxa"/>
          </w:tcPr>
          <w:p w:rsidR="000D38AD" w:rsidRPr="000D0691" w:rsidRDefault="000D38AD" w:rsidP="00C73BED">
            <w:pPr>
              <w:rPr>
                <w:sz w:val="20"/>
                <w:szCs w:val="20"/>
              </w:rPr>
            </w:pPr>
          </w:p>
        </w:tc>
      </w:tr>
      <w:tr w:rsidR="000D38AD" w:rsidRPr="000D0691" w:rsidTr="00C73BED">
        <w:tc>
          <w:tcPr>
            <w:tcW w:w="1368" w:type="dxa"/>
          </w:tcPr>
          <w:p w:rsidR="000D38AD" w:rsidRPr="000D0691" w:rsidRDefault="000D38AD" w:rsidP="00C73BED">
            <w:pPr>
              <w:rPr>
                <w:sz w:val="20"/>
                <w:szCs w:val="20"/>
              </w:rPr>
            </w:pPr>
          </w:p>
        </w:tc>
        <w:tc>
          <w:tcPr>
            <w:tcW w:w="2970" w:type="dxa"/>
          </w:tcPr>
          <w:p w:rsidR="000D38AD" w:rsidRPr="000D0691" w:rsidRDefault="000D38AD" w:rsidP="00C73BED">
            <w:pPr>
              <w:jc w:val="both"/>
              <w:rPr>
                <w:sz w:val="20"/>
                <w:szCs w:val="20"/>
              </w:rPr>
            </w:pPr>
            <w:r w:rsidRPr="000D0691">
              <w:rPr>
                <w:sz w:val="20"/>
                <w:szCs w:val="20"/>
              </w:rPr>
              <w:t xml:space="preserve">Regional Municipality of Niagara Regional Police Services Board </w:t>
            </w:r>
          </w:p>
          <w:p w:rsidR="000D38AD" w:rsidRPr="000D0691" w:rsidRDefault="000D38AD" w:rsidP="00C73BED">
            <w:pPr>
              <w:jc w:val="both"/>
              <w:rPr>
                <w:sz w:val="20"/>
                <w:szCs w:val="20"/>
              </w:rPr>
            </w:pPr>
            <w:r w:rsidRPr="000D0691">
              <w:rPr>
                <w:sz w:val="20"/>
                <w:szCs w:val="20"/>
              </w:rPr>
              <w:t>et al. (Ont.)</w:t>
            </w:r>
          </w:p>
        </w:tc>
        <w:tc>
          <w:tcPr>
            <w:tcW w:w="1170" w:type="dxa"/>
          </w:tcPr>
          <w:p w:rsidR="000D38AD" w:rsidRPr="000D0691" w:rsidRDefault="000D38AD" w:rsidP="00C73BED">
            <w:pPr>
              <w:rPr>
                <w:sz w:val="20"/>
                <w:szCs w:val="20"/>
              </w:rPr>
            </w:pPr>
          </w:p>
        </w:tc>
        <w:tc>
          <w:tcPr>
            <w:tcW w:w="4327" w:type="dxa"/>
          </w:tcPr>
          <w:p w:rsidR="000D38AD" w:rsidRPr="000D0691" w:rsidRDefault="000D38AD" w:rsidP="00C73BED">
            <w:pPr>
              <w:rPr>
                <w:sz w:val="20"/>
                <w:szCs w:val="20"/>
              </w:rPr>
            </w:pPr>
          </w:p>
        </w:tc>
      </w:tr>
    </w:tbl>
    <w:p w:rsidR="000D38AD" w:rsidRPr="000D0691" w:rsidRDefault="000D38AD" w:rsidP="000D38AD">
      <w:pPr>
        <w:tabs>
          <w:tab w:val="left" w:pos="-1440"/>
          <w:tab w:val="left" w:pos="-720"/>
        </w:tabs>
        <w:jc w:val="both"/>
        <w:rPr>
          <w:sz w:val="20"/>
          <w:szCs w:val="20"/>
        </w:rPr>
      </w:pPr>
    </w:p>
    <w:p w:rsidR="000D38AD" w:rsidRPr="000D0691" w:rsidRDefault="000D38AD" w:rsidP="000D38AD">
      <w:pPr>
        <w:tabs>
          <w:tab w:val="left" w:pos="-1440"/>
          <w:tab w:val="left" w:pos="-720"/>
        </w:tabs>
        <w:jc w:val="both"/>
        <w:rPr>
          <w:b/>
          <w:sz w:val="20"/>
          <w:szCs w:val="20"/>
        </w:rPr>
      </w:pPr>
      <w:r w:rsidRPr="000D0691">
        <w:rPr>
          <w:b/>
          <w:sz w:val="20"/>
          <w:szCs w:val="20"/>
        </w:rPr>
        <w:t>GRANTED / ACCORDÉES</w:t>
      </w:r>
    </w:p>
    <w:p w:rsidR="000D38AD" w:rsidRPr="000D0691" w:rsidRDefault="000D38AD" w:rsidP="000D38AD">
      <w:pPr>
        <w:tabs>
          <w:tab w:val="left" w:pos="-1440"/>
          <w:tab w:val="left" w:pos="-720"/>
        </w:tabs>
        <w:jc w:val="both"/>
        <w:rPr>
          <w:sz w:val="20"/>
          <w:szCs w:val="20"/>
        </w:rPr>
      </w:pPr>
    </w:p>
    <w:p w:rsidR="000D38AD" w:rsidRPr="000D0691" w:rsidRDefault="000D38AD" w:rsidP="000D38AD">
      <w:pPr>
        <w:spacing w:line="233" w:lineRule="auto"/>
        <w:jc w:val="both"/>
        <w:rPr>
          <w:sz w:val="20"/>
          <w:szCs w:val="20"/>
        </w:rPr>
      </w:pPr>
      <w:r w:rsidRPr="000D0691">
        <w:rPr>
          <w:b/>
          <w:bCs/>
          <w:sz w:val="20"/>
          <w:szCs w:val="20"/>
        </w:rPr>
        <w:t xml:space="preserve">UPON APPLICATIONS </w:t>
      </w:r>
      <w:r w:rsidRPr="000D0691">
        <w:rPr>
          <w:sz w:val="20"/>
          <w:szCs w:val="20"/>
        </w:rPr>
        <w:t>by the Urban Alliance on Race Relations, the Criminal Lawyers Association (Ontario), the British Columbia Civil Liberties Association and the Canadian Police Association for leave to intervene in the above appeal;</w:t>
      </w:r>
    </w:p>
    <w:p w:rsidR="000D38AD" w:rsidRPr="000D0691" w:rsidRDefault="000D38AD" w:rsidP="000D38AD">
      <w:pPr>
        <w:spacing w:line="233" w:lineRule="auto"/>
        <w:jc w:val="both"/>
        <w:rPr>
          <w:sz w:val="20"/>
          <w:szCs w:val="20"/>
        </w:rPr>
      </w:pPr>
    </w:p>
    <w:p w:rsidR="000D38AD" w:rsidRPr="000D0691" w:rsidRDefault="000D38AD" w:rsidP="000D38AD">
      <w:pPr>
        <w:spacing w:line="233" w:lineRule="auto"/>
        <w:jc w:val="both"/>
        <w:rPr>
          <w:sz w:val="20"/>
          <w:szCs w:val="20"/>
        </w:rPr>
      </w:pPr>
      <w:r w:rsidRPr="000D0691">
        <w:rPr>
          <w:b/>
          <w:sz w:val="20"/>
          <w:szCs w:val="20"/>
        </w:rPr>
        <w:t xml:space="preserve">AND UPON </w:t>
      </w:r>
      <w:r w:rsidRPr="000D0691">
        <w:rPr>
          <w:b/>
          <w:bCs/>
          <w:sz w:val="20"/>
          <w:szCs w:val="20"/>
        </w:rPr>
        <w:t xml:space="preserve">APPLICATIONS </w:t>
      </w:r>
      <w:r w:rsidRPr="000D0691">
        <w:rPr>
          <w:sz w:val="20"/>
          <w:szCs w:val="20"/>
        </w:rPr>
        <w:t xml:space="preserve">by the Attorney General of Ontario and the Canadian Civil Liberties Association for </w:t>
      </w:r>
      <w:r w:rsidR="004D21E4" w:rsidRPr="000D0691">
        <w:rPr>
          <w:sz w:val="20"/>
          <w:szCs w:val="20"/>
        </w:rPr>
        <w:fldChar w:fldCharType="begin"/>
      </w:r>
      <w:r w:rsidRPr="000D0691">
        <w:rPr>
          <w:sz w:val="20"/>
          <w:szCs w:val="20"/>
        </w:rPr>
        <w:instrText xml:space="preserve"> SEQ CHAPTER \h \r 1</w:instrText>
      </w:r>
      <w:r w:rsidR="004D21E4" w:rsidRPr="000D0691">
        <w:rPr>
          <w:sz w:val="20"/>
          <w:szCs w:val="20"/>
        </w:rPr>
        <w:fldChar w:fldCharType="end"/>
      </w:r>
      <w:r w:rsidRPr="000D0691">
        <w:rPr>
          <w:sz w:val="20"/>
          <w:szCs w:val="20"/>
        </w:rPr>
        <w:t xml:space="preserve">an extension of time to apply for leave to intervene and for leave to intervene in the above appeal; </w:t>
      </w:r>
    </w:p>
    <w:p w:rsidR="000D38AD" w:rsidRPr="000D0691" w:rsidRDefault="000D38AD" w:rsidP="000D38AD">
      <w:pPr>
        <w:spacing w:line="233" w:lineRule="auto"/>
        <w:jc w:val="both"/>
        <w:rPr>
          <w:sz w:val="20"/>
          <w:szCs w:val="20"/>
        </w:rPr>
      </w:pPr>
    </w:p>
    <w:p w:rsidR="000D38AD" w:rsidRPr="000D0691" w:rsidRDefault="000D38AD" w:rsidP="000D38AD">
      <w:pPr>
        <w:spacing w:line="233" w:lineRule="auto"/>
        <w:jc w:val="both"/>
        <w:rPr>
          <w:sz w:val="20"/>
          <w:szCs w:val="20"/>
        </w:rPr>
      </w:pPr>
      <w:r w:rsidRPr="000D0691">
        <w:rPr>
          <w:b/>
          <w:bCs/>
          <w:sz w:val="20"/>
          <w:szCs w:val="20"/>
        </w:rPr>
        <w:t>AND THE MATERIAL FILED</w:t>
      </w:r>
      <w:r w:rsidRPr="000D0691">
        <w:rPr>
          <w:sz w:val="20"/>
          <w:szCs w:val="20"/>
        </w:rPr>
        <w:t xml:space="preserve"> having been read;</w:t>
      </w:r>
    </w:p>
    <w:p w:rsidR="000D38AD" w:rsidRPr="000D0691" w:rsidRDefault="000D38AD" w:rsidP="000D38AD">
      <w:pPr>
        <w:spacing w:line="233" w:lineRule="auto"/>
        <w:jc w:val="both"/>
        <w:rPr>
          <w:sz w:val="20"/>
          <w:szCs w:val="20"/>
        </w:rPr>
      </w:pPr>
    </w:p>
    <w:p w:rsidR="000D38AD" w:rsidRPr="000D0691" w:rsidRDefault="000D38AD" w:rsidP="000D38AD">
      <w:pPr>
        <w:rPr>
          <w:b/>
          <w:bCs/>
          <w:sz w:val="20"/>
          <w:szCs w:val="20"/>
        </w:rPr>
      </w:pPr>
      <w:r w:rsidRPr="000D0691">
        <w:rPr>
          <w:b/>
          <w:bCs/>
          <w:sz w:val="20"/>
          <w:szCs w:val="20"/>
        </w:rPr>
        <w:br w:type="page"/>
      </w:r>
    </w:p>
    <w:p w:rsidR="000D38AD" w:rsidRPr="000D0691" w:rsidRDefault="000D38AD" w:rsidP="000D38AD">
      <w:pPr>
        <w:spacing w:line="233" w:lineRule="auto"/>
        <w:jc w:val="both"/>
        <w:rPr>
          <w:sz w:val="20"/>
          <w:szCs w:val="20"/>
        </w:rPr>
      </w:pPr>
      <w:r w:rsidRPr="000D0691">
        <w:rPr>
          <w:b/>
          <w:bCs/>
          <w:sz w:val="20"/>
          <w:szCs w:val="20"/>
        </w:rPr>
        <w:lastRenderedPageBreak/>
        <w:t>IT IS HEREBY ORDERED THAT:</w:t>
      </w:r>
    </w:p>
    <w:p w:rsidR="000D38AD" w:rsidRPr="000D0691" w:rsidRDefault="000D38AD" w:rsidP="000D38AD">
      <w:pPr>
        <w:spacing w:line="233" w:lineRule="auto"/>
        <w:jc w:val="both"/>
        <w:rPr>
          <w:sz w:val="20"/>
          <w:szCs w:val="20"/>
        </w:rPr>
      </w:pPr>
    </w:p>
    <w:p w:rsidR="000D38AD" w:rsidRPr="000D0691" w:rsidRDefault="000D38AD" w:rsidP="000D38AD">
      <w:pPr>
        <w:spacing w:line="233" w:lineRule="auto"/>
        <w:jc w:val="both"/>
        <w:rPr>
          <w:sz w:val="20"/>
          <w:szCs w:val="20"/>
        </w:rPr>
      </w:pPr>
      <w:r w:rsidRPr="000D0691">
        <w:rPr>
          <w:sz w:val="20"/>
          <w:szCs w:val="20"/>
        </w:rPr>
        <w:t>The motions for leave to intervene of the Urban Alliance on Race Relations, the Criminal Lawyers Association (Ontario), the British Columbia Civil Liberties Association and the Canadian Police Association are granted and the said interveners shall be entitled to serve and file a factum not to exceed 10 pages in length.</w:t>
      </w:r>
    </w:p>
    <w:p w:rsidR="000D38AD" w:rsidRPr="000D0691" w:rsidRDefault="000D38AD" w:rsidP="000D38AD">
      <w:pPr>
        <w:spacing w:line="233" w:lineRule="auto"/>
        <w:jc w:val="both"/>
        <w:rPr>
          <w:sz w:val="20"/>
          <w:szCs w:val="20"/>
        </w:rPr>
      </w:pPr>
    </w:p>
    <w:p w:rsidR="000D38AD" w:rsidRPr="000D0691" w:rsidRDefault="000D38AD" w:rsidP="000D38AD">
      <w:pPr>
        <w:spacing w:line="233" w:lineRule="auto"/>
        <w:jc w:val="both"/>
        <w:rPr>
          <w:sz w:val="20"/>
          <w:szCs w:val="20"/>
        </w:rPr>
      </w:pPr>
      <w:r w:rsidRPr="000D0691">
        <w:rPr>
          <w:sz w:val="20"/>
          <w:szCs w:val="20"/>
        </w:rPr>
        <w:t>The motion for an extension of time to apply for leave to intervene and for leave to intervene of the Attorney General of Ontario and the Canadian Civil Liberties Association are granted and the said interveners shall be entitled to serve and file a factum not to exceed 10 pages in length.</w:t>
      </w:r>
    </w:p>
    <w:p w:rsidR="000D38AD" w:rsidRPr="000D0691" w:rsidRDefault="000D38AD" w:rsidP="000D38AD">
      <w:pPr>
        <w:spacing w:line="233" w:lineRule="auto"/>
        <w:jc w:val="both"/>
        <w:rPr>
          <w:sz w:val="20"/>
          <w:szCs w:val="20"/>
        </w:rPr>
      </w:pPr>
    </w:p>
    <w:p w:rsidR="000D38AD" w:rsidRPr="000D0691" w:rsidRDefault="004D21E4" w:rsidP="000D38AD">
      <w:pPr>
        <w:spacing w:line="233" w:lineRule="auto"/>
        <w:jc w:val="both"/>
        <w:rPr>
          <w:sz w:val="20"/>
          <w:szCs w:val="20"/>
        </w:rPr>
      </w:pPr>
      <w:r w:rsidRPr="000D0691">
        <w:rPr>
          <w:sz w:val="20"/>
          <w:szCs w:val="20"/>
        </w:rPr>
        <w:fldChar w:fldCharType="begin"/>
      </w:r>
      <w:r w:rsidR="000D38AD" w:rsidRPr="000D0691">
        <w:rPr>
          <w:sz w:val="20"/>
          <w:szCs w:val="20"/>
        </w:rPr>
        <w:instrText xml:space="preserve"> SEQ CHAPTER \h \r 1</w:instrText>
      </w:r>
      <w:r w:rsidRPr="000D0691">
        <w:rPr>
          <w:sz w:val="20"/>
          <w:szCs w:val="20"/>
        </w:rPr>
        <w:fldChar w:fldCharType="end"/>
      </w:r>
      <w:r w:rsidR="000D38AD" w:rsidRPr="000D0691">
        <w:rPr>
          <w:sz w:val="20"/>
          <w:szCs w:val="20"/>
        </w:rPr>
        <w:t>To the extent that the interests are similar, interveners shall consult to avoid repetition.</w:t>
      </w:r>
    </w:p>
    <w:p w:rsidR="000D38AD" w:rsidRPr="000D0691" w:rsidRDefault="000D38AD" w:rsidP="000D38AD">
      <w:pPr>
        <w:spacing w:line="233" w:lineRule="auto"/>
        <w:jc w:val="both"/>
        <w:rPr>
          <w:sz w:val="20"/>
          <w:szCs w:val="20"/>
        </w:rPr>
      </w:pPr>
    </w:p>
    <w:p w:rsidR="000D38AD" w:rsidRPr="000D0691" w:rsidRDefault="000D38AD" w:rsidP="000D38AD">
      <w:pPr>
        <w:spacing w:line="233" w:lineRule="auto"/>
        <w:jc w:val="both"/>
        <w:rPr>
          <w:sz w:val="20"/>
          <w:szCs w:val="20"/>
        </w:rPr>
      </w:pPr>
      <w:r w:rsidRPr="000D0691">
        <w:rPr>
          <w:sz w:val="20"/>
          <w:szCs w:val="20"/>
        </w:rPr>
        <w:t>The requests to present oral argument are deferred to a date following receipt and consideration of the written arguments of the parties and the interveners.</w:t>
      </w:r>
    </w:p>
    <w:p w:rsidR="000D38AD" w:rsidRPr="000D0691" w:rsidRDefault="000D38AD" w:rsidP="000D38AD">
      <w:pPr>
        <w:spacing w:line="233" w:lineRule="auto"/>
        <w:jc w:val="both"/>
        <w:rPr>
          <w:sz w:val="20"/>
          <w:szCs w:val="20"/>
        </w:rPr>
      </w:pPr>
    </w:p>
    <w:p w:rsidR="000D38AD" w:rsidRPr="000D0691" w:rsidRDefault="000D38AD" w:rsidP="000D38AD">
      <w:pPr>
        <w:spacing w:line="233" w:lineRule="auto"/>
        <w:jc w:val="both"/>
        <w:rPr>
          <w:sz w:val="20"/>
          <w:szCs w:val="20"/>
        </w:rPr>
      </w:pPr>
      <w:r w:rsidRPr="000D0691">
        <w:rPr>
          <w:sz w:val="20"/>
          <w:szCs w:val="20"/>
        </w:rPr>
        <w:t>The interveners shall not be entitled to raise new issues or to adduce further evidence or otherwise to supplement the record of the parties.</w:t>
      </w:r>
    </w:p>
    <w:p w:rsidR="000D38AD" w:rsidRPr="000D0691" w:rsidRDefault="000D38AD" w:rsidP="000D38AD">
      <w:pPr>
        <w:spacing w:line="233" w:lineRule="auto"/>
        <w:jc w:val="both"/>
        <w:rPr>
          <w:sz w:val="20"/>
          <w:szCs w:val="20"/>
        </w:rPr>
      </w:pPr>
    </w:p>
    <w:p w:rsidR="000D38AD" w:rsidRPr="000D0691" w:rsidRDefault="000D38AD" w:rsidP="000D38AD">
      <w:pPr>
        <w:spacing w:line="233" w:lineRule="auto"/>
        <w:jc w:val="both"/>
        <w:rPr>
          <w:sz w:val="20"/>
          <w:szCs w:val="20"/>
        </w:rPr>
      </w:pPr>
      <w:r w:rsidRPr="000D0691">
        <w:rPr>
          <w:sz w:val="20"/>
          <w:szCs w:val="20"/>
        </w:rPr>
        <w:t>Pursuant to Rule 59(1</w:t>
      </w:r>
      <w:proofErr w:type="gramStart"/>
      <w:r w:rsidRPr="000D0691">
        <w:rPr>
          <w:sz w:val="20"/>
          <w:szCs w:val="20"/>
        </w:rPr>
        <w:t>)(</w:t>
      </w:r>
      <w:proofErr w:type="gramEnd"/>
      <w:r w:rsidRPr="000D0691">
        <w:rPr>
          <w:i/>
          <w:iCs/>
          <w:sz w:val="20"/>
          <w:szCs w:val="20"/>
        </w:rPr>
        <w:t>a</w:t>
      </w:r>
      <w:r w:rsidRPr="000D0691">
        <w:rPr>
          <w:sz w:val="20"/>
          <w:szCs w:val="20"/>
        </w:rPr>
        <w:t xml:space="preserve">) of the </w:t>
      </w:r>
      <w:r w:rsidRPr="000D0691">
        <w:rPr>
          <w:i/>
          <w:iCs/>
          <w:sz w:val="20"/>
          <w:szCs w:val="20"/>
        </w:rPr>
        <w:t>Rules of the Supreme Court of Canada</w:t>
      </w:r>
      <w:r w:rsidRPr="000D0691">
        <w:rPr>
          <w:sz w:val="20"/>
          <w:szCs w:val="20"/>
        </w:rPr>
        <w:t>, the interveners shall pay to the appellant and respondents any additional disbursements occasioned to the appellant and respondents by their intervention.</w:t>
      </w:r>
    </w:p>
    <w:p w:rsidR="000D38AD" w:rsidRPr="000D0691" w:rsidRDefault="000D38AD" w:rsidP="000D38AD">
      <w:pPr>
        <w:spacing w:line="233" w:lineRule="auto"/>
        <w:jc w:val="both"/>
        <w:rPr>
          <w:sz w:val="20"/>
          <w:szCs w:val="20"/>
        </w:rPr>
      </w:pPr>
    </w:p>
    <w:p w:rsidR="000D38AD" w:rsidRPr="000D0691" w:rsidRDefault="000D38AD" w:rsidP="000D38AD">
      <w:pPr>
        <w:spacing w:line="233" w:lineRule="auto"/>
        <w:jc w:val="both"/>
        <w:rPr>
          <w:sz w:val="20"/>
          <w:szCs w:val="20"/>
        </w:rPr>
      </w:pPr>
    </w:p>
    <w:p w:rsidR="000D38AD" w:rsidRPr="000D0691" w:rsidRDefault="000D38AD" w:rsidP="000D38AD">
      <w:pPr>
        <w:spacing w:line="233" w:lineRule="auto"/>
        <w:jc w:val="both"/>
        <w:rPr>
          <w:sz w:val="20"/>
          <w:szCs w:val="20"/>
        </w:rPr>
      </w:pPr>
    </w:p>
    <w:p w:rsidR="000D38AD" w:rsidRPr="000D0691" w:rsidRDefault="000D38AD" w:rsidP="000D38AD">
      <w:pPr>
        <w:spacing w:line="233" w:lineRule="auto"/>
        <w:jc w:val="both"/>
        <w:rPr>
          <w:sz w:val="20"/>
          <w:szCs w:val="20"/>
          <w:lang w:val="fr-CA"/>
        </w:rPr>
      </w:pPr>
      <w:r w:rsidRPr="000D0691">
        <w:rPr>
          <w:b/>
          <w:bCs/>
          <w:sz w:val="20"/>
          <w:szCs w:val="20"/>
          <w:lang w:val="fr-CA"/>
        </w:rPr>
        <w:t xml:space="preserve">À LA SUITE DES DEMANDES </w:t>
      </w:r>
      <w:r w:rsidRPr="000D0691">
        <w:rPr>
          <w:bCs/>
          <w:sz w:val="20"/>
          <w:szCs w:val="20"/>
          <w:lang w:val="fr-CA"/>
        </w:rPr>
        <w:t xml:space="preserve">présentées par l’Alliance urbaine sur les relations interraciales, </w:t>
      </w:r>
      <w:r w:rsidRPr="000D0691">
        <w:rPr>
          <w:sz w:val="20"/>
          <w:szCs w:val="20"/>
          <w:lang w:val="fr-CA"/>
        </w:rPr>
        <w:t xml:space="preserve"> la Criminal Lawyers Association (Ontario), l’Association des libertés civiles de la Colombie-Britannique et l’Association canadienne des policiers en vue d’intervenir dans l’appel; </w:t>
      </w:r>
    </w:p>
    <w:p w:rsidR="000D38AD" w:rsidRPr="000D0691" w:rsidRDefault="000D38AD" w:rsidP="000D38AD">
      <w:pPr>
        <w:spacing w:line="233" w:lineRule="auto"/>
        <w:jc w:val="both"/>
        <w:rPr>
          <w:sz w:val="20"/>
          <w:szCs w:val="20"/>
          <w:lang w:val="fr-CA"/>
        </w:rPr>
      </w:pPr>
    </w:p>
    <w:p w:rsidR="000D38AD" w:rsidRPr="000D0691" w:rsidRDefault="000D38AD" w:rsidP="000D38AD">
      <w:pPr>
        <w:spacing w:line="233" w:lineRule="auto"/>
        <w:jc w:val="both"/>
        <w:rPr>
          <w:sz w:val="20"/>
          <w:szCs w:val="20"/>
          <w:lang w:val="fr-CA"/>
        </w:rPr>
      </w:pPr>
      <w:r w:rsidRPr="000D0691">
        <w:rPr>
          <w:b/>
          <w:sz w:val="20"/>
          <w:szCs w:val="20"/>
          <w:lang w:val="fr-CA"/>
        </w:rPr>
        <w:t xml:space="preserve">ET </w:t>
      </w:r>
      <w:r w:rsidRPr="000D0691">
        <w:rPr>
          <w:b/>
          <w:bCs/>
          <w:sz w:val="20"/>
          <w:szCs w:val="20"/>
          <w:lang w:val="fr-CA"/>
        </w:rPr>
        <w:t xml:space="preserve">À LA SUITE DES DEMANDES </w:t>
      </w:r>
      <w:r w:rsidRPr="000D0691">
        <w:rPr>
          <w:bCs/>
          <w:sz w:val="20"/>
          <w:szCs w:val="20"/>
          <w:lang w:val="fr-CA"/>
        </w:rPr>
        <w:t>de prorogation de délai et d’autorisation d’intervenir dans l’appel présentées par le procureur général de l’</w:t>
      </w:r>
      <w:r w:rsidRPr="000D0691">
        <w:rPr>
          <w:sz w:val="20"/>
          <w:szCs w:val="20"/>
          <w:lang w:val="fr-CA"/>
        </w:rPr>
        <w:t xml:space="preserve">Ontario et l’Association canadienne des libertés civiles; </w:t>
      </w:r>
    </w:p>
    <w:p w:rsidR="000D38AD" w:rsidRPr="000D0691" w:rsidRDefault="000D38AD" w:rsidP="000D38AD">
      <w:pPr>
        <w:spacing w:line="233" w:lineRule="auto"/>
        <w:jc w:val="both"/>
        <w:rPr>
          <w:sz w:val="20"/>
          <w:szCs w:val="20"/>
          <w:lang w:val="fr-CA"/>
        </w:rPr>
      </w:pPr>
    </w:p>
    <w:p w:rsidR="000D38AD" w:rsidRPr="000D0691" w:rsidRDefault="000D38AD" w:rsidP="000D38AD">
      <w:pPr>
        <w:spacing w:line="233" w:lineRule="auto"/>
        <w:jc w:val="both"/>
        <w:rPr>
          <w:sz w:val="20"/>
          <w:szCs w:val="20"/>
          <w:lang w:val="fr-CA"/>
        </w:rPr>
      </w:pPr>
      <w:r w:rsidRPr="000D0691">
        <w:rPr>
          <w:b/>
          <w:bCs/>
          <w:sz w:val="20"/>
          <w:szCs w:val="20"/>
          <w:lang w:val="fr-CA"/>
        </w:rPr>
        <w:t xml:space="preserve">ET APRÈS EXAMEN </w:t>
      </w:r>
      <w:r w:rsidRPr="000D0691">
        <w:rPr>
          <w:bCs/>
          <w:sz w:val="20"/>
          <w:szCs w:val="20"/>
          <w:lang w:val="fr-CA"/>
        </w:rPr>
        <w:t xml:space="preserve">des documents déposés, </w:t>
      </w:r>
    </w:p>
    <w:p w:rsidR="000D38AD" w:rsidRPr="000D0691" w:rsidRDefault="000D38AD" w:rsidP="000D38AD">
      <w:pPr>
        <w:spacing w:line="233" w:lineRule="auto"/>
        <w:jc w:val="both"/>
        <w:rPr>
          <w:sz w:val="20"/>
          <w:szCs w:val="20"/>
          <w:lang w:val="fr-CA"/>
        </w:rPr>
      </w:pPr>
    </w:p>
    <w:p w:rsidR="000D38AD" w:rsidRPr="000D0691" w:rsidRDefault="000D38AD" w:rsidP="000D38AD">
      <w:pPr>
        <w:spacing w:line="233" w:lineRule="auto"/>
        <w:jc w:val="both"/>
        <w:rPr>
          <w:sz w:val="20"/>
          <w:szCs w:val="20"/>
          <w:lang w:val="fr-CA"/>
        </w:rPr>
      </w:pPr>
      <w:r w:rsidRPr="000D0691">
        <w:rPr>
          <w:b/>
          <w:bCs/>
          <w:sz w:val="20"/>
          <w:szCs w:val="20"/>
          <w:lang w:val="fr-CA"/>
        </w:rPr>
        <w:t xml:space="preserve">IL EST ORDONNÉ CE QUI SUIT : </w:t>
      </w:r>
    </w:p>
    <w:p w:rsidR="000D38AD" w:rsidRPr="000D0691" w:rsidRDefault="000D38AD" w:rsidP="000D38AD">
      <w:pPr>
        <w:spacing w:line="233" w:lineRule="auto"/>
        <w:jc w:val="both"/>
        <w:rPr>
          <w:sz w:val="20"/>
          <w:szCs w:val="20"/>
          <w:lang w:val="fr-CA"/>
        </w:rPr>
      </w:pPr>
    </w:p>
    <w:p w:rsidR="000D38AD" w:rsidRPr="000D0691" w:rsidRDefault="000D38AD" w:rsidP="000D38AD">
      <w:pPr>
        <w:spacing w:line="233" w:lineRule="auto"/>
        <w:jc w:val="both"/>
        <w:rPr>
          <w:sz w:val="20"/>
          <w:szCs w:val="20"/>
          <w:lang w:val="fr-CA"/>
        </w:rPr>
      </w:pPr>
      <w:r w:rsidRPr="000D0691">
        <w:rPr>
          <w:sz w:val="20"/>
          <w:szCs w:val="20"/>
          <w:lang w:val="fr-CA"/>
        </w:rPr>
        <w:t xml:space="preserve">Les requêtes en autorisation d’intervenir de </w:t>
      </w:r>
      <w:r w:rsidRPr="000D0691">
        <w:rPr>
          <w:bCs/>
          <w:sz w:val="20"/>
          <w:szCs w:val="20"/>
          <w:lang w:val="fr-CA"/>
        </w:rPr>
        <w:t xml:space="preserve">l’Alliance urbaine sur les relations interraciales, </w:t>
      </w:r>
      <w:r w:rsidRPr="000D0691">
        <w:rPr>
          <w:sz w:val="20"/>
          <w:szCs w:val="20"/>
          <w:lang w:val="fr-CA"/>
        </w:rPr>
        <w:t xml:space="preserve"> la Criminal Lawyers Association (Ontario), l’Association des libertés civiles de la Colombie-Britannique et l’Association canadienne des policiers sont accordées et ces intervenantes pourront signifier et déposer un mémoire d’au plus 10 pages.</w:t>
      </w:r>
    </w:p>
    <w:p w:rsidR="000D38AD" w:rsidRPr="000D0691" w:rsidRDefault="000D38AD" w:rsidP="000D38AD">
      <w:pPr>
        <w:spacing w:line="233" w:lineRule="auto"/>
        <w:jc w:val="both"/>
        <w:rPr>
          <w:sz w:val="20"/>
          <w:szCs w:val="20"/>
          <w:lang w:val="fr-CA"/>
        </w:rPr>
      </w:pPr>
    </w:p>
    <w:p w:rsidR="000D38AD" w:rsidRPr="000D0691" w:rsidRDefault="000D38AD" w:rsidP="000D38AD">
      <w:pPr>
        <w:spacing w:line="233" w:lineRule="auto"/>
        <w:jc w:val="both"/>
        <w:rPr>
          <w:sz w:val="20"/>
          <w:szCs w:val="20"/>
          <w:lang w:val="fr-CA"/>
        </w:rPr>
      </w:pPr>
      <w:r w:rsidRPr="000D0691">
        <w:rPr>
          <w:sz w:val="20"/>
          <w:szCs w:val="20"/>
          <w:lang w:val="fr-CA"/>
        </w:rPr>
        <w:t xml:space="preserve">Les requêtes en prorogation de délai du </w:t>
      </w:r>
      <w:r w:rsidRPr="000D0691">
        <w:rPr>
          <w:bCs/>
          <w:sz w:val="20"/>
          <w:szCs w:val="20"/>
          <w:lang w:val="fr-CA"/>
        </w:rPr>
        <w:t>procureur général de l’</w:t>
      </w:r>
      <w:r w:rsidRPr="000D0691">
        <w:rPr>
          <w:sz w:val="20"/>
          <w:szCs w:val="20"/>
          <w:lang w:val="fr-CA"/>
        </w:rPr>
        <w:t>Ontario et de l’Association canadienne des libertés civiles sont accordées et ces intervenants pourront signifier et déposer un mémoire d’au plus 10 pages.</w:t>
      </w:r>
    </w:p>
    <w:p w:rsidR="000D38AD" w:rsidRPr="000D0691" w:rsidRDefault="000D38AD" w:rsidP="000D38AD">
      <w:pPr>
        <w:spacing w:line="233" w:lineRule="auto"/>
        <w:jc w:val="both"/>
        <w:rPr>
          <w:sz w:val="20"/>
          <w:szCs w:val="20"/>
          <w:lang w:val="fr-CA"/>
        </w:rPr>
      </w:pPr>
    </w:p>
    <w:p w:rsidR="000D38AD" w:rsidRPr="000D0691" w:rsidRDefault="000D38AD" w:rsidP="000D38AD">
      <w:pPr>
        <w:spacing w:line="233" w:lineRule="auto"/>
        <w:jc w:val="both"/>
        <w:rPr>
          <w:sz w:val="20"/>
          <w:szCs w:val="20"/>
          <w:lang w:val="fr-CA"/>
        </w:rPr>
      </w:pPr>
      <w:r w:rsidRPr="000D0691">
        <w:rPr>
          <w:sz w:val="20"/>
          <w:szCs w:val="20"/>
          <w:lang w:val="fr-CA"/>
        </w:rPr>
        <w:t xml:space="preserve">Dans la mesure où leurs intérêts sont similaires, les intervenants se consulteront pour éviter toute répétition. </w:t>
      </w:r>
    </w:p>
    <w:p w:rsidR="000D38AD" w:rsidRPr="000D0691" w:rsidRDefault="000D38AD" w:rsidP="000D38AD">
      <w:pPr>
        <w:spacing w:line="233" w:lineRule="auto"/>
        <w:jc w:val="both"/>
        <w:rPr>
          <w:sz w:val="20"/>
          <w:szCs w:val="20"/>
          <w:lang w:val="fr-CA"/>
        </w:rPr>
      </w:pPr>
    </w:p>
    <w:p w:rsidR="000D38AD" w:rsidRPr="000D0691" w:rsidRDefault="000D38AD" w:rsidP="000D38AD">
      <w:pPr>
        <w:spacing w:line="233" w:lineRule="auto"/>
        <w:jc w:val="both"/>
        <w:rPr>
          <w:sz w:val="20"/>
          <w:szCs w:val="20"/>
          <w:lang w:val="fr-CA"/>
        </w:rPr>
      </w:pPr>
      <w:r w:rsidRPr="000D0691">
        <w:rPr>
          <w:sz w:val="20"/>
          <w:szCs w:val="20"/>
          <w:lang w:val="fr-CA"/>
        </w:rPr>
        <w:t xml:space="preserve">La décision sur les demandes en vue de présenter une plaidoirie orale sera rendue après réception et examen des arguments écrits des parties et des intervenants. </w:t>
      </w:r>
    </w:p>
    <w:p w:rsidR="000D38AD" w:rsidRPr="000D0691" w:rsidRDefault="000D38AD" w:rsidP="000D38AD">
      <w:pPr>
        <w:spacing w:line="233" w:lineRule="auto"/>
        <w:jc w:val="both"/>
        <w:rPr>
          <w:sz w:val="20"/>
          <w:szCs w:val="20"/>
          <w:lang w:val="fr-CA"/>
        </w:rPr>
      </w:pPr>
    </w:p>
    <w:p w:rsidR="000D38AD" w:rsidRPr="000D0691" w:rsidRDefault="000D38AD" w:rsidP="000D38AD">
      <w:pPr>
        <w:spacing w:line="233" w:lineRule="auto"/>
        <w:jc w:val="both"/>
        <w:rPr>
          <w:sz w:val="20"/>
          <w:szCs w:val="20"/>
          <w:lang w:val="fr-CA"/>
        </w:rPr>
      </w:pPr>
      <w:r w:rsidRPr="000D0691">
        <w:rPr>
          <w:sz w:val="20"/>
          <w:szCs w:val="20"/>
          <w:lang w:val="fr-CA"/>
        </w:rPr>
        <w:t>Les intervenants n’auront pas le droit de soulever de nouvelles questions, de produire d’autres éléments de preuve ni d’ajouter quoi que ce soit au dossier des parties.</w:t>
      </w:r>
    </w:p>
    <w:p w:rsidR="000D38AD" w:rsidRPr="000D0691" w:rsidRDefault="000D38AD" w:rsidP="000D38AD">
      <w:pPr>
        <w:spacing w:line="233" w:lineRule="auto"/>
        <w:jc w:val="both"/>
        <w:rPr>
          <w:sz w:val="20"/>
          <w:szCs w:val="20"/>
          <w:lang w:val="fr-CA"/>
        </w:rPr>
      </w:pPr>
    </w:p>
    <w:p w:rsidR="000D38AD" w:rsidRPr="000D0691" w:rsidRDefault="000D38AD" w:rsidP="000D38AD">
      <w:pPr>
        <w:spacing w:line="233" w:lineRule="auto"/>
        <w:jc w:val="both"/>
        <w:rPr>
          <w:sz w:val="20"/>
          <w:szCs w:val="20"/>
          <w:lang w:val="fr-CA"/>
        </w:rPr>
      </w:pPr>
      <w:r w:rsidRPr="000D0691">
        <w:rPr>
          <w:sz w:val="20"/>
          <w:szCs w:val="20"/>
          <w:lang w:val="fr-CA"/>
        </w:rPr>
        <w:t>Conformément à l’alinéa 59(1)</w:t>
      </w:r>
      <w:r w:rsidRPr="000D0691">
        <w:rPr>
          <w:i/>
          <w:sz w:val="20"/>
          <w:szCs w:val="20"/>
          <w:lang w:val="fr-CA"/>
        </w:rPr>
        <w:t>a</w:t>
      </w:r>
      <w:r w:rsidRPr="000D0691">
        <w:rPr>
          <w:sz w:val="20"/>
          <w:szCs w:val="20"/>
          <w:lang w:val="fr-CA"/>
        </w:rPr>
        <w:t xml:space="preserve">) des </w:t>
      </w:r>
      <w:r w:rsidRPr="000D0691">
        <w:rPr>
          <w:i/>
          <w:sz w:val="20"/>
          <w:szCs w:val="20"/>
          <w:lang w:val="fr-CA"/>
        </w:rPr>
        <w:t>Règles de la Cour suprême du Canada</w:t>
      </w:r>
      <w:r w:rsidRPr="000D0691">
        <w:rPr>
          <w:sz w:val="20"/>
          <w:szCs w:val="20"/>
          <w:lang w:val="fr-CA"/>
        </w:rPr>
        <w:t>, les intervenants paieront à l’appelant et aux intimés tous débours supplémentaires résultant de leur intervention.</w:t>
      </w:r>
    </w:p>
    <w:p w:rsidR="000D38AD" w:rsidRPr="000D0691" w:rsidRDefault="000D38AD" w:rsidP="000D38AD">
      <w:pPr>
        <w:tabs>
          <w:tab w:val="left" w:pos="-1440"/>
          <w:tab w:val="left" w:pos="-720"/>
        </w:tabs>
        <w:jc w:val="both"/>
        <w:rPr>
          <w:sz w:val="20"/>
          <w:szCs w:val="20"/>
          <w:lang w:val="fr-CA"/>
        </w:rPr>
      </w:pPr>
    </w:p>
    <w:p w:rsidR="000D38AD" w:rsidRPr="000D0691" w:rsidRDefault="004D21E4" w:rsidP="000D38AD">
      <w:pPr>
        <w:tabs>
          <w:tab w:val="left" w:pos="-1440"/>
          <w:tab w:val="left" w:pos="-720"/>
        </w:tabs>
        <w:jc w:val="both"/>
        <w:rPr>
          <w:sz w:val="20"/>
          <w:szCs w:val="20"/>
          <w:lang w:val="fr-CA"/>
        </w:rPr>
      </w:pPr>
      <w:r w:rsidRPr="004D21E4">
        <w:rPr>
          <w:sz w:val="20"/>
          <w:szCs w:val="20"/>
          <w:lang w:val="fr-CA"/>
        </w:rPr>
        <w:pict>
          <v:rect id="_x0000_i1112" style="width:2in;height:1pt" o:hrpct="0" o:hralign="center" o:hrstd="t" o:hrnoshade="t" o:hr="t" fillcolor="black [3213]" stroked="f"/>
        </w:pict>
      </w:r>
    </w:p>
    <w:p w:rsidR="000D38AD" w:rsidRPr="000D0691" w:rsidRDefault="000D38AD" w:rsidP="000D38AD">
      <w:pPr>
        <w:rPr>
          <w:sz w:val="20"/>
          <w:szCs w:val="20"/>
        </w:rPr>
      </w:pPr>
      <w:r w:rsidRPr="000D0691">
        <w:rPr>
          <w:sz w:val="20"/>
          <w:szCs w:val="20"/>
        </w:rPr>
        <w:br w:type="page"/>
      </w:r>
    </w:p>
    <w:p w:rsidR="000D38AD" w:rsidRPr="000D0691" w:rsidRDefault="000D38AD" w:rsidP="000D38AD">
      <w:pPr>
        <w:tabs>
          <w:tab w:val="left" w:pos="-1440"/>
          <w:tab w:val="left" w:pos="-720"/>
        </w:tabs>
        <w:jc w:val="both"/>
        <w:rPr>
          <w:sz w:val="20"/>
          <w:szCs w:val="20"/>
        </w:rPr>
      </w:pPr>
      <w:r w:rsidRPr="000D0691">
        <w:rPr>
          <w:sz w:val="20"/>
          <w:szCs w:val="20"/>
        </w:rPr>
        <w:lastRenderedPageBreak/>
        <w:t>12.10.2011</w:t>
      </w:r>
    </w:p>
    <w:p w:rsidR="000D38AD" w:rsidRPr="000D0691" w:rsidRDefault="000D38AD" w:rsidP="000D38AD">
      <w:pPr>
        <w:tabs>
          <w:tab w:val="left" w:pos="-1440"/>
          <w:tab w:val="left" w:pos="-720"/>
        </w:tabs>
        <w:jc w:val="both"/>
        <w:rPr>
          <w:sz w:val="20"/>
          <w:szCs w:val="20"/>
        </w:rPr>
      </w:pPr>
    </w:p>
    <w:p w:rsidR="000D38AD" w:rsidRPr="000D0691" w:rsidRDefault="000D38AD" w:rsidP="000D38AD">
      <w:pPr>
        <w:tabs>
          <w:tab w:val="left" w:pos="-1440"/>
          <w:tab w:val="left" w:pos="-720"/>
        </w:tabs>
        <w:jc w:val="both"/>
        <w:rPr>
          <w:sz w:val="20"/>
          <w:szCs w:val="20"/>
        </w:rPr>
      </w:pPr>
      <w:r w:rsidRPr="000D0691">
        <w:rPr>
          <w:sz w:val="20"/>
          <w:szCs w:val="20"/>
        </w:rPr>
        <w:t xml:space="preserve">Before / </w:t>
      </w:r>
      <w:proofErr w:type="gramStart"/>
      <w:r w:rsidRPr="000D0691">
        <w:rPr>
          <w:sz w:val="20"/>
          <w:szCs w:val="20"/>
        </w:rPr>
        <w:t>Devant :</w:t>
      </w:r>
      <w:proofErr w:type="gramEnd"/>
      <w:r w:rsidRPr="000D0691">
        <w:rPr>
          <w:sz w:val="20"/>
          <w:szCs w:val="20"/>
        </w:rPr>
        <w:t xml:space="preserve">   THE REGISTRAR / LE REGISTRAIRE</w:t>
      </w:r>
    </w:p>
    <w:p w:rsidR="000D38AD" w:rsidRPr="000D0691" w:rsidRDefault="000D38AD" w:rsidP="000D38AD">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0D38AD" w:rsidRPr="00F80A49" w:rsidTr="00C73BED">
        <w:tc>
          <w:tcPr>
            <w:tcW w:w="4338" w:type="dxa"/>
          </w:tcPr>
          <w:p w:rsidR="000D38AD" w:rsidRPr="000D0691" w:rsidRDefault="004D21E4" w:rsidP="00C73BED">
            <w:pPr>
              <w:tabs>
                <w:tab w:val="left" w:pos="-1440"/>
                <w:tab w:val="left" w:pos="-720"/>
              </w:tabs>
              <w:jc w:val="both"/>
              <w:rPr>
                <w:sz w:val="20"/>
                <w:szCs w:val="20"/>
              </w:rPr>
            </w:pPr>
            <w:r w:rsidRPr="000D0691">
              <w:rPr>
                <w:sz w:val="20"/>
                <w:szCs w:val="20"/>
              </w:rPr>
              <w:fldChar w:fldCharType="begin"/>
            </w:r>
            <w:r w:rsidR="000D38AD" w:rsidRPr="000D0691">
              <w:rPr>
                <w:sz w:val="20"/>
                <w:szCs w:val="20"/>
              </w:rPr>
              <w:instrText xml:space="preserve"> SEQ CHAPTER \h \r 1</w:instrText>
            </w:r>
            <w:r w:rsidRPr="000D0691">
              <w:rPr>
                <w:sz w:val="20"/>
                <w:szCs w:val="20"/>
              </w:rPr>
              <w:fldChar w:fldCharType="end"/>
            </w:r>
            <w:r w:rsidR="000D38AD" w:rsidRPr="000D0691">
              <w:rPr>
                <w:b/>
                <w:bCs/>
                <w:sz w:val="20"/>
                <w:szCs w:val="20"/>
              </w:rPr>
              <w:t>Motion to extend the time to serve the response of the respondents’ Canadian Broadcasting Corporation et al.,  upon Dr. Pierre Mailloux</w:t>
            </w:r>
          </w:p>
        </w:tc>
        <w:tc>
          <w:tcPr>
            <w:tcW w:w="1170" w:type="dxa"/>
          </w:tcPr>
          <w:p w:rsidR="000D38AD" w:rsidRPr="000D0691" w:rsidRDefault="000D38AD" w:rsidP="00C73BED">
            <w:pPr>
              <w:tabs>
                <w:tab w:val="left" w:pos="-1440"/>
                <w:tab w:val="left" w:pos="-720"/>
              </w:tabs>
              <w:jc w:val="both"/>
              <w:rPr>
                <w:sz w:val="20"/>
                <w:szCs w:val="20"/>
              </w:rPr>
            </w:pPr>
          </w:p>
          <w:p w:rsidR="000D38AD" w:rsidRPr="000D0691" w:rsidRDefault="000D38AD" w:rsidP="00C73BED">
            <w:pPr>
              <w:tabs>
                <w:tab w:val="left" w:pos="-1440"/>
                <w:tab w:val="left" w:pos="-720"/>
              </w:tabs>
              <w:jc w:val="both"/>
              <w:rPr>
                <w:sz w:val="20"/>
                <w:szCs w:val="20"/>
              </w:rPr>
            </w:pPr>
          </w:p>
          <w:p w:rsidR="000D38AD" w:rsidRPr="000D0691" w:rsidRDefault="000D38AD" w:rsidP="00C73BED">
            <w:pPr>
              <w:tabs>
                <w:tab w:val="left" w:pos="-1440"/>
                <w:tab w:val="left" w:pos="-720"/>
              </w:tabs>
              <w:jc w:val="both"/>
              <w:rPr>
                <w:sz w:val="20"/>
                <w:szCs w:val="20"/>
              </w:rPr>
            </w:pPr>
          </w:p>
          <w:p w:rsidR="000D38AD" w:rsidRPr="000D0691" w:rsidRDefault="000D38AD" w:rsidP="00C73BED">
            <w:pPr>
              <w:tabs>
                <w:tab w:val="left" w:pos="-1440"/>
                <w:tab w:val="left" w:pos="-720"/>
              </w:tabs>
              <w:jc w:val="both"/>
              <w:rPr>
                <w:sz w:val="20"/>
                <w:szCs w:val="20"/>
              </w:rPr>
            </w:pPr>
          </w:p>
        </w:tc>
        <w:tc>
          <w:tcPr>
            <w:tcW w:w="4327" w:type="dxa"/>
          </w:tcPr>
          <w:p w:rsidR="000D38AD" w:rsidRPr="000D0691" w:rsidRDefault="004D21E4" w:rsidP="00C73BED">
            <w:pPr>
              <w:tabs>
                <w:tab w:val="left" w:pos="-1440"/>
                <w:tab w:val="left" w:pos="-720"/>
              </w:tabs>
              <w:jc w:val="both"/>
              <w:rPr>
                <w:sz w:val="20"/>
                <w:szCs w:val="20"/>
                <w:lang w:val="fr-CA"/>
              </w:rPr>
            </w:pPr>
            <w:r w:rsidRPr="000D0691">
              <w:rPr>
                <w:sz w:val="20"/>
                <w:szCs w:val="20"/>
              </w:rPr>
              <w:fldChar w:fldCharType="begin"/>
            </w:r>
            <w:r w:rsidR="000D38AD" w:rsidRPr="000D0691">
              <w:rPr>
                <w:sz w:val="20"/>
                <w:szCs w:val="20"/>
                <w:lang w:val="fr-CA"/>
              </w:rPr>
              <w:instrText xml:space="preserve"> SEQ CHAPTER \h \r 1</w:instrText>
            </w:r>
            <w:r w:rsidRPr="000D0691">
              <w:rPr>
                <w:sz w:val="20"/>
                <w:szCs w:val="20"/>
              </w:rPr>
              <w:fldChar w:fldCharType="end"/>
            </w:r>
            <w:r w:rsidR="000D38AD" w:rsidRPr="000D0691">
              <w:rPr>
                <w:b/>
                <w:bCs/>
                <w:sz w:val="20"/>
                <w:szCs w:val="20"/>
                <w:lang w:val="fr-CA"/>
              </w:rPr>
              <w:t>Requête en prorogation du délai de signification au D</w:t>
            </w:r>
            <w:r w:rsidR="000D38AD" w:rsidRPr="000D0691">
              <w:rPr>
                <w:b/>
                <w:bCs/>
                <w:sz w:val="20"/>
                <w:szCs w:val="20"/>
                <w:vertAlign w:val="superscript"/>
                <w:lang w:val="fr-CA"/>
              </w:rPr>
              <w:t>r</w:t>
            </w:r>
            <w:r w:rsidR="000D38AD" w:rsidRPr="000D0691">
              <w:rPr>
                <w:b/>
                <w:bCs/>
                <w:sz w:val="20"/>
                <w:szCs w:val="20"/>
                <w:lang w:val="fr-CA"/>
              </w:rPr>
              <w:t xml:space="preserve"> Mailloux de la réponse des intimés, Société Radio Canada et autres</w:t>
            </w:r>
          </w:p>
        </w:tc>
      </w:tr>
      <w:tr w:rsidR="000D38AD" w:rsidRPr="00F80A49" w:rsidTr="00C73BED">
        <w:tc>
          <w:tcPr>
            <w:tcW w:w="4338" w:type="dxa"/>
          </w:tcPr>
          <w:p w:rsidR="000D38AD" w:rsidRPr="000D0691" w:rsidRDefault="000D38AD" w:rsidP="00C73BED">
            <w:pPr>
              <w:tabs>
                <w:tab w:val="left" w:pos="-1440"/>
                <w:tab w:val="left" w:pos="-720"/>
              </w:tabs>
              <w:jc w:val="both"/>
              <w:rPr>
                <w:sz w:val="20"/>
                <w:szCs w:val="20"/>
                <w:lang w:val="fr-CA"/>
              </w:rPr>
            </w:pPr>
            <w:r w:rsidRPr="000D0691">
              <w:rPr>
                <w:sz w:val="20"/>
                <w:szCs w:val="20"/>
                <w:lang w:val="fr-CA"/>
              </w:rPr>
              <w:t>Erwin Gordon</w:t>
            </w:r>
          </w:p>
          <w:p w:rsidR="000D38AD" w:rsidRPr="000D0691" w:rsidRDefault="000D38AD" w:rsidP="00C73BED">
            <w:pPr>
              <w:tabs>
                <w:tab w:val="left" w:pos="-1440"/>
                <w:tab w:val="left" w:pos="-720"/>
              </w:tabs>
              <w:jc w:val="both"/>
              <w:rPr>
                <w:sz w:val="20"/>
                <w:szCs w:val="20"/>
                <w:lang w:val="fr-CA"/>
              </w:rPr>
            </w:pPr>
          </w:p>
          <w:p w:rsidR="000D38AD" w:rsidRPr="000D0691" w:rsidRDefault="000D38AD" w:rsidP="00C73BED">
            <w:pPr>
              <w:tabs>
                <w:tab w:val="left" w:pos="-1440"/>
                <w:tab w:val="left" w:pos="-720"/>
              </w:tabs>
              <w:jc w:val="both"/>
              <w:rPr>
                <w:sz w:val="20"/>
                <w:szCs w:val="20"/>
                <w:lang w:val="fr-CA"/>
              </w:rPr>
            </w:pPr>
            <w:r w:rsidRPr="000D0691">
              <w:rPr>
                <w:sz w:val="20"/>
                <w:szCs w:val="20"/>
                <w:lang w:val="fr-CA"/>
              </w:rPr>
              <w:tab/>
              <w:t>c. (34354)</w:t>
            </w:r>
          </w:p>
          <w:p w:rsidR="000D38AD" w:rsidRPr="000D0691" w:rsidRDefault="000D38AD" w:rsidP="00C73BED">
            <w:pPr>
              <w:tabs>
                <w:tab w:val="left" w:pos="-1440"/>
                <w:tab w:val="left" w:pos="-720"/>
              </w:tabs>
              <w:jc w:val="both"/>
              <w:rPr>
                <w:sz w:val="20"/>
                <w:szCs w:val="20"/>
                <w:lang w:val="fr-CA"/>
              </w:rPr>
            </w:pPr>
          </w:p>
          <w:p w:rsidR="000D38AD" w:rsidRPr="000D0691" w:rsidRDefault="000D38AD" w:rsidP="00C73BED">
            <w:pPr>
              <w:tabs>
                <w:tab w:val="left" w:pos="-1440"/>
                <w:tab w:val="left" w:pos="-720"/>
              </w:tabs>
              <w:jc w:val="both"/>
              <w:rPr>
                <w:sz w:val="20"/>
                <w:szCs w:val="20"/>
                <w:lang w:val="fr-CA"/>
              </w:rPr>
            </w:pPr>
            <w:r w:rsidRPr="000D0691">
              <w:rPr>
                <w:sz w:val="20"/>
                <w:szCs w:val="20"/>
                <w:lang w:val="fr-CA"/>
              </w:rPr>
              <w:t>Pierre Mailloux et autres (Qc)</w:t>
            </w:r>
          </w:p>
        </w:tc>
        <w:tc>
          <w:tcPr>
            <w:tcW w:w="1170" w:type="dxa"/>
          </w:tcPr>
          <w:p w:rsidR="000D38AD" w:rsidRPr="000D0691" w:rsidRDefault="000D38AD" w:rsidP="00C73BED">
            <w:pPr>
              <w:tabs>
                <w:tab w:val="left" w:pos="-1440"/>
                <w:tab w:val="left" w:pos="-720"/>
              </w:tabs>
              <w:jc w:val="both"/>
              <w:rPr>
                <w:sz w:val="20"/>
                <w:szCs w:val="20"/>
                <w:lang w:val="fr-CA"/>
              </w:rPr>
            </w:pPr>
          </w:p>
        </w:tc>
        <w:tc>
          <w:tcPr>
            <w:tcW w:w="4327" w:type="dxa"/>
          </w:tcPr>
          <w:p w:rsidR="000D38AD" w:rsidRPr="000D0691" w:rsidRDefault="000D38AD" w:rsidP="00C73BED">
            <w:pPr>
              <w:tabs>
                <w:tab w:val="left" w:pos="-1440"/>
                <w:tab w:val="left" w:pos="-720"/>
              </w:tabs>
              <w:jc w:val="both"/>
              <w:rPr>
                <w:sz w:val="20"/>
                <w:szCs w:val="20"/>
                <w:lang w:val="fr-CA"/>
              </w:rPr>
            </w:pPr>
          </w:p>
        </w:tc>
      </w:tr>
    </w:tbl>
    <w:p w:rsidR="000D38AD" w:rsidRPr="000D0691" w:rsidRDefault="000D38AD" w:rsidP="000D38AD">
      <w:pPr>
        <w:tabs>
          <w:tab w:val="left" w:pos="-1440"/>
          <w:tab w:val="left" w:pos="-720"/>
        </w:tabs>
        <w:jc w:val="both"/>
        <w:rPr>
          <w:sz w:val="20"/>
          <w:szCs w:val="20"/>
          <w:lang w:val="fr-CA"/>
        </w:rPr>
      </w:pPr>
    </w:p>
    <w:p w:rsidR="000D38AD" w:rsidRPr="000D0691" w:rsidRDefault="000D38AD" w:rsidP="000D38AD">
      <w:pPr>
        <w:tabs>
          <w:tab w:val="left" w:pos="-1440"/>
          <w:tab w:val="left" w:pos="-720"/>
        </w:tabs>
        <w:jc w:val="both"/>
        <w:rPr>
          <w:sz w:val="20"/>
          <w:szCs w:val="20"/>
        </w:rPr>
      </w:pPr>
      <w:r w:rsidRPr="000D0691">
        <w:rPr>
          <w:b/>
          <w:sz w:val="20"/>
          <w:szCs w:val="20"/>
        </w:rPr>
        <w:t>GRANTED / ACCORDÉE</w:t>
      </w:r>
    </w:p>
    <w:p w:rsidR="000D38AD" w:rsidRPr="000D0691" w:rsidRDefault="000D38AD" w:rsidP="000D38AD">
      <w:pPr>
        <w:tabs>
          <w:tab w:val="left" w:pos="-1440"/>
          <w:tab w:val="left" w:pos="-720"/>
        </w:tabs>
        <w:jc w:val="both"/>
        <w:rPr>
          <w:sz w:val="20"/>
          <w:szCs w:val="20"/>
        </w:rPr>
      </w:pPr>
    </w:p>
    <w:p w:rsidR="000D38AD" w:rsidRPr="000D0691" w:rsidRDefault="004D21E4" w:rsidP="000D38AD">
      <w:pPr>
        <w:tabs>
          <w:tab w:val="left" w:pos="-1440"/>
          <w:tab w:val="left" w:pos="-720"/>
        </w:tabs>
        <w:jc w:val="both"/>
        <w:rPr>
          <w:sz w:val="20"/>
          <w:szCs w:val="20"/>
        </w:rPr>
      </w:pPr>
      <w:r w:rsidRPr="004D21E4">
        <w:rPr>
          <w:sz w:val="20"/>
          <w:szCs w:val="20"/>
          <w:lang w:val="fr-CA"/>
        </w:rPr>
        <w:pict>
          <v:rect id="_x0000_i1113" style="width:2in;height:1pt" o:hrpct="0" o:hralign="center" o:hrstd="t" o:hrnoshade="t" o:hr="t" fillcolor="black [3213]" stroked="f"/>
        </w:pict>
      </w:r>
    </w:p>
    <w:p w:rsidR="000D38AD" w:rsidRPr="000D0691" w:rsidRDefault="000D38AD" w:rsidP="000D38AD">
      <w:pPr>
        <w:rPr>
          <w:sz w:val="20"/>
          <w:szCs w:val="20"/>
        </w:rPr>
      </w:pPr>
    </w:p>
    <w:p w:rsidR="000D38AD" w:rsidRDefault="000D38AD" w:rsidP="0010587F">
      <w:pPr>
        <w:tabs>
          <w:tab w:val="left" w:pos="-1440"/>
          <w:tab w:val="left" w:pos="-720"/>
        </w:tabs>
        <w:jc w:val="both"/>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F80A49"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6A7445" w:rsidRDefault="007654AC" w:rsidP="003B3977">
            <w:pPr>
              <w:rPr>
                <w:sz w:val="20"/>
                <w:szCs w:val="20"/>
                <w:lang w:val="fr-CA"/>
              </w:rPr>
            </w:pPr>
            <w:r w:rsidRPr="006A7445">
              <w:rPr>
                <w:sz w:val="20"/>
                <w:szCs w:val="20"/>
                <w:lang w:val="fr-CA"/>
              </w:rPr>
              <w:t>13</w:t>
            </w:r>
            <w:r w:rsidR="0010587F" w:rsidRPr="006A7445">
              <w:rPr>
                <w:sz w:val="20"/>
                <w:szCs w:val="20"/>
                <w:lang w:val="fr-CA"/>
              </w:rPr>
              <w:t>.10.201</w:t>
            </w:r>
            <w:r w:rsidRPr="006A7445">
              <w:rPr>
                <w:sz w:val="20"/>
                <w:szCs w:val="20"/>
                <w:lang w:val="fr-CA"/>
              </w:rPr>
              <w:t>1</w:t>
            </w:r>
          </w:p>
          <w:p w:rsidR="0010587F" w:rsidRPr="006A7445" w:rsidRDefault="0010587F" w:rsidP="003B3977">
            <w:pPr>
              <w:rPr>
                <w:sz w:val="20"/>
                <w:szCs w:val="20"/>
                <w:lang w:val="fr-CA"/>
              </w:rPr>
            </w:pPr>
          </w:p>
          <w:p w:rsidR="0010587F" w:rsidRPr="007654AC" w:rsidRDefault="007654AC" w:rsidP="003B3977">
            <w:pPr>
              <w:rPr>
                <w:b/>
                <w:sz w:val="20"/>
                <w:szCs w:val="20"/>
                <w:lang w:val="fr-CA"/>
              </w:rPr>
            </w:pPr>
            <w:r w:rsidRPr="007654AC">
              <w:rPr>
                <w:b/>
                <w:sz w:val="20"/>
                <w:szCs w:val="20"/>
                <w:lang w:val="fr-CA"/>
              </w:rPr>
              <w:t>Cogeo Cable Inc. et al.</w:t>
            </w:r>
          </w:p>
          <w:p w:rsidR="0010587F" w:rsidRPr="007654AC" w:rsidRDefault="0010587F" w:rsidP="003B3977">
            <w:pPr>
              <w:rPr>
                <w:b/>
                <w:sz w:val="20"/>
                <w:szCs w:val="20"/>
                <w:lang w:val="fr-CA"/>
              </w:rPr>
            </w:pPr>
          </w:p>
          <w:p w:rsidR="0010587F" w:rsidRPr="003B3977" w:rsidRDefault="0010587F" w:rsidP="003B3977">
            <w:pPr>
              <w:rPr>
                <w:b/>
                <w:sz w:val="20"/>
                <w:szCs w:val="20"/>
              </w:rPr>
            </w:pPr>
            <w:r w:rsidRPr="007654AC">
              <w:rPr>
                <w:b/>
                <w:sz w:val="20"/>
                <w:szCs w:val="20"/>
                <w:lang w:val="fr-CA"/>
              </w:rPr>
              <w:tab/>
            </w:r>
            <w:r w:rsidRPr="003B3977">
              <w:rPr>
                <w:b/>
                <w:sz w:val="20"/>
                <w:szCs w:val="20"/>
              </w:rPr>
              <w:t>v. (3</w:t>
            </w:r>
            <w:r w:rsidR="007654AC">
              <w:rPr>
                <w:b/>
                <w:sz w:val="20"/>
                <w:szCs w:val="20"/>
              </w:rPr>
              <w:t>42</w:t>
            </w:r>
            <w:r w:rsidRPr="003B3977">
              <w:rPr>
                <w:b/>
                <w:sz w:val="20"/>
                <w:szCs w:val="20"/>
              </w:rPr>
              <w:t>31)</w:t>
            </w:r>
          </w:p>
          <w:p w:rsidR="0010587F" w:rsidRPr="003B3977" w:rsidRDefault="0010587F" w:rsidP="003B3977">
            <w:pPr>
              <w:rPr>
                <w:b/>
                <w:sz w:val="20"/>
                <w:szCs w:val="20"/>
              </w:rPr>
            </w:pPr>
          </w:p>
          <w:p w:rsidR="0010587F" w:rsidRPr="003B3977" w:rsidRDefault="007654AC" w:rsidP="003B3977">
            <w:pPr>
              <w:rPr>
                <w:b/>
                <w:sz w:val="20"/>
                <w:szCs w:val="20"/>
              </w:rPr>
            </w:pPr>
            <w:r>
              <w:rPr>
                <w:b/>
                <w:sz w:val="20"/>
                <w:szCs w:val="20"/>
              </w:rPr>
              <w:t xml:space="preserve">Bell Media Inc. (formerly CTV Globemedia Inc.), V. Interactions Inc., Newfoundland Broadcasting Co. Ltd. et al. </w:t>
            </w:r>
            <w:r w:rsidR="00EA79B0">
              <w:rPr>
                <w:b/>
                <w:sz w:val="20"/>
                <w:szCs w:val="20"/>
              </w:rPr>
              <w:t>(</w:t>
            </w:r>
            <w:r>
              <w:rPr>
                <w:b/>
                <w:sz w:val="20"/>
                <w:szCs w:val="20"/>
              </w:rPr>
              <w:t>F</w:t>
            </w:r>
            <w:r w:rsidR="0010587F" w:rsidRPr="003B3977">
              <w:rPr>
                <w:b/>
                <w:sz w:val="20"/>
                <w:szCs w:val="20"/>
              </w:rPr>
              <w:t>.</w:t>
            </w:r>
            <w:r>
              <w:rPr>
                <w:b/>
                <w:sz w:val="20"/>
                <w:szCs w:val="20"/>
              </w:rPr>
              <w:t>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7654AC">
              <w:rPr>
                <w:sz w:val="20"/>
                <w:szCs w:val="20"/>
              </w:rPr>
              <w:t>By Leave</w:t>
            </w:r>
            <w:r w:rsidRPr="003B3977">
              <w:rPr>
                <w:sz w:val="20"/>
                <w:szCs w:val="20"/>
              </w:rPr>
              <w:t>)</w:t>
            </w:r>
          </w:p>
          <w:p w:rsidR="0010587F" w:rsidRPr="003B3977" w:rsidRDefault="0010587F" w:rsidP="003B3977">
            <w:pPr>
              <w:rPr>
                <w:sz w:val="20"/>
                <w:szCs w:val="20"/>
              </w:rPr>
            </w:pPr>
          </w:p>
          <w:p w:rsidR="0010587F" w:rsidRPr="007654AC" w:rsidRDefault="004D21E4" w:rsidP="003B3977">
            <w:pPr>
              <w:rPr>
                <w:sz w:val="20"/>
                <w:szCs w:val="20"/>
              </w:rPr>
            </w:pPr>
            <w:r w:rsidRPr="004D21E4">
              <w:rPr>
                <w:sz w:val="20"/>
                <w:szCs w:val="20"/>
                <w:lang w:val="fr-CA"/>
              </w:rPr>
              <w:pict>
                <v:rect id="_x0000_i1116"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F80A49"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EA79B0" w:rsidP="00732DB7">
      <w:pPr>
        <w:widowControl w:val="0"/>
        <w:rPr>
          <w:sz w:val="20"/>
          <w:szCs w:val="20"/>
        </w:rPr>
      </w:pPr>
      <w:r>
        <w:rPr>
          <w:sz w:val="20"/>
          <w:szCs w:val="20"/>
        </w:rPr>
        <w:t>1</w:t>
      </w:r>
      <w:r w:rsidR="00732DB7" w:rsidRPr="00C50A5C">
        <w:rPr>
          <w:sz w:val="20"/>
          <w:szCs w:val="20"/>
        </w:rPr>
        <w:t>4.</w:t>
      </w:r>
      <w:r>
        <w:rPr>
          <w:sz w:val="20"/>
          <w:szCs w:val="20"/>
        </w:rPr>
        <w:t>1</w:t>
      </w:r>
      <w:r w:rsidR="00732DB7" w:rsidRPr="00C50A5C">
        <w:rPr>
          <w:sz w:val="20"/>
          <w:szCs w:val="20"/>
        </w:rPr>
        <w:t>0.201</w:t>
      </w:r>
      <w:r>
        <w:rPr>
          <w:sz w:val="20"/>
          <w:szCs w:val="20"/>
        </w:rPr>
        <w:t>1</w:t>
      </w:r>
    </w:p>
    <w:p w:rsidR="00732DB7" w:rsidRDefault="00732DB7" w:rsidP="00732DB7">
      <w:pPr>
        <w:widowControl w:val="0"/>
        <w:rPr>
          <w:sz w:val="20"/>
          <w:szCs w:val="20"/>
        </w:rPr>
      </w:pPr>
    </w:p>
    <w:p w:rsidR="00A85D85" w:rsidRPr="008B243A" w:rsidRDefault="00A85D85" w:rsidP="00A85D85">
      <w:pPr>
        <w:widowControl w:val="0"/>
        <w:ind w:left="720" w:hanging="720"/>
        <w:rPr>
          <w:rFonts w:eastAsia="Calibri" w:cs="Times New Roman"/>
          <w:sz w:val="20"/>
          <w:szCs w:val="20"/>
          <w:u w:val="single"/>
        </w:rPr>
      </w:pPr>
      <w:r w:rsidRPr="008B243A">
        <w:rPr>
          <w:rFonts w:eastAsia="Calibri" w:cs="Times New Roman"/>
          <w:sz w:val="20"/>
          <w:szCs w:val="20"/>
        </w:rPr>
        <w:t xml:space="preserve">Coram: </w:t>
      </w:r>
      <w:r w:rsidRPr="008B243A">
        <w:rPr>
          <w:rFonts w:eastAsia="Calibri" w:cs="Times New Roman"/>
          <w:sz w:val="20"/>
          <w:szCs w:val="20"/>
        </w:rPr>
        <w:tab/>
      </w:r>
      <w:r w:rsidRPr="008B243A">
        <w:rPr>
          <w:rFonts w:eastAsia="Calibri" w:cs="Times New Roman"/>
          <w:sz w:val="20"/>
          <w:szCs w:val="20"/>
          <w:u w:val="single"/>
        </w:rPr>
        <w:t>McLachlin C.J. and LeBel, Deschamps, Fish, Abella, Rothstein and Cromwell JJ.</w:t>
      </w:r>
    </w:p>
    <w:p w:rsidR="00A85D85" w:rsidRPr="00C50A5C" w:rsidRDefault="00A85D85"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EA79B0" w:rsidRPr="00C50A5C" w:rsidTr="00A71F32">
        <w:tc>
          <w:tcPr>
            <w:tcW w:w="4380" w:type="dxa"/>
            <w:tcMar>
              <w:left w:w="0" w:type="dxa"/>
              <w:right w:w="0" w:type="dxa"/>
            </w:tcMar>
          </w:tcPr>
          <w:p w:rsidR="00EA79B0" w:rsidRPr="00A85D85" w:rsidRDefault="00A85D85" w:rsidP="00A71F32">
            <w:pPr>
              <w:widowControl w:val="0"/>
              <w:jc w:val="both"/>
              <w:rPr>
                <w:b/>
                <w:sz w:val="20"/>
                <w:szCs w:val="20"/>
              </w:rPr>
            </w:pPr>
            <w:r w:rsidRPr="00A85D85">
              <w:rPr>
                <w:rFonts w:eastAsia="Calibri" w:cs="Times New Roman"/>
                <w:b/>
                <w:sz w:val="20"/>
                <w:szCs w:val="20"/>
              </w:rPr>
              <w:t>Newfoundland and Labrador Nurses' Union</w:t>
            </w:r>
          </w:p>
          <w:p w:rsidR="00EA79B0" w:rsidRPr="00A85D85" w:rsidRDefault="00EA79B0" w:rsidP="00A71F32">
            <w:pPr>
              <w:widowControl w:val="0"/>
              <w:jc w:val="both"/>
              <w:rPr>
                <w:b/>
                <w:sz w:val="20"/>
                <w:szCs w:val="20"/>
              </w:rPr>
            </w:pPr>
          </w:p>
          <w:p w:rsidR="00EA79B0" w:rsidRPr="00A85D85" w:rsidRDefault="00EA79B0" w:rsidP="00A71F32">
            <w:pPr>
              <w:widowControl w:val="0"/>
              <w:tabs>
                <w:tab w:val="left" w:pos="736"/>
              </w:tabs>
              <w:jc w:val="both"/>
              <w:rPr>
                <w:b/>
                <w:sz w:val="20"/>
                <w:szCs w:val="20"/>
              </w:rPr>
            </w:pPr>
            <w:r w:rsidRPr="00A85D85">
              <w:rPr>
                <w:b/>
                <w:sz w:val="20"/>
                <w:szCs w:val="20"/>
              </w:rPr>
              <w:tab/>
              <w:t>v. (3</w:t>
            </w:r>
            <w:r w:rsidR="00A85D85" w:rsidRPr="00A85D85">
              <w:rPr>
                <w:b/>
                <w:sz w:val="20"/>
                <w:szCs w:val="20"/>
              </w:rPr>
              <w:t>3659</w:t>
            </w:r>
            <w:r w:rsidRPr="00A85D85">
              <w:rPr>
                <w:b/>
                <w:sz w:val="20"/>
                <w:szCs w:val="20"/>
              </w:rPr>
              <w:t>)</w:t>
            </w:r>
          </w:p>
          <w:p w:rsidR="00EA79B0" w:rsidRDefault="00EA79B0" w:rsidP="00A71F32">
            <w:pPr>
              <w:widowControl w:val="0"/>
              <w:jc w:val="both"/>
              <w:rPr>
                <w:b/>
                <w:sz w:val="20"/>
                <w:szCs w:val="20"/>
              </w:rPr>
            </w:pPr>
          </w:p>
          <w:p w:rsidR="00EA79B0" w:rsidRPr="00C50A5C" w:rsidRDefault="00A85D85" w:rsidP="00A85D85">
            <w:pPr>
              <w:widowControl w:val="0"/>
              <w:jc w:val="both"/>
              <w:rPr>
                <w:sz w:val="20"/>
                <w:szCs w:val="20"/>
                <w:lang w:val="fr-CA"/>
              </w:rPr>
            </w:pPr>
            <w:r w:rsidRPr="00A85D85">
              <w:rPr>
                <w:rFonts w:eastAsia="Calibri" w:cs="Times New Roman"/>
                <w:b/>
                <w:sz w:val="20"/>
                <w:szCs w:val="20"/>
              </w:rPr>
              <w:t xml:space="preserve">Her Majesty the Queen in Right of Newfoundland and Labrador, represented by Treasury Board et al. </w:t>
            </w:r>
            <w:r w:rsidRPr="00A85D85">
              <w:rPr>
                <w:rFonts w:eastAsia="Calibri" w:cs="Times New Roman"/>
                <w:b/>
                <w:sz w:val="20"/>
                <w:szCs w:val="20"/>
                <w:lang w:val="fr-CA"/>
              </w:rPr>
              <w:t>(N.L.) (Civil) (By Leave)</w:t>
            </w:r>
          </w:p>
        </w:tc>
        <w:tc>
          <w:tcPr>
            <w:tcW w:w="720" w:type="dxa"/>
            <w:tcMar>
              <w:left w:w="0" w:type="dxa"/>
              <w:right w:w="0" w:type="dxa"/>
            </w:tcMar>
          </w:tcPr>
          <w:p w:rsidR="00EA79B0" w:rsidRPr="00C50A5C" w:rsidRDefault="00EA79B0" w:rsidP="00A71F32">
            <w:pPr>
              <w:widowControl w:val="0"/>
              <w:jc w:val="center"/>
              <w:rPr>
                <w:sz w:val="20"/>
                <w:szCs w:val="20"/>
                <w:lang w:val="fr-CA"/>
              </w:rPr>
            </w:pPr>
          </w:p>
        </w:tc>
        <w:tc>
          <w:tcPr>
            <w:tcW w:w="4380" w:type="dxa"/>
            <w:tcMar>
              <w:left w:w="0" w:type="dxa"/>
              <w:right w:w="0" w:type="dxa"/>
            </w:tcMar>
          </w:tcPr>
          <w:p w:rsidR="00027E51" w:rsidRPr="005C48DD" w:rsidRDefault="00614819" w:rsidP="00027E51">
            <w:pPr>
              <w:jc w:val="both"/>
              <w:rPr>
                <w:sz w:val="20"/>
                <w:szCs w:val="20"/>
              </w:rPr>
            </w:pPr>
            <w:r w:rsidRPr="005C48DD">
              <w:rPr>
                <w:sz w:val="20"/>
                <w:szCs w:val="20"/>
              </w:rPr>
              <w:t xml:space="preserve">David G. Conway and Tracey L. Trahey </w:t>
            </w:r>
            <w:r w:rsidR="00027E51" w:rsidRPr="005C48DD">
              <w:rPr>
                <w:sz w:val="20"/>
                <w:szCs w:val="20"/>
              </w:rPr>
              <w:t>for the appellant.</w:t>
            </w:r>
          </w:p>
          <w:p w:rsidR="00027E51" w:rsidRPr="005C48DD" w:rsidRDefault="00027E51" w:rsidP="00027E51">
            <w:pPr>
              <w:jc w:val="both"/>
              <w:rPr>
                <w:sz w:val="20"/>
                <w:szCs w:val="20"/>
              </w:rPr>
            </w:pPr>
          </w:p>
          <w:p w:rsidR="00EA79B0" w:rsidRPr="00C50A5C" w:rsidRDefault="00614819" w:rsidP="00027E51">
            <w:pPr>
              <w:widowControl w:val="0"/>
              <w:jc w:val="both"/>
              <w:rPr>
                <w:sz w:val="20"/>
                <w:szCs w:val="20"/>
              </w:rPr>
            </w:pPr>
            <w:r w:rsidRPr="005C48DD">
              <w:rPr>
                <w:sz w:val="20"/>
                <w:szCs w:val="20"/>
              </w:rPr>
              <w:t xml:space="preserve">Stephen F. Penney and Jeffrey Beedell </w:t>
            </w:r>
            <w:r w:rsidR="00027E51" w:rsidRPr="005C48DD">
              <w:rPr>
                <w:sz w:val="20"/>
                <w:szCs w:val="20"/>
              </w:rPr>
              <w:t>for the respondent.</w:t>
            </w:r>
          </w:p>
        </w:tc>
      </w:tr>
    </w:tbl>
    <w:p w:rsidR="00EA79B0" w:rsidRPr="00EA79B0" w:rsidRDefault="00EA79B0" w:rsidP="00732DB7">
      <w:pPr>
        <w:widowControl w:val="0"/>
        <w:rPr>
          <w:sz w:val="20"/>
          <w:szCs w:val="20"/>
        </w:rPr>
      </w:pPr>
    </w:p>
    <w:p w:rsidR="00EA79B0" w:rsidRPr="0085476B" w:rsidRDefault="00EA79B0" w:rsidP="00EA79B0">
      <w:pPr>
        <w:widowControl w:val="0"/>
        <w:rPr>
          <w:sz w:val="20"/>
          <w:szCs w:val="20"/>
        </w:rPr>
      </w:pPr>
      <w:r w:rsidRPr="0085476B">
        <w:rPr>
          <w:b/>
          <w:sz w:val="20"/>
          <w:szCs w:val="20"/>
        </w:rPr>
        <w:t xml:space="preserve">RESERVED / </w:t>
      </w:r>
      <w:r w:rsidRPr="0085476B">
        <w:rPr>
          <w:b/>
          <w:sz w:val="20"/>
          <w:szCs w:val="20"/>
          <w:lang w:val="fr-CA"/>
        </w:rPr>
        <w:t>EN DÉLIBÉRÉ</w:t>
      </w:r>
    </w:p>
    <w:p w:rsidR="00EA79B0" w:rsidRDefault="00EA79B0" w:rsidP="00EA79B0"/>
    <w:tbl>
      <w:tblPr>
        <w:tblW w:w="0" w:type="auto"/>
        <w:tblLayout w:type="fixed"/>
        <w:tblCellMar>
          <w:left w:w="0" w:type="dxa"/>
          <w:right w:w="0" w:type="dxa"/>
        </w:tblCellMar>
        <w:tblLook w:val="0000"/>
      </w:tblPr>
      <w:tblGrid>
        <w:gridCol w:w="4380"/>
        <w:gridCol w:w="720"/>
        <w:gridCol w:w="4380"/>
      </w:tblGrid>
      <w:tr w:rsidR="00EA79B0" w:rsidRPr="00F80A49" w:rsidTr="00A71F32">
        <w:tc>
          <w:tcPr>
            <w:tcW w:w="4380" w:type="dxa"/>
            <w:tcMar>
              <w:left w:w="0" w:type="dxa"/>
              <w:right w:w="0" w:type="dxa"/>
            </w:tcMar>
          </w:tcPr>
          <w:p w:rsidR="00EA79B0" w:rsidRPr="00CC4D84" w:rsidRDefault="00EA79B0" w:rsidP="00A71F32">
            <w:pPr>
              <w:widowControl w:val="0"/>
              <w:jc w:val="both"/>
              <w:rPr>
                <w:b/>
                <w:sz w:val="20"/>
                <w:szCs w:val="20"/>
                <w:u w:val="single"/>
              </w:rPr>
            </w:pPr>
            <w:r w:rsidRPr="00CC4D84">
              <w:rPr>
                <w:b/>
                <w:sz w:val="20"/>
                <w:szCs w:val="20"/>
                <w:u w:val="single"/>
              </w:rPr>
              <w:t>Nature of the case:</w:t>
            </w:r>
          </w:p>
          <w:p w:rsidR="00EA79B0" w:rsidRPr="00C1697B" w:rsidRDefault="00EA79B0" w:rsidP="00A71F32">
            <w:pPr>
              <w:widowControl w:val="0"/>
              <w:jc w:val="both"/>
              <w:rPr>
                <w:b/>
                <w:sz w:val="20"/>
                <w:szCs w:val="20"/>
              </w:rPr>
            </w:pPr>
          </w:p>
          <w:p w:rsidR="00EA79B0" w:rsidRPr="00C1697B" w:rsidRDefault="004D21E4" w:rsidP="00A85D85">
            <w:pPr>
              <w:widowControl w:val="0"/>
              <w:jc w:val="both"/>
              <w:rPr>
                <w:b/>
                <w:sz w:val="20"/>
                <w:szCs w:val="20"/>
              </w:rPr>
            </w:pPr>
            <w:r w:rsidRPr="00A85D85">
              <w:rPr>
                <w:sz w:val="20"/>
                <w:szCs w:val="20"/>
              </w:rPr>
              <w:fldChar w:fldCharType="begin"/>
            </w:r>
            <w:r w:rsidR="00A85D85" w:rsidRPr="00A85D85">
              <w:rPr>
                <w:sz w:val="20"/>
                <w:szCs w:val="20"/>
              </w:rPr>
              <w:instrText xml:space="preserve"> SEQ CHAPTER \h \r 1</w:instrText>
            </w:r>
            <w:r w:rsidRPr="00A85D85">
              <w:rPr>
                <w:sz w:val="20"/>
                <w:szCs w:val="20"/>
              </w:rPr>
              <w:fldChar w:fldCharType="end"/>
            </w:r>
            <w:r w:rsidR="00A85D85" w:rsidRPr="00A85D85">
              <w:rPr>
                <w:sz w:val="20"/>
                <w:szCs w:val="20"/>
              </w:rPr>
              <w:t xml:space="preserve">Arbitration </w:t>
            </w:r>
            <w:r w:rsidR="00A85D85" w:rsidRPr="00A85D85">
              <w:rPr>
                <w:sz w:val="20"/>
                <w:szCs w:val="20"/>
              </w:rPr>
              <w:noBreakHyphen/>
              <w:t xml:space="preserve"> Procedural fairness </w:t>
            </w:r>
            <w:r w:rsidR="00A85D85" w:rsidRPr="00A85D85">
              <w:rPr>
                <w:sz w:val="20"/>
                <w:szCs w:val="20"/>
              </w:rPr>
              <w:noBreakHyphen/>
              <w:t xml:space="preserve"> Judicial review </w:t>
            </w:r>
            <w:r w:rsidR="00A85D85" w:rsidRPr="00A85D85">
              <w:rPr>
                <w:sz w:val="20"/>
                <w:szCs w:val="20"/>
              </w:rPr>
              <w:noBreakHyphen/>
              <w:t xml:space="preserve"> What is the appropriate standard of review? </w:t>
            </w:r>
            <w:r w:rsidR="00A85D85" w:rsidRPr="00A85D85">
              <w:rPr>
                <w:sz w:val="20"/>
                <w:szCs w:val="20"/>
              </w:rPr>
              <w:noBreakHyphen/>
              <w:t xml:space="preserve"> Was the failure to provide supporting reasoning in the Award a breach of procedural fairness? </w:t>
            </w:r>
            <w:r w:rsidR="00A85D85" w:rsidRPr="00A85D85">
              <w:rPr>
                <w:sz w:val="20"/>
                <w:szCs w:val="20"/>
              </w:rPr>
              <w:noBreakHyphen/>
              <w:t xml:space="preserve"> Does the </w:t>
            </w:r>
            <w:r w:rsidR="00A85D85" w:rsidRPr="00A85D85">
              <w:rPr>
                <w:i/>
                <w:iCs/>
                <w:sz w:val="20"/>
                <w:szCs w:val="20"/>
              </w:rPr>
              <w:t xml:space="preserve">Dunsmuir v. New Brunswick </w:t>
            </w:r>
            <w:r w:rsidR="00A85D85" w:rsidRPr="00A85D85">
              <w:rPr>
                <w:sz w:val="20"/>
                <w:szCs w:val="20"/>
              </w:rPr>
              <w:t xml:space="preserve">2008 SCC 9, [2008] 1 S.C.R. 190, reasonableness analysis take the place of a procedural fairness analysis? </w:t>
            </w:r>
            <w:r w:rsidR="00A85D85" w:rsidRPr="00A85D85">
              <w:rPr>
                <w:sz w:val="20"/>
                <w:szCs w:val="20"/>
              </w:rPr>
              <w:noBreakHyphen/>
              <w:t xml:space="preserve"> Can the result of an administrative decision make it reasonable, even if there was a duty to provide reasons and there are no supporting reasons? </w:t>
            </w:r>
            <w:r w:rsidR="00A85D85" w:rsidRPr="00A85D85">
              <w:rPr>
                <w:sz w:val="20"/>
                <w:szCs w:val="20"/>
              </w:rPr>
              <w:noBreakHyphen/>
              <w:t xml:space="preserve"> Should the Award be remitted to another arbitrator?</w:t>
            </w:r>
          </w:p>
        </w:tc>
        <w:tc>
          <w:tcPr>
            <w:tcW w:w="720" w:type="dxa"/>
            <w:tcMar>
              <w:left w:w="0" w:type="dxa"/>
              <w:right w:w="0" w:type="dxa"/>
            </w:tcMar>
          </w:tcPr>
          <w:p w:rsidR="00EA79B0" w:rsidRPr="00C1697B" w:rsidRDefault="00EA79B0" w:rsidP="00A71F32">
            <w:pPr>
              <w:widowControl w:val="0"/>
              <w:jc w:val="center"/>
              <w:rPr>
                <w:sz w:val="20"/>
                <w:szCs w:val="20"/>
              </w:rPr>
            </w:pPr>
          </w:p>
        </w:tc>
        <w:tc>
          <w:tcPr>
            <w:tcW w:w="4380" w:type="dxa"/>
            <w:tcMar>
              <w:left w:w="0" w:type="dxa"/>
              <w:right w:w="0" w:type="dxa"/>
            </w:tcMar>
          </w:tcPr>
          <w:p w:rsidR="00EA79B0" w:rsidRPr="00CC4D84" w:rsidRDefault="00EA79B0" w:rsidP="00A71F32">
            <w:pPr>
              <w:widowControl w:val="0"/>
              <w:jc w:val="both"/>
              <w:rPr>
                <w:b/>
                <w:sz w:val="20"/>
                <w:szCs w:val="20"/>
                <w:u w:val="single"/>
                <w:lang w:val="fr-CA"/>
              </w:rPr>
            </w:pPr>
            <w:r w:rsidRPr="00CC4D84">
              <w:rPr>
                <w:b/>
                <w:sz w:val="20"/>
                <w:szCs w:val="20"/>
                <w:u w:val="single"/>
                <w:lang w:val="fr-CA"/>
              </w:rPr>
              <w:t>Nature de la cause :</w:t>
            </w:r>
          </w:p>
          <w:p w:rsidR="00EA79B0" w:rsidRPr="00C1697B" w:rsidRDefault="00EA79B0" w:rsidP="00A71F32">
            <w:pPr>
              <w:widowControl w:val="0"/>
              <w:jc w:val="both"/>
              <w:rPr>
                <w:sz w:val="20"/>
                <w:szCs w:val="20"/>
                <w:lang w:val="fr-CA"/>
              </w:rPr>
            </w:pPr>
          </w:p>
          <w:p w:rsidR="00EA79B0" w:rsidRPr="00C1697B" w:rsidRDefault="004D21E4" w:rsidP="00A85D85">
            <w:pPr>
              <w:widowControl w:val="0"/>
              <w:jc w:val="both"/>
              <w:rPr>
                <w:sz w:val="20"/>
                <w:szCs w:val="20"/>
                <w:lang w:val="fr-CA"/>
              </w:rPr>
            </w:pPr>
            <w:r w:rsidRPr="00702437">
              <w:rPr>
                <w:sz w:val="20"/>
                <w:szCs w:val="20"/>
                <w:lang w:val="fr-CA"/>
              </w:rPr>
              <w:fldChar w:fldCharType="begin"/>
            </w:r>
            <w:r w:rsidR="00A85D85" w:rsidRPr="00702437">
              <w:rPr>
                <w:sz w:val="20"/>
                <w:szCs w:val="20"/>
                <w:lang w:val="fr-CA"/>
              </w:rPr>
              <w:instrText xml:space="preserve"> SEQ CHAPTER \h \r 1</w:instrText>
            </w:r>
            <w:r w:rsidRPr="00702437">
              <w:rPr>
                <w:sz w:val="20"/>
                <w:szCs w:val="20"/>
                <w:lang w:val="fr-CA"/>
              </w:rPr>
              <w:fldChar w:fldCharType="end"/>
            </w:r>
            <w:r w:rsidR="00A85D85" w:rsidRPr="00702437">
              <w:rPr>
                <w:sz w:val="20"/>
                <w:szCs w:val="20"/>
                <w:lang w:val="fr-CA"/>
              </w:rPr>
              <w:t xml:space="preserve">Arbitrage </w:t>
            </w:r>
            <w:r w:rsidR="00A85D85" w:rsidRPr="00702437">
              <w:rPr>
                <w:sz w:val="20"/>
                <w:szCs w:val="20"/>
                <w:lang w:val="fr-CA"/>
              </w:rPr>
              <w:noBreakHyphen/>
              <w:t xml:space="preserve"> Équité procédurale </w:t>
            </w:r>
            <w:r w:rsidR="00A85D85" w:rsidRPr="00702437">
              <w:rPr>
                <w:sz w:val="20"/>
                <w:szCs w:val="20"/>
                <w:lang w:val="fr-CA"/>
              </w:rPr>
              <w:noBreakHyphen/>
              <w:t xml:space="preserve"> Contrôle judiciaire </w:t>
            </w:r>
            <w:r w:rsidR="00A85D85" w:rsidRPr="00702437">
              <w:rPr>
                <w:sz w:val="20"/>
                <w:szCs w:val="20"/>
                <w:lang w:val="fr-CA"/>
              </w:rPr>
              <w:noBreakHyphen/>
              <w:t xml:space="preserve"> Quelle est la bonne norme de contrôle? </w:t>
            </w:r>
            <w:r w:rsidR="00A85D85" w:rsidRPr="00702437">
              <w:rPr>
                <w:sz w:val="20"/>
                <w:szCs w:val="20"/>
                <w:lang w:val="fr-CA"/>
              </w:rPr>
              <w:noBreakHyphen/>
              <w:t xml:space="preserve"> Le fait de ne pas avoir donné de motifs à l</w:t>
            </w:r>
            <w:r w:rsidR="00A85D85" w:rsidRPr="00702437">
              <w:rPr>
                <w:sz w:val="20"/>
                <w:szCs w:val="20"/>
                <w:lang w:val="fr-CA"/>
              </w:rPr>
              <w:sym w:font="WP TypographicSymbols" w:char="003D"/>
            </w:r>
            <w:r w:rsidR="00A85D85" w:rsidRPr="00702437">
              <w:rPr>
                <w:sz w:val="20"/>
                <w:szCs w:val="20"/>
                <w:lang w:val="fr-CA"/>
              </w:rPr>
              <w:t>appui de la sentence porte</w:t>
            </w:r>
            <w:r w:rsidR="00A85D85" w:rsidRPr="00702437">
              <w:rPr>
                <w:sz w:val="20"/>
                <w:szCs w:val="20"/>
                <w:lang w:val="fr-CA"/>
              </w:rPr>
              <w:noBreakHyphen/>
              <w:t>t</w:t>
            </w:r>
            <w:r w:rsidR="00A85D85" w:rsidRPr="00702437">
              <w:rPr>
                <w:sz w:val="20"/>
                <w:szCs w:val="20"/>
                <w:lang w:val="fr-CA"/>
              </w:rPr>
              <w:noBreakHyphen/>
              <w:t>il atteinte à l</w:t>
            </w:r>
            <w:r w:rsidR="00A85D85" w:rsidRPr="00702437">
              <w:rPr>
                <w:sz w:val="20"/>
                <w:szCs w:val="20"/>
                <w:lang w:val="fr-CA"/>
              </w:rPr>
              <w:sym w:font="WP TypographicSymbols" w:char="003D"/>
            </w:r>
            <w:r w:rsidR="00A85D85" w:rsidRPr="00702437">
              <w:rPr>
                <w:sz w:val="20"/>
                <w:szCs w:val="20"/>
                <w:lang w:val="fr-CA"/>
              </w:rPr>
              <w:t xml:space="preserve">équité procédurale? </w:t>
            </w:r>
            <w:r w:rsidR="00A85D85" w:rsidRPr="00702437">
              <w:rPr>
                <w:sz w:val="20"/>
                <w:szCs w:val="20"/>
                <w:lang w:val="fr-CA"/>
              </w:rPr>
              <w:noBreakHyphen/>
              <w:t xml:space="preserve"> L</w:t>
            </w:r>
            <w:r w:rsidR="00A85D85" w:rsidRPr="00702437">
              <w:rPr>
                <w:sz w:val="20"/>
                <w:szCs w:val="20"/>
                <w:lang w:val="fr-CA"/>
              </w:rPr>
              <w:sym w:font="WP TypographicSymbols" w:char="003D"/>
            </w:r>
            <w:r w:rsidR="00A85D85" w:rsidRPr="00702437">
              <w:rPr>
                <w:sz w:val="20"/>
                <w:szCs w:val="20"/>
                <w:lang w:val="fr-CA"/>
              </w:rPr>
              <w:t>analyse du caractère raisonnable exposée dans l</w:t>
            </w:r>
            <w:r w:rsidR="00A85D85" w:rsidRPr="00702437">
              <w:rPr>
                <w:sz w:val="20"/>
                <w:szCs w:val="20"/>
                <w:lang w:val="fr-CA"/>
              </w:rPr>
              <w:sym w:font="WP TypographicSymbols" w:char="003D"/>
            </w:r>
            <w:r w:rsidR="00A85D85" w:rsidRPr="00702437">
              <w:rPr>
                <w:sz w:val="20"/>
                <w:szCs w:val="20"/>
                <w:lang w:val="fr-CA"/>
              </w:rPr>
              <w:t xml:space="preserve">arrêt </w:t>
            </w:r>
            <w:r w:rsidR="00A85D85" w:rsidRPr="00702437">
              <w:rPr>
                <w:i/>
                <w:iCs/>
                <w:sz w:val="20"/>
                <w:szCs w:val="20"/>
                <w:lang w:val="fr-CA"/>
              </w:rPr>
              <w:t>Dunsmuir c. Nouveau</w:t>
            </w:r>
            <w:r w:rsidR="00A85D85" w:rsidRPr="00702437">
              <w:rPr>
                <w:i/>
                <w:iCs/>
                <w:sz w:val="20"/>
                <w:szCs w:val="20"/>
                <w:lang w:val="fr-CA"/>
              </w:rPr>
              <w:noBreakHyphen/>
              <w:t xml:space="preserve">Brunswick </w:t>
            </w:r>
            <w:r w:rsidR="00A85D85" w:rsidRPr="00702437">
              <w:rPr>
                <w:sz w:val="20"/>
                <w:szCs w:val="20"/>
                <w:lang w:val="fr-CA"/>
              </w:rPr>
              <w:t>2008 CSC 9, [2008] 1 R.C.S. 190 prend</w:t>
            </w:r>
            <w:r w:rsidR="00A85D85" w:rsidRPr="00702437">
              <w:rPr>
                <w:sz w:val="20"/>
                <w:szCs w:val="20"/>
                <w:lang w:val="fr-CA"/>
              </w:rPr>
              <w:noBreakHyphen/>
              <w:t>elle la place de l</w:t>
            </w:r>
            <w:r w:rsidR="00A85D85" w:rsidRPr="00702437">
              <w:rPr>
                <w:sz w:val="20"/>
                <w:szCs w:val="20"/>
                <w:lang w:val="fr-CA"/>
              </w:rPr>
              <w:sym w:font="WP TypographicSymbols" w:char="003D"/>
            </w:r>
            <w:r w:rsidR="00A85D85" w:rsidRPr="00702437">
              <w:rPr>
                <w:sz w:val="20"/>
                <w:szCs w:val="20"/>
                <w:lang w:val="fr-CA"/>
              </w:rPr>
              <w:t>analyse de l</w:t>
            </w:r>
            <w:r w:rsidR="00A85D85" w:rsidRPr="00702437">
              <w:rPr>
                <w:sz w:val="20"/>
                <w:szCs w:val="20"/>
                <w:lang w:val="fr-CA"/>
              </w:rPr>
              <w:sym w:font="WP TypographicSymbols" w:char="003D"/>
            </w:r>
            <w:r w:rsidR="00A85D85" w:rsidRPr="00702437">
              <w:rPr>
                <w:sz w:val="20"/>
                <w:szCs w:val="20"/>
                <w:lang w:val="fr-CA"/>
              </w:rPr>
              <w:t xml:space="preserve">équité procédurale? </w:t>
            </w:r>
            <w:r w:rsidR="00A85D85" w:rsidRPr="00702437">
              <w:rPr>
                <w:sz w:val="20"/>
                <w:szCs w:val="20"/>
                <w:lang w:val="fr-CA"/>
              </w:rPr>
              <w:noBreakHyphen/>
              <w:t xml:space="preserve"> Le résultat d</w:t>
            </w:r>
            <w:r w:rsidR="00A85D85" w:rsidRPr="00702437">
              <w:rPr>
                <w:sz w:val="20"/>
                <w:szCs w:val="20"/>
                <w:lang w:val="fr-CA"/>
              </w:rPr>
              <w:sym w:font="WP TypographicSymbols" w:char="003D"/>
            </w:r>
            <w:r w:rsidR="00A85D85" w:rsidRPr="00702437">
              <w:rPr>
                <w:sz w:val="20"/>
                <w:szCs w:val="20"/>
                <w:lang w:val="fr-CA"/>
              </w:rPr>
              <w:t>une décision administrative peut</w:t>
            </w:r>
            <w:r w:rsidR="00A85D85" w:rsidRPr="00702437">
              <w:rPr>
                <w:sz w:val="20"/>
                <w:szCs w:val="20"/>
                <w:lang w:val="fr-CA"/>
              </w:rPr>
              <w:noBreakHyphen/>
              <w:t>il rendre celle</w:t>
            </w:r>
            <w:r w:rsidR="00A85D85" w:rsidRPr="00702437">
              <w:rPr>
                <w:sz w:val="20"/>
                <w:szCs w:val="20"/>
                <w:lang w:val="fr-CA"/>
              </w:rPr>
              <w:noBreakHyphen/>
              <w:t>ci raisonnable, même s</w:t>
            </w:r>
            <w:r w:rsidR="00A85D85" w:rsidRPr="00702437">
              <w:rPr>
                <w:sz w:val="20"/>
                <w:szCs w:val="20"/>
                <w:lang w:val="fr-CA"/>
              </w:rPr>
              <w:sym w:font="WP TypographicSymbols" w:char="003D"/>
            </w:r>
            <w:r w:rsidR="00A85D85" w:rsidRPr="00702437">
              <w:rPr>
                <w:sz w:val="20"/>
                <w:szCs w:val="20"/>
                <w:lang w:val="fr-CA"/>
              </w:rPr>
              <w:t>il y avait une obligation de donner des motifs à l</w:t>
            </w:r>
            <w:r w:rsidR="00A85D85" w:rsidRPr="00702437">
              <w:rPr>
                <w:sz w:val="20"/>
                <w:szCs w:val="20"/>
                <w:lang w:val="fr-CA"/>
              </w:rPr>
              <w:sym w:font="WP TypographicSymbols" w:char="003D"/>
            </w:r>
            <w:r w:rsidR="00A85D85" w:rsidRPr="00702437">
              <w:rPr>
                <w:sz w:val="20"/>
                <w:szCs w:val="20"/>
                <w:lang w:val="fr-CA"/>
              </w:rPr>
              <w:t>appui de celle</w:t>
            </w:r>
            <w:r w:rsidR="00A85D85" w:rsidRPr="00702437">
              <w:rPr>
                <w:sz w:val="20"/>
                <w:szCs w:val="20"/>
                <w:lang w:val="fr-CA"/>
              </w:rPr>
              <w:noBreakHyphen/>
              <w:t>ci et qu</w:t>
            </w:r>
            <w:r w:rsidR="00A85D85" w:rsidRPr="00702437">
              <w:rPr>
                <w:sz w:val="20"/>
                <w:szCs w:val="20"/>
                <w:lang w:val="fr-CA"/>
              </w:rPr>
              <w:sym w:font="WP TypographicSymbols" w:char="003D"/>
            </w:r>
            <w:r w:rsidR="00A85D85" w:rsidRPr="00702437">
              <w:rPr>
                <w:sz w:val="20"/>
                <w:szCs w:val="20"/>
                <w:lang w:val="fr-CA"/>
              </w:rPr>
              <w:t>aucun n</w:t>
            </w:r>
            <w:r w:rsidR="00A85D85" w:rsidRPr="00702437">
              <w:rPr>
                <w:sz w:val="20"/>
                <w:szCs w:val="20"/>
                <w:lang w:val="fr-CA"/>
              </w:rPr>
              <w:sym w:font="WP TypographicSymbols" w:char="003D"/>
            </w:r>
            <w:r w:rsidR="00A85D85" w:rsidRPr="00702437">
              <w:rPr>
                <w:sz w:val="20"/>
                <w:szCs w:val="20"/>
                <w:lang w:val="fr-CA"/>
              </w:rPr>
              <w:t xml:space="preserve">a été donnée? </w:t>
            </w:r>
            <w:r w:rsidR="00A85D85" w:rsidRPr="00702437">
              <w:rPr>
                <w:sz w:val="20"/>
                <w:szCs w:val="20"/>
                <w:lang w:val="fr-CA"/>
              </w:rPr>
              <w:noBreakHyphen/>
              <w:t xml:space="preserve"> La sentence devrait</w:t>
            </w:r>
            <w:r w:rsidR="00A85D85" w:rsidRPr="00702437">
              <w:rPr>
                <w:sz w:val="20"/>
                <w:szCs w:val="20"/>
                <w:lang w:val="fr-CA"/>
              </w:rPr>
              <w:noBreakHyphen/>
              <w:t>elle être renvoyée à un autre arbitre?</w:t>
            </w:r>
          </w:p>
        </w:tc>
      </w:tr>
    </w:tbl>
    <w:p w:rsidR="00EA79B0" w:rsidRDefault="00EA79B0" w:rsidP="00EA79B0">
      <w:pPr>
        <w:widowControl w:val="0"/>
        <w:rPr>
          <w:sz w:val="20"/>
          <w:szCs w:val="20"/>
          <w:lang w:val="fr-CA"/>
        </w:rPr>
      </w:pPr>
    </w:p>
    <w:p w:rsidR="00EA79B0" w:rsidRPr="00C1697B" w:rsidRDefault="004D21E4" w:rsidP="00EA79B0">
      <w:pPr>
        <w:widowControl w:val="0"/>
        <w:rPr>
          <w:sz w:val="20"/>
          <w:szCs w:val="20"/>
          <w:lang w:val="fr-CA"/>
        </w:rPr>
      </w:pPr>
      <w:r w:rsidRPr="004D21E4">
        <w:rPr>
          <w:sz w:val="20"/>
          <w:szCs w:val="20"/>
          <w:lang w:val="fr-CA"/>
        </w:rPr>
        <w:pict>
          <v:rect id="_x0000_i1119" style="width:2in;height:1pt" o:hrpct="0" o:hralign="center" o:hrstd="t" o:hrnoshade="t" o:hr="t" fillcolor="black [3213]" stroked="f"/>
        </w:pict>
      </w:r>
    </w:p>
    <w:p w:rsidR="00EA79B0" w:rsidRPr="00EA79B0" w:rsidRDefault="00EA79B0" w:rsidP="00732DB7">
      <w:pPr>
        <w:widowControl w:val="0"/>
        <w:rPr>
          <w:sz w:val="20"/>
          <w:szCs w:val="20"/>
        </w:rPr>
      </w:pPr>
    </w:p>
    <w:p w:rsidR="00123F1F" w:rsidRPr="00C50A5C" w:rsidRDefault="00123F1F" w:rsidP="00123F1F">
      <w:pPr>
        <w:widowControl w:val="0"/>
        <w:rPr>
          <w:sz w:val="20"/>
          <w:szCs w:val="20"/>
        </w:rPr>
      </w:pPr>
      <w:r>
        <w:rPr>
          <w:sz w:val="20"/>
          <w:szCs w:val="20"/>
        </w:rPr>
        <w:t>17</w:t>
      </w:r>
      <w:r w:rsidRPr="00C50A5C">
        <w:rPr>
          <w:sz w:val="20"/>
          <w:szCs w:val="20"/>
        </w:rPr>
        <w:t>.</w:t>
      </w:r>
      <w:r>
        <w:rPr>
          <w:sz w:val="20"/>
          <w:szCs w:val="20"/>
        </w:rPr>
        <w:t>1</w:t>
      </w:r>
      <w:r w:rsidRPr="00C50A5C">
        <w:rPr>
          <w:sz w:val="20"/>
          <w:szCs w:val="20"/>
        </w:rPr>
        <w:t>0.201</w:t>
      </w:r>
      <w:r>
        <w:rPr>
          <w:sz w:val="20"/>
          <w:szCs w:val="20"/>
        </w:rPr>
        <w:t>1</w:t>
      </w:r>
    </w:p>
    <w:p w:rsidR="00EA79B0" w:rsidRDefault="00EA79B0" w:rsidP="00732DB7">
      <w:pPr>
        <w:widowControl w:val="0"/>
        <w:rPr>
          <w:sz w:val="20"/>
          <w:szCs w:val="20"/>
        </w:rPr>
      </w:pPr>
    </w:p>
    <w:p w:rsidR="00337AF9" w:rsidRPr="005D48CE" w:rsidRDefault="00337AF9" w:rsidP="00337AF9">
      <w:pPr>
        <w:widowControl w:val="0"/>
        <w:ind w:left="720" w:hanging="720"/>
        <w:rPr>
          <w:rFonts w:eastAsia="Calibri" w:cs="Times New Roman"/>
          <w:sz w:val="20"/>
          <w:szCs w:val="20"/>
          <w:u w:val="single"/>
        </w:rPr>
      </w:pPr>
      <w:r w:rsidRPr="005D48CE">
        <w:rPr>
          <w:rFonts w:eastAsia="Calibri" w:cs="Times New Roman"/>
          <w:sz w:val="20"/>
          <w:szCs w:val="20"/>
        </w:rPr>
        <w:t xml:space="preserve">Coram: </w:t>
      </w:r>
      <w:r w:rsidRPr="005D48CE">
        <w:rPr>
          <w:rFonts w:eastAsia="Calibri" w:cs="Times New Roman"/>
          <w:sz w:val="20"/>
          <w:szCs w:val="20"/>
        </w:rPr>
        <w:tab/>
      </w:r>
      <w:r w:rsidRPr="005D48CE">
        <w:rPr>
          <w:rFonts w:eastAsia="Calibri" w:cs="Times New Roman"/>
          <w:sz w:val="20"/>
          <w:szCs w:val="20"/>
          <w:u w:val="single"/>
        </w:rPr>
        <w:t>McLachlin C.J. and Binnie, LeBel, Deschamps, Fish, Abella and Rothstein JJ.</w:t>
      </w:r>
    </w:p>
    <w:p w:rsidR="00123F1F" w:rsidRDefault="00123F1F"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123F1F" w:rsidRPr="00C50A5C" w:rsidTr="00123F1F">
        <w:tc>
          <w:tcPr>
            <w:tcW w:w="4380" w:type="dxa"/>
            <w:tcMar>
              <w:left w:w="0" w:type="dxa"/>
              <w:right w:w="0" w:type="dxa"/>
            </w:tcMar>
          </w:tcPr>
          <w:p w:rsidR="00123F1F" w:rsidRPr="00337AF9" w:rsidRDefault="00337AF9" w:rsidP="00123F1F">
            <w:pPr>
              <w:widowControl w:val="0"/>
              <w:jc w:val="both"/>
              <w:rPr>
                <w:b/>
                <w:sz w:val="20"/>
                <w:szCs w:val="20"/>
              </w:rPr>
            </w:pPr>
            <w:r w:rsidRPr="00337AF9">
              <w:rPr>
                <w:rFonts w:eastAsia="Calibri" w:cs="Times New Roman"/>
                <w:b/>
                <w:sz w:val="20"/>
                <w:szCs w:val="20"/>
              </w:rPr>
              <w:t>Manasie Ipeelee</w:t>
            </w:r>
          </w:p>
          <w:p w:rsidR="00123F1F" w:rsidRPr="00337AF9" w:rsidRDefault="00123F1F" w:rsidP="00123F1F">
            <w:pPr>
              <w:widowControl w:val="0"/>
              <w:jc w:val="both"/>
              <w:rPr>
                <w:b/>
                <w:sz w:val="20"/>
                <w:szCs w:val="20"/>
              </w:rPr>
            </w:pPr>
          </w:p>
          <w:p w:rsidR="00123F1F" w:rsidRPr="00337AF9" w:rsidRDefault="00123F1F" w:rsidP="00123F1F">
            <w:pPr>
              <w:widowControl w:val="0"/>
              <w:tabs>
                <w:tab w:val="left" w:pos="736"/>
              </w:tabs>
              <w:jc w:val="both"/>
              <w:rPr>
                <w:b/>
                <w:sz w:val="20"/>
                <w:szCs w:val="20"/>
              </w:rPr>
            </w:pPr>
            <w:r w:rsidRPr="00337AF9">
              <w:rPr>
                <w:b/>
                <w:sz w:val="20"/>
                <w:szCs w:val="20"/>
              </w:rPr>
              <w:tab/>
              <w:t>v. (3</w:t>
            </w:r>
            <w:r w:rsidR="00337AF9">
              <w:rPr>
                <w:b/>
                <w:sz w:val="20"/>
                <w:szCs w:val="20"/>
              </w:rPr>
              <w:t>3650</w:t>
            </w:r>
            <w:r w:rsidRPr="00337AF9">
              <w:rPr>
                <w:b/>
                <w:sz w:val="20"/>
                <w:szCs w:val="20"/>
              </w:rPr>
              <w:t>)</w:t>
            </w:r>
          </w:p>
          <w:p w:rsidR="00123F1F" w:rsidRPr="00337AF9" w:rsidRDefault="00123F1F" w:rsidP="00123F1F">
            <w:pPr>
              <w:widowControl w:val="0"/>
              <w:jc w:val="both"/>
              <w:rPr>
                <w:b/>
                <w:sz w:val="20"/>
                <w:szCs w:val="20"/>
              </w:rPr>
            </w:pPr>
          </w:p>
          <w:p w:rsidR="00337AF9" w:rsidRDefault="00337AF9" w:rsidP="00337AF9">
            <w:pPr>
              <w:widowControl w:val="0"/>
              <w:jc w:val="both"/>
              <w:rPr>
                <w:b/>
                <w:sz w:val="20"/>
                <w:szCs w:val="20"/>
              </w:rPr>
            </w:pPr>
            <w:r w:rsidRPr="00337AF9">
              <w:rPr>
                <w:rFonts w:eastAsia="Calibri" w:cs="Times New Roman"/>
                <w:b/>
                <w:sz w:val="20"/>
                <w:szCs w:val="20"/>
              </w:rPr>
              <w:t>Her Majesty the Queen (Ont.) (Criminal)</w:t>
            </w:r>
          </w:p>
          <w:p w:rsidR="00123F1F" w:rsidRPr="00337AF9" w:rsidRDefault="00337AF9" w:rsidP="00337AF9">
            <w:pPr>
              <w:widowControl w:val="0"/>
              <w:jc w:val="both"/>
              <w:rPr>
                <w:sz w:val="20"/>
                <w:szCs w:val="20"/>
              </w:rPr>
            </w:pPr>
            <w:r w:rsidRPr="00337AF9">
              <w:rPr>
                <w:rFonts w:eastAsia="Calibri" w:cs="Times New Roman"/>
                <w:b/>
                <w:sz w:val="20"/>
                <w:szCs w:val="20"/>
              </w:rPr>
              <w:t>(By</w:t>
            </w:r>
            <w:r>
              <w:rPr>
                <w:b/>
                <w:sz w:val="20"/>
                <w:szCs w:val="20"/>
              </w:rPr>
              <w:t xml:space="preserve"> </w:t>
            </w:r>
            <w:r w:rsidRPr="00337AF9">
              <w:rPr>
                <w:rFonts w:eastAsia="Calibri" w:cs="Times New Roman"/>
                <w:b/>
                <w:sz w:val="20"/>
                <w:szCs w:val="20"/>
              </w:rPr>
              <w:t>Leave)</w:t>
            </w:r>
          </w:p>
        </w:tc>
        <w:tc>
          <w:tcPr>
            <w:tcW w:w="720" w:type="dxa"/>
            <w:tcMar>
              <w:left w:w="0" w:type="dxa"/>
              <w:right w:w="0" w:type="dxa"/>
            </w:tcMar>
          </w:tcPr>
          <w:p w:rsidR="00123F1F" w:rsidRPr="00337AF9" w:rsidRDefault="00123F1F" w:rsidP="00123F1F">
            <w:pPr>
              <w:widowControl w:val="0"/>
              <w:jc w:val="center"/>
              <w:rPr>
                <w:sz w:val="20"/>
                <w:szCs w:val="20"/>
              </w:rPr>
            </w:pPr>
          </w:p>
        </w:tc>
        <w:tc>
          <w:tcPr>
            <w:tcW w:w="4380" w:type="dxa"/>
            <w:tcMar>
              <w:left w:w="0" w:type="dxa"/>
              <w:right w:w="0" w:type="dxa"/>
            </w:tcMar>
          </w:tcPr>
          <w:p w:rsidR="00EE529E" w:rsidRPr="000E64A2" w:rsidRDefault="00EE529E" w:rsidP="00EE529E">
            <w:pPr>
              <w:jc w:val="both"/>
              <w:rPr>
                <w:sz w:val="20"/>
                <w:szCs w:val="20"/>
              </w:rPr>
            </w:pPr>
            <w:r w:rsidRPr="000E64A2">
              <w:rPr>
                <w:sz w:val="20"/>
                <w:szCs w:val="20"/>
              </w:rPr>
              <w:t>Fergus J. (Chip) O’Connor</w:t>
            </w:r>
            <w:r>
              <w:rPr>
                <w:sz w:val="20"/>
                <w:szCs w:val="20"/>
              </w:rPr>
              <w:t xml:space="preserve"> f</w:t>
            </w:r>
            <w:r w:rsidRPr="000E64A2">
              <w:rPr>
                <w:sz w:val="20"/>
                <w:szCs w:val="20"/>
              </w:rPr>
              <w:t xml:space="preserve">or the </w:t>
            </w:r>
            <w:r>
              <w:rPr>
                <w:sz w:val="20"/>
                <w:szCs w:val="20"/>
              </w:rPr>
              <w:t>a</w:t>
            </w:r>
            <w:r w:rsidRPr="000E64A2">
              <w:rPr>
                <w:sz w:val="20"/>
                <w:szCs w:val="20"/>
              </w:rPr>
              <w:t>ppellant.</w:t>
            </w:r>
          </w:p>
          <w:p w:rsidR="00EE529E" w:rsidRPr="000E64A2" w:rsidRDefault="00EE529E" w:rsidP="00EE529E">
            <w:pPr>
              <w:jc w:val="both"/>
              <w:rPr>
                <w:sz w:val="20"/>
                <w:szCs w:val="20"/>
              </w:rPr>
            </w:pPr>
          </w:p>
          <w:p w:rsidR="00EE529E" w:rsidRPr="000E64A2" w:rsidRDefault="00EE529E" w:rsidP="00EE529E">
            <w:pPr>
              <w:jc w:val="both"/>
              <w:rPr>
                <w:sz w:val="20"/>
                <w:szCs w:val="20"/>
              </w:rPr>
            </w:pPr>
            <w:r w:rsidRPr="000E64A2">
              <w:rPr>
                <w:sz w:val="20"/>
                <w:szCs w:val="20"/>
              </w:rPr>
              <w:t>Jonathan Rudin</w:t>
            </w:r>
            <w:r>
              <w:rPr>
                <w:sz w:val="20"/>
                <w:szCs w:val="20"/>
              </w:rPr>
              <w:t xml:space="preserve"> and </w:t>
            </w:r>
            <w:r w:rsidRPr="000E64A2">
              <w:rPr>
                <w:sz w:val="20"/>
                <w:szCs w:val="20"/>
              </w:rPr>
              <w:t>Amanda Driscoll</w:t>
            </w:r>
            <w:r>
              <w:rPr>
                <w:sz w:val="20"/>
                <w:szCs w:val="20"/>
              </w:rPr>
              <w:t xml:space="preserve"> f</w:t>
            </w:r>
            <w:r w:rsidRPr="000E64A2">
              <w:rPr>
                <w:sz w:val="20"/>
                <w:szCs w:val="20"/>
              </w:rPr>
              <w:t xml:space="preserve">or the </w:t>
            </w:r>
            <w:r>
              <w:rPr>
                <w:sz w:val="20"/>
                <w:szCs w:val="20"/>
              </w:rPr>
              <w:t>i</w:t>
            </w:r>
            <w:r w:rsidRPr="000E64A2">
              <w:rPr>
                <w:sz w:val="20"/>
                <w:szCs w:val="20"/>
              </w:rPr>
              <w:t>ntervener</w:t>
            </w:r>
            <w:r>
              <w:rPr>
                <w:sz w:val="20"/>
                <w:szCs w:val="20"/>
              </w:rPr>
              <w:t xml:space="preserve"> </w:t>
            </w:r>
            <w:r w:rsidRPr="000E64A2">
              <w:rPr>
                <w:sz w:val="20"/>
                <w:szCs w:val="20"/>
              </w:rPr>
              <w:t>Aboriginal Legal Services of Toronto Inc.</w:t>
            </w:r>
          </w:p>
          <w:p w:rsidR="00EE529E" w:rsidRPr="000E64A2" w:rsidRDefault="00EE529E" w:rsidP="00EE529E">
            <w:pPr>
              <w:jc w:val="both"/>
              <w:rPr>
                <w:sz w:val="20"/>
                <w:szCs w:val="20"/>
              </w:rPr>
            </w:pPr>
          </w:p>
          <w:p w:rsidR="00EE529E" w:rsidRPr="000E64A2" w:rsidRDefault="00EE529E" w:rsidP="00EE529E">
            <w:pPr>
              <w:jc w:val="both"/>
              <w:rPr>
                <w:sz w:val="20"/>
                <w:szCs w:val="20"/>
              </w:rPr>
            </w:pPr>
            <w:r w:rsidRPr="000E64A2">
              <w:rPr>
                <w:sz w:val="20"/>
                <w:szCs w:val="20"/>
              </w:rPr>
              <w:t>Gillian Roberts</w:t>
            </w:r>
            <w:r>
              <w:rPr>
                <w:sz w:val="20"/>
                <w:szCs w:val="20"/>
              </w:rPr>
              <w:t xml:space="preserve"> f</w:t>
            </w:r>
            <w:r w:rsidRPr="000E64A2">
              <w:rPr>
                <w:sz w:val="20"/>
                <w:szCs w:val="20"/>
              </w:rPr>
              <w:t xml:space="preserve">or the </w:t>
            </w:r>
            <w:r>
              <w:rPr>
                <w:sz w:val="20"/>
                <w:szCs w:val="20"/>
              </w:rPr>
              <w:t>r</w:t>
            </w:r>
            <w:r w:rsidRPr="000E64A2">
              <w:rPr>
                <w:sz w:val="20"/>
                <w:szCs w:val="20"/>
              </w:rPr>
              <w:t>espondent.</w:t>
            </w:r>
          </w:p>
          <w:p w:rsidR="00EE529E" w:rsidRPr="000E64A2" w:rsidRDefault="00EE529E" w:rsidP="00EE529E">
            <w:pPr>
              <w:jc w:val="both"/>
              <w:rPr>
                <w:sz w:val="20"/>
                <w:szCs w:val="20"/>
              </w:rPr>
            </w:pPr>
          </w:p>
          <w:p w:rsidR="00123F1F" w:rsidRPr="00C50A5C" w:rsidRDefault="00EE529E" w:rsidP="00EE529E">
            <w:pPr>
              <w:jc w:val="both"/>
              <w:rPr>
                <w:sz w:val="20"/>
                <w:szCs w:val="20"/>
              </w:rPr>
            </w:pPr>
            <w:r w:rsidRPr="000E64A2">
              <w:rPr>
                <w:sz w:val="20"/>
                <w:szCs w:val="20"/>
              </w:rPr>
              <w:t>Susanne Boucher</w:t>
            </w:r>
            <w:r>
              <w:rPr>
                <w:sz w:val="20"/>
                <w:szCs w:val="20"/>
              </w:rPr>
              <w:t xml:space="preserve"> and </w:t>
            </w:r>
            <w:r w:rsidRPr="000E64A2">
              <w:rPr>
                <w:sz w:val="20"/>
                <w:szCs w:val="20"/>
              </w:rPr>
              <w:t>François Lacasse</w:t>
            </w:r>
            <w:r>
              <w:rPr>
                <w:sz w:val="20"/>
                <w:szCs w:val="20"/>
              </w:rPr>
              <w:t xml:space="preserve"> f</w:t>
            </w:r>
            <w:r w:rsidRPr="000E64A2">
              <w:rPr>
                <w:sz w:val="20"/>
                <w:szCs w:val="20"/>
              </w:rPr>
              <w:t xml:space="preserve">or the </w:t>
            </w:r>
            <w:r>
              <w:rPr>
                <w:sz w:val="20"/>
                <w:szCs w:val="20"/>
              </w:rPr>
              <w:t>i</w:t>
            </w:r>
            <w:r w:rsidRPr="000E64A2">
              <w:rPr>
                <w:sz w:val="20"/>
                <w:szCs w:val="20"/>
              </w:rPr>
              <w:t>ntervener</w:t>
            </w:r>
            <w:r>
              <w:rPr>
                <w:sz w:val="20"/>
                <w:szCs w:val="20"/>
              </w:rPr>
              <w:t xml:space="preserve"> </w:t>
            </w:r>
            <w:r w:rsidRPr="000E64A2">
              <w:rPr>
                <w:sz w:val="20"/>
                <w:szCs w:val="20"/>
              </w:rPr>
              <w:t>Director of Public Prosecutions</w:t>
            </w:r>
            <w:r>
              <w:rPr>
                <w:sz w:val="20"/>
                <w:szCs w:val="20"/>
              </w:rPr>
              <w:t>.</w:t>
            </w:r>
          </w:p>
        </w:tc>
      </w:tr>
    </w:tbl>
    <w:p w:rsidR="00123F1F" w:rsidRPr="00EA79B0" w:rsidRDefault="00123F1F" w:rsidP="00123F1F">
      <w:pPr>
        <w:widowControl w:val="0"/>
        <w:rPr>
          <w:sz w:val="20"/>
          <w:szCs w:val="20"/>
        </w:rPr>
      </w:pPr>
    </w:p>
    <w:p w:rsidR="00123F1F" w:rsidRPr="0085476B" w:rsidRDefault="00123F1F" w:rsidP="00123F1F">
      <w:pPr>
        <w:widowControl w:val="0"/>
        <w:rPr>
          <w:sz w:val="20"/>
          <w:szCs w:val="20"/>
        </w:rPr>
      </w:pPr>
      <w:r w:rsidRPr="0085476B">
        <w:rPr>
          <w:b/>
          <w:sz w:val="20"/>
          <w:szCs w:val="20"/>
        </w:rPr>
        <w:t xml:space="preserve">RESERVED / </w:t>
      </w:r>
      <w:r w:rsidRPr="0085476B">
        <w:rPr>
          <w:b/>
          <w:sz w:val="20"/>
          <w:szCs w:val="20"/>
          <w:lang w:val="fr-CA"/>
        </w:rPr>
        <w:t>EN DÉLIBÉRÉ</w:t>
      </w:r>
    </w:p>
    <w:p w:rsidR="00123F1F" w:rsidRDefault="00123F1F" w:rsidP="00123F1F"/>
    <w:tbl>
      <w:tblPr>
        <w:tblW w:w="0" w:type="auto"/>
        <w:tblLayout w:type="fixed"/>
        <w:tblCellMar>
          <w:left w:w="0" w:type="dxa"/>
          <w:right w:w="0" w:type="dxa"/>
        </w:tblCellMar>
        <w:tblLook w:val="0000"/>
      </w:tblPr>
      <w:tblGrid>
        <w:gridCol w:w="4380"/>
        <w:gridCol w:w="720"/>
        <w:gridCol w:w="4380"/>
      </w:tblGrid>
      <w:tr w:rsidR="00123F1F" w:rsidRPr="00F80A49" w:rsidTr="00123F1F">
        <w:tc>
          <w:tcPr>
            <w:tcW w:w="4380" w:type="dxa"/>
            <w:tcMar>
              <w:left w:w="0" w:type="dxa"/>
              <w:right w:w="0" w:type="dxa"/>
            </w:tcMar>
          </w:tcPr>
          <w:p w:rsidR="00123F1F" w:rsidRPr="00CC4D84" w:rsidRDefault="00123F1F" w:rsidP="00123F1F">
            <w:pPr>
              <w:widowControl w:val="0"/>
              <w:jc w:val="both"/>
              <w:rPr>
                <w:b/>
                <w:sz w:val="20"/>
                <w:szCs w:val="20"/>
                <w:u w:val="single"/>
              </w:rPr>
            </w:pPr>
            <w:r w:rsidRPr="00CC4D84">
              <w:rPr>
                <w:b/>
                <w:sz w:val="20"/>
                <w:szCs w:val="20"/>
                <w:u w:val="single"/>
              </w:rPr>
              <w:t>Nature of the case:</w:t>
            </w:r>
          </w:p>
          <w:p w:rsidR="00123F1F" w:rsidRPr="00C1697B" w:rsidRDefault="00123F1F" w:rsidP="00123F1F">
            <w:pPr>
              <w:widowControl w:val="0"/>
              <w:jc w:val="both"/>
              <w:rPr>
                <w:b/>
                <w:sz w:val="20"/>
                <w:szCs w:val="20"/>
              </w:rPr>
            </w:pPr>
          </w:p>
          <w:p w:rsidR="00123F1F" w:rsidRPr="00C1697B" w:rsidRDefault="00337AF9" w:rsidP="00123F1F">
            <w:pPr>
              <w:widowControl w:val="0"/>
              <w:jc w:val="both"/>
              <w:rPr>
                <w:b/>
                <w:sz w:val="20"/>
                <w:szCs w:val="20"/>
              </w:rPr>
            </w:pPr>
            <w:r w:rsidRPr="0029569E">
              <w:rPr>
                <w:sz w:val="20"/>
                <w:szCs w:val="20"/>
              </w:rPr>
              <w:t xml:space="preserve">Criminal law </w:t>
            </w:r>
            <w:r w:rsidRPr="0029569E">
              <w:rPr>
                <w:sz w:val="20"/>
                <w:szCs w:val="20"/>
              </w:rPr>
              <w:noBreakHyphen/>
              <w:t xml:space="preserve"> Sentencing </w:t>
            </w:r>
            <w:r w:rsidRPr="0029569E">
              <w:rPr>
                <w:sz w:val="20"/>
                <w:szCs w:val="20"/>
              </w:rPr>
              <w:noBreakHyphen/>
              <w:t xml:space="preserve"> Aboriginal offenders </w:t>
            </w:r>
            <w:r w:rsidRPr="0029569E">
              <w:rPr>
                <w:sz w:val="20"/>
                <w:szCs w:val="20"/>
              </w:rPr>
              <w:noBreakHyphen/>
              <w:t xml:space="preserve"> Application of </w:t>
            </w:r>
            <w:r w:rsidRPr="0029569E">
              <w:rPr>
                <w:i/>
                <w:iCs/>
                <w:sz w:val="20"/>
                <w:szCs w:val="20"/>
              </w:rPr>
              <w:t>R. v. Gladue</w:t>
            </w:r>
            <w:r w:rsidRPr="0029569E">
              <w:rPr>
                <w:sz w:val="20"/>
                <w:szCs w:val="20"/>
              </w:rPr>
              <w:t xml:space="preserve">, [1999] 1 S.C.R. 688, and s. 718.2(e) of the </w:t>
            </w:r>
            <w:r w:rsidRPr="0029569E">
              <w:rPr>
                <w:i/>
                <w:iCs/>
                <w:sz w:val="20"/>
                <w:szCs w:val="20"/>
              </w:rPr>
              <w:t xml:space="preserve">Criminal Code </w:t>
            </w:r>
            <w:r w:rsidRPr="0029569E">
              <w:rPr>
                <w:sz w:val="20"/>
                <w:szCs w:val="20"/>
              </w:rPr>
              <w:noBreakHyphen/>
              <w:t xml:space="preserve"> Whether the </w:t>
            </w:r>
            <w:r w:rsidRPr="0029569E">
              <w:rPr>
                <w:sz w:val="20"/>
                <w:szCs w:val="20"/>
              </w:rPr>
              <w:lastRenderedPageBreak/>
              <w:t xml:space="preserve">sentencing judge erred in holding that the appellant’s aboriginal status is of diminished importance in relation to the offence </w:t>
            </w:r>
            <w:r w:rsidRPr="0029569E">
              <w:rPr>
                <w:sz w:val="20"/>
                <w:szCs w:val="20"/>
              </w:rPr>
              <w:noBreakHyphen/>
              <w:t xml:space="preserve"> Whether the Court of Appeal erred in determining that the offence is one of those for which the sentence will not differ as between aboriginal and non</w:t>
            </w:r>
            <w:r w:rsidRPr="0029569E">
              <w:rPr>
                <w:sz w:val="20"/>
                <w:szCs w:val="20"/>
              </w:rPr>
              <w:noBreakHyphen/>
              <w:t xml:space="preserve">aboriginal offenders </w:t>
            </w:r>
            <w:r w:rsidRPr="0029569E">
              <w:rPr>
                <w:sz w:val="20"/>
                <w:szCs w:val="20"/>
              </w:rPr>
              <w:noBreakHyphen/>
              <w:t xml:space="preserve"> Whether the sentencing judge erred in failing to consider or in giving inadequate consideration as a mitigating factor to the fact that the appellant was forced to serve his long</w:t>
            </w:r>
            <w:r w:rsidRPr="0029569E">
              <w:rPr>
                <w:sz w:val="20"/>
                <w:szCs w:val="20"/>
              </w:rPr>
              <w:noBreakHyphen/>
              <w:t xml:space="preserve">term supervision order at a location remote from his culture and lacking in relevant resources to manage the risk that he presented. </w:t>
            </w:r>
            <w:r w:rsidRPr="0029569E">
              <w:rPr>
                <w:sz w:val="20"/>
                <w:szCs w:val="20"/>
              </w:rPr>
              <w:noBreakHyphen/>
              <w:t xml:space="preserve"> Whether the sentence is so excessive as to fail to consider the appellant’s aboriginal status </w:t>
            </w:r>
            <w:r w:rsidRPr="0029569E">
              <w:rPr>
                <w:sz w:val="20"/>
                <w:szCs w:val="20"/>
              </w:rPr>
              <w:noBreakHyphen/>
              <w:t xml:space="preserve"> Alternatively, whether it is calculated to punish him for his Inuit and aboriginal status </w:t>
            </w:r>
            <w:r w:rsidRPr="0029569E">
              <w:rPr>
                <w:sz w:val="20"/>
                <w:szCs w:val="20"/>
              </w:rPr>
              <w:noBreakHyphen/>
              <w:t xml:space="preserve"> Whether the sentencing judge erred in concluding that the volunteer efforts of the appellant in seeking culturally relevant counselling and in pursuing marketable skills of a culturally relevant nature should not be a factor to be taken into account in determining  the appropriate sentence </w:t>
            </w:r>
            <w:r w:rsidRPr="0029569E">
              <w:rPr>
                <w:sz w:val="20"/>
                <w:szCs w:val="20"/>
              </w:rPr>
              <w:noBreakHyphen/>
              <w:t xml:space="preserve"> Whether the sentencing judge erred in concluding that it is beside the point, in considering the severity of the offence and the appropriate penalty, that the misconduct was limited to the consumption of alcohol and that the appellant made no movement toward committing a substantive offence.</w:t>
            </w:r>
          </w:p>
        </w:tc>
        <w:tc>
          <w:tcPr>
            <w:tcW w:w="720" w:type="dxa"/>
            <w:tcMar>
              <w:left w:w="0" w:type="dxa"/>
              <w:right w:w="0" w:type="dxa"/>
            </w:tcMar>
          </w:tcPr>
          <w:p w:rsidR="00123F1F" w:rsidRPr="00C1697B" w:rsidRDefault="00123F1F" w:rsidP="00123F1F">
            <w:pPr>
              <w:widowControl w:val="0"/>
              <w:jc w:val="center"/>
              <w:rPr>
                <w:sz w:val="20"/>
                <w:szCs w:val="20"/>
              </w:rPr>
            </w:pPr>
          </w:p>
        </w:tc>
        <w:tc>
          <w:tcPr>
            <w:tcW w:w="4380" w:type="dxa"/>
            <w:tcMar>
              <w:left w:w="0" w:type="dxa"/>
              <w:right w:w="0" w:type="dxa"/>
            </w:tcMar>
          </w:tcPr>
          <w:p w:rsidR="00123F1F" w:rsidRPr="00CC4D84" w:rsidRDefault="00123F1F" w:rsidP="00123F1F">
            <w:pPr>
              <w:widowControl w:val="0"/>
              <w:jc w:val="both"/>
              <w:rPr>
                <w:b/>
                <w:sz w:val="20"/>
                <w:szCs w:val="20"/>
                <w:u w:val="single"/>
                <w:lang w:val="fr-CA"/>
              </w:rPr>
            </w:pPr>
            <w:r w:rsidRPr="00CC4D84">
              <w:rPr>
                <w:b/>
                <w:sz w:val="20"/>
                <w:szCs w:val="20"/>
                <w:u w:val="single"/>
                <w:lang w:val="fr-CA"/>
              </w:rPr>
              <w:t>Nature de la cause :</w:t>
            </w:r>
          </w:p>
          <w:p w:rsidR="00123F1F" w:rsidRPr="00C1697B" w:rsidRDefault="00123F1F" w:rsidP="00123F1F">
            <w:pPr>
              <w:widowControl w:val="0"/>
              <w:jc w:val="both"/>
              <w:rPr>
                <w:sz w:val="20"/>
                <w:szCs w:val="20"/>
                <w:lang w:val="fr-CA"/>
              </w:rPr>
            </w:pPr>
          </w:p>
          <w:p w:rsidR="00123F1F" w:rsidRPr="00C1697B" w:rsidRDefault="00337AF9" w:rsidP="00123F1F">
            <w:pPr>
              <w:widowControl w:val="0"/>
              <w:jc w:val="both"/>
              <w:rPr>
                <w:sz w:val="20"/>
                <w:szCs w:val="20"/>
                <w:lang w:val="fr-CA"/>
              </w:rPr>
            </w:pPr>
            <w:r w:rsidRPr="003E1CB5">
              <w:rPr>
                <w:sz w:val="20"/>
                <w:szCs w:val="20"/>
                <w:lang w:val="fr-CA"/>
              </w:rPr>
              <w:t xml:space="preserve">Droit criminel </w:t>
            </w:r>
            <w:r w:rsidRPr="003E1CB5">
              <w:rPr>
                <w:sz w:val="20"/>
                <w:szCs w:val="20"/>
                <w:lang w:val="fr-CA"/>
              </w:rPr>
              <w:noBreakHyphen/>
              <w:t xml:space="preserve"> Détermination de la peine </w:t>
            </w:r>
            <w:r w:rsidRPr="003E1CB5">
              <w:rPr>
                <w:sz w:val="20"/>
                <w:szCs w:val="20"/>
                <w:lang w:val="fr-CA"/>
              </w:rPr>
              <w:noBreakHyphen/>
              <w:t xml:space="preserve"> Délinquants autochtones </w:t>
            </w:r>
            <w:r w:rsidRPr="003E1CB5">
              <w:rPr>
                <w:sz w:val="20"/>
                <w:szCs w:val="20"/>
                <w:lang w:val="fr-CA"/>
              </w:rPr>
              <w:noBreakHyphen/>
              <w:t xml:space="preserve"> Application de l</w:t>
            </w:r>
            <w:r w:rsidRPr="003E1CB5">
              <w:rPr>
                <w:sz w:val="20"/>
                <w:szCs w:val="20"/>
                <w:lang w:val="fr-CA"/>
              </w:rPr>
              <w:sym w:font="WP TypographicSymbols" w:char="003D"/>
            </w:r>
            <w:r w:rsidRPr="003E1CB5">
              <w:rPr>
                <w:sz w:val="20"/>
                <w:szCs w:val="20"/>
                <w:lang w:val="fr-CA"/>
              </w:rPr>
              <w:t xml:space="preserve">arrêt </w:t>
            </w:r>
            <w:r w:rsidRPr="003E1CB5">
              <w:rPr>
                <w:i/>
                <w:iCs/>
                <w:sz w:val="20"/>
                <w:szCs w:val="20"/>
                <w:lang w:val="fr-CA"/>
              </w:rPr>
              <w:t>R. c. Gladue</w:t>
            </w:r>
            <w:r w:rsidRPr="003E1CB5">
              <w:rPr>
                <w:sz w:val="20"/>
                <w:szCs w:val="20"/>
                <w:lang w:val="fr-CA"/>
              </w:rPr>
              <w:t>, [1999] 1 R.C.S. 688 et de l</w:t>
            </w:r>
            <w:r w:rsidRPr="003E1CB5">
              <w:rPr>
                <w:sz w:val="20"/>
                <w:szCs w:val="20"/>
                <w:lang w:val="fr-CA"/>
              </w:rPr>
              <w:sym w:font="WP TypographicSymbols" w:char="003D"/>
            </w:r>
            <w:r w:rsidRPr="003E1CB5">
              <w:rPr>
                <w:sz w:val="20"/>
                <w:szCs w:val="20"/>
                <w:lang w:val="fr-CA"/>
              </w:rPr>
              <w:t xml:space="preserve">al. 718.2 e) du </w:t>
            </w:r>
            <w:r w:rsidRPr="003E1CB5">
              <w:rPr>
                <w:i/>
                <w:iCs/>
                <w:sz w:val="20"/>
                <w:szCs w:val="20"/>
                <w:lang w:val="fr-CA"/>
              </w:rPr>
              <w:lastRenderedPageBreak/>
              <w:t xml:space="preserve">Code criminel </w:t>
            </w:r>
            <w:r w:rsidRPr="003E1CB5">
              <w:rPr>
                <w:sz w:val="20"/>
                <w:szCs w:val="20"/>
                <w:lang w:val="fr-CA"/>
              </w:rPr>
              <w:noBreakHyphen/>
              <w:t xml:space="preserve"> Le juge qui a imposé la peine a</w:t>
            </w:r>
            <w:r w:rsidRPr="003E1CB5">
              <w:rPr>
                <w:sz w:val="20"/>
                <w:szCs w:val="20"/>
                <w:lang w:val="fr-CA"/>
              </w:rPr>
              <w:noBreakHyphen/>
              <w:t>t</w:t>
            </w:r>
            <w:r w:rsidRPr="003E1CB5">
              <w:rPr>
                <w:sz w:val="20"/>
                <w:szCs w:val="20"/>
                <w:lang w:val="fr-CA"/>
              </w:rPr>
              <w:noBreakHyphen/>
              <w:t xml:space="preserve">il eu tort de statuer que le statut d’autochtone revêt moins d’importance par rapport à l’infraction? </w:t>
            </w:r>
            <w:r w:rsidRPr="003E1CB5">
              <w:rPr>
                <w:sz w:val="20"/>
                <w:szCs w:val="20"/>
                <w:lang w:val="fr-CA"/>
              </w:rPr>
              <w:noBreakHyphen/>
              <w:t xml:space="preserve"> La Cour d’appel a</w:t>
            </w:r>
            <w:r w:rsidRPr="003E1CB5">
              <w:rPr>
                <w:sz w:val="20"/>
                <w:szCs w:val="20"/>
                <w:lang w:val="fr-CA"/>
              </w:rPr>
              <w:noBreakHyphen/>
              <w:t>t</w:t>
            </w:r>
            <w:r w:rsidRPr="003E1CB5">
              <w:rPr>
                <w:sz w:val="20"/>
                <w:szCs w:val="20"/>
                <w:lang w:val="fr-CA"/>
              </w:rPr>
              <w:noBreakHyphen/>
              <w:t>elle eu tort de statuer que l’infraction compte parmi celles pour qui la peine ne différera pas selon qu’il s’agit de délinquants autochtone ou non</w:t>
            </w:r>
            <w:r w:rsidRPr="003E1CB5">
              <w:rPr>
                <w:sz w:val="20"/>
                <w:szCs w:val="20"/>
                <w:lang w:val="fr-CA"/>
              </w:rPr>
              <w:noBreakHyphen/>
              <w:t xml:space="preserve">autochtones? </w:t>
            </w:r>
            <w:r w:rsidRPr="003E1CB5">
              <w:rPr>
                <w:sz w:val="20"/>
                <w:szCs w:val="20"/>
                <w:lang w:val="fr-CA"/>
              </w:rPr>
              <w:noBreakHyphen/>
              <w:t xml:space="preserve"> Le juge qui a imposé la peine a</w:t>
            </w:r>
            <w:r w:rsidRPr="003E1CB5">
              <w:rPr>
                <w:sz w:val="20"/>
                <w:szCs w:val="20"/>
                <w:lang w:val="fr-CA"/>
              </w:rPr>
              <w:noBreakHyphen/>
              <w:t>t</w:t>
            </w:r>
            <w:r w:rsidRPr="003E1CB5">
              <w:rPr>
                <w:sz w:val="20"/>
                <w:szCs w:val="20"/>
                <w:lang w:val="fr-CA"/>
              </w:rPr>
              <w:noBreakHyphen/>
              <w:t xml:space="preserve">il eu tort de ne pas avoir considéré ou adéquatement pris en compte comme facteur atténuant le fait que l’appelant a été forcé de purger son ordonnance de supervision à long terme à un endroit éloigné de sa culture et qui ne disposait pas de ressources convenables pour gérer le risque qu’il présentait? </w:t>
            </w:r>
            <w:r w:rsidRPr="003E1CB5">
              <w:rPr>
                <w:sz w:val="20"/>
                <w:szCs w:val="20"/>
                <w:lang w:val="fr-CA"/>
              </w:rPr>
              <w:noBreakHyphen/>
              <w:t xml:space="preserve"> La peine est</w:t>
            </w:r>
            <w:r w:rsidRPr="003E1CB5">
              <w:rPr>
                <w:sz w:val="20"/>
                <w:szCs w:val="20"/>
                <w:lang w:val="fr-CA"/>
              </w:rPr>
              <w:noBreakHyphen/>
              <w:t xml:space="preserve">elle tellement excessive qu’elle omet de prendre en compte le statut d’autochtone de l’appelant? </w:t>
            </w:r>
            <w:r w:rsidRPr="003E1CB5">
              <w:rPr>
                <w:sz w:val="20"/>
                <w:szCs w:val="20"/>
                <w:lang w:val="fr-CA"/>
              </w:rPr>
              <w:noBreakHyphen/>
              <w:t xml:space="preserve"> À titre subsidiaire, la peine a</w:t>
            </w:r>
            <w:r w:rsidRPr="003E1CB5">
              <w:rPr>
                <w:sz w:val="20"/>
                <w:szCs w:val="20"/>
                <w:lang w:val="fr-CA"/>
              </w:rPr>
              <w:noBreakHyphen/>
              <w:t>t</w:t>
            </w:r>
            <w:r w:rsidRPr="003E1CB5">
              <w:rPr>
                <w:sz w:val="20"/>
                <w:szCs w:val="20"/>
                <w:lang w:val="fr-CA"/>
              </w:rPr>
              <w:noBreakHyphen/>
              <w:t xml:space="preserve">elle été calculée pour le punir en raison de son statut d’Inuit et d’autochtone? </w:t>
            </w:r>
            <w:r w:rsidRPr="003E1CB5">
              <w:rPr>
                <w:sz w:val="20"/>
                <w:szCs w:val="20"/>
                <w:lang w:val="fr-CA"/>
              </w:rPr>
              <w:noBreakHyphen/>
              <w:t xml:space="preserve"> Le juge qui a imposé la peine a</w:t>
            </w:r>
            <w:r w:rsidRPr="003E1CB5">
              <w:rPr>
                <w:sz w:val="20"/>
                <w:szCs w:val="20"/>
                <w:lang w:val="fr-CA"/>
              </w:rPr>
              <w:noBreakHyphen/>
              <w:t>t</w:t>
            </w:r>
            <w:r w:rsidRPr="003E1CB5">
              <w:rPr>
                <w:sz w:val="20"/>
                <w:szCs w:val="20"/>
                <w:lang w:val="fr-CA"/>
              </w:rPr>
              <w:noBreakHyphen/>
              <w:t xml:space="preserve">il eu tort de conclure que les efforts volontaires de l’appelant de chercher à obtenir du counseling culturellement adapté et des compétences monnayables qui correspondent à sa culture n’ont pas à être pris en compte dans la détermination de la peine appropriée? </w:t>
            </w:r>
            <w:r w:rsidRPr="003E1CB5">
              <w:rPr>
                <w:sz w:val="20"/>
                <w:szCs w:val="20"/>
                <w:lang w:val="fr-CA"/>
              </w:rPr>
              <w:noBreakHyphen/>
              <w:t xml:space="preserve"> Le juge qui a imposé la peine a</w:t>
            </w:r>
            <w:r w:rsidRPr="003E1CB5">
              <w:rPr>
                <w:sz w:val="20"/>
                <w:szCs w:val="20"/>
                <w:lang w:val="fr-CA"/>
              </w:rPr>
              <w:noBreakHyphen/>
              <w:t>t</w:t>
            </w:r>
            <w:r w:rsidRPr="003E1CB5">
              <w:rPr>
                <w:sz w:val="20"/>
                <w:szCs w:val="20"/>
                <w:lang w:val="fr-CA"/>
              </w:rPr>
              <w:noBreakHyphen/>
              <w:t>il eu tort de conclure qu’il est hors de propos, dans la considération de la gravité de l’infraction et de la peine qui convient, que l’inconduite se limitait à la consommation d’alcool et que l’appelant n’avait rien fait qui l’amenait à commettre une infraction substantielle?</w:t>
            </w:r>
          </w:p>
        </w:tc>
      </w:tr>
    </w:tbl>
    <w:p w:rsidR="00123F1F" w:rsidRDefault="00123F1F" w:rsidP="00123F1F">
      <w:pPr>
        <w:widowControl w:val="0"/>
        <w:rPr>
          <w:sz w:val="20"/>
          <w:szCs w:val="20"/>
          <w:lang w:val="fr-CA"/>
        </w:rPr>
      </w:pPr>
    </w:p>
    <w:p w:rsidR="00970B83" w:rsidRDefault="004D21E4" w:rsidP="00732DB7">
      <w:pPr>
        <w:widowControl w:val="0"/>
        <w:rPr>
          <w:sz w:val="20"/>
          <w:szCs w:val="20"/>
          <w:lang w:val="fr-CA"/>
        </w:rPr>
      </w:pPr>
      <w:r w:rsidRPr="004D21E4">
        <w:rPr>
          <w:sz w:val="20"/>
          <w:szCs w:val="20"/>
          <w:lang w:val="fr-CA"/>
        </w:rPr>
        <w:pict>
          <v:rect id="_x0000_i1120" style="width:2in;height:1pt" o:hrpct="0" o:hralign="center" o:hrstd="t" o:hrnoshade="t" o:hr="t" fillcolor="black [3213]" stroked="f"/>
        </w:pict>
      </w:r>
    </w:p>
    <w:p w:rsidR="00123F1F" w:rsidRDefault="00123F1F" w:rsidP="00732DB7">
      <w:pPr>
        <w:widowControl w:val="0"/>
        <w:rPr>
          <w:sz w:val="20"/>
          <w:szCs w:val="20"/>
        </w:rPr>
      </w:pPr>
    </w:p>
    <w:p w:rsidR="00123F1F" w:rsidRPr="00C50A5C" w:rsidRDefault="00123F1F" w:rsidP="00123F1F">
      <w:pPr>
        <w:widowControl w:val="0"/>
        <w:rPr>
          <w:sz w:val="20"/>
          <w:szCs w:val="20"/>
        </w:rPr>
      </w:pPr>
      <w:r>
        <w:rPr>
          <w:sz w:val="20"/>
          <w:szCs w:val="20"/>
        </w:rPr>
        <w:t>17</w:t>
      </w:r>
      <w:r w:rsidRPr="00C50A5C">
        <w:rPr>
          <w:sz w:val="20"/>
          <w:szCs w:val="20"/>
        </w:rPr>
        <w:t>.</w:t>
      </w:r>
      <w:r>
        <w:rPr>
          <w:sz w:val="20"/>
          <w:szCs w:val="20"/>
        </w:rPr>
        <w:t>1</w:t>
      </w:r>
      <w:r w:rsidRPr="00C50A5C">
        <w:rPr>
          <w:sz w:val="20"/>
          <w:szCs w:val="20"/>
        </w:rPr>
        <w:t>0.201</w:t>
      </w:r>
      <w:r>
        <w:rPr>
          <w:sz w:val="20"/>
          <w:szCs w:val="20"/>
        </w:rPr>
        <w:t>1</w:t>
      </w:r>
    </w:p>
    <w:p w:rsidR="00123F1F" w:rsidRDefault="00123F1F" w:rsidP="00123F1F">
      <w:pPr>
        <w:widowControl w:val="0"/>
        <w:rPr>
          <w:sz w:val="20"/>
          <w:szCs w:val="20"/>
        </w:rPr>
      </w:pPr>
    </w:p>
    <w:p w:rsidR="00E473B4" w:rsidRPr="005D48CE" w:rsidRDefault="00E473B4" w:rsidP="00E473B4">
      <w:pPr>
        <w:widowControl w:val="0"/>
        <w:ind w:left="720" w:hanging="720"/>
        <w:rPr>
          <w:rFonts w:eastAsia="Calibri" w:cs="Times New Roman"/>
          <w:sz w:val="20"/>
          <w:szCs w:val="20"/>
          <w:u w:val="single"/>
        </w:rPr>
      </w:pPr>
      <w:r w:rsidRPr="005D48CE">
        <w:rPr>
          <w:rFonts w:eastAsia="Calibri" w:cs="Times New Roman"/>
          <w:sz w:val="20"/>
          <w:szCs w:val="20"/>
        </w:rPr>
        <w:t xml:space="preserve">Coram: </w:t>
      </w:r>
      <w:r w:rsidRPr="005D48CE">
        <w:rPr>
          <w:rFonts w:eastAsia="Calibri" w:cs="Times New Roman"/>
          <w:sz w:val="20"/>
          <w:szCs w:val="20"/>
        </w:rPr>
        <w:tab/>
      </w:r>
      <w:r w:rsidRPr="005D48CE">
        <w:rPr>
          <w:rFonts w:eastAsia="Calibri" w:cs="Times New Roman"/>
          <w:sz w:val="20"/>
          <w:szCs w:val="20"/>
          <w:u w:val="single"/>
        </w:rPr>
        <w:t>McLachlin C.J. and Binnie, LeBel, Deschamps, Fish, Abella and Rothstein JJ.</w:t>
      </w:r>
    </w:p>
    <w:p w:rsidR="00E473B4" w:rsidRPr="00C50A5C" w:rsidRDefault="00E473B4" w:rsidP="00123F1F">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123F1F" w:rsidRPr="00C50A5C" w:rsidTr="00123F1F">
        <w:tc>
          <w:tcPr>
            <w:tcW w:w="4380" w:type="dxa"/>
            <w:tcMar>
              <w:left w:w="0" w:type="dxa"/>
              <w:right w:w="0" w:type="dxa"/>
            </w:tcMar>
          </w:tcPr>
          <w:p w:rsidR="00123F1F" w:rsidRPr="00E473B4" w:rsidRDefault="00E473B4" w:rsidP="00123F1F">
            <w:pPr>
              <w:widowControl w:val="0"/>
              <w:jc w:val="both"/>
              <w:rPr>
                <w:b/>
                <w:sz w:val="20"/>
                <w:szCs w:val="20"/>
              </w:rPr>
            </w:pPr>
            <w:r w:rsidRPr="00E473B4">
              <w:rPr>
                <w:rFonts w:eastAsia="Calibri" w:cs="Times New Roman"/>
                <w:b/>
                <w:sz w:val="20"/>
                <w:szCs w:val="20"/>
              </w:rPr>
              <w:t>Her Majesty the</w:t>
            </w:r>
            <w:r>
              <w:rPr>
                <w:b/>
                <w:sz w:val="20"/>
                <w:szCs w:val="20"/>
              </w:rPr>
              <w:t xml:space="preserve"> Queen</w:t>
            </w:r>
          </w:p>
          <w:p w:rsidR="00123F1F" w:rsidRPr="00E473B4" w:rsidRDefault="00123F1F" w:rsidP="00123F1F">
            <w:pPr>
              <w:widowControl w:val="0"/>
              <w:jc w:val="both"/>
              <w:rPr>
                <w:b/>
                <w:sz w:val="20"/>
                <w:szCs w:val="20"/>
              </w:rPr>
            </w:pPr>
          </w:p>
          <w:p w:rsidR="00123F1F" w:rsidRPr="00E473B4" w:rsidRDefault="00123F1F" w:rsidP="00123F1F">
            <w:pPr>
              <w:widowControl w:val="0"/>
              <w:tabs>
                <w:tab w:val="left" w:pos="736"/>
              </w:tabs>
              <w:jc w:val="both"/>
              <w:rPr>
                <w:b/>
                <w:sz w:val="20"/>
                <w:szCs w:val="20"/>
              </w:rPr>
            </w:pPr>
            <w:r w:rsidRPr="00E473B4">
              <w:rPr>
                <w:b/>
                <w:sz w:val="20"/>
                <w:szCs w:val="20"/>
              </w:rPr>
              <w:tab/>
              <w:t>v. (34</w:t>
            </w:r>
            <w:r w:rsidR="00E473B4" w:rsidRPr="00E473B4">
              <w:rPr>
                <w:b/>
                <w:sz w:val="20"/>
                <w:szCs w:val="20"/>
              </w:rPr>
              <w:t>245</w:t>
            </w:r>
            <w:r w:rsidRPr="00E473B4">
              <w:rPr>
                <w:b/>
                <w:sz w:val="20"/>
                <w:szCs w:val="20"/>
              </w:rPr>
              <w:t>)</w:t>
            </w:r>
          </w:p>
          <w:p w:rsidR="00123F1F" w:rsidRPr="00E473B4" w:rsidRDefault="00123F1F" w:rsidP="00123F1F">
            <w:pPr>
              <w:widowControl w:val="0"/>
              <w:jc w:val="both"/>
              <w:rPr>
                <w:b/>
                <w:sz w:val="20"/>
                <w:szCs w:val="20"/>
              </w:rPr>
            </w:pPr>
          </w:p>
          <w:p w:rsidR="00123F1F" w:rsidRPr="00C50A5C" w:rsidRDefault="00E473B4" w:rsidP="00E473B4">
            <w:pPr>
              <w:widowControl w:val="0"/>
              <w:jc w:val="both"/>
              <w:rPr>
                <w:sz w:val="20"/>
                <w:szCs w:val="20"/>
                <w:lang w:val="fr-CA"/>
              </w:rPr>
            </w:pPr>
            <w:r w:rsidRPr="00E473B4">
              <w:rPr>
                <w:rFonts w:eastAsia="Calibri" w:cs="Times New Roman"/>
                <w:b/>
                <w:sz w:val="20"/>
                <w:szCs w:val="20"/>
              </w:rPr>
              <w:t>Frank Ralph Ladue (B.C.) (Criminal) (By Leave)</w:t>
            </w:r>
          </w:p>
        </w:tc>
        <w:tc>
          <w:tcPr>
            <w:tcW w:w="720" w:type="dxa"/>
            <w:tcMar>
              <w:left w:w="0" w:type="dxa"/>
              <w:right w:w="0" w:type="dxa"/>
            </w:tcMar>
          </w:tcPr>
          <w:p w:rsidR="00123F1F" w:rsidRPr="00C50A5C" w:rsidRDefault="00123F1F" w:rsidP="00123F1F">
            <w:pPr>
              <w:widowControl w:val="0"/>
              <w:jc w:val="center"/>
              <w:rPr>
                <w:sz w:val="20"/>
                <w:szCs w:val="20"/>
                <w:lang w:val="fr-CA"/>
              </w:rPr>
            </w:pPr>
          </w:p>
        </w:tc>
        <w:tc>
          <w:tcPr>
            <w:tcW w:w="4380" w:type="dxa"/>
            <w:tcMar>
              <w:left w:w="0" w:type="dxa"/>
              <w:right w:w="0" w:type="dxa"/>
            </w:tcMar>
          </w:tcPr>
          <w:p w:rsidR="00171E41" w:rsidRPr="00F46FDB" w:rsidRDefault="00171E41" w:rsidP="00171E41">
            <w:pPr>
              <w:jc w:val="both"/>
              <w:rPr>
                <w:sz w:val="20"/>
                <w:szCs w:val="20"/>
              </w:rPr>
            </w:pPr>
            <w:r w:rsidRPr="00F46FDB">
              <w:rPr>
                <w:sz w:val="20"/>
                <w:szCs w:val="20"/>
              </w:rPr>
              <w:t>Mary T. Ainslie for the appellant.</w:t>
            </w:r>
          </w:p>
          <w:p w:rsidR="00171E41" w:rsidRPr="00F46FDB" w:rsidRDefault="00171E41" w:rsidP="00171E41">
            <w:pPr>
              <w:jc w:val="both"/>
              <w:rPr>
                <w:sz w:val="20"/>
                <w:szCs w:val="20"/>
              </w:rPr>
            </w:pPr>
          </w:p>
          <w:p w:rsidR="00171E41" w:rsidRPr="00F46FDB" w:rsidRDefault="00171E41" w:rsidP="00171E41">
            <w:pPr>
              <w:jc w:val="both"/>
              <w:rPr>
                <w:sz w:val="20"/>
                <w:szCs w:val="20"/>
              </w:rPr>
            </w:pPr>
            <w:r w:rsidRPr="00F46FDB">
              <w:rPr>
                <w:sz w:val="20"/>
                <w:szCs w:val="20"/>
              </w:rPr>
              <w:t>Hovan M. Patey, Laurence D. Myers, Q.C. and Kristy L. Neurauter for the respondent.</w:t>
            </w:r>
          </w:p>
          <w:p w:rsidR="00171E41" w:rsidRPr="00F46FDB" w:rsidRDefault="00171E41" w:rsidP="00171E41">
            <w:pPr>
              <w:jc w:val="both"/>
              <w:rPr>
                <w:sz w:val="20"/>
                <w:szCs w:val="20"/>
              </w:rPr>
            </w:pPr>
          </w:p>
          <w:p w:rsidR="00171E41" w:rsidRPr="00F46FDB" w:rsidRDefault="00171E41" w:rsidP="00171E41">
            <w:pPr>
              <w:jc w:val="both"/>
              <w:rPr>
                <w:sz w:val="20"/>
                <w:szCs w:val="20"/>
                <w:lang w:val="en-US"/>
              </w:rPr>
            </w:pPr>
            <w:r w:rsidRPr="00F46FDB">
              <w:rPr>
                <w:sz w:val="20"/>
                <w:szCs w:val="20"/>
              </w:rPr>
              <w:t>Written submissions only for the intervener</w:t>
            </w:r>
            <w:r>
              <w:rPr>
                <w:sz w:val="20"/>
                <w:szCs w:val="20"/>
              </w:rPr>
              <w:t xml:space="preserve"> </w:t>
            </w:r>
            <w:r w:rsidRPr="00F46FDB">
              <w:rPr>
                <w:sz w:val="20"/>
                <w:szCs w:val="20"/>
                <w:lang w:val="en-US"/>
              </w:rPr>
              <w:t>Canadian Civil Liberties Association</w:t>
            </w:r>
            <w:r>
              <w:rPr>
                <w:sz w:val="20"/>
                <w:szCs w:val="20"/>
                <w:lang w:val="en-US"/>
              </w:rPr>
              <w:t>.</w:t>
            </w:r>
          </w:p>
          <w:p w:rsidR="00171E41" w:rsidRPr="00F46FDB" w:rsidRDefault="00171E41" w:rsidP="00171E41">
            <w:pPr>
              <w:jc w:val="both"/>
              <w:rPr>
                <w:sz w:val="20"/>
                <w:szCs w:val="20"/>
                <w:lang w:val="en-US"/>
              </w:rPr>
            </w:pPr>
          </w:p>
          <w:p w:rsidR="00123F1F" w:rsidRPr="00C50A5C" w:rsidRDefault="00171E41" w:rsidP="00171E41">
            <w:pPr>
              <w:jc w:val="both"/>
              <w:rPr>
                <w:sz w:val="20"/>
                <w:szCs w:val="20"/>
              </w:rPr>
            </w:pPr>
            <w:r w:rsidRPr="00F46FDB">
              <w:rPr>
                <w:sz w:val="20"/>
                <w:szCs w:val="20"/>
              </w:rPr>
              <w:t xml:space="preserve">Written submissions only </w:t>
            </w:r>
            <w:r>
              <w:rPr>
                <w:sz w:val="20"/>
                <w:szCs w:val="20"/>
              </w:rPr>
              <w:t xml:space="preserve">by </w:t>
            </w:r>
            <w:r w:rsidRPr="00F46FDB">
              <w:rPr>
                <w:sz w:val="20"/>
                <w:szCs w:val="20"/>
              </w:rPr>
              <w:t>Kelly Doctor</w:t>
            </w:r>
            <w:r>
              <w:rPr>
                <w:sz w:val="20"/>
                <w:szCs w:val="20"/>
              </w:rPr>
              <w:t xml:space="preserve"> f</w:t>
            </w:r>
            <w:r w:rsidRPr="00F46FDB">
              <w:rPr>
                <w:sz w:val="20"/>
                <w:szCs w:val="20"/>
              </w:rPr>
              <w:t xml:space="preserve">or the </w:t>
            </w:r>
            <w:r>
              <w:rPr>
                <w:sz w:val="20"/>
                <w:szCs w:val="20"/>
              </w:rPr>
              <w:t>i</w:t>
            </w:r>
            <w:r w:rsidRPr="00F46FDB">
              <w:rPr>
                <w:sz w:val="20"/>
                <w:szCs w:val="20"/>
              </w:rPr>
              <w:t>ntervener</w:t>
            </w:r>
            <w:r>
              <w:rPr>
                <w:sz w:val="20"/>
                <w:szCs w:val="20"/>
              </w:rPr>
              <w:t xml:space="preserve"> </w:t>
            </w:r>
            <w:r w:rsidRPr="00F46FDB">
              <w:rPr>
                <w:sz w:val="20"/>
                <w:szCs w:val="20"/>
              </w:rPr>
              <w:t>British Columbia Civil Liberties Association</w:t>
            </w:r>
            <w:r>
              <w:rPr>
                <w:sz w:val="20"/>
                <w:szCs w:val="20"/>
              </w:rPr>
              <w:t>.</w:t>
            </w:r>
          </w:p>
        </w:tc>
      </w:tr>
    </w:tbl>
    <w:p w:rsidR="00123F1F" w:rsidRPr="00EA79B0" w:rsidRDefault="00123F1F" w:rsidP="00123F1F">
      <w:pPr>
        <w:widowControl w:val="0"/>
        <w:rPr>
          <w:sz w:val="20"/>
          <w:szCs w:val="20"/>
        </w:rPr>
      </w:pPr>
    </w:p>
    <w:p w:rsidR="00123F1F" w:rsidRPr="0085476B" w:rsidRDefault="00123F1F" w:rsidP="00123F1F">
      <w:pPr>
        <w:widowControl w:val="0"/>
        <w:rPr>
          <w:sz w:val="20"/>
          <w:szCs w:val="20"/>
        </w:rPr>
      </w:pPr>
      <w:r w:rsidRPr="0085476B">
        <w:rPr>
          <w:b/>
          <w:sz w:val="20"/>
          <w:szCs w:val="20"/>
        </w:rPr>
        <w:t xml:space="preserve">RESERVED / </w:t>
      </w:r>
      <w:r w:rsidRPr="0085476B">
        <w:rPr>
          <w:b/>
          <w:sz w:val="20"/>
          <w:szCs w:val="20"/>
          <w:lang w:val="fr-CA"/>
        </w:rPr>
        <w:t>EN DÉLIBÉRÉ</w:t>
      </w:r>
    </w:p>
    <w:p w:rsidR="00123F1F" w:rsidRDefault="00123F1F" w:rsidP="00123F1F"/>
    <w:tbl>
      <w:tblPr>
        <w:tblW w:w="0" w:type="auto"/>
        <w:tblLayout w:type="fixed"/>
        <w:tblCellMar>
          <w:left w:w="0" w:type="dxa"/>
          <w:right w:w="0" w:type="dxa"/>
        </w:tblCellMar>
        <w:tblLook w:val="0000"/>
      </w:tblPr>
      <w:tblGrid>
        <w:gridCol w:w="4380"/>
        <w:gridCol w:w="720"/>
        <w:gridCol w:w="4380"/>
      </w:tblGrid>
      <w:tr w:rsidR="00123F1F" w:rsidRPr="00F80A49" w:rsidTr="00123F1F">
        <w:tc>
          <w:tcPr>
            <w:tcW w:w="4380" w:type="dxa"/>
            <w:tcMar>
              <w:left w:w="0" w:type="dxa"/>
              <w:right w:w="0" w:type="dxa"/>
            </w:tcMar>
          </w:tcPr>
          <w:p w:rsidR="00123F1F" w:rsidRPr="00CC4D84" w:rsidRDefault="00123F1F" w:rsidP="00123F1F">
            <w:pPr>
              <w:widowControl w:val="0"/>
              <w:jc w:val="both"/>
              <w:rPr>
                <w:b/>
                <w:sz w:val="20"/>
                <w:szCs w:val="20"/>
                <w:u w:val="single"/>
              </w:rPr>
            </w:pPr>
            <w:r w:rsidRPr="00CC4D84">
              <w:rPr>
                <w:b/>
                <w:sz w:val="20"/>
                <w:szCs w:val="20"/>
                <w:u w:val="single"/>
              </w:rPr>
              <w:t>Nature of the case:</w:t>
            </w:r>
          </w:p>
          <w:p w:rsidR="00123F1F" w:rsidRPr="00C1697B" w:rsidRDefault="00123F1F" w:rsidP="00123F1F">
            <w:pPr>
              <w:widowControl w:val="0"/>
              <w:jc w:val="both"/>
              <w:rPr>
                <w:b/>
                <w:sz w:val="20"/>
                <w:szCs w:val="20"/>
              </w:rPr>
            </w:pPr>
          </w:p>
          <w:p w:rsidR="00123F1F" w:rsidRPr="00C1697B" w:rsidRDefault="00E473B4" w:rsidP="00123F1F">
            <w:pPr>
              <w:widowControl w:val="0"/>
              <w:jc w:val="both"/>
              <w:rPr>
                <w:b/>
                <w:sz w:val="20"/>
                <w:szCs w:val="20"/>
              </w:rPr>
            </w:pPr>
            <w:r w:rsidRPr="004B25FE">
              <w:rPr>
                <w:sz w:val="20"/>
                <w:szCs w:val="20"/>
              </w:rPr>
              <w:t xml:space="preserve">Criminal law </w:t>
            </w:r>
            <w:r w:rsidRPr="004B25FE">
              <w:rPr>
                <w:sz w:val="20"/>
                <w:szCs w:val="20"/>
              </w:rPr>
              <w:noBreakHyphen/>
              <w:t xml:space="preserve"> Sentencing </w:t>
            </w:r>
            <w:r w:rsidRPr="004B25FE">
              <w:rPr>
                <w:sz w:val="20"/>
                <w:szCs w:val="20"/>
              </w:rPr>
              <w:noBreakHyphen/>
              <w:t xml:space="preserve"> Aboriginal Offenders </w:t>
            </w:r>
            <w:r w:rsidRPr="004B25FE">
              <w:rPr>
                <w:sz w:val="20"/>
                <w:szCs w:val="20"/>
              </w:rPr>
              <w:noBreakHyphen/>
              <w:t xml:space="preserve"> </w:t>
            </w:r>
            <w:r w:rsidRPr="004B25FE">
              <w:rPr>
                <w:sz w:val="20"/>
                <w:szCs w:val="20"/>
              </w:rPr>
              <w:lastRenderedPageBreak/>
              <w:t>Effect of an offender’s Aboriginal heritage when sentencing the offender for breaching a term of a long</w:t>
            </w:r>
            <w:r w:rsidRPr="004B25FE">
              <w:rPr>
                <w:sz w:val="20"/>
                <w:szCs w:val="20"/>
              </w:rPr>
              <w:noBreakHyphen/>
              <w:t xml:space="preserve">term supervision order </w:t>
            </w:r>
            <w:r w:rsidRPr="004B25FE">
              <w:rPr>
                <w:sz w:val="20"/>
                <w:szCs w:val="20"/>
              </w:rPr>
              <w:noBreakHyphen/>
              <w:t xml:space="preserve"> Paramount sentencing principle when sentencing for breach of a long</w:t>
            </w:r>
            <w:r w:rsidRPr="004B25FE">
              <w:rPr>
                <w:sz w:val="20"/>
                <w:szCs w:val="20"/>
              </w:rPr>
              <w:noBreakHyphen/>
              <w:t xml:space="preserve">term supervision order </w:t>
            </w:r>
            <w:r w:rsidRPr="004B25FE">
              <w:rPr>
                <w:sz w:val="20"/>
                <w:szCs w:val="20"/>
              </w:rPr>
              <w:noBreakHyphen/>
              <w:t xml:space="preserve"> Whether the sentencing judge erred by failing to give effect to the respondent’s Aboriginal circumstances </w:t>
            </w:r>
            <w:r w:rsidRPr="004B25FE">
              <w:rPr>
                <w:sz w:val="20"/>
                <w:szCs w:val="20"/>
              </w:rPr>
              <w:noBreakHyphen/>
              <w:t xml:space="preserve"> Whether the sentencing judge erred by overemphasizing the principle of separating the offender from the community, and by failing to give sufficient weight to the principle of rehabilitation and proportionality.</w:t>
            </w:r>
          </w:p>
        </w:tc>
        <w:tc>
          <w:tcPr>
            <w:tcW w:w="720" w:type="dxa"/>
            <w:tcMar>
              <w:left w:w="0" w:type="dxa"/>
              <w:right w:w="0" w:type="dxa"/>
            </w:tcMar>
          </w:tcPr>
          <w:p w:rsidR="00123F1F" w:rsidRPr="00C1697B" w:rsidRDefault="00123F1F" w:rsidP="00123F1F">
            <w:pPr>
              <w:widowControl w:val="0"/>
              <w:jc w:val="center"/>
              <w:rPr>
                <w:sz w:val="20"/>
                <w:szCs w:val="20"/>
              </w:rPr>
            </w:pPr>
          </w:p>
        </w:tc>
        <w:tc>
          <w:tcPr>
            <w:tcW w:w="4380" w:type="dxa"/>
            <w:tcMar>
              <w:left w:w="0" w:type="dxa"/>
              <w:right w:w="0" w:type="dxa"/>
            </w:tcMar>
          </w:tcPr>
          <w:p w:rsidR="00123F1F" w:rsidRPr="00CC4D84" w:rsidRDefault="00123F1F" w:rsidP="00123F1F">
            <w:pPr>
              <w:widowControl w:val="0"/>
              <w:jc w:val="both"/>
              <w:rPr>
                <w:b/>
                <w:sz w:val="20"/>
                <w:szCs w:val="20"/>
                <w:u w:val="single"/>
                <w:lang w:val="fr-CA"/>
              </w:rPr>
            </w:pPr>
            <w:r w:rsidRPr="00CC4D84">
              <w:rPr>
                <w:b/>
                <w:sz w:val="20"/>
                <w:szCs w:val="20"/>
                <w:u w:val="single"/>
                <w:lang w:val="fr-CA"/>
              </w:rPr>
              <w:t>Nature de la cause :</w:t>
            </w:r>
          </w:p>
          <w:p w:rsidR="00123F1F" w:rsidRPr="00C1697B" w:rsidRDefault="00123F1F" w:rsidP="00123F1F">
            <w:pPr>
              <w:widowControl w:val="0"/>
              <w:jc w:val="both"/>
              <w:rPr>
                <w:sz w:val="20"/>
                <w:szCs w:val="20"/>
                <w:lang w:val="fr-CA"/>
              </w:rPr>
            </w:pPr>
          </w:p>
          <w:p w:rsidR="00123F1F" w:rsidRPr="00C1697B" w:rsidRDefault="00E473B4" w:rsidP="00123F1F">
            <w:pPr>
              <w:widowControl w:val="0"/>
              <w:jc w:val="both"/>
              <w:rPr>
                <w:sz w:val="20"/>
                <w:szCs w:val="20"/>
                <w:lang w:val="fr-CA"/>
              </w:rPr>
            </w:pPr>
            <w:r w:rsidRPr="005E7474">
              <w:rPr>
                <w:sz w:val="20"/>
                <w:szCs w:val="20"/>
                <w:lang w:val="fr-CA"/>
              </w:rPr>
              <w:t xml:space="preserve">Droit criminel </w:t>
            </w:r>
            <w:r w:rsidRPr="005E7474">
              <w:rPr>
                <w:sz w:val="20"/>
                <w:szCs w:val="20"/>
                <w:lang w:val="fr-CA"/>
              </w:rPr>
              <w:noBreakHyphen/>
              <w:t xml:space="preserve"> Détermination de la peine </w:t>
            </w:r>
            <w:r w:rsidRPr="005E7474">
              <w:rPr>
                <w:sz w:val="20"/>
                <w:szCs w:val="20"/>
                <w:lang w:val="fr-CA"/>
              </w:rPr>
              <w:noBreakHyphen/>
              <w:t xml:space="preserve"> </w:t>
            </w:r>
            <w:r w:rsidRPr="005E7474">
              <w:rPr>
                <w:sz w:val="20"/>
                <w:szCs w:val="20"/>
                <w:lang w:val="fr-CA"/>
              </w:rPr>
              <w:lastRenderedPageBreak/>
              <w:t xml:space="preserve">Délinquants autochtones </w:t>
            </w:r>
            <w:r w:rsidRPr="005E7474">
              <w:rPr>
                <w:sz w:val="20"/>
                <w:szCs w:val="20"/>
                <w:lang w:val="fr-CA"/>
              </w:rPr>
              <w:noBreakHyphen/>
              <w:t xml:space="preserve"> Effet de l’héritage autochtone d’un délinquant lors de la détermination de la peine pour avoir violé une condition d’une ordonnance de surveillance de longue durée </w:t>
            </w:r>
            <w:r w:rsidRPr="005E7474">
              <w:rPr>
                <w:sz w:val="20"/>
                <w:szCs w:val="20"/>
                <w:lang w:val="fr-CA"/>
              </w:rPr>
              <w:noBreakHyphen/>
              <w:t xml:space="preserve"> Principe suprême aux fins de détermination de la peine en cas de violation d’une ordonnance de surveillance de longue durée </w:t>
            </w:r>
            <w:r w:rsidRPr="005E7474">
              <w:rPr>
                <w:sz w:val="20"/>
                <w:szCs w:val="20"/>
                <w:lang w:val="fr-CA"/>
              </w:rPr>
              <w:noBreakHyphen/>
              <w:t xml:space="preserve"> Le juge chargé de déterminer la peine a</w:t>
            </w:r>
            <w:r w:rsidRPr="005E7474">
              <w:rPr>
                <w:sz w:val="20"/>
                <w:szCs w:val="20"/>
                <w:lang w:val="fr-CA"/>
              </w:rPr>
              <w:noBreakHyphen/>
              <w:t>t</w:t>
            </w:r>
            <w:r w:rsidRPr="005E7474">
              <w:rPr>
                <w:sz w:val="20"/>
                <w:szCs w:val="20"/>
                <w:lang w:val="fr-CA"/>
              </w:rPr>
              <w:noBreakHyphen/>
              <w:t xml:space="preserve">il eu tort de ne pas avoir donné effet aux circonstances de l’intimé en tant qu’autochtone? </w:t>
            </w:r>
            <w:r w:rsidRPr="005E7474">
              <w:rPr>
                <w:sz w:val="20"/>
                <w:szCs w:val="20"/>
                <w:lang w:val="fr-CA"/>
              </w:rPr>
              <w:noBreakHyphen/>
              <w:t xml:space="preserve"> Le juge chargé de déterminer la peine a</w:t>
            </w:r>
            <w:r w:rsidRPr="005E7474">
              <w:rPr>
                <w:sz w:val="20"/>
                <w:szCs w:val="20"/>
                <w:lang w:val="fr-CA"/>
              </w:rPr>
              <w:noBreakHyphen/>
              <w:t>t</w:t>
            </w:r>
            <w:r w:rsidRPr="005E7474">
              <w:rPr>
                <w:sz w:val="20"/>
                <w:szCs w:val="20"/>
                <w:lang w:val="fr-CA"/>
              </w:rPr>
              <w:noBreakHyphen/>
              <w:t>il eu tort d’avoir trop mis l’accent sur le principe de la séparation du délinquant de la collectivité et d’avoir omis d’accorder suffisamment de poids au principe de la réadaptation et de la proportionnalité?</w:t>
            </w:r>
          </w:p>
        </w:tc>
      </w:tr>
    </w:tbl>
    <w:p w:rsidR="00123F1F" w:rsidRDefault="00123F1F" w:rsidP="00123F1F">
      <w:pPr>
        <w:widowControl w:val="0"/>
        <w:rPr>
          <w:sz w:val="20"/>
          <w:szCs w:val="20"/>
          <w:lang w:val="fr-CA"/>
        </w:rPr>
      </w:pPr>
    </w:p>
    <w:p w:rsidR="00123F1F" w:rsidRPr="00C1697B" w:rsidRDefault="004D21E4" w:rsidP="00123F1F">
      <w:pPr>
        <w:widowControl w:val="0"/>
        <w:rPr>
          <w:sz w:val="20"/>
          <w:szCs w:val="20"/>
          <w:lang w:val="fr-CA"/>
        </w:rPr>
      </w:pPr>
      <w:r w:rsidRPr="004D21E4">
        <w:rPr>
          <w:sz w:val="20"/>
          <w:szCs w:val="20"/>
          <w:lang w:val="fr-CA"/>
        </w:rPr>
        <w:pict>
          <v:rect id="_x0000_i1121" style="width:2in;height:1pt" o:hrpct="0" o:hralign="center" o:hrstd="t" o:hrnoshade="t" o:hr="t" fillcolor="black [3213]" stroked="f"/>
        </w:pict>
      </w:r>
    </w:p>
    <w:p w:rsidR="00123F1F" w:rsidRDefault="00123F1F" w:rsidP="00123F1F">
      <w:pPr>
        <w:widowControl w:val="0"/>
        <w:rPr>
          <w:sz w:val="20"/>
          <w:szCs w:val="20"/>
        </w:rPr>
      </w:pPr>
    </w:p>
    <w:p w:rsidR="007133B0" w:rsidRPr="00C50A5C" w:rsidRDefault="007133B0" w:rsidP="007133B0">
      <w:pPr>
        <w:widowControl w:val="0"/>
        <w:rPr>
          <w:sz w:val="20"/>
          <w:szCs w:val="20"/>
        </w:rPr>
      </w:pPr>
      <w:r>
        <w:rPr>
          <w:sz w:val="20"/>
          <w:szCs w:val="20"/>
        </w:rPr>
        <w:t>18</w:t>
      </w:r>
      <w:r w:rsidRPr="00C50A5C">
        <w:rPr>
          <w:sz w:val="20"/>
          <w:szCs w:val="20"/>
        </w:rPr>
        <w:t>.</w:t>
      </w:r>
      <w:r>
        <w:rPr>
          <w:sz w:val="20"/>
          <w:szCs w:val="20"/>
        </w:rPr>
        <w:t>1</w:t>
      </w:r>
      <w:r w:rsidRPr="00C50A5C">
        <w:rPr>
          <w:sz w:val="20"/>
          <w:szCs w:val="20"/>
        </w:rPr>
        <w:t>0.201</w:t>
      </w:r>
      <w:r>
        <w:rPr>
          <w:sz w:val="20"/>
          <w:szCs w:val="20"/>
        </w:rPr>
        <w:t>1</w:t>
      </w:r>
    </w:p>
    <w:p w:rsidR="007133B0" w:rsidRDefault="007133B0" w:rsidP="007133B0">
      <w:pPr>
        <w:widowControl w:val="0"/>
        <w:rPr>
          <w:sz w:val="20"/>
          <w:szCs w:val="20"/>
        </w:rPr>
      </w:pPr>
    </w:p>
    <w:p w:rsidR="00FA372C" w:rsidRPr="00732F81" w:rsidRDefault="00FA372C" w:rsidP="00FA372C">
      <w:pPr>
        <w:widowControl w:val="0"/>
        <w:ind w:left="720" w:hanging="720"/>
        <w:rPr>
          <w:rFonts w:eastAsia="Calibri" w:cs="Times New Roman"/>
          <w:sz w:val="20"/>
          <w:szCs w:val="20"/>
          <w:u w:val="single"/>
        </w:rPr>
      </w:pPr>
      <w:r w:rsidRPr="00732F81">
        <w:rPr>
          <w:rFonts w:eastAsia="Calibri" w:cs="Times New Roman"/>
          <w:sz w:val="20"/>
          <w:szCs w:val="20"/>
        </w:rPr>
        <w:t xml:space="preserve">Coram: </w:t>
      </w:r>
      <w:r w:rsidRPr="00732F81">
        <w:rPr>
          <w:rFonts w:eastAsia="Calibri" w:cs="Times New Roman"/>
          <w:sz w:val="20"/>
          <w:szCs w:val="20"/>
        </w:rPr>
        <w:tab/>
      </w:r>
      <w:r w:rsidRPr="00732F81">
        <w:rPr>
          <w:rFonts w:eastAsia="Calibri" w:cs="Times New Roman"/>
          <w:sz w:val="20"/>
          <w:szCs w:val="20"/>
          <w:u w:val="single"/>
        </w:rPr>
        <w:t>McLachlin C.J. and LeBel, Deschamps, Fish, Abella, Rothstein and Cromwell JJ.</w:t>
      </w:r>
    </w:p>
    <w:p w:rsidR="007133B0" w:rsidRPr="00EA79B0" w:rsidRDefault="007133B0" w:rsidP="007133B0">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7133B0" w:rsidRPr="00C50A5C" w:rsidTr="008627E7">
        <w:tc>
          <w:tcPr>
            <w:tcW w:w="4380" w:type="dxa"/>
            <w:tcMar>
              <w:left w:w="0" w:type="dxa"/>
              <w:right w:w="0" w:type="dxa"/>
            </w:tcMar>
          </w:tcPr>
          <w:p w:rsidR="007133B0" w:rsidRPr="00FA372C" w:rsidRDefault="00FA372C" w:rsidP="008627E7">
            <w:pPr>
              <w:widowControl w:val="0"/>
              <w:jc w:val="both"/>
              <w:rPr>
                <w:b/>
                <w:sz w:val="20"/>
                <w:szCs w:val="20"/>
              </w:rPr>
            </w:pPr>
            <w:r>
              <w:rPr>
                <w:b/>
                <w:sz w:val="20"/>
                <w:szCs w:val="20"/>
              </w:rPr>
              <w:t>Catalyst Paper Corporation</w:t>
            </w:r>
          </w:p>
          <w:p w:rsidR="007133B0" w:rsidRPr="00FA372C" w:rsidRDefault="007133B0" w:rsidP="008627E7">
            <w:pPr>
              <w:widowControl w:val="0"/>
              <w:jc w:val="both"/>
              <w:rPr>
                <w:b/>
                <w:sz w:val="20"/>
                <w:szCs w:val="20"/>
              </w:rPr>
            </w:pPr>
          </w:p>
          <w:p w:rsidR="007133B0" w:rsidRPr="00FA372C" w:rsidRDefault="007133B0" w:rsidP="008627E7">
            <w:pPr>
              <w:widowControl w:val="0"/>
              <w:tabs>
                <w:tab w:val="left" w:pos="736"/>
              </w:tabs>
              <w:jc w:val="both"/>
              <w:rPr>
                <w:b/>
                <w:sz w:val="20"/>
                <w:szCs w:val="20"/>
              </w:rPr>
            </w:pPr>
            <w:r w:rsidRPr="00FA372C">
              <w:rPr>
                <w:b/>
                <w:sz w:val="20"/>
                <w:szCs w:val="20"/>
              </w:rPr>
              <w:tab/>
              <w:t>v. (3</w:t>
            </w:r>
            <w:r w:rsidR="00FA372C">
              <w:rPr>
                <w:b/>
                <w:sz w:val="20"/>
                <w:szCs w:val="20"/>
              </w:rPr>
              <w:t>374</w:t>
            </w:r>
            <w:r w:rsidRPr="00FA372C">
              <w:rPr>
                <w:b/>
                <w:sz w:val="20"/>
                <w:szCs w:val="20"/>
              </w:rPr>
              <w:t>4)</w:t>
            </w:r>
          </w:p>
          <w:p w:rsidR="007133B0" w:rsidRPr="00FA372C" w:rsidRDefault="007133B0" w:rsidP="008627E7">
            <w:pPr>
              <w:widowControl w:val="0"/>
              <w:jc w:val="both"/>
              <w:rPr>
                <w:b/>
                <w:sz w:val="20"/>
                <w:szCs w:val="20"/>
              </w:rPr>
            </w:pPr>
          </w:p>
          <w:p w:rsidR="007133B0" w:rsidRPr="00C50A5C" w:rsidRDefault="00FA372C" w:rsidP="00FA372C">
            <w:pPr>
              <w:widowControl w:val="0"/>
              <w:jc w:val="both"/>
              <w:rPr>
                <w:sz w:val="20"/>
                <w:szCs w:val="20"/>
                <w:lang w:val="fr-CA"/>
              </w:rPr>
            </w:pPr>
            <w:r w:rsidRPr="00FA372C">
              <w:rPr>
                <w:rFonts w:eastAsia="Calibri" w:cs="Times New Roman"/>
                <w:b/>
                <w:sz w:val="20"/>
                <w:szCs w:val="20"/>
              </w:rPr>
              <w:t>Corporation of the District of North Cowichan (B.C.) (Civil) (By Leave)</w:t>
            </w:r>
          </w:p>
        </w:tc>
        <w:tc>
          <w:tcPr>
            <w:tcW w:w="720" w:type="dxa"/>
            <w:tcMar>
              <w:left w:w="0" w:type="dxa"/>
              <w:right w:w="0" w:type="dxa"/>
            </w:tcMar>
          </w:tcPr>
          <w:p w:rsidR="007133B0" w:rsidRPr="00C50A5C" w:rsidRDefault="007133B0" w:rsidP="008627E7">
            <w:pPr>
              <w:widowControl w:val="0"/>
              <w:jc w:val="center"/>
              <w:rPr>
                <w:sz w:val="20"/>
                <w:szCs w:val="20"/>
                <w:lang w:val="fr-CA"/>
              </w:rPr>
            </w:pPr>
          </w:p>
        </w:tc>
        <w:tc>
          <w:tcPr>
            <w:tcW w:w="4380" w:type="dxa"/>
            <w:tcMar>
              <w:left w:w="0" w:type="dxa"/>
              <w:right w:w="0" w:type="dxa"/>
            </w:tcMar>
          </w:tcPr>
          <w:p w:rsidR="00171E41" w:rsidRPr="003377A8" w:rsidRDefault="00171E41" w:rsidP="00171E41">
            <w:pPr>
              <w:tabs>
                <w:tab w:val="left" w:pos="-2970"/>
              </w:tabs>
              <w:jc w:val="both"/>
              <w:rPr>
                <w:sz w:val="20"/>
                <w:szCs w:val="20"/>
              </w:rPr>
            </w:pPr>
            <w:r w:rsidRPr="003377A8">
              <w:rPr>
                <w:sz w:val="20"/>
                <w:szCs w:val="20"/>
              </w:rPr>
              <w:t>Roy Millen</w:t>
            </w:r>
            <w:r>
              <w:rPr>
                <w:sz w:val="20"/>
                <w:szCs w:val="20"/>
              </w:rPr>
              <w:t xml:space="preserve">, </w:t>
            </w:r>
            <w:r w:rsidRPr="003377A8">
              <w:rPr>
                <w:sz w:val="20"/>
                <w:szCs w:val="20"/>
              </w:rPr>
              <w:t>Joanne Lysyk</w:t>
            </w:r>
            <w:r>
              <w:rPr>
                <w:sz w:val="20"/>
                <w:szCs w:val="20"/>
              </w:rPr>
              <w:t xml:space="preserve"> and </w:t>
            </w:r>
            <w:r w:rsidRPr="003377A8">
              <w:rPr>
                <w:sz w:val="20"/>
                <w:szCs w:val="20"/>
              </w:rPr>
              <w:t>Alexandra Luchenko</w:t>
            </w:r>
            <w:r>
              <w:rPr>
                <w:sz w:val="20"/>
                <w:szCs w:val="20"/>
              </w:rPr>
              <w:t xml:space="preserve"> f</w:t>
            </w:r>
            <w:r w:rsidRPr="003377A8">
              <w:rPr>
                <w:sz w:val="20"/>
                <w:szCs w:val="20"/>
              </w:rPr>
              <w:t xml:space="preserve">or the </w:t>
            </w:r>
            <w:r>
              <w:rPr>
                <w:sz w:val="20"/>
                <w:szCs w:val="20"/>
              </w:rPr>
              <w:t>a</w:t>
            </w:r>
            <w:r w:rsidRPr="003377A8">
              <w:rPr>
                <w:sz w:val="20"/>
                <w:szCs w:val="20"/>
              </w:rPr>
              <w:t>ppellant</w:t>
            </w:r>
            <w:r>
              <w:rPr>
                <w:sz w:val="20"/>
                <w:szCs w:val="20"/>
              </w:rPr>
              <w:t>.</w:t>
            </w:r>
          </w:p>
          <w:p w:rsidR="00171E41" w:rsidRPr="003377A8" w:rsidRDefault="00171E41" w:rsidP="00171E41">
            <w:pPr>
              <w:tabs>
                <w:tab w:val="left" w:pos="-2970"/>
              </w:tabs>
              <w:jc w:val="both"/>
              <w:rPr>
                <w:sz w:val="20"/>
                <w:szCs w:val="20"/>
              </w:rPr>
            </w:pPr>
          </w:p>
          <w:p w:rsidR="007133B0" w:rsidRPr="00C50A5C" w:rsidRDefault="00171E41" w:rsidP="00171E41">
            <w:pPr>
              <w:tabs>
                <w:tab w:val="left" w:pos="-2970"/>
              </w:tabs>
              <w:jc w:val="both"/>
              <w:rPr>
                <w:sz w:val="20"/>
                <w:szCs w:val="20"/>
              </w:rPr>
            </w:pPr>
            <w:r w:rsidRPr="003377A8">
              <w:rPr>
                <w:sz w:val="20"/>
                <w:szCs w:val="20"/>
              </w:rPr>
              <w:t>Sukhbir Manhas</w:t>
            </w:r>
            <w:r>
              <w:rPr>
                <w:sz w:val="20"/>
                <w:szCs w:val="20"/>
              </w:rPr>
              <w:t xml:space="preserve"> and </w:t>
            </w:r>
            <w:r w:rsidRPr="003377A8">
              <w:rPr>
                <w:sz w:val="20"/>
                <w:szCs w:val="20"/>
              </w:rPr>
              <w:t>Reece Harding</w:t>
            </w:r>
            <w:r>
              <w:rPr>
                <w:sz w:val="20"/>
                <w:szCs w:val="20"/>
              </w:rPr>
              <w:t xml:space="preserve"> f</w:t>
            </w:r>
            <w:r w:rsidRPr="003377A8">
              <w:rPr>
                <w:sz w:val="20"/>
                <w:szCs w:val="20"/>
              </w:rPr>
              <w:t xml:space="preserve">or the </w:t>
            </w:r>
            <w:r>
              <w:rPr>
                <w:sz w:val="20"/>
                <w:szCs w:val="20"/>
              </w:rPr>
              <w:t>r</w:t>
            </w:r>
            <w:r w:rsidRPr="003377A8">
              <w:rPr>
                <w:sz w:val="20"/>
                <w:szCs w:val="20"/>
              </w:rPr>
              <w:t>espondent.</w:t>
            </w:r>
          </w:p>
        </w:tc>
      </w:tr>
    </w:tbl>
    <w:p w:rsidR="007133B0" w:rsidRPr="00EA79B0" w:rsidRDefault="007133B0" w:rsidP="007133B0">
      <w:pPr>
        <w:widowControl w:val="0"/>
        <w:rPr>
          <w:sz w:val="20"/>
          <w:szCs w:val="20"/>
        </w:rPr>
      </w:pPr>
    </w:p>
    <w:p w:rsidR="007133B0" w:rsidRPr="0085476B" w:rsidRDefault="007133B0" w:rsidP="007133B0">
      <w:pPr>
        <w:widowControl w:val="0"/>
        <w:rPr>
          <w:sz w:val="20"/>
          <w:szCs w:val="20"/>
        </w:rPr>
      </w:pPr>
      <w:r w:rsidRPr="0085476B">
        <w:rPr>
          <w:b/>
          <w:sz w:val="20"/>
          <w:szCs w:val="20"/>
        </w:rPr>
        <w:t xml:space="preserve">RESERVED / </w:t>
      </w:r>
      <w:r w:rsidRPr="0085476B">
        <w:rPr>
          <w:b/>
          <w:sz w:val="20"/>
          <w:szCs w:val="20"/>
          <w:lang w:val="fr-CA"/>
        </w:rPr>
        <w:t>EN DÉLIBÉRÉ</w:t>
      </w:r>
    </w:p>
    <w:p w:rsidR="007133B0" w:rsidRDefault="007133B0" w:rsidP="007133B0"/>
    <w:tbl>
      <w:tblPr>
        <w:tblW w:w="0" w:type="auto"/>
        <w:tblLayout w:type="fixed"/>
        <w:tblCellMar>
          <w:left w:w="0" w:type="dxa"/>
          <w:right w:w="0" w:type="dxa"/>
        </w:tblCellMar>
        <w:tblLook w:val="0000"/>
      </w:tblPr>
      <w:tblGrid>
        <w:gridCol w:w="4380"/>
        <w:gridCol w:w="720"/>
        <w:gridCol w:w="4380"/>
      </w:tblGrid>
      <w:tr w:rsidR="007133B0" w:rsidRPr="00F80A49" w:rsidTr="008627E7">
        <w:tc>
          <w:tcPr>
            <w:tcW w:w="4380" w:type="dxa"/>
            <w:tcMar>
              <w:left w:w="0" w:type="dxa"/>
              <w:right w:w="0" w:type="dxa"/>
            </w:tcMar>
          </w:tcPr>
          <w:p w:rsidR="007133B0" w:rsidRPr="00CC4D84" w:rsidRDefault="007133B0" w:rsidP="008627E7">
            <w:pPr>
              <w:widowControl w:val="0"/>
              <w:jc w:val="both"/>
              <w:rPr>
                <w:b/>
                <w:sz w:val="20"/>
                <w:szCs w:val="20"/>
                <w:u w:val="single"/>
              </w:rPr>
            </w:pPr>
            <w:r w:rsidRPr="00CC4D84">
              <w:rPr>
                <w:b/>
                <w:sz w:val="20"/>
                <w:szCs w:val="20"/>
                <w:u w:val="single"/>
              </w:rPr>
              <w:t>Nature of the case:</w:t>
            </w:r>
          </w:p>
          <w:p w:rsidR="007133B0" w:rsidRPr="00C1697B" w:rsidRDefault="007133B0" w:rsidP="008627E7">
            <w:pPr>
              <w:widowControl w:val="0"/>
              <w:jc w:val="both"/>
              <w:rPr>
                <w:b/>
                <w:sz w:val="20"/>
                <w:szCs w:val="20"/>
              </w:rPr>
            </w:pPr>
          </w:p>
          <w:p w:rsidR="007133B0" w:rsidRPr="00C1697B" w:rsidRDefault="00FA372C" w:rsidP="008627E7">
            <w:pPr>
              <w:widowControl w:val="0"/>
              <w:jc w:val="both"/>
              <w:rPr>
                <w:b/>
                <w:sz w:val="20"/>
                <w:szCs w:val="20"/>
              </w:rPr>
            </w:pPr>
            <w:r w:rsidRPr="00DF3805">
              <w:rPr>
                <w:sz w:val="20"/>
                <w:szCs w:val="20"/>
              </w:rPr>
              <w:t xml:space="preserve">Municipal law </w:t>
            </w:r>
            <w:r w:rsidRPr="00DF3805">
              <w:rPr>
                <w:sz w:val="20"/>
                <w:szCs w:val="20"/>
              </w:rPr>
              <w:noBreakHyphen/>
              <w:t xml:space="preserve"> By</w:t>
            </w:r>
            <w:r w:rsidRPr="00DF3805">
              <w:rPr>
                <w:sz w:val="20"/>
                <w:szCs w:val="20"/>
              </w:rPr>
              <w:noBreakHyphen/>
              <w:t xml:space="preserve">laws </w:t>
            </w:r>
            <w:r w:rsidRPr="00DF3805">
              <w:rPr>
                <w:sz w:val="20"/>
                <w:szCs w:val="20"/>
              </w:rPr>
              <w:noBreakHyphen/>
              <w:t xml:space="preserve"> Taxation </w:t>
            </w:r>
            <w:r w:rsidRPr="00DF3805">
              <w:rPr>
                <w:sz w:val="20"/>
                <w:szCs w:val="20"/>
              </w:rPr>
              <w:noBreakHyphen/>
              <w:t xml:space="preserve"> Business tax </w:t>
            </w:r>
            <w:r w:rsidRPr="00DF3805">
              <w:rPr>
                <w:sz w:val="20"/>
                <w:szCs w:val="20"/>
              </w:rPr>
              <w:noBreakHyphen/>
              <w:t xml:space="preserve"> Whether a municipal by</w:t>
            </w:r>
            <w:r w:rsidRPr="00DF3805">
              <w:rPr>
                <w:sz w:val="20"/>
                <w:szCs w:val="20"/>
              </w:rPr>
              <w:noBreakHyphen/>
              <w:t xml:space="preserve">law that is not grounded in any objective criteria or a demonstrably rational policy can nevertheless be considered reasonable at law because it reflects a political decision of elected officials </w:t>
            </w:r>
            <w:r w:rsidRPr="00DF3805">
              <w:rPr>
                <w:sz w:val="20"/>
                <w:szCs w:val="20"/>
              </w:rPr>
              <w:noBreakHyphen/>
              <w:t xml:space="preserve"> Whether, in the absence of specific statutory criteria setting out factors relevant to an exercise of legislative discretion, a municipality has an unfettered right to exercise that discretion.</w:t>
            </w:r>
          </w:p>
        </w:tc>
        <w:tc>
          <w:tcPr>
            <w:tcW w:w="720" w:type="dxa"/>
            <w:tcMar>
              <w:left w:w="0" w:type="dxa"/>
              <w:right w:w="0" w:type="dxa"/>
            </w:tcMar>
          </w:tcPr>
          <w:p w:rsidR="007133B0" w:rsidRPr="00C1697B" w:rsidRDefault="007133B0" w:rsidP="008627E7">
            <w:pPr>
              <w:widowControl w:val="0"/>
              <w:jc w:val="center"/>
              <w:rPr>
                <w:sz w:val="20"/>
                <w:szCs w:val="20"/>
              </w:rPr>
            </w:pPr>
          </w:p>
        </w:tc>
        <w:tc>
          <w:tcPr>
            <w:tcW w:w="4380" w:type="dxa"/>
            <w:tcMar>
              <w:left w:w="0" w:type="dxa"/>
              <w:right w:w="0" w:type="dxa"/>
            </w:tcMar>
          </w:tcPr>
          <w:p w:rsidR="007133B0" w:rsidRPr="00CC4D84" w:rsidRDefault="007133B0" w:rsidP="008627E7">
            <w:pPr>
              <w:widowControl w:val="0"/>
              <w:jc w:val="both"/>
              <w:rPr>
                <w:b/>
                <w:sz w:val="20"/>
                <w:szCs w:val="20"/>
                <w:u w:val="single"/>
                <w:lang w:val="fr-CA"/>
              </w:rPr>
            </w:pPr>
            <w:r w:rsidRPr="00CC4D84">
              <w:rPr>
                <w:b/>
                <w:sz w:val="20"/>
                <w:szCs w:val="20"/>
                <w:u w:val="single"/>
                <w:lang w:val="fr-CA"/>
              </w:rPr>
              <w:t>Nature de la cause :</w:t>
            </w:r>
          </w:p>
          <w:p w:rsidR="007133B0" w:rsidRPr="00C1697B" w:rsidRDefault="007133B0" w:rsidP="008627E7">
            <w:pPr>
              <w:widowControl w:val="0"/>
              <w:jc w:val="both"/>
              <w:rPr>
                <w:sz w:val="20"/>
                <w:szCs w:val="20"/>
                <w:lang w:val="fr-CA"/>
              </w:rPr>
            </w:pPr>
          </w:p>
          <w:p w:rsidR="007133B0" w:rsidRPr="00C1697B" w:rsidRDefault="00FA372C" w:rsidP="008627E7">
            <w:pPr>
              <w:widowControl w:val="0"/>
              <w:jc w:val="both"/>
              <w:rPr>
                <w:sz w:val="20"/>
                <w:szCs w:val="20"/>
                <w:lang w:val="fr-CA"/>
              </w:rPr>
            </w:pPr>
            <w:r w:rsidRPr="008818A5">
              <w:rPr>
                <w:sz w:val="20"/>
                <w:szCs w:val="20"/>
                <w:lang w:val="fr-CA"/>
              </w:rPr>
              <w:t xml:space="preserve">Droit municipal </w:t>
            </w:r>
            <w:r w:rsidRPr="008818A5">
              <w:rPr>
                <w:sz w:val="20"/>
                <w:szCs w:val="20"/>
                <w:lang w:val="fr-CA"/>
              </w:rPr>
              <w:noBreakHyphen/>
              <w:t xml:space="preserve"> Règlements </w:t>
            </w:r>
            <w:r w:rsidRPr="008818A5">
              <w:rPr>
                <w:sz w:val="20"/>
                <w:szCs w:val="20"/>
                <w:lang w:val="fr-CA"/>
              </w:rPr>
              <w:noBreakHyphen/>
              <w:t xml:space="preserve"> Fiscalité </w:t>
            </w:r>
            <w:r w:rsidRPr="008818A5">
              <w:rPr>
                <w:sz w:val="20"/>
                <w:szCs w:val="20"/>
                <w:lang w:val="fr-CA"/>
              </w:rPr>
              <w:noBreakHyphen/>
              <w:t xml:space="preserve"> Taxe d</w:t>
            </w:r>
            <w:r w:rsidRPr="008818A5">
              <w:rPr>
                <w:sz w:val="20"/>
                <w:szCs w:val="20"/>
                <w:lang w:val="fr-CA"/>
              </w:rPr>
              <w:sym w:font="WP TypographicSymbols" w:char="003D"/>
            </w:r>
            <w:r w:rsidRPr="008818A5">
              <w:rPr>
                <w:sz w:val="20"/>
                <w:szCs w:val="20"/>
                <w:lang w:val="fr-CA"/>
              </w:rPr>
              <w:t xml:space="preserve">affaires </w:t>
            </w:r>
            <w:r w:rsidRPr="008818A5">
              <w:rPr>
                <w:sz w:val="20"/>
                <w:szCs w:val="20"/>
                <w:lang w:val="fr-CA"/>
              </w:rPr>
              <w:noBreakHyphen/>
              <w:t xml:space="preserve"> Un règlement municipal qui n</w:t>
            </w:r>
            <w:r w:rsidRPr="008818A5">
              <w:rPr>
                <w:sz w:val="20"/>
                <w:szCs w:val="20"/>
                <w:lang w:val="fr-CA"/>
              </w:rPr>
              <w:sym w:font="WP TypographicSymbols" w:char="003D"/>
            </w:r>
            <w:r w:rsidRPr="008818A5">
              <w:rPr>
                <w:sz w:val="20"/>
                <w:szCs w:val="20"/>
                <w:lang w:val="fr-CA"/>
              </w:rPr>
              <w:t>était pas fondé sur des critères objectifs ou une politique dont la rationalité pouvait être démontrée peut</w:t>
            </w:r>
            <w:r w:rsidRPr="008818A5">
              <w:rPr>
                <w:sz w:val="20"/>
                <w:szCs w:val="20"/>
                <w:lang w:val="fr-CA"/>
              </w:rPr>
              <w:noBreakHyphen/>
              <w:t>il néanmoins être considéré comme raisonnable sur le plan juridique, parce qu</w:t>
            </w:r>
            <w:r w:rsidRPr="008818A5">
              <w:rPr>
                <w:sz w:val="20"/>
                <w:szCs w:val="20"/>
                <w:lang w:val="fr-CA"/>
              </w:rPr>
              <w:sym w:font="WP TypographicSymbols" w:char="003D"/>
            </w:r>
            <w:r w:rsidRPr="008818A5">
              <w:rPr>
                <w:sz w:val="20"/>
                <w:szCs w:val="20"/>
                <w:lang w:val="fr-CA"/>
              </w:rPr>
              <w:t>il traduit la décision politique d</w:t>
            </w:r>
            <w:r w:rsidRPr="008818A5">
              <w:rPr>
                <w:sz w:val="20"/>
                <w:szCs w:val="20"/>
                <w:lang w:val="fr-CA"/>
              </w:rPr>
              <w:sym w:font="WP TypographicSymbols" w:char="003D"/>
            </w:r>
            <w:r w:rsidRPr="008818A5">
              <w:rPr>
                <w:sz w:val="20"/>
                <w:szCs w:val="20"/>
                <w:lang w:val="fr-CA"/>
              </w:rPr>
              <w:t xml:space="preserve">élus? </w:t>
            </w:r>
            <w:r w:rsidRPr="008818A5">
              <w:rPr>
                <w:sz w:val="20"/>
                <w:szCs w:val="20"/>
                <w:lang w:val="fr-CA"/>
              </w:rPr>
              <w:noBreakHyphen/>
              <w:t xml:space="preserve"> En l</w:t>
            </w:r>
            <w:r w:rsidRPr="008818A5">
              <w:rPr>
                <w:sz w:val="20"/>
                <w:szCs w:val="20"/>
                <w:lang w:val="fr-CA"/>
              </w:rPr>
              <w:sym w:font="WP TypographicSymbols" w:char="003D"/>
            </w:r>
            <w:r w:rsidRPr="008818A5">
              <w:rPr>
                <w:sz w:val="20"/>
                <w:szCs w:val="20"/>
                <w:lang w:val="fr-CA"/>
              </w:rPr>
              <w:t>absence de critères légaux particuliers énonçant les facteurs ayant trait à l</w:t>
            </w:r>
            <w:r w:rsidRPr="008818A5">
              <w:rPr>
                <w:sz w:val="20"/>
                <w:szCs w:val="20"/>
                <w:lang w:val="fr-CA"/>
              </w:rPr>
              <w:sym w:font="WP TypographicSymbols" w:char="003D"/>
            </w:r>
            <w:r w:rsidRPr="008818A5">
              <w:rPr>
                <w:sz w:val="20"/>
                <w:szCs w:val="20"/>
                <w:lang w:val="fr-CA"/>
              </w:rPr>
              <w:t>exercice d</w:t>
            </w:r>
            <w:r w:rsidRPr="008818A5">
              <w:rPr>
                <w:sz w:val="20"/>
                <w:szCs w:val="20"/>
                <w:lang w:val="fr-CA"/>
              </w:rPr>
              <w:sym w:font="WP TypographicSymbols" w:char="003D"/>
            </w:r>
            <w:r w:rsidRPr="008818A5">
              <w:rPr>
                <w:sz w:val="20"/>
                <w:szCs w:val="20"/>
                <w:lang w:val="fr-CA"/>
              </w:rPr>
              <w:t>un pouvoir discrétionnaire législatif, une municipalité a</w:t>
            </w:r>
            <w:r w:rsidRPr="008818A5">
              <w:rPr>
                <w:sz w:val="20"/>
                <w:szCs w:val="20"/>
                <w:lang w:val="fr-CA"/>
              </w:rPr>
              <w:noBreakHyphen/>
              <w:t>t</w:t>
            </w:r>
            <w:r w:rsidRPr="008818A5">
              <w:rPr>
                <w:sz w:val="20"/>
                <w:szCs w:val="20"/>
                <w:lang w:val="fr-CA"/>
              </w:rPr>
              <w:noBreakHyphen/>
              <w:t>elle le droit absolu d</w:t>
            </w:r>
            <w:r w:rsidRPr="008818A5">
              <w:rPr>
                <w:sz w:val="20"/>
                <w:szCs w:val="20"/>
                <w:lang w:val="fr-CA"/>
              </w:rPr>
              <w:sym w:font="WP TypographicSymbols" w:char="003D"/>
            </w:r>
            <w:r w:rsidRPr="008818A5">
              <w:rPr>
                <w:sz w:val="20"/>
                <w:szCs w:val="20"/>
                <w:lang w:val="fr-CA"/>
              </w:rPr>
              <w:t>exercer ce pouvoir?</w:t>
            </w:r>
          </w:p>
        </w:tc>
      </w:tr>
    </w:tbl>
    <w:p w:rsidR="007133B0" w:rsidRDefault="007133B0" w:rsidP="007133B0">
      <w:pPr>
        <w:widowControl w:val="0"/>
        <w:rPr>
          <w:sz w:val="20"/>
          <w:szCs w:val="20"/>
          <w:lang w:val="fr-CA"/>
        </w:rPr>
      </w:pPr>
    </w:p>
    <w:p w:rsidR="00970B83" w:rsidRDefault="004D21E4" w:rsidP="00732DB7">
      <w:pPr>
        <w:widowControl w:val="0"/>
        <w:rPr>
          <w:sz w:val="20"/>
          <w:szCs w:val="20"/>
        </w:rPr>
      </w:pPr>
      <w:r w:rsidRPr="004D21E4">
        <w:rPr>
          <w:sz w:val="20"/>
          <w:szCs w:val="20"/>
          <w:lang w:val="fr-CA"/>
        </w:rPr>
        <w:pict>
          <v:rect id="_x0000_i1122" style="width:2in;height:1pt" o:hrpct="0" o:hralign="center" o:hrstd="t" o:hrnoshade="t" o:hr="t" fillcolor="black [3213]" stroked="f"/>
        </w:pict>
      </w:r>
    </w:p>
    <w:p w:rsidR="00970B83" w:rsidRDefault="00970B83" w:rsidP="00732DB7">
      <w:pPr>
        <w:widowControl w:val="0"/>
        <w:rPr>
          <w:sz w:val="20"/>
          <w:szCs w:val="20"/>
        </w:rPr>
      </w:pPr>
    </w:p>
    <w:p w:rsidR="003321AB" w:rsidRDefault="003321AB">
      <w:pPr>
        <w:rPr>
          <w:sz w:val="20"/>
          <w:szCs w:val="20"/>
        </w:rPr>
      </w:pPr>
      <w:r>
        <w:rPr>
          <w:sz w:val="20"/>
          <w:szCs w:val="20"/>
        </w:rPr>
        <w:br w:type="page"/>
      </w:r>
    </w:p>
    <w:p w:rsidR="007133B0" w:rsidRPr="00C50A5C" w:rsidRDefault="007133B0" w:rsidP="007133B0">
      <w:pPr>
        <w:widowControl w:val="0"/>
        <w:rPr>
          <w:sz w:val="20"/>
          <w:szCs w:val="20"/>
        </w:rPr>
      </w:pPr>
      <w:r>
        <w:rPr>
          <w:sz w:val="20"/>
          <w:szCs w:val="20"/>
        </w:rPr>
        <w:lastRenderedPageBreak/>
        <w:t>1</w:t>
      </w:r>
      <w:r w:rsidR="00FA372C">
        <w:rPr>
          <w:sz w:val="20"/>
          <w:szCs w:val="20"/>
        </w:rPr>
        <w:t>9</w:t>
      </w:r>
      <w:r w:rsidRPr="00C50A5C">
        <w:rPr>
          <w:sz w:val="20"/>
          <w:szCs w:val="20"/>
        </w:rPr>
        <w:t>.</w:t>
      </w:r>
      <w:r>
        <w:rPr>
          <w:sz w:val="20"/>
          <w:szCs w:val="20"/>
        </w:rPr>
        <w:t>1</w:t>
      </w:r>
      <w:r w:rsidRPr="00C50A5C">
        <w:rPr>
          <w:sz w:val="20"/>
          <w:szCs w:val="20"/>
        </w:rPr>
        <w:t>0.201</w:t>
      </w:r>
      <w:r>
        <w:rPr>
          <w:sz w:val="20"/>
          <w:szCs w:val="20"/>
        </w:rPr>
        <w:t>1</w:t>
      </w:r>
    </w:p>
    <w:p w:rsidR="007133B0" w:rsidRDefault="007133B0" w:rsidP="007133B0">
      <w:pPr>
        <w:widowControl w:val="0"/>
        <w:rPr>
          <w:sz w:val="20"/>
          <w:szCs w:val="20"/>
        </w:rPr>
      </w:pPr>
    </w:p>
    <w:p w:rsidR="00FA372C" w:rsidRPr="007F508E" w:rsidRDefault="00FA372C" w:rsidP="00FA372C">
      <w:pPr>
        <w:widowControl w:val="0"/>
        <w:ind w:left="720" w:hanging="720"/>
        <w:rPr>
          <w:sz w:val="20"/>
          <w:szCs w:val="20"/>
          <w:u w:val="single"/>
        </w:rPr>
      </w:pPr>
      <w:r w:rsidRPr="007F508E">
        <w:rPr>
          <w:sz w:val="20"/>
          <w:szCs w:val="20"/>
        </w:rPr>
        <w:t xml:space="preserve">Coram: </w:t>
      </w:r>
      <w:r w:rsidRPr="007F508E">
        <w:rPr>
          <w:sz w:val="20"/>
          <w:szCs w:val="20"/>
        </w:rPr>
        <w:tab/>
      </w:r>
      <w:r w:rsidRPr="007F508E">
        <w:rPr>
          <w:sz w:val="20"/>
          <w:szCs w:val="20"/>
          <w:u w:val="single"/>
        </w:rPr>
        <w:t>McLachlin C.J. and LeBel, Deschamps, Fish, Abella, Rothstein and Cromwell JJ.</w:t>
      </w:r>
    </w:p>
    <w:p w:rsidR="007133B0" w:rsidRPr="00EA79B0" w:rsidRDefault="007133B0" w:rsidP="007133B0">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7133B0" w:rsidRPr="00C50A5C" w:rsidTr="008627E7">
        <w:tc>
          <w:tcPr>
            <w:tcW w:w="4380" w:type="dxa"/>
            <w:tcMar>
              <w:left w:w="0" w:type="dxa"/>
              <w:right w:w="0" w:type="dxa"/>
            </w:tcMar>
          </w:tcPr>
          <w:p w:rsidR="007133B0" w:rsidRPr="00C50A5C" w:rsidRDefault="00FA372C" w:rsidP="008627E7">
            <w:pPr>
              <w:widowControl w:val="0"/>
              <w:jc w:val="both"/>
              <w:rPr>
                <w:b/>
                <w:sz w:val="20"/>
                <w:szCs w:val="20"/>
              </w:rPr>
            </w:pPr>
            <w:r w:rsidRPr="007F508E">
              <w:rPr>
                <w:b/>
                <w:sz w:val="20"/>
                <w:szCs w:val="20"/>
              </w:rPr>
              <w:t>Halifax Regional Municipality, a body corporate duly incorporated pursuant to the laws of Nova Scotia</w:t>
            </w:r>
          </w:p>
          <w:p w:rsidR="007133B0" w:rsidRPr="00C50A5C" w:rsidRDefault="007133B0" w:rsidP="008627E7">
            <w:pPr>
              <w:widowControl w:val="0"/>
              <w:jc w:val="both"/>
              <w:rPr>
                <w:b/>
                <w:sz w:val="20"/>
                <w:szCs w:val="20"/>
              </w:rPr>
            </w:pPr>
          </w:p>
          <w:p w:rsidR="007133B0" w:rsidRPr="00C50A5C" w:rsidRDefault="007133B0" w:rsidP="008627E7">
            <w:pPr>
              <w:widowControl w:val="0"/>
              <w:tabs>
                <w:tab w:val="left" w:pos="736"/>
              </w:tabs>
              <w:jc w:val="both"/>
              <w:rPr>
                <w:b/>
                <w:sz w:val="20"/>
                <w:szCs w:val="20"/>
              </w:rPr>
            </w:pPr>
            <w:r w:rsidRPr="00C50A5C">
              <w:rPr>
                <w:b/>
                <w:sz w:val="20"/>
                <w:szCs w:val="20"/>
              </w:rPr>
              <w:tab/>
              <w:t>v. (3</w:t>
            </w:r>
            <w:r w:rsidR="00FA372C">
              <w:rPr>
                <w:b/>
                <w:sz w:val="20"/>
                <w:szCs w:val="20"/>
              </w:rPr>
              <w:t>3651</w:t>
            </w:r>
            <w:r w:rsidRPr="00C50A5C">
              <w:rPr>
                <w:b/>
                <w:sz w:val="20"/>
                <w:szCs w:val="20"/>
              </w:rPr>
              <w:t>)</w:t>
            </w:r>
          </w:p>
          <w:p w:rsidR="007133B0" w:rsidRPr="00C50A5C" w:rsidRDefault="007133B0" w:rsidP="008627E7">
            <w:pPr>
              <w:widowControl w:val="0"/>
              <w:jc w:val="both"/>
              <w:rPr>
                <w:b/>
                <w:sz w:val="20"/>
                <w:szCs w:val="20"/>
              </w:rPr>
            </w:pPr>
          </w:p>
          <w:p w:rsidR="00FA372C" w:rsidRPr="00FA372C" w:rsidRDefault="00FA372C" w:rsidP="00FA372C">
            <w:pPr>
              <w:widowControl w:val="0"/>
              <w:jc w:val="both"/>
              <w:rPr>
                <w:sz w:val="20"/>
                <w:szCs w:val="20"/>
              </w:rPr>
            </w:pPr>
            <w:r w:rsidRPr="007F508E">
              <w:rPr>
                <w:b/>
                <w:sz w:val="20"/>
                <w:szCs w:val="20"/>
              </w:rPr>
              <w:t>Nova Scotia Human Rights Commission et al. (N.S.) (Civil) (By Leave)</w:t>
            </w:r>
          </w:p>
        </w:tc>
        <w:tc>
          <w:tcPr>
            <w:tcW w:w="720" w:type="dxa"/>
            <w:tcMar>
              <w:left w:w="0" w:type="dxa"/>
              <w:right w:w="0" w:type="dxa"/>
            </w:tcMar>
          </w:tcPr>
          <w:p w:rsidR="007133B0" w:rsidRPr="00FA372C" w:rsidRDefault="007133B0" w:rsidP="008627E7">
            <w:pPr>
              <w:widowControl w:val="0"/>
              <w:jc w:val="center"/>
              <w:rPr>
                <w:sz w:val="20"/>
                <w:szCs w:val="20"/>
              </w:rPr>
            </w:pPr>
          </w:p>
        </w:tc>
        <w:tc>
          <w:tcPr>
            <w:tcW w:w="4380" w:type="dxa"/>
            <w:tcMar>
              <w:left w:w="0" w:type="dxa"/>
              <w:right w:w="0" w:type="dxa"/>
            </w:tcMar>
          </w:tcPr>
          <w:p w:rsidR="00337F71" w:rsidRPr="004C49E9" w:rsidRDefault="00337F71" w:rsidP="00337F71">
            <w:pPr>
              <w:jc w:val="both"/>
              <w:rPr>
                <w:sz w:val="20"/>
                <w:szCs w:val="20"/>
              </w:rPr>
            </w:pPr>
            <w:r w:rsidRPr="004C49E9">
              <w:rPr>
                <w:sz w:val="20"/>
                <w:szCs w:val="20"/>
              </w:rPr>
              <w:t>Randolph Kinghorne</w:t>
            </w:r>
            <w:r>
              <w:rPr>
                <w:sz w:val="20"/>
                <w:szCs w:val="20"/>
              </w:rPr>
              <w:t xml:space="preserve"> and </w:t>
            </w:r>
            <w:r w:rsidRPr="004C49E9">
              <w:rPr>
                <w:sz w:val="20"/>
                <w:szCs w:val="20"/>
              </w:rPr>
              <w:t>Karen L. Brown</w:t>
            </w:r>
            <w:r>
              <w:rPr>
                <w:sz w:val="20"/>
                <w:szCs w:val="20"/>
              </w:rPr>
              <w:t xml:space="preserve"> f</w:t>
            </w:r>
            <w:r w:rsidRPr="004C49E9">
              <w:rPr>
                <w:sz w:val="20"/>
                <w:szCs w:val="20"/>
              </w:rPr>
              <w:t xml:space="preserve">or the </w:t>
            </w:r>
            <w:r>
              <w:rPr>
                <w:sz w:val="20"/>
                <w:szCs w:val="20"/>
              </w:rPr>
              <w:t>a</w:t>
            </w:r>
            <w:r w:rsidRPr="004C49E9">
              <w:rPr>
                <w:sz w:val="20"/>
                <w:szCs w:val="20"/>
              </w:rPr>
              <w:t>ppellant.</w:t>
            </w:r>
          </w:p>
          <w:p w:rsidR="00337F71" w:rsidRPr="004C49E9" w:rsidRDefault="00337F71" w:rsidP="00337F71">
            <w:pPr>
              <w:jc w:val="both"/>
              <w:rPr>
                <w:sz w:val="20"/>
                <w:szCs w:val="20"/>
              </w:rPr>
            </w:pPr>
          </w:p>
          <w:p w:rsidR="00337F71" w:rsidRPr="004C49E9" w:rsidRDefault="00337F71" w:rsidP="00337F71">
            <w:pPr>
              <w:jc w:val="both"/>
              <w:rPr>
                <w:sz w:val="20"/>
                <w:szCs w:val="20"/>
              </w:rPr>
            </w:pPr>
            <w:r w:rsidRPr="004C49E9">
              <w:rPr>
                <w:sz w:val="20"/>
                <w:szCs w:val="20"/>
              </w:rPr>
              <w:t>Edward A. Gores, Q.C.</w:t>
            </w:r>
            <w:r>
              <w:rPr>
                <w:sz w:val="20"/>
                <w:szCs w:val="20"/>
              </w:rPr>
              <w:t xml:space="preserve"> f</w:t>
            </w:r>
            <w:r w:rsidRPr="004C49E9">
              <w:rPr>
                <w:sz w:val="20"/>
                <w:szCs w:val="20"/>
              </w:rPr>
              <w:t xml:space="preserve">or the </w:t>
            </w:r>
            <w:r>
              <w:rPr>
                <w:sz w:val="20"/>
                <w:szCs w:val="20"/>
              </w:rPr>
              <w:t>r</w:t>
            </w:r>
            <w:r w:rsidRPr="004C49E9">
              <w:rPr>
                <w:sz w:val="20"/>
                <w:szCs w:val="20"/>
              </w:rPr>
              <w:t>espondent</w:t>
            </w:r>
            <w:r>
              <w:rPr>
                <w:sz w:val="20"/>
                <w:szCs w:val="20"/>
              </w:rPr>
              <w:t xml:space="preserve"> </w:t>
            </w:r>
            <w:r w:rsidRPr="004C49E9">
              <w:rPr>
                <w:sz w:val="20"/>
                <w:szCs w:val="20"/>
              </w:rPr>
              <w:t>Her Majesty the Queen in Right</w:t>
            </w:r>
            <w:r>
              <w:rPr>
                <w:sz w:val="20"/>
                <w:szCs w:val="20"/>
              </w:rPr>
              <w:t xml:space="preserve"> </w:t>
            </w:r>
            <w:r w:rsidRPr="004C49E9">
              <w:rPr>
                <w:sz w:val="20"/>
                <w:szCs w:val="20"/>
              </w:rPr>
              <w:t>of the Province of Nova Scotia</w:t>
            </w:r>
            <w:r>
              <w:rPr>
                <w:sz w:val="20"/>
                <w:szCs w:val="20"/>
              </w:rPr>
              <w:t>.</w:t>
            </w:r>
          </w:p>
          <w:p w:rsidR="00337F71" w:rsidRPr="004C49E9" w:rsidRDefault="00337F71" w:rsidP="00337F71">
            <w:pPr>
              <w:jc w:val="both"/>
              <w:rPr>
                <w:sz w:val="20"/>
                <w:szCs w:val="20"/>
              </w:rPr>
            </w:pPr>
          </w:p>
          <w:p w:rsidR="00337F71" w:rsidRPr="004C49E9" w:rsidRDefault="00337F71" w:rsidP="00337F71">
            <w:pPr>
              <w:jc w:val="both"/>
              <w:rPr>
                <w:sz w:val="20"/>
                <w:szCs w:val="20"/>
                <w:lang w:val="fr-CA"/>
              </w:rPr>
            </w:pPr>
            <w:r w:rsidRPr="004C49E9">
              <w:rPr>
                <w:sz w:val="20"/>
                <w:szCs w:val="20"/>
                <w:lang w:val="fr-CA"/>
              </w:rPr>
              <w:t>Michel Doucet</w:t>
            </w:r>
            <w:r>
              <w:rPr>
                <w:sz w:val="20"/>
                <w:szCs w:val="20"/>
                <w:lang w:val="fr-CA"/>
              </w:rPr>
              <w:t xml:space="preserve">, </w:t>
            </w:r>
            <w:r w:rsidRPr="004C49E9">
              <w:rPr>
                <w:sz w:val="20"/>
                <w:szCs w:val="20"/>
                <w:lang w:val="fr-CA"/>
              </w:rPr>
              <w:t>Mark C. Power</w:t>
            </w:r>
            <w:r>
              <w:rPr>
                <w:sz w:val="20"/>
                <w:szCs w:val="20"/>
                <w:lang w:val="fr-CA"/>
              </w:rPr>
              <w:t xml:space="preserve"> and </w:t>
            </w:r>
            <w:r w:rsidRPr="004C49E9">
              <w:rPr>
                <w:sz w:val="20"/>
                <w:szCs w:val="20"/>
                <w:lang w:val="fr-CA"/>
              </w:rPr>
              <w:t>Jean-Pierre Hachey</w:t>
            </w:r>
            <w:r>
              <w:rPr>
                <w:sz w:val="20"/>
                <w:szCs w:val="20"/>
                <w:lang w:val="fr-CA"/>
              </w:rPr>
              <w:t xml:space="preserve"> p</w:t>
            </w:r>
            <w:r w:rsidRPr="004C49E9">
              <w:rPr>
                <w:sz w:val="20"/>
                <w:szCs w:val="20"/>
                <w:lang w:val="fr-CA"/>
              </w:rPr>
              <w:t>our l’intimé</w:t>
            </w:r>
            <w:r>
              <w:rPr>
                <w:sz w:val="20"/>
                <w:szCs w:val="20"/>
                <w:lang w:val="fr-CA"/>
              </w:rPr>
              <w:t xml:space="preserve"> </w:t>
            </w:r>
            <w:r w:rsidRPr="004C49E9">
              <w:rPr>
                <w:sz w:val="20"/>
                <w:szCs w:val="20"/>
                <w:lang w:val="fr-CA"/>
              </w:rPr>
              <w:t>Lucien Comeau</w:t>
            </w:r>
            <w:r>
              <w:rPr>
                <w:sz w:val="20"/>
                <w:szCs w:val="20"/>
                <w:lang w:val="fr-CA"/>
              </w:rPr>
              <w:t>.</w:t>
            </w:r>
          </w:p>
          <w:p w:rsidR="00337F71" w:rsidRPr="004C49E9" w:rsidRDefault="00337F71" w:rsidP="00337F71">
            <w:pPr>
              <w:jc w:val="both"/>
              <w:rPr>
                <w:sz w:val="20"/>
                <w:szCs w:val="20"/>
                <w:lang w:val="fr-CA"/>
              </w:rPr>
            </w:pPr>
          </w:p>
          <w:p w:rsidR="00337F71" w:rsidRPr="004C49E9" w:rsidRDefault="00337F71" w:rsidP="00337F71">
            <w:pPr>
              <w:jc w:val="both"/>
              <w:rPr>
                <w:sz w:val="20"/>
                <w:szCs w:val="20"/>
              </w:rPr>
            </w:pPr>
            <w:r w:rsidRPr="004C49E9">
              <w:rPr>
                <w:sz w:val="20"/>
                <w:szCs w:val="20"/>
              </w:rPr>
              <w:t>John P. Merrick, Q.C.</w:t>
            </w:r>
            <w:r>
              <w:rPr>
                <w:sz w:val="20"/>
                <w:szCs w:val="20"/>
              </w:rPr>
              <w:t xml:space="preserve"> and </w:t>
            </w:r>
            <w:r w:rsidRPr="004C49E9">
              <w:rPr>
                <w:sz w:val="20"/>
                <w:szCs w:val="20"/>
              </w:rPr>
              <w:t>Kelly L. Buffett</w:t>
            </w:r>
            <w:r>
              <w:rPr>
                <w:sz w:val="20"/>
                <w:szCs w:val="20"/>
              </w:rPr>
              <w:t xml:space="preserve"> f</w:t>
            </w:r>
            <w:r w:rsidRPr="004C49E9">
              <w:rPr>
                <w:sz w:val="20"/>
                <w:szCs w:val="20"/>
              </w:rPr>
              <w:t xml:space="preserve">or the </w:t>
            </w:r>
            <w:r>
              <w:rPr>
                <w:sz w:val="20"/>
                <w:szCs w:val="20"/>
              </w:rPr>
              <w:t>r</w:t>
            </w:r>
            <w:r w:rsidRPr="004C49E9">
              <w:rPr>
                <w:sz w:val="20"/>
                <w:szCs w:val="20"/>
              </w:rPr>
              <w:t>espondent</w:t>
            </w:r>
            <w:r>
              <w:rPr>
                <w:sz w:val="20"/>
                <w:szCs w:val="20"/>
              </w:rPr>
              <w:t xml:space="preserve"> </w:t>
            </w:r>
            <w:r w:rsidRPr="004C49E9">
              <w:rPr>
                <w:sz w:val="20"/>
                <w:szCs w:val="20"/>
              </w:rPr>
              <w:t>Nova Scotia Human Rights Commission</w:t>
            </w:r>
            <w:r>
              <w:rPr>
                <w:sz w:val="20"/>
                <w:szCs w:val="20"/>
              </w:rPr>
              <w:t>.</w:t>
            </w:r>
          </w:p>
          <w:p w:rsidR="00337F71" w:rsidRPr="004C49E9" w:rsidRDefault="00337F71" w:rsidP="00337F71">
            <w:pPr>
              <w:jc w:val="both"/>
              <w:rPr>
                <w:sz w:val="20"/>
                <w:szCs w:val="20"/>
              </w:rPr>
            </w:pPr>
          </w:p>
          <w:p w:rsidR="007133B0" w:rsidRPr="00C50A5C" w:rsidRDefault="00337F71" w:rsidP="00337F71">
            <w:pPr>
              <w:widowControl w:val="0"/>
              <w:jc w:val="both"/>
              <w:rPr>
                <w:sz w:val="20"/>
                <w:szCs w:val="20"/>
              </w:rPr>
            </w:pPr>
            <w:r w:rsidRPr="004C49E9">
              <w:rPr>
                <w:sz w:val="20"/>
                <w:szCs w:val="20"/>
                <w:lang w:val="en-US"/>
              </w:rPr>
              <w:t>Philippe Dufresne</w:t>
            </w:r>
            <w:r>
              <w:rPr>
                <w:sz w:val="20"/>
                <w:szCs w:val="20"/>
                <w:lang w:val="en-US"/>
              </w:rPr>
              <w:t xml:space="preserve"> f</w:t>
            </w:r>
            <w:r w:rsidRPr="004C49E9">
              <w:rPr>
                <w:sz w:val="20"/>
                <w:szCs w:val="20"/>
                <w:lang w:val="en-US"/>
              </w:rPr>
              <w:t xml:space="preserve">or the </w:t>
            </w:r>
            <w:r>
              <w:rPr>
                <w:sz w:val="20"/>
                <w:szCs w:val="20"/>
                <w:lang w:val="en-US"/>
              </w:rPr>
              <w:t>i</w:t>
            </w:r>
            <w:r w:rsidRPr="004C49E9">
              <w:rPr>
                <w:sz w:val="20"/>
                <w:szCs w:val="20"/>
                <w:lang w:val="en-US"/>
              </w:rPr>
              <w:t>ntervener</w:t>
            </w:r>
            <w:r>
              <w:rPr>
                <w:sz w:val="20"/>
                <w:szCs w:val="20"/>
                <w:lang w:val="en-US"/>
              </w:rPr>
              <w:t xml:space="preserve"> </w:t>
            </w:r>
            <w:r w:rsidRPr="004C49E9">
              <w:rPr>
                <w:sz w:val="20"/>
                <w:szCs w:val="20"/>
                <w:lang w:val="en-US"/>
              </w:rPr>
              <w:t>Canadian Human Rights Commission</w:t>
            </w:r>
            <w:r>
              <w:rPr>
                <w:sz w:val="20"/>
                <w:szCs w:val="20"/>
                <w:lang w:val="en-US"/>
              </w:rPr>
              <w:t>.</w:t>
            </w:r>
          </w:p>
        </w:tc>
      </w:tr>
    </w:tbl>
    <w:p w:rsidR="007133B0" w:rsidRPr="00EA79B0" w:rsidRDefault="007133B0" w:rsidP="007133B0">
      <w:pPr>
        <w:widowControl w:val="0"/>
        <w:rPr>
          <w:sz w:val="20"/>
          <w:szCs w:val="20"/>
        </w:rPr>
      </w:pPr>
    </w:p>
    <w:p w:rsidR="007133B0" w:rsidRPr="0085476B" w:rsidRDefault="007133B0" w:rsidP="007133B0">
      <w:pPr>
        <w:widowControl w:val="0"/>
        <w:rPr>
          <w:sz w:val="20"/>
          <w:szCs w:val="20"/>
        </w:rPr>
      </w:pPr>
      <w:r w:rsidRPr="0085476B">
        <w:rPr>
          <w:b/>
          <w:sz w:val="20"/>
          <w:szCs w:val="20"/>
        </w:rPr>
        <w:t xml:space="preserve">RESERVED / </w:t>
      </w:r>
      <w:r w:rsidRPr="0085476B">
        <w:rPr>
          <w:b/>
          <w:sz w:val="20"/>
          <w:szCs w:val="20"/>
          <w:lang w:val="fr-CA"/>
        </w:rPr>
        <w:t>EN DÉLIBÉRÉ</w:t>
      </w:r>
    </w:p>
    <w:p w:rsidR="007133B0" w:rsidRDefault="007133B0" w:rsidP="007133B0"/>
    <w:tbl>
      <w:tblPr>
        <w:tblW w:w="0" w:type="auto"/>
        <w:tblLayout w:type="fixed"/>
        <w:tblCellMar>
          <w:left w:w="0" w:type="dxa"/>
          <w:right w:w="0" w:type="dxa"/>
        </w:tblCellMar>
        <w:tblLook w:val="0000"/>
      </w:tblPr>
      <w:tblGrid>
        <w:gridCol w:w="4380"/>
        <w:gridCol w:w="720"/>
        <w:gridCol w:w="4380"/>
      </w:tblGrid>
      <w:tr w:rsidR="007133B0" w:rsidRPr="00F80A49" w:rsidTr="008627E7">
        <w:tc>
          <w:tcPr>
            <w:tcW w:w="4380" w:type="dxa"/>
            <w:tcMar>
              <w:left w:w="0" w:type="dxa"/>
              <w:right w:w="0" w:type="dxa"/>
            </w:tcMar>
          </w:tcPr>
          <w:p w:rsidR="007133B0" w:rsidRPr="00CC4D84" w:rsidRDefault="007133B0" w:rsidP="008627E7">
            <w:pPr>
              <w:widowControl w:val="0"/>
              <w:jc w:val="both"/>
              <w:rPr>
                <w:b/>
                <w:sz w:val="20"/>
                <w:szCs w:val="20"/>
                <w:u w:val="single"/>
              </w:rPr>
            </w:pPr>
            <w:r w:rsidRPr="00CC4D84">
              <w:rPr>
                <w:b/>
                <w:sz w:val="20"/>
                <w:szCs w:val="20"/>
                <w:u w:val="single"/>
              </w:rPr>
              <w:t>Nature of the case:</w:t>
            </w:r>
          </w:p>
          <w:p w:rsidR="007133B0" w:rsidRPr="00C1697B" w:rsidRDefault="007133B0" w:rsidP="008627E7">
            <w:pPr>
              <w:widowControl w:val="0"/>
              <w:jc w:val="both"/>
              <w:rPr>
                <w:b/>
                <w:sz w:val="20"/>
                <w:szCs w:val="20"/>
              </w:rPr>
            </w:pPr>
          </w:p>
          <w:p w:rsidR="007133B0" w:rsidRPr="00C1697B" w:rsidRDefault="00FA372C" w:rsidP="008627E7">
            <w:pPr>
              <w:widowControl w:val="0"/>
              <w:jc w:val="both"/>
              <w:rPr>
                <w:b/>
                <w:sz w:val="20"/>
                <w:szCs w:val="20"/>
              </w:rPr>
            </w:pPr>
            <w:r w:rsidRPr="00226C00">
              <w:rPr>
                <w:i/>
                <w:sz w:val="20"/>
                <w:szCs w:val="20"/>
              </w:rPr>
              <w:t xml:space="preserve">Canadian </w:t>
            </w:r>
            <w:r w:rsidRPr="00226C00">
              <w:rPr>
                <w:i/>
                <w:iCs/>
                <w:sz w:val="20"/>
                <w:szCs w:val="20"/>
              </w:rPr>
              <w:t>Charter</w:t>
            </w:r>
            <w:r w:rsidRPr="00226C00">
              <w:rPr>
                <w:sz w:val="20"/>
                <w:szCs w:val="20"/>
              </w:rPr>
              <w:t xml:space="preserve"> </w:t>
            </w:r>
            <w:r w:rsidRPr="00226C00">
              <w:rPr>
                <w:sz w:val="20"/>
                <w:szCs w:val="20"/>
              </w:rPr>
              <w:noBreakHyphen/>
              <w:t xml:space="preserve"> Civil </w:t>
            </w:r>
            <w:r w:rsidRPr="00226C00">
              <w:rPr>
                <w:sz w:val="20"/>
                <w:szCs w:val="20"/>
              </w:rPr>
              <w:noBreakHyphen/>
              <w:t xml:space="preserve"> Human rights </w:t>
            </w:r>
            <w:r w:rsidRPr="00226C00">
              <w:rPr>
                <w:sz w:val="20"/>
                <w:szCs w:val="20"/>
              </w:rPr>
              <w:noBreakHyphen/>
              <w:t xml:space="preserve"> Human Rights Commission </w:t>
            </w:r>
            <w:r w:rsidRPr="00226C00">
              <w:rPr>
                <w:sz w:val="20"/>
                <w:szCs w:val="20"/>
              </w:rPr>
              <w:noBreakHyphen/>
              <w:t xml:space="preserve"> Jurisdiction </w:t>
            </w:r>
            <w:r w:rsidRPr="00226C00">
              <w:rPr>
                <w:sz w:val="20"/>
                <w:szCs w:val="20"/>
              </w:rPr>
              <w:noBreakHyphen/>
              <w:t xml:space="preserve"> Standard of review </w:t>
            </w:r>
            <w:r w:rsidRPr="00226C00">
              <w:rPr>
                <w:sz w:val="20"/>
                <w:szCs w:val="20"/>
              </w:rPr>
              <w:noBreakHyphen/>
              <w:t xml:space="preserve"> Process </w:t>
            </w:r>
            <w:r w:rsidRPr="00226C00">
              <w:rPr>
                <w:sz w:val="20"/>
                <w:szCs w:val="20"/>
              </w:rPr>
              <w:noBreakHyphen/>
              <w:t xml:space="preserve"> What is the standard of review of a decision of the Human Rights Commission to refer a complaint to the Board of Inquiry? </w:t>
            </w:r>
            <w:r w:rsidRPr="00226C00">
              <w:rPr>
                <w:sz w:val="20"/>
                <w:szCs w:val="20"/>
              </w:rPr>
              <w:noBreakHyphen/>
              <w:t xml:space="preserve"> Has the authoritativeness of </w:t>
            </w:r>
            <w:r w:rsidRPr="00226C00">
              <w:rPr>
                <w:i/>
                <w:iCs/>
                <w:sz w:val="20"/>
                <w:szCs w:val="20"/>
              </w:rPr>
              <w:t>Bell v. Ontario Human Rights Commission</w:t>
            </w:r>
            <w:r w:rsidRPr="00226C00">
              <w:rPr>
                <w:sz w:val="20"/>
                <w:szCs w:val="20"/>
              </w:rPr>
              <w:t xml:space="preserve">, [1971] S.C.R. 756, for courts to intervene in respect of a short and perfectly simple question of law been totally destroyed? </w:t>
            </w:r>
            <w:r w:rsidRPr="00226C00">
              <w:rPr>
                <w:sz w:val="20"/>
                <w:szCs w:val="20"/>
              </w:rPr>
              <w:noBreakHyphen/>
              <w:t xml:space="preserve"> What are the duties and functions of the Human Rights Commission? </w:t>
            </w:r>
            <w:r w:rsidRPr="00226C00">
              <w:rPr>
                <w:sz w:val="20"/>
                <w:szCs w:val="20"/>
              </w:rPr>
              <w:noBreakHyphen/>
              <w:t xml:space="preserve"> Does the Human Rights Commission have jurisdiction to investigate a complaint of a violation of s. 15 of the </w:t>
            </w:r>
            <w:r w:rsidRPr="00226C00">
              <w:rPr>
                <w:i/>
                <w:sz w:val="20"/>
                <w:szCs w:val="20"/>
              </w:rPr>
              <w:t>Canadian Charter of Rights and Freedoms</w:t>
            </w:r>
            <w:r w:rsidRPr="00226C00">
              <w:rPr>
                <w:sz w:val="20"/>
                <w:szCs w:val="20"/>
              </w:rPr>
              <w:t xml:space="preserve"> as its own ground of complaint? </w:t>
            </w:r>
            <w:r w:rsidRPr="00226C00">
              <w:rPr>
                <w:sz w:val="20"/>
                <w:szCs w:val="20"/>
              </w:rPr>
              <w:noBreakHyphen/>
              <w:t xml:space="preserve"> Does the </w:t>
            </w:r>
            <w:r w:rsidRPr="00226C00">
              <w:rPr>
                <w:i/>
                <w:sz w:val="20"/>
                <w:szCs w:val="20"/>
              </w:rPr>
              <w:t>Human Rights Act</w:t>
            </w:r>
            <w:r w:rsidRPr="00226C00">
              <w:rPr>
                <w:sz w:val="20"/>
                <w:szCs w:val="20"/>
              </w:rPr>
              <w:t xml:space="preserve">, R.S.N.S. 1989, c. 214, have primacy over other legislation in Nova Scotia? </w:t>
            </w:r>
            <w:r w:rsidRPr="00226C00">
              <w:rPr>
                <w:sz w:val="20"/>
                <w:szCs w:val="20"/>
              </w:rPr>
              <w:noBreakHyphen/>
              <w:t xml:space="preserve"> Is the appellant a proper respondent to the complaint challenging the validity of legislation? </w:t>
            </w:r>
            <w:r w:rsidRPr="00226C00">
              <w:rPr>
                <w:sz w:val="20"/>
                <w:szCs w:val="20"/>
              </w:rPr>
              <w:noBreakHyphen/>
              <w:t xml:space="preserve"> Is the funding issue now moot as a result of the amendments to the </w:t>
            </w:r>
            <w:r w:rsidRPr="00226C00">
              <w:rPr>
                <w:i/>
                <w:sz w:val="20"/>
                <w:szCs w:val="20"/>
              </w:rPr>
              <w:t>Municipal Government Act</w:t>
            </w:r>
            <w:r w:rsidRPr="00226C00">
              <w:rPr>
                <w:sz w:val="20"/>
                <w:szCs w:val="20"/>
              </w:rPr>
              <w:t xml:space="preserve">? </w:t>
            </w:r>
            <w:r w:rsidRPr="00226C00">
              <w:rPr>
                <w:sz w:val="20"/>
                <w:szCs w:val="20"/>
              </w:rPr>
              <w:noBreakHyphen/>
              <w:t xml:space="preserve"> Does language of education equate to ethnic origin? </w:t>
            </w:r>
            <w:r w:rsidRPr="00226C00">
              <w:rPr>
                <w:sz w:val="20"/>
                <w:szCs w:val="20"/>
              </w:rPr>
              <w:noBreakHyphen/>
              <w:t xml:space="preserve"> Do the students of a French language first school constitute an ethnic group? </w:t>
            </w:r>
            <w:r w:rsidRPr="00226C00">
              <w:rPr>
                <w:sz w:val="20"/>
                <w:szCs w:val="20"/>
              </w:rPr>
              <w:noBreakHyphen/>
              <w:t xml:space="preserve"> Is Nova Scotia’s comprehensive scheme for providing French language education excluded from application of the </w:t>
            </w:r>
            <w:r w:rsidRPr="00226C00">
              <w:rPr>
                <w:i/>
                <w:sz w:val="20"/>
                <w:szCs w:val="20"/>
              </w:rPr>
              <w:t>Human Rights Act</w:t>
            </w:r>
            <w:r w:rsidRPr="00226C00">
              <w:rPr>
                <w:sz w:val="20"/>
                <w:szCs w:val="20"/>
              </w:rPr>
              <w:t xml:space="preserve">’s prohibition against ethnic origin discrimination as being a reasonable limit prescribed by law as can be demonstrably justified in a free and democratic society? </w:t>
            </w:r>
            <w:r w:rsidRPr="00226C00">
              <w:rPr>
                <w:sz w:val="20"/>
                <w:szCs w:val="20"/>
              </w:rPr>
              <w:noBreakHyphen/>
              <w:t xml:space="preserve"> Is the appellant’s funding of the Halifax Regional School Board exempt from application of </w:t>
            </w:r>
            <w:r w:rsidRPr="00226C00">
              <w:rPr>
                <w:sz w:val="20"/>
                <w:szCs w:val="20"/>
              </w:rPr>
              <w:lastRenderedPageBreak/>
              <w:t xml:space="preserve">the </w:t>
            </w:r>
            <w:r w:rsidRPr="00226C00">
              <w:rPr>
                <w:i/>
                <w:sz w:val="20"/>
                <w:szCs w:val="20"/>
              </w:rPr>
              <w:t>Human Rights Act</w:t>
            </w:r>
            <w:r w:rsidRPr="00226C00">
              <w:rPr>
                <w:sz w:val="20"/>
                <w:szCs w:val="20"/>
              </w:rPr>
              <w:t>’s discrimination prohibitions as being for the benefit of the youth?</w:t>
            </w:r>
          </w:p>
        </w:tc>
        <w:tc>
          <w:tcPr>
            <w:tcW w:w="720" w:type="dxa"/>
            <w:tcMar>
              <w:left w:w="0" w:type="dxa"/>
              <w:right w:w="0" w:type="dxa"/>
            </w:tcMar>
          </w:tcPr>
          <w:p w:rsidR="007133B0" w:rsidRPr="00C1697B" w:rsidRDefault="007133B0" w:rsidP="008627E7">
            <w:pPr>
              <w:widowControl w:val="0"/>
              <w:jc w:val="center"/>
              <w:rPr>
                <w:sz w:val="20"/>
                <w:szCs w:val="20"/>
              </w:rPr>
            </w:pPr>
          </w:p>
        </w:tc>
        <w:tc>
          <w:tcPr>
            <w:tcW w:w="4380" w:type="dxa"/>
            <w:tcMar>
              <w:left w:w="0" w:type="dxa"/>
              <w:right w:w="0" w:type="dxa"/>
            </w:tcMar>
          </w:tcPr>
          <w:p w:rsidR="007133B0" w:rsidRPr="00CC4D84" w:rsidRDefault="007133B0" w:rsidP="008627E7">
            <w:pPr>
              <w:widowControl w:val="0"/>
              <w:jc w:val="both"/>
              <w:rPr>
                <w:b/>
                <w:sz w:val="20"/>
                <w:szCs w:val="20"/>
                <w:u w:val="single"/>
                <w:lang w:val="fr-CA"/>
              </w:rPr>
            </w:pPr>
            <w:r w:rsidRPr="00CC4D84">
              <w:rPr>
                <w:b/>
                <w:sz w:val="20"/>
                <w:szCs w:val="20"/>
                <w:u w:val="single"/>
                <w:lang w:val="fr-CA"/>
              </w:rPr>
              <w:t>Nature de la cause :</w:t>
            </w:r>
          </w:p>
          <w:p w:rsidR="007133B0" w:rsidRPr="00C1697B" w:rsidRDefault="007133B0" w:rsidP="008627E7">
            <w:pPr>
              <w:widowControl w:val="0"/>
              <w:jc w:val="both"/>
              <w:rPr>
                <w:sz w:val="20"/>
                <w:szCs w:val="20"/>
                <w:lang w:val="fr-CA"/>
              </w:rPr>
            </w:pPr>
          </w:p>
          <w:p w:rsidR="007133B0" w:rsidRPr="00C1697B" w:rsidRDefault="00FA372C" w:rsidP="008627E7">
            <w:pPr>
              <w:widowControl w:val="0"/>
              <w:jc w:val="both"/>
              <w:rPr>
                <w:sz w:val="20"/>
                <w:szCs w:val="20"/>
                <w:lang w:val="fr-CA"/>
              </w:rPr>
            </w:pPr>
            <w:r w:rsidRPr="00DA1239">
              <w:rPr>
                <w:i/>
                <w:iCs/>
                <w:sz w:val="20"/>
                <w:szCs w:val="20"/>
                <w:lang w:val="fr-CA"/>
              </w:rPr>
              <w:t xml:space="preserve">Charte </w:t>
            </w:r>
            <w:r w:rsidRPr="00DA1239">
              <w:rPr>
                <w:i/>
                <w:sz w:val="20"/>
                <w:szCs w:val="20"/>
                <w:lang w:val="fr-CA"/>
              </w:rPr>
              <w:t>canadienne</w:t>
            </w:r>
            <w:r w:rsidRPr="00DA1239">
              <w:rPr>
                <w:sz w:val="20"/>
                <w:szCs w:val="20"/>
                <w:lang w:val="fr-CA"/>
              </w:rPr>
              <w:t xml:space="preserve"> </w:t>
            </w:r>
            <w:r w:rsidRPr="00DA1239">
              <w:rPr>
                <w:sz w:val="20"/>
                <w:szCs w:val="20"/>
                <w:lang w:val="fr-CA"/>
              </w:rPr>
              <w:noBreakHyphen/>
              <w:t xml:space="preserve"> Civil </w:t>
            </w:r>
            <w:r w:rsidRPr="00DA1239">
              <w:rPr>
                <w:sz w:val="20"/>
                <w:szCs w:val="20"/>
                <w:lang w:val="fr-CA"/>
              </w:rPr>
              <w:noBreakHyphen/>
              <w:t xml:space="preserve"> Droits de la personne </w:t>
            </w:r>
            <w:r w:rsidRPr="00DA1239">
              <w:rPr>
                <w:sz w:val="20"/>
                <w:szCs w:val="20"/>
                <w:lang w:val="fr-CA"/>
              </w:rPr>
              <w:noBreakHyphen/>
              <w:t xml:space="preserve"> Commission des droits de la personne </w:t>
            </w:r>
            <w:r w:rsidRPr="00DA1239">
              <w:rPr>
                <w:sz w:val="20"/>
                <w:szCs w:val="20"/>
                <w:lang w:val="fr-CA"/>
              </w:rPr>
              <w:noBreakHyphen/>
              <w:t xml:space="preserve"> Compétence </w:t>
            </w:r>
            <w:r w:rsidRPr="00DA1239">
              <w:rPr>
                <w:sz w:val="20"/>
                <w:szCs w:val="20"/>
                <w:lang w:val="fr-CA"/>
              </w:rPr>
              <w:noBreakHyphen/>
              <w:t xml:space="preserve"> Norme de contrôle </w:t>
            </w:r>
            <w:r w:rsidRPr="00DA1239">
              <w:rPr>
                <w:sz w:val="20"/>
                <w:szCs w:val="20"/>
                <w:lang w:val="fr-CA"/>
              </w:rPr>
              <w:noBreakHyphen/>
              <w:t xml:space="preserve"> Processus </w:t>
            </w:r>
            <w:r w:rsidRPr="00DA1239">
              <w:rPr>
                <w:sz w:val="20"/>
                <w:szCs w:val="20"/>
                <w:lang w:val="fr-CA"/>
              </w:rPr>
              <w:noBreakHyphen/>
              <w:t xml:space="preserve"> Quelle est la norme de contrôle d’une décision de la commission des droits de la personne de renvoyer la plainte au comité d</w:t>
            </w:r>
            <w:r w:rsidRPr="00DA1239">
              <w:rPr>
                <w:sz w:val="20"/>
                <w:szCs w:val="20"/>
                <w:lang w:val="fr-CA"/>
              </w:rPr>
              <w:sym w:font="WP TypographicSymbols" w:char="003D"/>
            </w:r>
            <w:r w:rsidRPr="00DA1239">
              <w:rPr>
                <w:sz w:val="20"/>
                <w:szCs w:val="20"/>
                <w:lang w:val="fr-CA"/>
              </w:rPr>
              <w:t xml:space="preserve">enquête? </w:t>
            </w:r>
            <w:r w:rsidRPr="00DA1239">
              <w:rPr>
                <w:sz w:val="20"/>
                <w:szCs w:val="20"/>
                <w:lang w:val="fr-CA"/>
              </w:rPr>
              <w:noBreakHyphen/>
              <w:t xml:space="preserve"> Le caractère de précédent de l’arrêt </w:t>
            </w:r>
            <w:r w:rsidRPr="00DA1239">
              <w:rPr>
                <w:i/>
                <w:sz w:val="20"/>
                <w:szCs w:val="20"/>
                <w:lang w:val="fr-CA"/>
              </w:rPr>
              <w:t>Bell c. Ontario Human Rights Commission</w:t>
            </w:r>
            <w:r w:rsidRPr="00DA1239">
              <w:rPr>
                <w:sz w:val="20"/>
                <w:szCs w:val="20"/>
                <w:lang w:val="fr-CA"/>
              </w:rPr>
              <w:t>, [1971] R.C.S 756, qui permet aux tribunaux d’intervenir à l’égard d’une question de droit brève et parfaitement simple, a</w:t>
            </w:r>
            <w:r w:rsidRPr="00DA1239">
              <w:rPr>
                <w:sz w:val="20"/>
                <w:szCs w:val="20"/>
                <w:lang w:val="fr-CA"/>
              </w:rPr>
              <w:noBreakHyphen/>
              <w:t>t</w:t>
            </w:r>
            <w:r w:rsidRPr="00DA1239">
              <w:rPr>
                <w:sz w:val="20"/>
                <w:szCs w:val="20"/>
                <w:lang w:val="fr-CA"/>
              </w:rPr>
              <w:noBreakHyphen/>
              <w:t xml:space="preserve">il été complètement anéanti? </w:t>
            </w:r>
            <w:r w:rsidRPr="00DA1239">
              <w:rPr>
                <w:sz w:val="20"/>
                <w:szCs w:val="20"/>
                <w:lang w:val="fr-CA"/>
              </w:rPr>
              <w:noBreakHyphen/>
              <w:t xml:space="preserve"> Quelles sont les attributions de la commission des droits de la personne? </w:t>
            </w:r>
            <w:r w:rsidRPr="00DA1239">
              <w:rPr>
                <w:sz w:val="20"/>
                <w:szCs w:val="20"/>
                <w:lang w:val="fr-CA"/>
              </w:rPr>
              <w:noBreakHyphen/>
              <w:t xml:space="preserve"> La commission des droits de la personne a</w:t>
            </w:r>
            <w:r w:rsidRPr="00DA1239">
              <w:rPr>
                <w:sz w:val="20"/>
                <w:szCs w:val="20"/>
                <w:lang w:val="fr-CA"/>
              </w:rPr>
              <w:noBreakHyphen/>
              <w:t>t</w:t>
            </w:r>
            <w:r w:rsidRPr="00DA1239">
              <w:rPr>
                <w:sz w:val="20"/>
                <w:szCs w:val="20"/>
                <w:lang w:val="fr-CA"/>
              </w:rPr>
              <w:noBreakHyphen/>
              <w:t xml:space="preserve">elle compétence pour enquêter sur une plainte de violation de l’art. 15 de la </w:t>
            </w:r>
            <w:r w:rsidRPr="00DA1239">
              <w:rPr>
                <w:i/>
                <w:sz w:val="20"/>
                <w:szCs w:val="20"/>
                <w:lang w:val="fr-CA"/>
              </w:rPr>
              <w:t>Charte canadienne des droits et libertés</w:t>
            </w:r>
            <w:r w:rsidRPr="00DA1239">
              <w:rPr>
                <w:sz w:val="20"/>
                <w:szCs w:val="20"/>
                <w:lang w:val="fr-CA"/>
              </w:rPr>
              <w:t xml:space="preserve"> comme son propre motif de plainte? </w:t>
            </w:r>
            <w:r w:rsidRPr="00DA1239">
              <w:rPr>
                <w:sz w:val="20"/>
                <w:szCs w:val="20"/>
                <w:lang w:val="fr-CA"/>
              </w:rPr>
              <w:noBreakHyphen/>
              <w:t xml:space="preserve"> La </w:t>
            </w:r>
            <w:r w:rsidRPr="00DA1239">
              <w:rPr>
                <w:i/>
                <w:iCs/>
                <w:sz w:val="20"/>
                <w:szCs w:val="20"/>
                <w:lang w:val="fr-CA"/>
              </w:rPr>
              <w:t>Human Rights Act</w:t>
            </w:r>
            <w:r w:rsidRPr="00DA1239">
              <w:rPr>
                <w:iCs/>
                <w:sz w:val="20"/>
                <w:szCs w:val="20"/>
                <w:lang w:val="fr-CA"/>
              </w:rPr>
              <w:t xml:space="preserve">, R.S.N.S 1989, ch. 214  </w:t>
            </w:r>
            <w:r w:rsidRPr="00DA1239">
              <w:rPr>
                <w:sz w:val="20"/>
                <w:szCs w:val="20"/>
                <w:lang w:val="fr-CA"/>
              </w:rPr>
              <w:t>a</w:t>
            </w:r>
            <w:r w:rsidRPr="00DA1239">
              <w:rPr>
                <w:sz w:val="20"/>
                <w:szCs w:val="20"/>
                <w:lang w:val="fr-CA"/>
              </w:rPr>
              <w:noBreakHyphen/>
              <w:t>t</w:t>
            </w:r>
            <w:r w:rsidRPr="00DA1239">
              <w:rPr>
                <w:sz w:val="20"/>
                <w:szCs w:val="20"/>
                <w:lang w:val="fr-CA"/>
              </w:rPr>
              <w:noBreakHyphen/>
              <w:t>elle primauté sur les autres lois de la Nouvelle</w:t>
            </w:r>
            <w:r w:rsidRPr="00DA1239">
              <w:rPr>
                <w:sz w:val="20"/>
                <w:szCs w:val="20"/>
                <w:lang w:val="fr-CA"/>
              </w:rPr>
              <w:noBreakHyphen/>
              <w:t xml:space="preserve">Écosse? </w:t>
            </w:r>
            <w:r w:rsidRPr="00DA1239">
              <w:rPr>
                <w:sz w:val="20"/>
                <w:szCs w:val="20"/>
                <w:lang w:val="fr-CA"/>
              </w:rPr>
              <w:noBreakHyphen/>
              <w:t xml:space="preserve"> L’appelante est</w:t>
            </w:r>
            <w:r w:rsidRPr="00DA1239">
              <w:rPr>
                <w:sz w:val="20"/>
                <w:szCs w:val="20"/>
                <w:lang w:val="fr-CA"/>
              </w:rPr>
              <w:noBreakHyphen/>
              <w:t xml:space="preserve">elle la bonne intimée dans le cas d’une plainte contestant la validité d’une loi? </w:t>
            </w:r>
            <w:r w:rsidRPr="00DA1239">
              <w:rPr>
                <w:sz w:val="20"/>
                <w:szCs w:val="20"/>
                <w:lang w:val="fr-CA"/>
              </w:rPr>
              <w:noBreakHyphen/>
              <w:t xml:space="preserve"> La question du financement est</w:t>
            </w:r>
            <w:r w:rsidRPr="00DA1239">
              <w:rPr>
                <w:sz w:val="20"/>
                <w:szCs w:val="20"/>
                <w:lang w:val="fr-CA"/>
              </w:rPr>
              <w:noBreakHyphen/>
              <w:t xml:space="preserve">elle maintenant théorique à la suite de modifications apportées à la </w:t>
            </w:r>
            <w:r w:rsidRPr="00DA1239">
              <w:rPr>
                <w:i/>
                <w:iCs/>
                <w:sz w:val="20"/>
                <w:szCs w:val="20"/>
                <w:lang w:val="fr-CA"/>
              </w:rPr>
              <w:t>Municipal Government Act</w:t>
            </w:r>
            <w:r w:rsidRPr="00DA1239">
              <w:rPr>
                <w:sz w:val="20"/>
                <w:szCs w:val="20"/>
                <w:lang w:val="fr-CA"/>
              </w:rPr>
              <w:t xml:space="preserve">? </w:t>
            </w:r>
            <w:r w:rsidRPr="00DA1239">
              <w:rPr>
                <w:sz w:val="20"/>
                <w:szCs w:val="20"/>
                <w:lang w:val="fr-CA"/>
              </w:rPr>
              <w:noBreakHyphen/>
              <w:t xml:space="preserve"> La langue d</w:t>
            </w:r>
            <w:r w:rsidRPr="00DA1239">
              <w:rPr>
                <w:sz w:val="20"/>
                <w:szCs w:val="20"/>
                <w:lang w:val="fr-CA"/>
              </w:rPr>
              <w:sym w:font="WP TypographicSymbols" w:char="003D"/>
            </w:r>
            <w:r w:rsidRPr="00DA1239">
              <w:rPr>
                <w:sz w:val="20"/>
                <w:szCs w:val="20"/>
                <w:lang w:val="fr-CA"/>
              </w:rPr>
              <w:t>enseignement équivaut</w:t>
            </w:r>
            <w:r w:rsidRPr="00DA1239">
              <w:rPr>
                <w:sz w:val="20"/>
                <w:szCs w:val="20"/>
                <w:lang w:val="fr-CA"/>
              </w:rPr>
              <w:noBreakHyphen/>
              <w:t>elle à l</w:t>
            </w:r>
            <w:r w:rsidRPr="00DA1239">
              <w:rPr>
                <w:sz w:val="20"/>
                <w:szCs w:val="20"/>
                <w:lang w:val="fr-CA"/>
              </w:rPr>
              <w:sym w:font="WP TypographicSymbols" w:char="003D"/>
            </w:r>
            <w:r w:rsidRPr="00DA1239">
              <w:rPr>
                <w:sz w:val="20"/>
                <w:szCs w:val="20"/>
                <w:lang w:val="fr-CA"/>
              </w:rPr>
              <w:t xml:space="preserve">origine ethnique? </w:t>
            </w:r>
            <w:r w:rsidRPr="00DA1239">
              <w:rPr>
                <w:sz w:val="20"/>
                <w:szCs w:val="20"/>
                <w:lang w:val="fr-CA"/>
              </w:rPr>
              <w:noBreakHyphen/>
              <w:t xml:space="preserve"> Les élèves d’une école primaire de langue française constituent</w:t>
            </w:r>
            <w:r w:rsidRPr="00DA1239">
              <w:rPr>
                <w:sz w:val="20"/>
                <w:szCs w:val="20"/>
                <w:lang w:val="fr-CA"/>
              </w:rPr>
              <w:noBreakHyphen/>
              <w:t xml:space="preserve">ils un groupe ethnique? </w:t>
            </w:r>
            <w:r w:rsidRPr="00DA1239">
              <w:rPr>
                <w:sz w:val="20"/>
                <w:szCs w:val="20"/>
                <w:lang w:val="fr-CA"/>
              </w:rPr>
              <w:noBreakHyphen/>
              <w:t xml:space="preserve"> Le régime général de la Nouvelle</w:t>
            </w:r>
            <w:r w:rsidRPr="00DA1239">
              <w:rPr>
                <w:sz w:val="20"/>
                <w:szCs w:val="20"/>
                <w:lang w:val="fr-CA"/>
              </w:rPr>
              <w:noBreakHyphen/>
              <w:t>Écosse qui consiste à offrir l’instruction en langue française est</w:t>
            </w:r>
            <w:r w:rsidRPr="00DA1239">
              <w:rPr>
                <w:sz w:val="20"/>
                <w:szCs w:val="20"/>
                <w:lang w:val="fr-CA"/>
              </w:rPr>
              <w:noBreakHyphen/>
              <w:t xml:space="preserve">il exclu de l’application de l’interdiction de la </w:t>
            </w:r>
            <w:r w:rsidRPr="00DA1239">
              <w:rPr>
                <w:i/>
                <w:iCs/>
                <w:sz w:val="20"/>
                <w:szCs w:val="20"/>
                <w:lang w:val="fr-CA"/>
              </w:rPr>
              <w:t>Human Rights Act</w:t>
            </w:r>
            <w:r w:rsidRPr="00DA1239">
              <w:rPr>
                <w:iCs/>
                <w:sz w:val="20"/>
                <w:szCs w:val="20"/>
                <w:lang w:val="fr-CA"/>
              </w:rPr>
              <w:t xml:space="preserve"> contre la discrimination fondée sur l’origine ethnique en tant que limite raisonnable prescrite par une règle de droit, </w:t>
            </w:r>
            <w:r w:rsidRPr="00DA1239">
              <w:rPr>
                <w:iCs/>
                <w:sz w:val="20"/>
                <w:szCs w:val="20"/>
                <w:lang w:val="fr-CA"/>
              </w:rPr>
              <w:lastRenderedPageBreak/>
              <w:t>dont la justification peut se démontrer dans le cadre d’une société libre et démocratique</w:t>
            </w:r>
            <w:r w:rsidRPr="00DA1239">
              <w:rPr>
                <w:sz w:val="20"/>
                <w:szCs w:val="20"/>
                <w:lang w:val="fr-CA"/>
              </w:rPr>
              <w:t xml:space="preserve">? </w:t>
            </w:r>
            <w:r w:rsidRPr="00DA1239">
              <w:rPr>
                <w:sz w:val="20"/>
                <w:szCs w:val="20"/>
                <w:lang w:val="fr-CA"/>
              </w:rPr>
              <w:noBreakHyphen/>
              <w:t xml:space="preserve"> Le financement du Halifax Regional School Board par l’appelante est</w:t>
            </w:r>
            <w:r w:rsidRPr="00DA1239">
              <w:rPr>
                <w:sz w:val="20"/>
                <w:szCs w:val="20"/>
                <w:lang w:val="fr-CA"/>
              </w:rPr>
              <w:noBreakHyphen/>
              <w:t>elle soustraite de l</w:t>
            </w:r>
            <w:r w:rsidRPr="00DA1239">
              <w:rPr>
                <w:sz w:val="20"/>
                <w:szCs w:val="20"/>
                <w:lang w:val="fr-CA"/>
              </w:rPr>
              <w:sym w:font="WP TypographicSymbols" w:char="003D"/>
            </w:r>
            <w:r w:rsidRPr="00DA1239">
              <w:rPr>
                <w:sz w:val="20"/>
                <w:szCs w:val="20"/>
                <w:lang w:val="fr-CA"/>
              </w:rPr>
              <w:t xml:space="preserve">application des interdictions de discrimination de la </w:t>
            </w:r>
            <w:r w:rsidRPr="00DA1239">
              <w:rPr>
                <w:i/>
                <w:iCs/>
                <w:sz w:val="20"/>
                <w:szCs w:val="20"/>
                <w:lang w:val="fr-CA"/>
              </w:rPr>
              <w:t>Human Rights Act</w:t>
            </w:r>
            <w:r w:rsidRPr="00DA1239">
              <w:rPr>
                <w:iCs/>
                <w:sz w:val="20"/>
                <w:szCs w:val="20"/>
                <w:lang w:val="fr-CA"/>
              </w:rPr>
              <w:t xml:space="preserve"> </w:t>
            </w:r>
            <w:r w:rsidRPr="00DA1239">
              <w:rPr>
                <w:sz w:val="20"/>
                <w:szCs w:val="20"/>
                <w:lang w:val="fr-CA"/>
              </w:rPr>
              <w:t>parce qu</w:t>
            </w:r>
            <w:r w:rsidRPr="00DA1239">
              <w:rPr>
                <w:sz w:val="20"/>
                <w:szCs w:val="20"/>
                <w:lang w:val="fr-CA"/>
              </w:rPr>
              <w:sym w:font="WP TypographicSymbols" w:char="003D"/>
            </w:r>
            <w:r w:rsidRPr="00DA1239">
              <w:rPr>
                <w:sz w:val="20"/>
                <w:szCs w:val="20"/>
                <w:lang w:val="fr-CA"/>
              </w:rPr>
              <w:t>il est à l</w:t>
            </w:r>
            <w:r w:rsidRPr="00DA1239">
              <w:rPr>
                <w:sz w:val="20"/>
                <w:szCs w:val="20"/>
                <w:lang w:val="fr-CA"/>
              </w:rPr>
              <w:sym w:font="WP TypographicSymbols" w:char="003D"/>
            </w:r>
            <w:r w:rsidRPr="00DA1239">
              <w:rPr>
                <w:sz w:val="20"/>
                <w:szCs w:val="20"/>
                <w:lang w:val="fr-CA"/>
              </w:rPr>
              <w:t>avantage des jeunes?</w:t>
            </w:r>
          </w:p>
        </w:tc>
      </w:tr>
    </w:tbl>
    <w:p w:rsidR="007133B0" w:rsidRDefault="007133B0" w:rsidP="007133B0">
      <w:pPr>
        <w:widowControl w:val="0"/>
        <w:rPr>
          <w:sz w:val="20"/>
          <w:szCs w:val="20"/>
          <w:lang w:val="fr-CA"/>
        </w:rPr>
      </w:pPr>
    </w:p>
    <w:p w:rsidR="007133B0" w:rsidRDefault="004D21E4" w:rsidP="00732DB7">
      <w:pPr>
        <w:widowControl w:val="0"/>
        <w:rPr>
          <w:sz w:val="20"/>
          <w:szCs w:val="20"/>
        </w:rPr>
      </w:pPr>
      <w:r w:rsidRPr="004D21E4">
        <w:rPr>
          <w:sz w:val="20"/>
          <w:szCs w:val="20"/>
          <w:lang w:val="fr-CA"/>
        </w:rPr>
        <w:pict>
          <v:rect id="_x0000_i1123" style="width:2in;height:1pt" o:hrpct="0" o:hralign="center" o:hrstd="t" o:hrnoshade="t" o:hr="t" fillcolor="black [3213]" stroked="f"/>
        </w:pict>
      </w:r>
    </w:p>
    <w:p w:rsidR="007133B0" w:rsidRDefault="007133B0" w:rsidP="00732DB7">
      <w:pPr>
        <w:widowControl w:val="0"/>
        <w:rPr>
          <w:sz w:val="20"/>
          <w:szCs w:val="20"/>
        </w:rPr>
      </w:pPr>
    </w:p>
    <w:p w:rsidR="00FA372C" w:rsidRPr="00C50A5C" w:rsidRDefault="00FA372C" w:rsidP="00FA372C">
      <w:pPr>
        <w:widowControl w:val="0"/>
        <w:rPr>
          <w:sz w:val="20"/>
          <w:szCs w:val="20"/>
        </w:rPr>
      </w:pPr>
      <w:r>
        <w:rPr>
          <w:sz w:val="20"/>
          <w:szCs w:val="20"/>
        </w:rPr>
        <w:t>20</w:t>
      </w:r>
      <w:r w:rsidRPr="00C50A5C">
        <w:rPr>
          <w:sz w:val="20"/>
          <w:szCs w:val="20"/>
        </w:rPr>
        <w:t>.</w:t>
      </w:r>
      <w:r>
        <w:rPr>
          <w:sz w:val="20"/>
          <w:szCs w:val="20"/>
        </w:rPr>
        <w:t>1</w:t>
      </w:r>
      <w:r w:rsidRPr="00C50A5C">
        <w:rPr>
          <w:sz w:val="20"/>
          <w:szCs w:val="20"/>
        </w:rPr>
        <w:t>0.201</w:t>
      </w:r>
      <w:r>
        <w:rPr>
          <w:sz w:val="20"/>
          <w:szCs w:val="20"/>
        </w:rPr>
        <w:t>1</w:t>
      </w:r>
    </w:p>
    <w:p w:rsidR="00FA372C" w:rsidRDefault="00FA372C" w:rsidP="00FA372C">
      <w:pPr>
        <w:widowControl w:val="0"/>
        <w:rPr>
          <w:sz w:val="20"/>
          <w:szCs w:val="20"/>
        </w:rPr>
      </w:pPr>
    </w:p>
    <w:p w:rsidR="00E32C12" w:rsidRPr="00DC3B5A" w:rsidRDefault="00E32C12" w:rsidP="00E32C12">
      <w:pPr>
        <w:widowControl w:val="0"/>
        <w:tabs>
          <w:tab w:val="left" w:pos="720"/>
          <w:tab w:val="left" w:pos="1110"/>
          <w:tab w:val="left" w:pos="2851"/>
          <w:tab w:val="left" w:pos="4320"/>
          <w:tab w:val="left" w:pos="10224"/>
          <w:tab w:val="left" w:pos="11376"/>
        </w:tabs>
        <w:ind w:left="1110" w:hanging="1110"/>
        <w:rPr>
          <w:rFonts w:eastAsia="Calibri" w:cs="Times New Roman"/>
          <w:sz w:val="20"/>
          <w:szCs w:val="20"/>
          <w:u w:val="single"/>
        </w:rPr>
      </w:pPr>
      <w:r w:rsidRPr="00DC3B5A">
        <w:rPr>
          <w:rFonts w:eastAsia="Calibri" w:cs="Times New Roman"/>
          <w:sz w:val="20"/>
          <w:szCs w:val="20"/>
        </w:rPr>
        <w:t xml:space="preserve">Coram: </w:t>
      </w:r>
      <w:r w:rsidRPr="00DC3B5A">
        <w:rPr>
          <w:rFonts w:eastAsia="Calibri" w:cs="Times New Roman"/>
          <w:sz w:val="20"/>
          <w:szCs w:val="20"/>
        </w:rPr>
        <w:tab/>
      </w:r>
      <w:r w:rsidRPr="00DC3B5A">
        <w:rPr>
          <w:rFonts w:eastAsia="Calibri" w:cs="Times New Roman"/>
          <w:sz w:val="20"/>
          <w:szCs w:val="20"/>
          <w:u w:val="single"/>
        </w:rPr>
        <w:t>McLachlin C.J. and LeBel, Deschamps, Fish, Abella, Rothstein and Cromwell JJ.</w:t>
      </w:r>
    </w:p>
    <w:p w:rsidR="00FA372C" w:rsidRPr="00EA79B0" w:rsidRDefault="00FA372C" w:rsidP="00FA372C">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FA372C" w:rsidRPr="00C50A5C" w:rsidTr="00171E41">
        <w:tc>
          <w:tcPr>
            <w:tcW w:w="4380" w:type="dxa"/>
            <w:tcMar>
              <w:left w:w="0" w:type="dxa"/>
              <w:right w:w="0" w:type="dxa"/>
            </w:tcMar>
          </w:tcPr>
          <w:p w:rsidR="00FA372C" w:rsidRPr="00C50A5C" w:rsidRDefault="00EA25D4" w:rsidP="00171E41">
            <w:pPr>
              <w:widowControl w:val="0"/>
              <w:jc w:val="both"/>
              <w:rPr>
                <w:b/>
                <w:sz w:val="20"/>
                <w:szCs w:val="20"/>
              </w:rPr>
            </w:pPr>
            <w:r w:rsidRPr="009269A4">
              <w:rPr>
                <w:b/>
                <w:sz w:val="20"/>
                <w:szCs w:val="20"/>
              </w:rPr>
              <w:t>Nor-Man Regional Health Authority Inc.</w:t>
            </w:r>
          </w:p>
          <w:p w:rsidR="00FA372C" w:rsidRPr="00C50A5C" w:rsidRDefault="00FA372C" w:rsidP="00171E41">
            <w:pPr>
              <w:widowControl w:val="0"/>
              <w:jc w:val="both"/>
              <w:rPr>
                <w:b/>
                <w:sz w:val="20"/>
                <w:szCs w:val="20"/>
              </w:rPr>
            </w:pPr>
          </w:p>
          <w:p w:rsidR="00FA372C" w:rsidRPr="00C50A5C" w:rsidRDefault="00FA372C" w:rsidP="00171E41">
            <w:pPr>
              <w:widowControl w:val="0"/>
              <w:tabs>
                <w:tab w:val="left" w:pos="736"/>
              </w:tabs>
              <w:jc w:val="both"/>
              <w:rPr>
                <w:b/>
                <w:sz w:val="20"/>
                <w:szCs w:val="20"/>
              </w:rPr>
            </w:pPr>
            <w:r w:rsidRPr="00C50A5C">
              <w:rPr>
                <w:b/>
                <w:sz w:val="20"/>
                <w:szCs w:val="20"/>
              </w:rPr>
              <w:tab/>
              <w:t>v. (3</w:t>
            </w:r>
            <w:r w:rsidR="003321AB">
              <w:rPr>
                <w:b/>
                <w:sz w:val="20"/>
                <w:szCs w:val="20"/>
              </w:rPr>
              <w:t>3795</w:t>
            </w:r>
            <w:r w:rsidRPr="00C50A5C">
              <w:rPr>
                <w:b/>
                <w:sz w:val="20"/>
                <w:szCs w:val="20"/>
              </w:rPr>
              <w:t>)</w:t>
            </w:r>
          </w:p>
          <w:p w:rsidR="00FA372C" w:rsidRDefault="00FA372C" w:rsidP="00171E41">
            <w:pPr>
              <w:widowControl w:val="0"/>
              <w:jc w:val="both"/>
              <w:rPr>
                <w:b/>
                <w:sz w:val="20"/>
                <w:szCs w:val="20"/>
              </w:rPr>
            </w:pPr>
          </w:p>
          <w:p w:rsidR="00FA372C" w:rsidRPr="00C50A5C" w:rsidRDefault="00EA3735" w:rsidP="00EA3735">
            <w:pPr>
              <w:widowControl w:val="0"/>
              <w:jc w:val="both"/>
              <w:rPr>
                <w:sz w:val="20"/>
                <w:szCs w:val="20"/>
                <w:lang w:val="fr-CA"/>
              </w:rPr>
            </w:pPr>
            <w:r w:rsidRPr="009269A4">
              <w:rPr>
                <w:b/>
                <w:sz w:val="20"/>
                <w:szCs w:val="20"/>
              </w:rPr>
              <w:t>Manitoba Association of Healthcare Professionals</w:t>
            </w:r>
            <w:r>
              <w:rPr>
                <w:sz w:val="20"/>
                <w:szCs w:val="20"/>
              </w:rPr>
              <w:t xml:space="preserve"> </w:t>
            </w:r>
            <w:r w:rsidRPr="009269A4">
              <w:rPr>
                <w:b/>
                <w:sz w:val="20"/>
                <w:szCs w:val="20"/>
              </w:rPr>
              <w:t>(Man.) (Civil) (By Leave)</w:t>
            </w:r>
          </w:p>
        </w:tc>
        <w:tc>
          <w:tcPr>
            <w:tcW w:w="720" w:type="dxa"/>
            <w:tcMar>
              <w:left w:w="0" w:type="dxa"/>
              <w:right w:w="0" w:type="dxa"/>
            </w:tcMar>
          </w:tcPr>
          <w:p w:rsidR="00FA372C" w:rsidRPr="00C50A5C" w:rsidRDefault="00FA372C" w:rsidP="00171E41">
            <w:pPr>
              <w:widowControl w:val="0"/>
              <w:jc w:val="center"/>
              <w:rPr>
                <w:sz w:val="20"/>
                <w:szCs w:val="20"/>
                <w:lang w:val="fr-CA"/>
              </w:rPr>
            </w:pPr>
          </w:p>
        </w:tc>
        <w:tc>
          <w:tcPr>
            <w:tcW w:w="4380" w:type="dxa"/>
            <w:tcMar>
              <w:left w:w="0" w:type="dxa"/>
              <w:right w:w="0" w:type="dxa"/>
            </w:tcMar>
          </w:tcPr>
          <w:p w:rsidR="00EA25D4" w:rsidRPr="009269A4" w:rsidRDefault="00EA25D4" w:rsidP="00EA25D4">
            <w:pPr>
              <w:tabs>
                <w:tab w:val="left" w:pos="-2970"/>
              </w:tabs>
              <w:jc w:val="both"/>
              <w:rPr>
                <w:sz w:val="20"/>
                <w:szCs w:val="20"/>
              </w:rPr>
            </w:pPr>
            <w:r w:rsidRPr="009269A4">
              <w:rPr>
                <w:sz w:val="20"/>
                <w:szCs w:val="20"/>
              </w:rPr>
              <w:t>Brian Schwartz</w:t>
            </w:r>
            <w:r>
              <w:rPr>
                <w:sz w:val="20"/>
                <w:szCs w:val="20"/>
              </w:rPr>
              <w:t xml:space="preserve">, </w:t>
            </w:r>
            <w:r w:rsidRPr="009269A4">
              <w:rPr>
                <w:sz w:val="20"/>
                <w:szCs w:val="20"/>
              </w:rPr>
              <w:t>William Gardner</w:t>
            </w:r>
            <w:r>
              <w:rPr>
                <w:sz w:val="20"/>
                <w:szCs w:val="20"/>
              </w:rPr>
              <w:t xml:space="preserve"> and </w:t>
            </w:r>
            <w:r w:rsidRPr="009269A4">
              <w:rPr>
                <w:sz w:val="20"/>
                <w:szCs w:val="20"/>
              </w:rPr>
              <w:t>Todd Andres</w:t>
            </w:r>
            <w:r>
              <w:rPr>
                <w:sz w:val="20"/>
                <w:szCs w:val="20"/>
              </w:rPr>
              <w:t xml:space="preserve"> f</w:t>
            </w:r>
            <w:r w:rsidRPr="009269A4">
              <w:rPr>
                <w:sz w:val="20"/>
                <w:szCs w:val="20"/>
              </w:rPr>
              <w:t xml:space="preserve">or the </w:t>
            </w:r>
            <w:r>
              <w:rPr>
                <w:sz w:val="20"/>
                <w:szCs w:val="20"/>
              </w:rPr>
              <w:t>a</w:t>
            </w:r>
            <w:r w:rsidRPr="009269A4">
              <w:rPr>
                <w:sz w:val="20"/>
                <w:szCs w:val="20"/>
              </w:rPr>
              <w:t>ppellant.</w:t>
            </w:r>
          </w:p>
          <w:p w:rsidR="00EA25D4" w:rsidRPr="009269A4" w:rsidRDefault="00EA25D4" w:rsidP="00EA25D4">
            <w:pPr>
              <w:tabs>
                <w:tab w:val="left" w:pos="-2970"/>
              </w:tabs>
              <w:jc w:val="both"/>
              <w:rPr>
                <w:sz w:val="20"/>
                <w:szCs w:val="20"/>
              </w:rPr>
            </w:pPr>
          </w:p>
          <w:p w:rsidR="00EA25D4" w:rsidRPr="009269A4" w:rsidRDefault="00EA25D4" w:rsidP="00EA25D4">
            <w:pPr>
              <w:tabs>
                <w:tab w:val="left" w:pos="-2970"/>
              </w:tabs>
              <w:jc w:val="both"/>
              <w:rPr>
                <w:sz w:val="20"/>
                <w:szCs w:val="20"/>
              </w:rPr>
            </w:pPr>
            <w:r w:rsidRPr="009269A4">
              <w:rPr>
                <w:sz w:val="20"/>
                <w:szCs w:val="20"/>
              </w:rPr>
              <w:t>Jacob Giesbrecht</w:t>
            </w:r>
            <w:r>
              <w:rPr>
                <w:sz w:val="20"/>
                <w:szCs w:val="20"/>
              </w:rPr>
              <w:t xml:space="preserve"> f</w:t>
            </w:r>
            <w:r w:rsidRPr="009269A4">
              <w:rPr>
                <w:sz w:val="20"/>
                <w:szCs w:val="20"/>
              </w:rPr>
              <w:t xml:space="preserve">or the </w:t>
            </w:r>
            <w:r>
              <w:rPr>
                <w:sz w:val="20"/>
                <w:szCs w:val="20"/>
              </w:rPr>
              <w:t>r</w:t>
            </w:r>
            <w:r w:rsidRPr="009269A4">
              <w:rPr>
                <w:sz w:val="20"/>
                <w:szCs w:val="20"/>
              </w:rPr>
              <w:t>espondent.</w:t>
            </w:r>
          </w:p>
          <w:p w:rsidR="00EA25D4" w:rsidRPr="009269A4" w:rsidRDefault="00EA25D4" w:rsidP="00EA25D4">
            <w:pPr>
              <w:tabs>
                <w:tab w:val="left" w:pos="-2970"/>
              </w:tabs>
              <w:jc w:val="both"/>
              <w:rPr>
                <w:sz w:val="20"/>
                <w:szCs w:val="20"/>
              </w:rPr>
            </w:pPr>
          </w:p>
          <w:p w:rsidR="00FA372C" w:rsidRPr="00C50A5C" w:rsidRDefault="00EA25D4" w:rsidP="00EA25D4">
            <w:pPr>
              <w:widowControl w:val="0"/>
              <w:jc w:val="both"/>
              <w:rPr>
                <w:sz w:val="20"/>
                <w:szCs w:val="20"/>
              </w:rPr>
            </w:pPr>
            <w:r w:rsidRPr="009269A4">
              <w:rPr>
                <w:sz w:val="20"/>
                <w:szCs w:val="20"/>
              </w:rPr>
              <w:t>Jonathan Eades</w:t>
            </w:r>
            <w:r>
              <w:rPr>
                <w:sz w:val="20"/>
                <w:szCs w:val="20"/>
              </w:rPr>
              <w:t xml:space="preserve"> and </w:t>
            </w:r>
            <w:r w:rsidRPr="009269A4">
              <w:rPr>
                <w:sz w:val="20"/>
                <w:szCs w:val="20"/>
              </w:rPr>
              <w:t>Meghan Butler</w:t>
            </w:r>
            <w:r>
              <w:rPr>
                <w:sz w:val="20"/>
                <w:szCs w:val="20"/>
              </w:rPr>
              <w:t xml:space="preserve"> f</w:t>
            </w:r>
            <w:r w:rsidRPr="009269A4">
              <w:rPr>
                <w:sz w:val="20"/>
                <w:szCs w:val="20"/>
              </w:rPr>
              <w:t xml:space="preserve">or the </w:t>
            </w:r>
            <w:r>
              <w:rPr>
                <w:sz w:val="20"/>
                <w:szCs w:val="20"/>
              </w:rPr>
              <w:t>i</w:t>
            </w:r>
            <w:r w:rsidRPr="009269A4">
              <w:rPr>
                <w:sz w:val="20"/>
                <w:szCs w:val="20"/>
              </w:rPr>
              <w:t>ntervener</w:t>
            </w:r>
            <w:r>
              <w:rPr>
                <w:sz w:val="20"/>
                <w:szCs w:val="20"/>
              </w:rPr>
              <w:t xml:space="preserve"> </w:t>
            </w:r>
            <w:r w:rsidRPr="009269A4">
              <w:rPr>
                <w:sz w:val="20"/>
                <w:szCs w:val="20"/>
              </w:rPr>
              <w:t>Attorney General of British Columbia</w:t>
            </w:r>
            <w:r>
              <w:rPr>
                <w:sz w:val="20"/>
                <w:szCs w:val="20"/>
              </w:rPr>
              <w:t>.</w:t>
            </w:r>
          </w:p>
        </w:tc>
      </w:tr>
    </w:tbl>
    <w:p w:rsidR="00FA372C" w:rsidRPr="00EA79B0" w:rsidRDefault="00FA372C" w:rsidP="00FA372C">
      <w:pPr>
        <w:widowControl w:val="0"/>
        <w:rPr>
          <w:sz w:val="20"/>
          <w:szCs w:val="20"/>
        </w:rPr>
      </w:pPr>
    </w:p>
    <w:p w:rsidR="00FA372C" w:rsidRPr="0085476B" w:rsidRDefault="00FA372C" w:rsidP="00FA372C">
      <w:pPr>
        <w:widowControl w:val="0"/>
        <w:rPr>
          <w:sz w:val="20"/>
          <w:szCs w:val="20"/>
        </w:rPr>
      </w:pPr>
      <w:r w:rsidRPr="0085476B">
        <w:rPr>
          <w:b/>
          <w:sz w:val="20"/>
          <w:szCs w:val="20"/>
        </w:rPr>
        <w:t xml:space="preserve">RESERVED / </w:t>
      </w:r>
      <w:r w:rsidRPr="0085476B">
        <w:rPr>
          <w:b/>
          <w:sz w:val="20"/>
          <w:szCs w:val="20"/>
          <w:lang w:val="fr-CA"/>
        </w:rPr>
        <w:t>EN DÉLIBÉRÉ</w:t>
      </w:r>
    </w:p>
    <w:p w:rsidR="00FA372C" w:rsidRDefault="00FA372C" w:rsidP="00FA372C"/>
    <w:tbl>
      <w:tblPr>
        <w:tblW w:w="0" w:type="auto"/>
        <w:tblLayout w:type="fixed"/>
        <w:tblCellMar>
          <w:left w:w="0" w:type="dxa"/>
          <w:right w:w="0" w:type="dxa"/>
        </w:tblCellMar>
        <w:tblLook w:val="0000"/>
      </w:tblPr>
      <w:tblGrid>
        <w:gridCol w:w="4380"/>
        <w:gridCol w:w="720"/>
        <w:gridCol w:w="4380"/>
      </w:tblGrid>
      <w:tr w:rsidR="00FA372C" w:rsidRPr="00F80A49" w:rsidTr="00171E41">
        <w:tc>
          <w:tcPr>
            <w:tcW w:w="4380" w:type="dxa"/>
            <w:tcMar>
              <w:left w:w="0" w:type="dxa"/>
              <w:right w:w="0" w:type="dxa"/>
            </w:tcMar>
          </w:tcPr>
          <w:p w:rsidR="00FA372C" w:rsidRPr="00CC4D84" w:rsidRDefault="00FA372C" w:rsidP="00171E41">
            <w:pPr>
              <w:widowControl w:val="0"/>
              <w:jc w:val="both"/>
              <w:rPr>
                <w:b/>
                <w:sz w:val="20"/>
                <w:szCs w:val="20"/>
                <w:u w:val="single"/>
              </w:rPr>
            </w:pPr>
            <w:r w:rsidRPr="00CC4D84">
              <w:rPr>
                <w:b/>
                <w:sz w:val="20"/>
                <w:szCs w:val="20"/>
                <w:u w:val="single"/>
              </w:rPr>
              <w:t>Nature of the case:</w:t>
            </w:r>
          </w:p>
          <w:p w:rsidR="00FA372C" w:rsidRPr="00C1697B" w:rsidRDefault="00FA372C" w:rsidP="00171E41">
            <w:pPr>
              <w:widowControl w:val="0"/>
              <w:jc w:val="both"/>
              <w:rPr>
                <w:b/>
                <w:sz w:val="20"/>
                <w:szCs w:val="20"/>
              </w:rPr>
            </w:pPr>
          </w:p>
          <w:p w:rsidR="00FA372C" w:rsidRPr="00C1697B" w:rsidRDefault="003321AB" w:rsidP="00171E41">
            <w:pPr>
              <w:widowControl w:val="0"/>
              <w:jc w:val="both"/>
              <w:rPr>
                <w:b/>
                <w:sz w:val="20"/>
                <w:szCs w:val="20"/>
              </w:rPr>
            </w:pPr>
            <w:r w:rsidRPr="002F11AD">
              <w:rPr>
                <w:sz w:val="20"/>
                <w:szCs w:val="20"/>
              </w:rPr>
              <w:t xml:space="preserve">Labour relations </w:t>
            </w:r>
            <w:r w:rsidRPr="002F11AD">
              <w:rPr>
                <w:sz w:val="20"/>
                <w:szCs w:val="20"/>
              </w:rPr>
              <w:noBreakHyphen/>
              <w:t xml:space="preserve"> Collective agreements </w:t>
            </w:r>
            <w:r w:rsidRPr="002F11AD">
              <w:rPr>
                <w:sz w:val="20"/>
                <w:szCs w:val="20"/>
              </w:rPr>
              <w:noBreakHyphen/>
              <w:t xml:space="preserve"> Grievance </w:t>
            </w:r>
            <w:r w:rsidRPr="002F11AD">
              <w:rPr>
                <w:sz w:val="20"/>
                <w:szCs w:val="20"/>
              </w:rPr>
              <w:noBreakHyphen/>
              <w:t xml:space="preserve"> Estoppel </w:t>
            </w:r>
            <w:r w:rsidRPr="002F11AD">
              <w:rPr>
                <w:sz w:val="20"/>
                <w:szCs w:val="20"/>
              </w:rPr>
              <w:noBreakHyphen/>
              <w:t xml:space="preserve"> Whether arbitrators can develop their own jurisprudence concerning estoppel </w:t>
            </w:r>
            <w:r w:rsidRPr="002F11AD">
              <w:rPr>
                <w:sz w:val="20"/>
                <w:szCs w:val="20"/>
              </w:rPr>
              <w:noBreakHyphen/>
              <w:t xml:space="preserve"> Even if the Court of Appeal were correct that there is a “pure” question of law that is independent of any labour law context, whether its approach to the legal question, the prerequisite defining estoppel, is mistaken.</w:t>
            </w:r>
          </w:p>
        </w:tc>
        <w:tc>
          <w:tcPr>
            <w:tcW w:w="720" w:type="dxa"/>
            <w:tcMar>
              <w:left w:w="0" w:type="dxa"/>
              <w:right w:w="0" w:type="dxa"/>
            </w:tcMar>
          </w:tcPr>
          <w:p w:rsidR="00FA372C" w:rsidRPr="00C1697B" w:rsidRDefault="00FA372C" w:rsidP="00171E41">
            <w:pPr>
              <w:widowControl w:val="0"/>
              <w:jc w:val="center"/>
              <w:rPr>
                <w:sz w:val="20"/>
                <w:szCs w:val="20"/>
              </w:rPr>
            </w:pPr>
          </w:p>
        </w:tc>
        <w:tc>
          <w:tcPr>
            <w:tcW w:w="4380" w:type="dxa"/>
            <w:tcMar>
              <w:left w:w="0" w:type="dxa"/>
              <w:right w:w="0" w:type="dxa"/>
            </w:tcMar>
          </w:tcPr>
          <w:p w:rsidR="00FA372C" w:rsidRPr="00CC4D84" w:rsidRDefault="00FA372C" w:rsidP="00171E41">
            <w:pPr>
              <w:widowControl w:val="0"/>
              <w:jc w:val="both"/>
              <w:rPr>
                <w:b/>
                <w:sz w:val="20"/>
                <w:szCs w:val="20"/>
                <w:u w:val="single"/>
                <w:lang w:val="fr-CA"/>
              </w:rPr>
            </w:pPr>
            <w:r w:rsidRPr="00CC4D84">
              <w:rPr>
                <w:b/>
                <w:sz w:val="20"/>
                <w:szCs w:val="20"/>
                <w:u w:val="single"/>
                <w:lang w:val="fr-CA"/>
              </w:rPr>
              <w:t>Nature de la cause :</w:t>
            </w:r>
          </w:p>
          <w:p w:rsidR="00FA372C" w:rsidRPr="00C1697B" w:rsidRDefault="00FA372C" w:rsidP="00171E41">
            <w:pPr>
              <w:widowControl w:val="0"/>
              <w:jc w:val="both"/>
              <w:rPr>
                <w:sz w:val="20"/>
                <w:szCs w:val="20"/>
                <w:lang w:val="fr-CA"/>
              </w:rPr>
            </w:pPr>
          </w:p>
          <w:p w:rsidR="00FA372C" w:rsidRPr="00C1697B" w:rsidRDefault="003321AB" w:rsidP="00171E41">
            <w:pPr>
              <w:widowControl w:val="0"/>
              <w:jc w:val="both"/>
              <w:rPr>
                <w:sz w:val="20"/>
                <w:szCs w:val="20"/>
                <w:lang w:val="fr-CA"/>
              </w:rPr>
            </w:pPr>
            <w:r w:rsidRPr="00F32DB4">
              <w:rPr>
                <w:sz w:val="20"/>
                <w:szCs w:val="20"/>
                <w:lang w:val="fr-CA"/>
              </w:rPr>
              <w:t xml:space="preserve">Relations du travail </w:t>
            </w:r>
            <w:r w:rsidRPr="00F32DB4">
              <w:rPr>
                <w:sz w:val="20"/>
                <w:szCs w:val="20"/>
                <w:lang w:val="fr-CA"/>
              </w:rPr>
              <w:noBreakHyphen/>
              <w:t xml:space="preserve"> Conventions collectives </w:t>
            </w:r>
            <w:r w:rsidRPr="00F32DB4">
              <w:rPr>
                <w:sz w:val="20"/>
                <w:szCs w:val="20"/>
                <w:lang w:val="fr-CA"/>
              </w:rPr>
              <w:noBreakHyphen/>
              <w:t xml:space="preserve"> Grief </w:t>
            </w:r>
            <w:r w:rsidRPr="00F32DB4">
              <w:rPr>
                <w:sz w:val="20"/>
                <w:szCs w:val="20"/>
                <w:lang w:val="fr-CA"/>
              </w:rPr>
              <w:noBreakHyphen/>
              <w:t xml:space="preserve"> Préclusion </w:t>
            </w:r>
            <w:r w:rsidRPr="00F32DB4">
              <w:rPr>
                <w:sz w:val="20"/>
                <w:szCs w:val="20"/>
                <w:lang w:val="fr-CA"/>
              </w:rPr>
              <w:noBreakHyphen/>
              <w:t xml:space="preserve"> Les arbitres peuvent</w:t>
            </w:r>
            <w:r w:rsidRPr="00F32DB4">
              <w:rPr>
                <w:sz w:val="20"/>
                <w:szCs w:val="20"/>
                <w:lang w:val="fr-CA"/>
              </w:rPr>
              <w:noBreakHyphen/>
              <w:t xml:space="preserve">ils </w:t>
            </w:r>
            <w:proofErr w:type="gramStart"/>
            <w:r w:rsidRPr="00F32DB4">
              <w:rPr>
                <w:sz w:val="20"/>
                <w:szCs w:val="20"/>
                <w:lang w:val="fr-CA"/>
              </w:rPr>
              <w:t>élaborer</w:t>
            </w:r>
            <w:proofErr w:type="gramEnd"/>
            <w:r w:rsidRPr="00F32DB4">
              <w:rPr>
                <w:sz w:val="20"/>
                <w:szCs w:val="20"/>
                <w:lang w:val="fr-CA"/>
              </w:rPr>
              <w:t xml:space="preserve"> leur propre jurisprudence en matière de préclusion? </w:t>
            </w:r>
            <w:r w:rsidRPr="00F32DB4">
              <w:rPr>
                <w:sz w:val="20"/>
                <w:szCs w:val="20"/>
                <w:lang w:val="fr-CA"/>
              </w:rPr>
              <w:noBreakHyphen/>
              <w:t xml:space="preserve"> Même si la Cour d’appel avait raison de conclure que l’affaire soulevait une « pure » question de droit qui était indépendante de tout contexte du droit du travail, sa manière d’aborder la question de droit, c’est</w:t>
            </w:r>
            <w:r w:rsidRPr="00F32DB4">
              <w:rPr>
                <w:sz w:val="20"/>
                <w:szCs w:val="20"/>
                <w:lang w:val="fr-CA"/>
              </w:rPr>
              <w:noBreakHyphen/>
              <w:t>à</w:t>
            </w:r>
            <w:r w:rsidRPr="00F32DB4">
              <w:rPr>
                <w:sz w:val="20"/>
                <w:szCs w:val="20"/>
                <w:lang w:val="fr-CA"/>
              </w:rPr>
              <w:noBreakHyphen/>
              <w:t>dire la condition préalable définissant la préclusion, était</w:t>
            </w:r>
            <w:r w:rsidRPr="00F32DB4">
              <w:rPr>
                <w:sz w:val="20"/>
                <w:szCs w:val="20"/>
                <w:lang w:val="fr-CA"/>
              </w:rPr>
              <w:noBreakHyphen/>
              <w:t>elle erronée?</w:t>
            </w:r>
          </w:p>
        </w:tc>
      </w:tr>
    </w:tbl>
    <w:p w:rsidR="00FA372C" w:rsidRDefault="00FA372C" w:rsidP="00FA372C">
      <w:pPr>
        <w:widowControl w:val="0"/>
        <w:rPr>
          <w:sz w:val="20"/>
          <w:szCs w:val="20"/>
          <w:lang w:val="fr-CA"/>
        </w:rPr>
      </w:pPr>
    </w:p>
    <w:p w:rsidR="00FA372C" w:rsidRDefault="004D21E4" w:rsidP="00FA372C">
      <w:pPr>
        <w:widowControl w:val="0"/>
        <w:rPr>
          <w:sz w:val="20"/>
          <w:szCs w:val="20"/>
        </w:rPr>
      </w:pPr>
      <w:r w:rsidRPr="004D21E4">
        <w:rPr>
          <w:sz w:val="20"/>
          <w:szCs w:val="20"/>
          <w:lang w:val="fr-CA"/>
        </w:rPr>
        <w:pict>
          <v:rect id="_x0000_i1124" style="width:2in;height:1pt" o:hrpct="0" o:hralign="center" o:hrstd="t" o:hrnoshade="t" o:hr="t" fillcolor="black [3213]" stroked="f"/>
        </w:pict>
      </w:r>
    </w:p>
    <w:p w:rsidR="00FA372C" w:rsidRDefault="00FA372C" w:rsidP="00732DB7">
      <w:pPr>
        <w:widowControl w:val="0"/>
        <w:rPr>
          <w:sz w:val="20"/>
          <w:szCs w:val="20"/>
        </w:rPr>
      </w:pPr>
    </w:p>
    <w:p w:rsidR="00FA372C" w:rsidRPr="00C50A5C" w:rsidRDefault="00FA372C" w:rsidP="00FA372C">
      <w:pPr>
        <w:widowControl w:val="0"/>
        <w:rPr>
          <w:sz w:val="20"/>
          <w:szCs w:val="20"/>
        </w:rPr>
      </w:pPr>
      <w:r>
        <w:rPr>
          <w:sz w:val="20"/>
          <w:szCs w:val="20"/>
        </w:rPr>
        <w:t>20</w:t>
      </w:r>
      <w:r w:rsidRPr="00C50A5C">
        <w:rPr>
          <w:sz w:val="20"/>
          <w:szCs w:val="20"/>
        </w:rPr>
        <w:t>.</w:t>
      </w:r>
      <w:r>
        <w:rPr>
          <w:sz w:val="20"/>
          <w:szCs w:val="20"/>
        </w:rPr>
        <w:t>1</w:t>
      </w:r>
      <w:r w:rsidRPr="00C50A5C">
        <w:rPr>
          <w:sz w:val="20"/>
          <w:szCs w:val="20"/>
        </w:rPr>
        <w:t>0.201</w:t>
      </w:r>
      <w:r>
        <w:rPr>
          <w:sz w:val="20"/>
          <w:szCs w:val="20"/>
        </w:rPr>
        <w:t>1</w:t>
      </w:r>
    </w:p>
    <w:p w:rsidR="00FA372C" w:rsidRDefault="00FA372C" w:rsidP="00FA372C">
      <w:pPr>
        <w:widowControl w:val="0"/>
        <w:rPr>
          <w:sz w:val="20"/>
          <w:szCs w:val="20"/>
        </w:rPr>
      </w:pPr>
    </w:p>
    <w:p w:rsidR="00BD3D2B" w:rsidRPr="00DC3B5A" w:rsidRDefault="00BD3D2B" w:rsidP="00BD3D2B">
      <w:pPr>
        <w:widowControl w:val="0"/>
        <w:ind w:left="720" w:hanging="720"/>
        <w:rPr>
          <w:rFonts w:eastAsia="Calibri" w:cs="Times New Roman"/>
          <w:sz w:val="20"/>
          <w:szCs w:val="20"/>
          <w:u w:val="single"/>
        </w:rPr>
      </w:pPr>
      <w:r w:rsidRPr="00DC3B5A">
        <w:rPr>
          <w:rFonts w:eastAsia="Calibri" w:cs="Times New Roman"/>
          <w:sz w:val="20"/>
          <w:szCs w:val="20"/>
        </w:rPr>
        <w:t xml:space="preserve">Coram: </w:t>
      </w:r>
      <w:r w:rsidRPr="00DC3B5A">
        <w:rPr>
          <w:rFonts w:eastAsia="Calibri" w:cs="Times New Roman"/>
          <w:sz w:val="20"/>
          <w:szCs w:val="20"/>
        </w:rPr>
        <w:tab/>
      </w:r>
      <w:r w:rsidRPr="00DC3B5A">
        <w:rPr>
          <w:rFonts w:eastAsia="Calibri" w:cs="Times New Roman"/>
          <w:sz w:val="20"/>
          <w:szCs w:val="20"/>
          <w:u w:val="single"/>
        </w:rPr>
        <w:t>Deschamps, Fish, Abella, Rothstein and Cromwell JJ.</w:t>
      </w:r>
    </w:p>
    <w:p w:rsidR="00FA372C" w:rsidRPr="00EA79B0" w:rsidRDefault="00FA372C" w:rsidP="00FA372C">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FA372C" w:rsidRPr="00C50A5C" w:rsidTr="00171E41">
        <w:tc>
          <w:tcPr>
            <w:tcW w:w="4380" w:type="dxa"/>
            <w:tcMar>
              <w:left w:w="0" w:type="dxa"/>
              <w:right w:w="0" w:type="dxa"/>
            </w:tcMar>
          </w:tcPr>
          <w:p w:rsidR="00FA372C" w:rsidRPr="00C50A5C" w:rsidRDefault="00BD3D2B" w:rsidP="00171E41">
            <w:pPr>
              <w:widowControl w:val="0"/>
              <w:jc w:val="both"/>
              <w:rPr>
                <w:b/>
                <w:sz w:val="20"/>
                <w:szCs w:val="20"/>
              </w:rPr>
            </w:pPr>
            <w:r w:rsidRPr="00DC3B5A">
              <w:rPr>
                <w:rFonts w:eastAsia="Calibri" w:cs="Times New Roman"/>
                <w:b/>
                <w:sz w:val="20"/>
                <w:szCs w:val="20"/>
              </w:rPr>
              <w:t>Mark Whyte</w:t>
            </w:r>
          </w:p>
          <w:p w:rsidR="00FA372C" w:rsidRPr="00C50A5C" w:rsidRDefault="00FA372C" w:rsidP="00171E41">
            <w:pPr>
              <w:widowControl w:val="0"/>
              <w:jc w:val="both"/>
              <w:rPr>
                <w:b/>
                <w:sz w:val="20"/>
                <w:szCs w:val="20"/>
              </w:rPr>
            </w:pPr>
          </w:p>
          <w:p w:rsidR="00DB2B0E" w:rsidRDefault="00FA372C" w:rsidP="00171E41">
            <w:pPr>
              <w:widowControl w:val="0"/>
              <w:tabs>
                <w:tab w:val="left" w:pos="736"/>
              </w:tabs>
              <w:jc w:val="both"/>
              <w:rPr>
                <w:b/>
                <w:sz w:val="20"/>
                <w:szCs w:val="20"/>
              </w:rPr>
            </w:pPr>
            <w:r w:rsidRPr="00C50A5C">
              <w:rPr>
                <w:b/>
                <w:sz w:val="20"/>
                <w:szCs w:val="20"/>
              </w:rPr>
              <w:tab/>
              <w:t>v. (3</w:t>
            </w:r>
            <w:r w:rsidR="00DB2B0E">
              <w:rPr>
                <w:b/>
                <w:sz w:val="20"/>
                <w:szCs w:val="20"/>
              </w:rPr>
              <w:t>3965</w:t>
            </w:r>
            <w:r w:rsidR="00E978B8">
              <w:rPr>
                <w:b/>
                <w:sz w:val="20"/>
                <w:szCs w:val="20"/>
              </w:rPr>
              <w:t>)</w:t>
            </w:r>
          </w:p>
          <w:p w:rsidR="00FA372C" w:rsidRPr="00C50A5C" w:rsidRDefault="00FA372C" w:rsidP="00171E41">
            <w:pPr>
              <w:widowControl w:val="0"/>
              <w:tabs>
                <w:tab w:val="left" w:pos="736"/>
              </w:tabs>
              <w:jc w:val="both"/>
              <w:rPr>
                <w:b/>
                <w:sz w:val="20"/>
                <w:szCs w:val="20"/>
              </w:rPr>
            </w:pPr>
          </w:p>
          <w:p w:rsidR="00FA372C" w:rsidRPr="00C50A5C" w:rsidRDefault="00BD3D2B" w:rsidP="00BD3D2B">
            <w:pPr>
              <w:widowControl w:val="0"/>
              <w:jc w:val="both"/>
              <w:rPr>
                <w:sz w:val="20"/>
                <w:szCs w:val="20"/>
                <w:lang w:val="fr-CA"/>
              </w:rPr>
            </w:pPr>
            <w:r w:rsidRPr="005B72D4">
              <w:rPr>
                <w:rFonts w:eastAsia="Calibri" w:cs="Times New Roman"/>
                <w:b/>
                <w:sz w:val="20"/>
                <w:szCs w:val="20"/>
              </w:rPr>
              <w:t>Her Majesty the Queen (Ont.) (Criminal) (As of Right)</w:t>
            </w:r>
          </w:p>
        </w:tc>
        <w:tc>
          <w:tcPr>
            <w:tcW w:w="720" w:type="dxa"/>
            <w:tcMar>
              <w:left w:w="0" w:type="dxa"/>
              <w:right w:w="0" w:type="dxa"/>
            </w:tcMar>
          </w:tcPr>
          <w:p w:rsidR="00FA372C" w:rsidRPr="00C50A5C" w:rsidRDefault="00FA372C" w:rsidP="00171E41">
            <w:pPr>
              <w:widowControl w:val="0"/>
              <w:jc w:val="center"/>
              <w:rPr>
                <w:sz w:val="20"/>
                <w:szCs w:val="20"/>
                <w:lang w:val="fr-CA"/>
              </w:rPr>
            </w:pPr>
          </w:p>
        </w:tc>
        <w:tc>
          <w:tcPr>
            <w:tcW w:w="4380" w:type="dxa"/>
            <w:tcMar>
              <w:left w:w="0" w:type="dxa"/>
              <w:right w:w="0" w:type="dxa"/>
            </w:tcMar>
          </w:tcPr>
          <w:p w:rsidR="00BD3D2B" w:rsidRPr="00FE78CC" w:rsidRDefault="00BD3D2B" w:rsidP="00BD3D2B">
            <w:pPr>
              <w:jc w:val="both"/>
              <w:rPr>
                <w:sz w:val="20"/>
                <w:szCs w:val="20"/>
              </w:rPr>
            </w:pPr>
            <w:r w:rsidRPr="00FE78CC">
              <w:rPr>
                <w:sz w:val="20"/>
                <w:szCs w:val="20"/>
              </w:rPr>
              <w:t>Reid Rusonik</w:t>
            </w:r>
            <w:r>
              <w:rPr>
                <w:sz w:val="20"/>
                <w:szCs w:val="20"/>
              </w:rPr>
              <w:t xml:space="preserve"> and </w:t>
            </w:r>
            <w:r w:rsidRPr="00FE78CC">
              <w:rPr>
                <w:sz w:val="20"/>
                <w:szCs w:val="20"/>
              </w:rPr>
              <w:t>Nathan Gorham</w:t>
            </w:r>
            <w:r>
              <w:rPr>
                <w:sz w:val="20"/>
                <w:szCs w:val="20"/>
              </w:rPr>
              <w:t xml:space="preserve"> f</w:t>
            </w:r>
            <w:r w:rsidRPr="00FE78CC">
              <w:rPr>
                <w:sz w:val="20"/>
                <w:szCs w:val="20"/>
              </w:rPr>
              <w:t xml:space="preserve">or the </w:t>
            </w:r>
            <w:r>
              <w:rPr>
                <w:sz w:val="20"/>
                <w:szCs w:val="20"/>
              </w:rPr>
              <w:t>a</w:t>
            </w:r>
            <w:r w:rsidRPr="00FE78CC">
              <w:rPr>
                <w:sz w:val="20"/>
                <w:szCs w:val="20"/>
              </w:rPr>
              <w:t>ppellant.</w:t>
            </w:r>
          </w:p>
          <w:p w:rsidR="00BD3D2B" w:rsidRPr="00FE78CC" w:rsidRDefault="00BD3D2B" w:rsidP="00BD3D2B">
            <w:pPr>
              <w:jc w:val="both"/>
              <w:rPr>
                <w:sz w:val="20"/>
                <w:szCs w:val="20"/>
              </w:rPr>
            </w:pPr>
          </w:p>
          <w:p w:rsidR="00BD3D2B" w:rsidRPr="00FE78CC" w:rsidRDefault="00BD3D2B" w:rsidP="00BD3D2B">
            <w:pPr>
              <w:jc w:val="both"/>
              <w:rPr>
                <w:sz w:val="20"/>
                <w:szCs w:val="20"/>
              </w:rPr>
            </w:pPr>
            <w:r w:rsidRPr="00FE78CC">
              <w:rPr>
                <w:sz w:val="20"/>
                <w:szCs w:val="20"/>
              </w:rPr>
              <w:t>Jennifer M. Woollcombe</w:t>
            </w:r>
            <w:r>
              <w:rPr>
                <w:sz w:val="20"/>
                <w:szCs w:val="20"/>
              </w:rPr>
              <w:t xml:space="preserve"> f</w:t>
            </w:r>
            <w:r w:rsidRPr="00FE78CC">
              <w:rPr>
                <w:sz w:val="20"/>
                <w:szCs w:val="20"/>
              </w:rPr>
              <w:t xml:space="preserve">or the </w:t>
            </w:r>
            <w:r>
              <w:rPr>
                <w:sz w:val="20"/>
                <w:szCs w:val="20"/>
              </w:rPr>
              <w:t>r</w:t>
            </w:r>
            <w:r w:rsidRPr="00FE78CC">
              <w:rPr>
                <w:sz w:val="20"/>
                <w:szCs w:val="20"/>
              </w:rPr>
              <w:t>espondent.</w:t>
            </w:r>
          </w:p>
          <w:p w:rsidR="00FA372C" w:rsidRPr="00C50A5C" w:rsidRDefault="00FA372C" w:rsidP="00171E41">
            <w:pPr>
              <w:widowControl w:val="0"/>
              <w:jc w:val="both"/>
              <w:rPr>
                <w:sz w:val="20"/>
                <w:szCs w:val="20"/>
              </w:rPr>
            </w:pPr>
          </w:p>
        </w:tc>
      </w:tr>
    </w:tbl>
    <w:p w:rsidR="00FA372C" w:rsidRDefault="00FA372C" w:rsidP="00FA372C">
      <w:pPr>
        <w:widowControl w:val="0"/>
        <w:rPr>
          <w:sz w:val="20"/>
          <w:szCs w:val="20"/>
        </w:rPr>
      </w:pPr>
    </w:p>
    <w:p w:rsidR="008621BF" w:rsidRPr="008621BF" w:rsidRDefault="008621BF" w:rsidP="00FA372C">
      <w:pPr>
        <w:widowControl w:val="0"/>
        <w:rPr>
          <w:b/>
          <w:sz w:val="20"/>
          <w:szCs w:val="20"/>
        </w:rPr>
      </w:pPr>
      <w:r w:rsidRPr="008621BF">
        <w:rPr>
          <w:b/>
          <w:sz w:val="20"/>
          <w:szCs w:val="20"/>
        </w:rPr>
        <w:t>2011 SCC 4</w:t>
      </w:r>
      <w:r w:rsidR="00FC7FF3">
        <w:rPr>
          <w:b/>
          <w:sz w:val="20"/>
          <w:szCs w:val="20"/>
        </w:rPr>
        <w:t>9</w:t>
      </w:r>
      <w:r w:rsidRPr="008621BF">
        <w:rPr>
          <w:b/>
          <w:sz w:val="20"/>
          <w:szCs w:val="20"/>
        </w:rPr>
        <w:t xml:space="preserve"> / 2011 CSC 4</w:t>
      </w:r>
      <w:r w:rsidR="00FC7FF3">
        <w:rPr>
          <w:b/>
          <w:sz w:val="20"/>
          <w:szCs w:val="20"/>
        </w:rPr>
        <w:t>9</w:t>
      </w:r>
    </w:p>
    <w:p w:rsidR="008621BF" w:rsidRPr="00EA79B0" w:rsidRDefault="008621BF" w:rsidP="00FA372C">
      <w:pPr>
        <w:widowControl w:val="0"/>
        <w:rPr>
          <w:sz w:val="20"/>
          <w:szCs w:val="20"/>
        </w:rPr>
      </w:pPr>
    </w:p>
    <w:p w:rsidR="00FA372C" w:rsidRDefault="00BD3D2B" w:rsidP="00BD3D2B">
      <w:pPr>
        <w:widowControl w:val="0"/>
        <w:rPr>
          <w:rFonts w:eastAsia="Calibri" w:cs="Times New Roman"/>
          <w:b/>
          <w:bCs/>
          <w:sz w:val="20"/>
          <w:szCs w:val="20"/>
        </w:rPr>
      </w:pPr>
      <w:r w:rsidRPr="00DC3B5A">
        <w:rPr>
          <w:rFonts w:eastAsia="Calibri" w:cs="Times New Roman"/>
          <w:b/>
          <w:bCs/>
          <w:sz w:val="20"/>
          <w:szCs w:val="20"/>
        </w:rPr>
        <w:t>DISMISSED / REJETÉ</w:t>
      </w:r>
    </w:p>
    <w:p w:rsidR="008621BF" w:rsidRPr="0085476B" w:rsidRDefault="008621BF" w:rsidP="00BD3D2B">
      <w:pPr>
        <w:widowControl w:val="0"/>
        <w:rPr>
          <w:sz w:val="20"/>
          <w:szCs w:val="20"/>
        </w:rPr>
      </w:pPr>
    </w:p>
    <w:p w:rsidR="008621BF" w:rsidRDefault="008621BF">
      <w:r>
        <w:br w:type="page"/>
      </w:r>
    </w:p>
    <w:tbl>
      <w:tblPr>
        <w:tblW w:w="0" w:type="auto"/>
        <w:tblLayout w:type="fixed"/>
        <w:tblCellMar>
          <w:left w:w="0" w:type="dxa"/>
          <w:right w:w="0" w:type="dxa"/>
        </w:tblCellMar>
        <w:tblLook w:val="0000"/>
      </w:tblPr>
      <w:tblGrid>
        <w:gridCol w:w="4380"/>
        <w:gridCol w:w="720"/>
        <w:gridCol w:w="4380"/>
      </w:tblGrid>
      <w:tr w:rsidR="00FA372C" w:rsidRPr="00FC7FF3" w:rsidTr="00171E41">
        <w:tc>
          <w:tcPr>
            <w:tcW w:w="4380" w:type="dxa"/>
            <w:tcMar>
              <w:left w:w="0" w:type="dxa"/>
              <w:right w:w="0" w:type="dxa"/>
            </w:tcMar>
          </w:tcPr>
          <w:p w:rsidR="00FA372C" w:rsidRPr="00CC4D84" w:rsidRDefault="00FA372C" w:rsidP="00171E41">
            <w:pPr>
              <w:widowControl w:val="0"/>
              <w:jc w:val="both"/>
              <w:rPr>
                <w:b/>
                <w:sz w:val="20"/>
                <w:szCs w:val="20"/>
                <w:u w:val="single"/>
              </w:rPr>
            </w:pPr>
            <w:r w:rsidRPr="00CC4D84">
              <w:rPr>
                <w:b/>
                <w:sz w:val="20"/>
                <w:szCs w:val="20"/>
                <w:u w:val="single"/>
              </w:rPr>
              <w:lastRenderedPageBreak/>
              <w:t>Nature of the case:</w:t>
            </w:r>
          </w:p>
          <w:p w:rsidR="00FA372C" w:rsidRPr="00C1697B" w:rsidRDefault="00FA372C" w:rsidP="00171E41">
            <w:pPr>
              <w:widowControl w:val="0"/>
              <w:jc w:val="both"/>
              <w:rPr>
                <w:b/>
                <w:sz w:val="20"/>
                <w:szCs w:val="20"/>
              </w:rPr>
            </w:pPr>
          </w:p>
          <w:p w:rsidR="00FA372C" w:rsidRPr="00C1697B" w:rsidRDefault="00DB2B0E" w:rsidP="00171E41">
            <w:pPr>
              <w:widowControl w:val="0"/>
              <w:jc w:val="both"/>
              <w:rPr>
                <w:b/>
                <w:sz w:val="20"/>
                <w:szCs w:val="20"/>
              </w:rPr>
            </w:pPr>
            <w:r w:rsidRPr="0050627D">
              <w:rPr>
                <w:i/>
                <w:sz w:val="20"/>
                <w:szCs w:val="20"/>
              </w:rPr>
              <w:t>Charter of rights</w:t>
            </w:r>
            <w:r w:rsidRPr="0050627D">
              <w:rPr>
                <w:sz w:val="20"/>
                <w:szCs w:val="20"/>
              </w:rPr>
              <w:t xml:space="preserve"> </w:t>
            </w:r>
            <w:r w:rsidRPr="0050627D">
              <w:rPr>
                <w:sz w:val="20"/>
                <w:szCs w:val="20"/>
              </w:rPr>
              <w:noBreakHyphen/>
              <w:t xml:space="preserve"> Criminal law </w:t>
            </w:r>
            <w:r w:rsidRPr="0050627D">
              <w:rPr>
                <w:sz w:val="20"/>
                <w:szCs w:val="20"/>
              </w:rPr>
              <w:noBreakHyphen/>
              <w:t xml:space="preserve"> Search and seizure </w:t>
            </w:r>
            <w:r w:rsidRPr="0050627D">
              <w:rPr>
                <w:sz w:val="20"/>
                <w:szCs w:val="20"/>
              </w:rPr>
              <w:noBreakHyphen/>
              <w:t xml:space="preserve"> Arbitrary detention </w:t>
            </w:r>
            <w:r w:rsidRPr="0050627D">
              <w:rPr>
                <w:sz w:val="20"/>
                <w:szCs w:val="20"/>
              </w:rPr>
              <w:noBreakHyphen/>
              <w:t xml:space="preserve"> Whether the trial judge erred in holding that the appellant’s rights under ss. 8 and 9 of the </w:t>
            </w:r>
            <w:r w:rsidRPr="0050627D">
              <w:rPr>
                <w:i/>
                <w:sz w:val="20"/>
                <w:szCs w:val="20"/>
              </w:rPr>
              <w:t>Charter</w:t>
            </w:r>
            <w:r w:rsidRPr="0050627D">
              <w:rPr>
                <w:sz w:val="20"/>
                <w:szCs w:val="20"/>
              </w:rPr>
              <w:t xml:space="preserve"> were violated </w:t>
            </w:r>
            <w:r w:rsidRPr="0050627D">
              <w:rPr>
                <w:sz w:val="20"/>
                <w:szCs w:val="20"/>
              </w:rPr>
              <w:noBreakHyphen/>
              <w:t xml:space="preserve"> Whether the trial judge erred in excluding the seized firearms pursuant to s. 24(2) of the </w:t>
            </w:r>
            <w:r w:rsidRPr="0050627D">
              <w:rPr>
                <w:i/>
                <w:sz w:val="20"/>
                <w:szCs w:val="20"/>
              </w:rPr>
              <w:t>Charter</w:t>
            </w:r>
            <w:r w:rsidRPr="0050627D">
              <w:rPr>
                <w:sz w:val="20"/>
                <w:szCs w:val="20"/>
              </w:rPr>
              <w:t>.</w:t>
            </w:r>
          </w:p>
        </w:tc>
        <w:tc>
          <w:tcPr>
            <w:tcW w:w="720" w:type="dxa"/>
            <w:tcMar>
              <w:left w:w="0" w:type="dxa"/>
              <w:right w:w="0" w:type="dxa"/>
            </w:tcMar>
          </w:tcPr>
          <w:p w:rsidR="00FA372C" w:rsidRPr="00C1697B" w:rsidRDefault="00FA372C" w:rsidP="00171E41">
            <w:pPr>
              <w:widowControl w:val="0"/>
              <w:jc w:val="center"/>
              <w:rPr>
                <w:sz w:val="20"/>
                <w:szCs w:val="20"/>
              </w:rPr>
            </w:pPr>
          </w:p>
        </w:tc>
        <w:tc>
          <w:tcPr>
            <w:tcW w:w="4380" w:type="dxa"/>
            <w:tcMar>
              <w:left w:w="0" w:type="dxa"/>
              <w:right w:w="0" w:type="dxa"/>
            </w:tcMar>
          </w:tcPr>
          <w:p w:rsidR="00FA372C" w:rsidRPr="00CC4D84" w:rsidRDefault="00FA372C" w:rsidP="00171E41">
            <w:pPr>
              <w:widowControl w:val="0"/>
              <w:jc w:val="both"/>
              <w:rPr>
                <w:b/>
                <w:sz w:val="20"/>
                <w:szCs w:val="20"/>
                <w:u w:val="single"/>
                <w:lang w:val="fr-CA"/>
              </w:rPr>
            </w:pPr>
            <w:r w:rsidRPr="00CC4D84">
              <w:rPr>
                <w:b/>
                <w:sz w:val="20"/>
                <w:szCs w:val="20"/>
                <w:u w:val="single"/>
                <w:lang w:val="fr-CA"/>
              </w:rPr>
              <w:t>Nature de la cause :</w:t>
            </w:r>
          </w:p>
          <w:p w:rsidR="00FA372C" w:rsidRPr="00C1697B" w:rsidRDefault="00FA372C" w:rsidP="00171E41">
            <w:pPr>
              <w:widowControl w:val="0"/>
              <w:jc w:val="both"/>
              <w:rPr>
                <w:sz w:val="20"/>
                <w:szCs w:val="20"/>
                <w:lang w:val="fr-CA"/>
              </w:rPr>
            </w:pPr>
          </w:p>
          <w:p w:rsidR="00FA372C" w:rsidRPr="00C1697B" w:rsidRDefault="00DB2B0E" w:rsidP="00171E41">
            <w:pPr>
              <w:widowControl w:val="0"/>
              <w:jc w:val="both"/>
              <w:rPr>
                <w:sz w:val="20"/>
                <w:szCs w:val="20"/>
                <w:lang w:val="fr-CA"/>
              </w:rPr>
            </w:pPr>
            <w:r w:rsidRPr="009D4236">
              <w:rPr>
                <w:i/>
                <w:iCs/>
                <w:sz w:val="20"/>
                <w:szCs w:val="20"/>
                <w:lang w:val="fr-CA"/>
              </w:rPr>
              <w:t xml:space="preserve">Charte des droits </w:t>
            </w:r>
            <w:r w:rsidRPr="009D4236">
              <w:rPr>
                <w:i/>
                <w:iCs/>
                <w:sz w:val="20"/>
                <w:szCs w:val="20"/>
                <w:lang w:val="fr-CA"/>
              </w:rPr>
              <w:noBreakHyphen/>
            </w:r>
            <w:r w:rsidRPr="009D4236">
              <w:rPr>
                <w:sz w:val="20"/>
                <w:szCs w:val="20"/>
                <w:lang w:val="fr-CA"/>
              </w:rPr>
              <w:t xml:space="preserve"> Droit criminel </w:t>
            </w:r>
            <w:r w:rsidRPr="009D4236">
              <w:rPr>
                <w:sz w:val="20"/>
                <w:szCs w:val="20"/>
                <w:lang w:val="fr-CA"/>
              </w:rPr>
              <w:noBreakHyphen/>
              <w:t xml:space="preserve"> Fouille et perquisition </w:t>
            </w:r>
            <w:r w:rsidRPr="009D4236">
              <w:rPr>
                <w:sz w:val="20"/>
                <w:szCs w:val="20"/>
                <w:lang w:val="fr-CA"/>
              </w:rPr>
              <w:noBreakHyphen/>
              <w:t xml:space="preserve"> Détention arbitraire </w:t>
            </w:r>
            <w:r w:rsidRPr="009D4236">
              <w:rPr>
                <w:sz w:val="20"/>
                <w:szCs w:val="20"/>
                <w:lang w:val="fr-CA"/>
              </w:rPr>
              <w:noBreakHyphen/>
              <w:t xml:space="preserve"> Le juge du procès a</w:t>
            </w:r>
            <w:r w:rsidRPr="009D4236">
              <w:rPr>
                <w:sz w:val="20"/>
                <w:szCs w:val="20"/>
                <w:lang w:val="fr-CA"/>
              </w:rPr>
              <w:noBreakHyphen/>
              <w:t>t</w:t>
            </w:r>
            <w:r w:rsidRPr="009D4236">
              <w:rPr>
                <w:sz w:val="20"/>
                <w:szCs w:val="20"/>
                <w:lang w:val="fr-CA"/>
              </w:rPr>
              <w:noBreakHyphen/>
              <w:t xml:space="preserve">il eu tort de statuer que les droits de l'appelant garantis par </w:t>
            </w:r>
            <w:proofErr w:type="gramStart"/>
            <w:r w:rsidRPr="009D4236">
              <w:rPr>
                <w:sz w:val="20"/>
                <w:szCs w:val="20"/>
                <w:lang w:val="fr-CA"/>
              </w:rPr>
              <w:t>les art</w:t>
            </w:r>
            <w:proofErr w:type="gramEnd"/>
            <w:r w:rsidRPr="009D4236">
              <w:rPr>
                <w:sz w:val="20"/>
                <w:szCs w:val="20"/>
                <w:lang w:val="fr-CA"/>
              </w:rPr>
              <w:t xml:space="preserve">. 8 et 9 de la </w:t>
            </w:r>
            <w:r w:rsidRPr="009D4236">
              <w:rPr>
                <w:i/>
                <w:iCs/>
                <w:sz w:val="20"/>
                <w:szCs w:val="20"/>
                <w:lang w:val="fr-CA"/>
              </w:rPr>
              <w:t>Charte</w:t>
            </w:r>
            <w:r w:rsidRPr="009D4236">
              <w:rPr>
                <w:sz w:val="20"/>
                <w:szCs w:val="20"/>
                <w:lang w:val="fr-CA"/>
              </w:rPr>
              <w:t xml:space="preserve"> avaient été violés? </w:t>
            </w:r>
            <w:r w:rsidRPr="009D4236">
              <w:rPr>
                <w:sz w:val="20"/>
                <w:szCs w:val="20"/>
                <w:lang w:val="fr-CA"/>
              </w:rPr>
              <w:noBreakHyphen/>
              <w:t xml:space="preserve"> Le juge du procès a</w:t>
            </w:r>
            <w:r w:rsidRPr="009D4236">
              <w:rPr>
                <w:sz w:val="20"/>
                <w:szCs w:val="20"/>
                <w:lang w:val="fr-CA"/>
              </w:rPr>
              <w:noBreakHyphen/>
              <w:t>t</w:t>
            </w:r>
            <w:r w:rsidRPr="009D4236">
              <w:rPr>
                <w:sz w:val="20"/>
                <w:szCs w:val="20"/>
                <w:lang w:val="fr-CA"/>
              </w:rPr>
              <w:noBreakHyphen/>
              <w:t xml:space="preserve">il eu tort d'exclure les armes à feu saisies, en application du par. 24(2) de la </w:t>
            </w:r>
            <w:r w:rsidRPr="009D4236">
              <w:rPr>
                <w:i/>
                <w:iCs/>
                <w:sz w:val="20"/>
                <w:szCs w:val="20"/>
                <w:lang w:val="fr-CA"/>
              </w:rPr>
              <w:t>Charte</w:t>
            </w:r>
            <w:r w:rsidRPr="009D4236">
              <w:rPr>
                <w:sz w:val="20"/>
                <w:szCs w:val="20"/>
                <w:lang w:val="fr-CA"/>
              </w:rPr>
              <w:t>?</w:t>
            </w:r>
          </w:p>
        </w:tc>
      </w:tr>
    </w:tbl>
    <w:p w:rsidR="00FA372C" w:rsidRDefault="00FA372C" w:rsidP="00FA372C">
      <w:pPr>
        <w:widowControl w:val="0"/>
        <w:rPr>
          <w:sz w:val="20"/>
          <w:szCs w:val="20"/>
          <w:lang w:val="fr-CA"/>
        </w:rPr>
      </w:pPr>
    </w:p>
    <w:p w:rsidR="00FA372C" w:rsidRDefault="004D21E4" w:rsidP="00FA372C">
      <w:pPr>
        <w:widowControl w:val="0"/>
        <w:rPr>
          <w:sz w:val="20"/>
          <w:szCs w:val="20"/>
        </w:rPr>
      </w:pPr>
      <w:r w:rsidRPr="004D21E4">
        <w:rPr>
          <w:sz w:val="20"/>
          <w:szCs w:val="20"/>
          <w:lang w:val="fr-CA"/>
        </w:rPr>
        <w:pict>
          <v:rect id="_x0000_i1125" style="width:2in;height:1pt" o:hrpct="0" o:hralign="center" o:hrstd="t" o:hrnoshade="t" o:hr="t" fillcolor="black [3213]" stroked="f"/>
        </w:pict>
      </w:r>
    </w:p>
    <w:p w:rsidR="00FA372C" w:rsidRPr="00EA79B0" w:rsidRDefault="00FA372C" w:rsidP="00732DB7">
      <w:pPr>
        <w:widowControl w:val="0"/>
        <w:rPr>
          <w:sz w:val="20"/>
          <w:szCs w:val="20"/>
        </w:rPr>
      </w:pPr>
    </w:p>
    <w:p w:rsidR="00E940EB" w:rsidRDefault="00E940EB" w:rsidP="00732DB7">
      <w:pPr>
        <w:widowControl w:val="0"/>
        <w:rPr>
          <w:sz w:val="20"/>
          <w:szCs w:val="20"/>
          <w:lang w:val="fr-CA"/>
        </w:rPr>
      </w:pP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FC7FF3"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AF1715" w:rsidP="00AF1715">
      <w:pPr>
        <w:rPr>
          <w:b/>
          <w:sz w:val="20"/>
          <w:szCs w:val="20"/>
        </w:rPr>
      </w:pPr>
      <w:r w:rsidRPr="003B3977">
        <w:rPr>
          <w:b/>
          <w:sz w:val="20"/>
          <w:szCs w:val="20"/>
        </w:rPr>
        <w:t>O</w:t>
      </w:r>
      <w:r w:rsidR="00EA0A4B">
        <w:rPr>
          <w:b/>
          <w:sz w:val="20"/>
          <w:szCs w:val="20"/>
        </w:rPr>
        <w:t>CTO</w:t>
      </w:r>
      <w:r w:rsidRPr="003B3977">
        <w:rPr>
          <w:b/>
          <w:sz w:val="20"/>
          <w:szCs w:val="20"/>
        </w:rPr>
        <w:t xml:space="preserve">BER </w:t>
      </w:r>
      <w:r w:rsidR="00EA0A4B">
        <w:rPr>
          <w:b/>
          <w:sz w:val="20"/>
          <w:szCs w:val="20"/>
        </w:rPr>
        <w:t>19</w:t>
      </w:r>
      <w:r w:rsidRPr="003B3977">
        <w:rPr>
          <w:b/>
          <w:sz w:val="20"/>
          <w:szCs w:val="20"/>
        </w:rPr>
        <w:t>, 201</w:t>
      </w:r>
      <w:r w:rsidR="00EA0A4B">
        <w:rPr>
          <w:b/>
          <w:sz w:val="20"/>
          <w:szCs w:val="20"/>
        </w:rPr>
        <w:t>1</w:t>
      </w:r>
      <w:r w:rsidRPr="003B3977">
        <w:rPr>
          <w:b/>
          <w:sz w:val="20"/>
          <w:szCs w:val="20"/>
        </w:rPr>
        <w:t xml:space="preserve"> / LE </w:t>
      </w:r>
      <w:r w:rsidR="00EA0A4B">
        <w:rPr>
          <w:b/>
          <w:sz w:val="20"/>
          <w:szCs w:val="20"/>
        </w:rPr>
        <w:t xml:space="preserve">19 </w:t>
      </w:r>
      <w:r w:rsidRPr="003B3977">
        <w:rPr>
          <w:b/>
          <w:sz w:val="20"/>
          <w:szCs w:val="20"/>
        </w:rPr>
        <w:t>O</w:t>
      </w:r>
      <w:r w:rsidR="00EA0A4B">
        <w:rPr>
          <w:b/>
          <w:sz w:val="20"/>
          <w:szCs w:val="20"/>
        </w:rPr>
        <w:t>CTO</w:t>
      </w:r>
      <w:r w:rsidRPr="003B3977">
        <w:rPr>
          <w:b/>
          <w:sz w:val="20"/>
          <w:szCs w:val="20"/>
        </w:rPr>
        <w:t>BRE 201</w:t>
      </w:r>
      <w:r w:rsidR="00EA0A4B">
        <w:rPr>
          <w:b/>
          <w:sz w:val="20"/>
          <w:szCs w:val="20"/>
        </w:rPr>
        <w:t>1</w:t>
      </w:r>
    </w:p>
    <w:p w:rsidR="00AF1715" w:rsidRDefault="00AF1715" w:rsidP="00AF1715">
      <w:pPr>
        <w:rPr>
          <w:sz w:val="20"/>
          <w:szCs w:val="20"/>
        </w:rPr>
      </w:pPr>
    </w:p>
    <w:p w:rsidR="008627E7" w:rsidRPr="00FD4766" w:rsidRDefault="008627E7" w:rsidP="008627E7">
      <w:pPr>
        <w:ind w:left="1440" w:hanging="1440"/>
        <w:jc w:val="both"/>
        <w:rPr>
          <w:b/>
          <w:sz w:val="20"/>
          <w:szCs w:val="20"/>
        </w:rPr>
      </w:pPr>
      <w:proofErr w:type="gramStart"/>
      <w:r w:rsidRPr="00FD4766">
        <w:rPr>
          <w:b/>
          <w:sz w:val="20"/>
          <w:szCs w:val="20"/>
        </w:rPr>
        <w:t>33412</w:t>
      </w:r>
      <w:r w:rsidRPr="00FD4766">
        <w:rPr>
          <w:sz w:val="20"/>
          <w:szCs w:val="20"/>
        </w:rPr>
        <w:tab/>
      </w:r>
      <w:r w:rsidRPr="00FD4766">
        <w:rPr>
          <w:b/>
          <w:bCs/>
          <w:iCs/>
          <w:sz w:val="20"/>
          <w:szCs w:val="20"/>
          <w:u w:val="single"/>
        </w:rPr>
        <w:t>Wayne Crookes and West Coast Title Search Ltd. v. Jon Newton</w:t>
      </w:r>
      <w:r w:rsidRPr="00FD4766">
        <w:rPr>
          <w:b/>
          <w:sz w:val="20"/>
          <w:szCs w:val="20"/>
          <w:u w:val="single"/>
        </w:rPr>
        <w:t xml:space="preserve"> </w:t>
      </w:r>
      <w:r w:rsidRPr="00FD4766">
        <w:rPr>
          <w:sz w:val="20"/>
          <w:szCs w:val="20"/>
        </w:rPr>
        <w:t>(B</w:t>
      </w:r>
      <w:r w:rsidR="00E960A7">
        <w:rPr>
          <w:sz w:val="20"/>
          <w:szCs w:val="20"/>
        </w:rPr>
        <w:t>.</w:t>
      </w:r>
      <w:r w:rsidRPr="00FD4766">
        <w:rPr>
          <w:sz w:val="20"/>
          <w:szCs w:val="20"/>
        </w:rPr>
        <w:t>C</w:t>
      </w:r>
      <w:r w:rsidR="00E960A7">
        <w:rPr>
          <w:sz w:val="20"/>
          <w:szCs w:val="20"/>
        </w:rPr>
        <w:t>.</w:t>
      </w:r>
      <w:r w:rsidRPr="00FD4766">
        <w:rPr>
          <w:sz w:val="20"/>
          <w:szCs w:val="20"/>
        </w:rPr>
        <w:t>)</w:t>
      </w:r>
      <w:proofErr w:type="gramEnd"/>
    </w:p>
    <w:p w:rsidR="008627E7" w:rsidRPr="00FD4766" w:rsidRDefault="008627E7" w:rsidP="008627E7">
      <w:pPr>
        <w:ind w:left="1440" w:hanging="1440"/>
        <w:jc w:val="both"/>
        <w:rPr>
          <w:b/>
          <w:sz w:val="20"/>
          <w:szCs w:val="20"/>
        </w:rPr>
      </w:pPr>
      <w:r w:rsidRPr="00FD4766">
        <w:rPr>
          <w:b/>
          <w:sz w:val="20"/>
          <w:szCs w:val="20"/>
        </w:rPr>
        <w:tab/>
        <w:t>2011 SCC 47 / 2011 CSC 47</w:t>
      </w:r>
    </w:p>
    <w:p w:rsidR="008627E7" w:rsidRPr="00FD4766" w:rsidRDefault="008627E7" w:rsidP="008627E7">
      <w:pPr>
        <w:ind w:left="1440" w:hanging="1440"/>
        <w:jc w:val="both"/>
        <w:rPr>
          <w:b/>
          <w:sz w:val="20"/>
          <w:szCs w:val="20"/>
        </w:rPr>
      </w:pPr>
    </w:p>
    <w:p w:rsidR="008627E7" w:rsidRPr="00FD4766" w:rsidRDefault="008627E7" w:rsidP="008627E7">
      <w:pPr>
        <w:ind w:left="1440" w:hanging="1440"/>
        <w:jc w:val="both"/>
        <w:rPr>
          <w:sz w:val="20"/>
          <w:szCs w:val="20"/>
          <w:u w:val="single"/>
        </w:rPr>
      </w:pPr>
      <w:r w:rsidRPr="00FD4766">
        <w:rPr>
          <w:sz w:val="20"/>
          <w:szCs w:val="20"/>
        </w:rPr>
        <w:t>Coram:</w:t>
      </w:r>
      <w:r>
        <w:rPr>
          <w:sz w:val="20"/>
          <w:szCs w:val="20"/>
        </w:rPr>
        <w:tab/>
      </w:r>
      <w:r w:rsidRPr="00FD4766">
        <w:rPr>
          <w:sz w:val="20"/>
          <w:szCs w:val="20"/>
          <w:u w:val="single"/>
        </w:rPr>
        <w:t>McLachlin C.J. and Binnie, LeBel, Deschamps, Fish, Abella, Charron, Rothstein and Cromwell JJ.</w:t>
      </w:r>
    </w:p>
    <w:p w:rsidR="008627E7" w:rsidRPr="00FD4766" w:rsidRDefault="008627E7" w:rsidP="008627E7">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8627E7" w:rsidRPr="00FD4766" w:rsidRDefault="008627E7" w:rsidP="008627E7">
      <w:pPr>
        <w:jc w:val="both"/>
        <w:rPr>
          <w:sz w:val="20"/>
          <w:szCs w:val="20"/>
        </w:rPr>
      </w:pPr>
      <w:r w:rsidRPr="00FD4766">
        <w:rPr>
          <w:sz w:val="20"/>
          <w:szCs w:val="20"/>
        </w:rPr>
        <w:t>The appeal from the judgment of the Court of Appeal for British Columbia (Vancouver), Number CA036623, 2009 BCCA 392, dated September 15, 2009, heard on December 7, 2010, is dismissed with costs.</w:t>
      </w:r>
    </w:p>
    <w:p w:rsidR="008627E7" w:rsidRPr="00FD4766" w:rsidRDefault="008627E7" w:rsidP="008627E7">
      <w:pPr>
        <w:jc w:val="both"/>
        <w:rPr>
          <w:sz w:val="20"/>
          <w:szCs w:val="20"/>
        </w:rPr>
      </w:pPr>
    </w:p>
    <w:p w:rsidR="008627E7" w:rsidRPr="00FD4766" w:rsidRDefault="008627E7" w:rsidP="008627E7">
      <w:pPr>
        <w:jc w:val="both"/>
        <w:rPr>
          <w:sz w:val="20"/>
          <w:szCs w:val="20"/>
          <w:lang w:val="fr-CA"/>
        </w:rPr>
      </w:pPr>
      <w:r w:rsidRPr="00FD4766">
        <w:rPr>
          <w:sz w:val="20"/>
          <w:szCs w:val="20"/>
          <w:lang w:val="fr-CA"/>
        </w:rPr>
        <w:t>L’appel interjeté contre l’arrêt de la Cour d’appel de la Colombie-Britannique (Vancouver), numéro CA036623, 2009 BCCA 392, en date du 15 septembre 2009, entendu le 7 décembre 2010, est rejeté avec dépens.</w:t>
      </w:r>
    </w:p>
    <w:p w:rsidR="00EA0A4B" w:rsidRPr="008627E7" w:rsidRDefault="00EA0A4B" w:rsidP="00AF1715">
      <w:pPr>
        <w:rPr>
          <w:sz w:val="20"/>
          <w:szCs w:val="20"/>
          <w:lang w:val="fr-CA"/>
        </w:rPr>
      </w:pPr>
    </w:p>
    <w:p w:rsidR="00AF1715" w:rsidRPr="003B3977" w:rsidRDefault="004D21E4" w:rsidP="00AF1715">
      <w:pPr>
        <w:spacing w:line="0" w:lineRule="atLeast"/>
        <w:rPr>
          <w:sz w:val="20"/>
          <w:szCs w:val="20"/>
        </w:rPr>
      </w:pPr>
      <w:r w:rsidRPr="004D21E4">
        <w:rPr>
          <w:b/>
          <w:sz w:val="20"/>
          <w:szCs w:val="20"/>
        </w:rPr>
        <w:pict>
          <v:rect id="_x0000_i1128" style="width:144.3pt;height:1pt" o:hrpct="300" o:hralign="center" o:hrstd="t" o:hrnoshade="t" o:hr="t" fillcolor="black [3213]" stroked="f"/>
        </w:pict>
      </w:r>
    </w:p>
    <w:p w:rsidR="00AF1715" w:rsidRDefault="00AF1715" w:rsidP="00AF1715">
      <w:pPr>
        <w:spacing w:line="0" w:lineRule="atLeast"/>
        <w:rPr>
          <w:sz w:val="20"/>
          <w:szCs w:val="20"/>
        </w:rPr>
      </w:pPr>
    </w:p>
    <w:p w:rsidR="008627E7" w:rsidRPr="003B3977" w:rsidRDefault="008627E7" w:rsidP="008627E7">
      <w:pPr>
        <w:rPr>
          <w:b/>
          <w:sz w:val="20"/>
          <w:szCs w:val="20"/>
        </w:rPr>
      </w:pPr>
      <w:r w:rsidRPr="003B3977">
        <w:rPr>
          <w:b/>
          <w:sz w:val="20"/>
          <w:szCs w:val="20"/>
        </w:rPr>
        <w:t>O</w:t>
      </w:r>
      <w:r>
        <w:rPr>
          <w:b/>
          <w:sz w:val="20"/>
          <w:szCs w:val="20"/>
        </w:rPr>
        <w:t>CTO</w:t>
      </w:r>
      <w:r w:rsidRPr="003B3977">
        <w:rPr>
          <w:b/>
          <w:sz w:val="20"/>
          <w:szCs w:val="20"/>
        </w:rPr>
        <w:t xml:space="preserve">BER </w:t>
      </w:r>
      <w:r>
        <w:rPr>
          <w:b/>
          <w:sz w:val="20"/>
          <w:szCs w:val="20"/>
        </w:rPr>
        <w:t>20</w:t>
      </w:r>
      <w:r w:rsidRPr="003B3977">
        <w:rPr>
          <w:b/>
          <w:sz w:val="20"/>
          <w:szCs w:val="20"/>
        </w:rPr>
        <w:t>, 201</w:t>
      </w:r>
      <w:r>
        <w:rPr>
          <w:b/>
          <w:sz w:val="20"/>
          <w:szCs w:val="20"/>
        </w:rPr>
        <w:t>1</w:t>
      </w:r>
      <w:r w:rsidRPr="003B3977">
        <w:rPr>
          <w:b/>
          <w:sz w:val="20"/>
          <w:szCs w:val="20"/>
        </w:rPr>
        <w:t xml:space="preserve"> / LE </w:t>
      </w:r>
      <w:r>
        <w:rPr>
          <w:b/>
          <w:sz w:val="20"/>
          <w:szCs w:val="20"/>
        </w:rPr>
        <w:t xml:space="preserve">20 </w:t>
      </w:r>
      <w:r w:rsidRPr="003B3977">
        <w:rPr>
          <w:b/>
          <w:sz w:val="20"/>
          <w:szCs w:val="20"/>
        </w:rPr>
        <w:t>O</w:t>
      </w:r>
      <w:r>
        <w:rPr>
          <w:b/>
          <w:sz w:val="20"/>
          <w:szCs w:val="20"/>
        </w:rPr>
        <w:t>CTO</w:t>
      </w:r>
      <w:r w:rsidRPr="003B3977">
        <w:rPr>
          <w:b/>
          <w:sz w:val="20"/>
          <w:szCs w:val="20"/>
        </w:rPr>
        <w:t>BRE 201</w:t>
      </w:r>
      <w:r>
        <w:rPr>
          <w:b/>
          <w:sz w:val="20"/>
          <w:szCs w:val="20"/>
        </w:rPr>
        <w:t>1</w:t>
      </w:r>
    </w:p>
    <w:p w:rsidR="008627E7" w:rsidRDefault="008627E7" w:rsidP="00AF1715">
      <w:pPr>
        <w:spacing w:line="0" w:lineRule="atLeast"/>
        <w:rPr>
          <w:sz w:val="20"/>
          <w:szCs w:val="20"/>
        </w:rPr>
      </w:pPr>
    </w:p>
    <w:p w:rsidR="00A91E44" w:rsidRPr="00E810B7" w:rsidRDefault="00A91E44" w:rsidP="00A91E44">
      <w:pPr>
        <w:shd w:val="clear" w:color="auto" w:fill="FFFFFF"/>
        <w:ind w:left="720" w:hanging="720"/>
        <w:jc w:val="both"/>
        <w:rPr>
          <w:rFonts w:eastAsia="Calibri" w:cs="Times New Roman"/>
          <w:sz w:val="20"/>
          <w:szCs w:val="20"/>
          <w:lang w:val="en-GB"/>
        </w:rPr>
      </w:pPr>
      <w:proofErr w:type="gramStart"/>
      <w:r w:rsidRPr="00E810B7">
        <w:rPr>
          <w:rFonts w:eastAsia="Calibri" w:cs="Times New Roman"/>
          <w:b/>
          <w:sz w:val="20"/>
          <w:szCs w:val="20"/>
        </w:rPr>
        <w:t>33762</w:t>
      </w:r>
      <w:r w:rsidRPr="00E810B7">
        <w:rPr>
          <w:rFonts w:eastAsia="Calibri" w:cs="Times New Roman"/>
          <w:sz w:val="20"/>
          <w:szCs w:val="20"/>
        </w:rPr>
        <w:tab/>
      </w:r>
      <w:r w:rsidRPr="00E810B7">
        <w:rPr>
          <w:rFonts w:eastAsia="Calibri" w:cs="Times New Roman"/>
          <w:sz w:val="20"/>
          <w:szCs w:val="20"/>
        </w:rPr>
        <w:tab/>
      </w:r>
      <w:r w:rsidRPr="00E810B7">
        <w:rPr>
          <w:rFonts w:eastAsia="Calibri" w:cs="Times New Roman"/>
          <w:b/>
          <w:bCs/>
          <w:iCs/>
          <w:sz w:val="20"/>
          <w:szCs w:val="20"/>
          <w:u w:val="single"/>
        </w:rPr>
        <w:t>Robert Katigbak v.</w:t>
      </w:r>
      <w:proofErr w:type="gramEnd"/>
      <w:r w:rsidRPr="00E810B7">
        <w:rPr>
          <w:rFonts w:eastAsia="Calibri" w:cs="Times New Roman"/>
          <w:b/>
          <w:bCs/>
          <w:iCs/>
          <w:sz w:val="20"/>
          <w:szCs w:val="20"/>
          <w:u w:val="single"/>
        </w:rPr>
        <w:t xml:space="preserve"> </w:t>
      </w:r>
      <w:proofErr w:type="gramStart"/>
      <w:r w:rsidRPr="00E810B7">
        <w:rPr>
          <w:rFonts w:eastAsia="Calibri" w:cs="Times New Roman"/>
          <w:b/>
          <w:bCs/>
          <w:iCs/>
          <w:sz w:val="20"/>
          <w:szCs w:val="20"/>
          <w:u w:val="single"/>
        </w:rPr>
        <w:t>Her Majesty the Queen</w:t>
      </w:r>
      <w:r w:rsidRPr="00E810B7">
        <w:rPr>
          <w:rFonts w:eastAsia="Calibri" w:cs="Times New Roman"/>
          <w:sz w:val="20"/>
          <w:szCs w:val="20"/>
          <w:lang w:val="en-GB"/>
        </w:rPr>
        <w:t xml:space="preserve"> (Ont.)</w:t>
      </w:r>
      <w:proofErr w:type="gramEnd"/>
    </w:p>
    <w:p w:rsidR="00A91E44" w:rsidRPr="00E810B7" w:rsidRDefault="00A91E44" w:rsidP="00A91E44">
      <w:pPr>
        <w:ind w:left="1440" w:hanging="1440"/>
        <w:jc w:val="both"/>
        <w:rPr>
          <w:rFonts w:eastAsia="Calibri" w:cs="Times New Roman"/>
          <w:b/>
          <w:sz w:val="20"/>
          <w:szCs w:val="20"/>
        </w:rPr>
      </w:pPr>
      <w:r w:rsidRPr="00E810B7">
        <w:rPr>
          <w:rFonts w:eastAsia="Calibri" w:cs="Times New Roman"/>
          <w:b/>
          <w:sz w:val="20"/>
          <w:szCs w:val="20"/>
        </w:rPr>
        <w:tab/>
        <w:t>2011 SCC 48 / 2011 CSC 48</w:t>
      </w:r>
    </w:p>
    <w:p w:rsidR="00A91E44" w:rsidRPr="00E810B7" w:rsidRDefault="00A91E44" w:rsidP="00A91E44">
      <w:pPr>
        <w:ind w:left="1440" w:hanging="1440"/>
        <w:jc w:val="both"/>
        <w:rPr>
          <w:rFonts w:eastAsia="Calibri" w:cs="Times New Roman"/>
          <w:b/>
          <w:sz w:val="20"/>
          <w:szCs w:val="20"/>
        </w:rPr>
      </w:pPr>
    </w:p>
    <w:p w:rsidR="00A91E44" w:rsidRPr="00E810B7" w:rsidRDefault="00A91E44" w:rsidP="00A91E44">
      <w:pPr>
        <w:ind w:left="1440" w:hanging="1440"/>
        <w:jc w:val="both"/>
        <w:rPr>
          <w:rFonts w:eastAsia="Calibri" w:cs="Times New Roman"/>
          <w:sz w:val="20"/>
          <w:szCs w:val="20"/>
          <w:u w:val="single"/>
        </w:rPr>
      </w:pPr>
      <w:r w:rsidRPr="00E810B7">
        <w:rPr>
          <w:rFonts w:eastAsia="Calibri" w:cs="Times New Roman"/>
          <w:sz w:val="20"/>
          <w:szCs w:val="20"/>
        </w:rPr>
        <w:t xml:space="preserve">Coram: </w:t>
      </w:r>
      <w:r>
        <w:rPr>
          <w:sz w:val="20"/>
          <w:szCs w:val="20"/>
        </w:rPr>
        <w:tab/>
      </w:r>
      <w:r w:rsidRPr="00E810B7">
        <w:rPr>
          <w:rFonts w:eastAsia="Calibri" w:cs="Times New Roman"/>
          <w:sz w:val="20"/>
          <w:szCs w:val="20"/>
          <w:u w:val="single"/>
        </w:rPr>
        <w:t>McLachlin C.J. and Binnie, LeBel, Deschamps, Fish, Abella, Charron, Rothstein and Cromwell JJ.</w:t>
      </w:r>
    </w:p>
    <w:p w:rsidR="00A91E44" w:rsidRPr="00E810B7" w:rsidRDefault="00A91E44" w:rsidP="00A91E44">
      <w:pPr>
        <w:ind w:left="720" w:hanging="720"/>
        <w:jc w:val="both"/>
        <w:rPr>
          <w:rFonts w:eastAsia="Calibri" w:cs="Times New Roman"/>
          <w:sz w:val="20"/>
          <w:szCs w:val="20"/>
        </w:rPr>
      </w:pPr>
    </w:p>
    <w:p w:rsidR="00A91E44" w:rsidRPr="00E810B7" w:rsidRDefault="00A91E44" w:rsidP="00A91E44">
      <w:pPr>
        <w:jc w:val="both"/>
        <w:rPr>
          <w:rFonts w:eastAsia="Calibri" w:cs="Times New Roman"/>
          <w:sz w:val="20"/>
          <w:szCs w:val="20"/>
        </w:rPr>
      </w:pPr>
      <w:r w:rsidRPr="00E810B7">
        <w:rPr>
          <w:rFonts w:eastAsia="Calibri" w:cs="Times New Roman"/>
          <w:sz w:val="20"/>
          <w:szCs w:val="20"/>
        </w:rPr>
        <w:t xml:space="preserve">The appeal from the judgment </w:t>
      </w:r>
      <w:bookmarkStart w:id="1" w:name="BM_1_"/>
      <w:bookmarkEnd w:id="1"/>
      <w:r w:rsidRPr="00E810B7">
        <w:rPr>
          <w:rFonts w:eastAsia="Calibri" w:cs="Times New Roman"/>
          <w:sz w:val="20"/>
          <w:szCs w:val="20"/>
        </w:rPr>
        <w:t>of the Court of Appeal for Ontario, Number C49717, 2010 ONCA 411, dated June 8, 2010, heard on February 21, 2011, is allowed and a new trial is ordered.</w:t>
      </w:r>
    </w:p>
    <w:p w:rsidR="00A91E44" w:rsidRPr="00E810B7" w:rsidRDefault="00A91E44" w:rsidP="00A91E44">
      <w:pPr>
        <w:jc w:val="both"/>
        <w:rPr>
          <w:rFonts w:eastAsia="Calibri" w:cs="Times New Roman"/>
          <w:sz w:val="20"/>
          <w:szCs w:val="20"/>
        </w:rPr>
      </w:pPr>
    </w:p>
    <w:p w:rsidR="00A91E44" w:rsidRPr="00E810B7" w:rsidRDefault="00A91E44" w:rsidP="00A91E44">
      <w:pPr>
        <w:jc w:val="both"/>
        <w:rPr>
          <w:rFonts w:eastAsia="Calibri" w:cs="Times New Roman"/>
          <w:sz w:val="20"/>
          <w:szCs w:val="20"/>
          <w:lang w:val="fr-CA"/>
        </w:rPr>
      </w:pPr>
      <w:r w:rsidRPr="00E810B7">
        <w:rPr>
          <w:rFonts w:eastAsia="Calibri" w:cs="Times New Roman"/>
          <w:sz w:val="20"/>
          <w:szCs w:val="20"/>
          <w:lang w:val="fr-CA"/>
        </w:rPr>
        <w:t>L’appel interjeté contre l’arrêt de la Cour d’appel de l’Ontario, numéro C49717, 2010 ONCA 411, en date du 8 juin 2010, entendu le 21 février 2011, est accueilli et la tenue d’un nouveau procès est ordonnée.</w:t>
      </w:r>
    </w:p>
    <w:p w:rsidR="00AF1715" w:rsidRPr="00A91E44" w:rsidRDefault="00AF1715" w:rsidP="00AF1715">
      <w:pPr>
        <w:spacing w:line="0" w:lineRule="atLeast"/>
        <w:rPr>
          <w:rFonts w:cs="Times New Roman"/>
          <w:sz w:val="20"/>
          <w:szCs w:val="20"/>
          <w:lang w:val="fr-CA"/>
        </w:rPr>
      </w:pPr>
    </w:p>
    <w:p w:rsidR="00AF1715" w:rsidRPr="006C5F7A" w:rsidRDefault="004D21E4" w:rsidP="00AF1715">
      <w:pPr>
        <w:spacing w:line="0" w:lineRule="atLeast"/>
        <w:rPr>
          <w:rFonts w:cs="Times New Roman"/>
          <w:b/>
          <w:sz w:val="20"/>
          <w:szCs w:val="20"/>
        </w:rPr>
      </w:pPr>
      <w:r w:rsidRPr="004D21E4">
        <w:rPr>
          <w:rFonts w:cs="Times New Roman"/>
          <w:b/>
          <w:sz w:val="20"/>
          <w:szCs w:val="20"/>
        </w:rPr>
        <w:pict>
          <v:rect id="_x0000_i1129" style="width:144.3pt;height:1pt" o:hrpct="300" o:hralign="center" o:hrstd="t" o:hrnoshade="t" o:hr="t" fillcolor="black [3213]" stroked="f"/>
        </w:pic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C447A5" w:rsidRPr="0022217C" w:rsidRDefault="00C447A5" w:rsidP="00C447A5">
      <w:pPr>
        <w:ind w:left="810" w:hanging="810"/>
        <w:rPr>
          <w:rFonts w:eastAsia="Calibri" w:cs="Times New Roman"/>
          <w:sz w:val="20"/>
          <w:szCs w:val="20"/>
          <w:lang w:val="fr-CA"/>
        </w:rPr>
      </w:pPr>
      <w:r w:rsidRPr="0022217C">
        <w:rPr>
          <w:rFonts w:eastAsia="Calibri" w:cs="Times New Roman"/>
          <w:i/>
          <w:sz w:val="20"/>
          <w:szCs w:val="20"/>
          <w:lang w:val="fr-CA"/>
        </w:rPr>
        <w:t xml:space="preserve">Wayne Crookes et al. v. Jon Newton </w:t>
      </w:r>
      <w:r w:rsidRPr="0022217C">
        <w:rPr>
          <w:rFonts w:eastAsia="Calibri" w:cs="Times New Roman"/>
          <w:sz w:val="20"/>
          <w:szCs w:val="20"/>
          <w:lang w:val="fr-CA"/>
        </w:rPr>
        <w:t>(B.C.) (33412)</w:t>
      </w:r>
    </w:p>
    <w:p w:rsidR="00C92EFF" w:rsidRPr="002A0A42" w:rsidRDefault="00C92EFF" w:rsidP="00C92EFF">
      <w:pPr>
        <w:jc w:val="both"/>
        <w:rPr>
          <w:b/>
          <w:sz w:val="20"/>
          <w:szCs w:val="20"/>
        </w:rPr>
      </w:pPr>
      <w:r w:rsidRPr="009D6F45">
        <w:rPr>
          <w:b/>
          <w:sz w:val="20"/>
          <w:szCs w:val="20"/>
        </w:rPr>
        <w:t xml:space="preserve">Indexed as:  </w:t>
      </w:r>
      <w:r w:rsidRPr="00C92EFF">
        <w:rPr>
          <w:rStyle w:val="SCCAppellantForIndexChar"/>
          <w:rFonts w:eastAsiaTheme="minorHAnsi"/>
          <w:sz w:val="20"/>
          <w:lang w:val="en-CA"/>
        </w:rPr>
        <w:t xml:space="preserve">Crookes </w:t>
      </w:r>
      <w:r w:rsidRPr="009D6F45">
        <w:rPr>
          <w:b/>
          <w:i/>
          <w:sz w:val="20"/>
          <w:szCs w:val="20"/>
        </w:rPr>
        <w:t>v.</w:t>
      </w:r>
      <w:r w:rsidRPr="009D6F45">
        <w:rPr>
          <w:b/>
          <w:sz w:val="20"/>
          <w:szCs w:val="20"/>
        </w:rPr>
        <w:t xml:space="preserve"> </w:t>
      </w:r>
      <w:r w:rsidRPr="009D6F45">
        <w:rPr>
          <w:rStyle w:val="SCCRespondentForIndexChar"/>
          <w:rFonts w:eastAsiaTheme="minorHAnsi"/>
          <w:sz w:val="20"/>
        </w:rPr>
        <w:t>Newton</w:t>
      </w:r>
      <w:r>
        <w:rPr>
          <w:rStyle w:val="SCCRespondentForIndexChar"/>
          <w:rFonts w:eastAsiaTheme="minorHAnsi"/>
          <w:sz w:val="20"/>
        </w:rPr>
        <w:t xml:space="preserve"> / </w:t>
      </w:r>
      <w:proofErr w:type="gramStart"/>
      <w:r w:rsidRPr="002A0A42">
        <w:rPr>
          <w:b/>
          <w:sz w:val="20"/>
          <w:szCs w:val="20"/>
        </w:rPr>
        <w:t>Répertorié :</w:t>
      </w:r>
      <w:proofErr w:type="gramEnd"/>
      <w:r w:rsidRPr="002A0A42">
        <w:rPr>
          <w:b/>
          <w:sz w:val="20"/>
          <w:szCs w:val="20"/>
        </w:rPr>
        <w:t> </w:t>
      </w:r>
      <w:r w:rsidRPr="00C92EFF">
        <w:rPr>
          <w:rStyle w:val="SCCAppellantForIndexChar"/>
          <w:rFonts w:eastAsiaTheme="minorHAnsi"/>
          <w:sz w:val="20"/>
          <w:lang w:val="en-CA"/>
        </w:rPr>
        <w:t xml:space="preserve">Crookes </w:t>
      </w:r>
      <w:r w:rsidRPr="002A0A42">
        <w:rPr>
          <w:b/>
          <w:i/>
          <w:sz w:val="20"/>
          <w:szCs w:val="20"/>
        </w:rPr>
        <w:t>c.</w:t>
      </w:r>
      <w:r w:rsidRPr="002A0A42">
        <w:rPr>
          <w:b/>
          <w:sz w:val="20"/>
          <w:szCs w:val="20"/>
        </w:rPr>
        <w:t xml:space="preserve"> </w:t>
      </w:r>
      <w:r w:rsidRPr="002A0A42">
        <w:rPr>
          <w:rStyle w:val="SCCRespondentForIndexChar"/>
          <w:rFonts w:eastAsiaTheme="minorHAnsi"/>
          <w:sz w:val="20"/>
        </w:rPr>
        <w:t>Newton</w:t>
      </w:r>
    </w:p>
    <w:p w:rsidR="005C6840" w:rsidRPr="003B3977" w:rsidRDefault="005C6840" w:rsidP="005C6840">
      <w:pPr>
        <w:pStyle w:val="SCCSystemYear"/>
        <w:jc w:val="both"/>
        <w:rPr>
          <w:sz w:val="20"/>
        </w:rPr>
      </w:pPr>
      <w:r w:rsidRPr="003B3977">
        <w:rPr>
          <w:sz w:val="20"/>
        </w:rPr>
        <w:t>Neutral citation:  201</w:t>
      </w:r>
      <w:r w:rsidR="007F387B">
        <w:rPr>
          <w:sz w:val="20"/>
        </w:rPr>
        <w:t>1</w:t>
      </w:r>
      <w:r w:rsidRPr="003B3977">
        <w:rPr>
          <w:sz w:val="20"/>
        </w:rPr>
        <w:t xml:space="preserve"> SCC </w:t>
      </w:r>
      <w:r w:rsidR="00C447A5">
        <w:rPr>
          <w:sz w:val="20"/>
        </w:rPr>
        <w:t>47</w:t>
      </w:r>
      <w:r w:rsidRPr="003B3977">
        <w:rPr>
          <w:sz w:val="20"/>
        </w:rPr>
        <w:t xml:space="preserve"> / Référence neutre : 201</w:t>
      </w:r>
      <w:r w:rsidR="007F387B">
        <w:rPr>
          <w:sz w:val="20"/>
        </w:rPr>
        <w:t>1</w:t>
      </w:r>
      <w:r w:rsidRPr="003B3977">
        <w:rPr>
          <w:sz w:val="20"/>
        </w:rPr>
        <w:t xml:space="preserve"> CSC </w:t>
      </w:r>
      <w:r w:rsidR="00C447A5">
        <w:rPr>
          <w:sz w:val="20"/>
        </w:rPr>
        <w:t>47</w:t>
      </w:r>
    </w:p>
    <w:p w:rsidR="005C6840" w:rsidRPr="003B3977" w:rsidRDefault="005C6840" w:rsidP="005C6840">
      <w:pPr>
        <w:rPr>
          <w:rFonts w:cs="Times New Roman"/>
          <w:sz w:val="20"/>
          <w:szCs w:val="20"/>
          <w:lang w:val="fr-CA"/>
        </w:rPr>
      </w:pPr>
      <w:r w:rsidRPr="003B3977">
        <w:rPr>
          <w:rFonts w:cs="Times New Roman"/>
          <w:sz w:val="20"/>
          <w:szCs w:val="20"/>
          <w:lang w:val="fr-CA"/>
        </w:rPr>
        <w:t>Hearing</w:t>
      </w:r>
      <w:proofErr w:type="gramStart"/>
      <w:r w:rsidRPr="003B3977">
        <w:rPr>
          <w:rFonts w:cs="Times New Roman"/>
          <w:sz w:val="20"/>
          <w:szCs w:val="20"/>
          <w:lang w:val="fr-CA"/>
        </w:rPr>
        <w:t xml:space="preserve">:  </w:t>
      </w:r>
      <w:r w:rsidR="00C447A5">
        <w:rPr>
          <w:rFonts w:cs="Times New Roman"/>
          <w:sz w:val="20"/>
          <w:szCs w:val="20"/>
          <w:lang w:val="fr-CA"/>
        </w:rPr>
        <w:t>Decem</w:t>
      </w:r>
      <w:r w:rsidRPr="003B3977">
        <w:rPr>
          <w:rFonts w:cs="Times New Roman"/>
          <w:sz w:val="20"/>
          <w:szCs w:val="20"/>
          <w:lang w:val="fr-CA"/>
        </w:rPr>
        <w:t>ber</w:t>
      </w:r>
      <w:proofErr w:type="gramEnd"/>
      <w:r w:rsidRPr="003B3977">
        <w:rPr>
          <w:rFonts w:cs="Times New Roman"/>
          <w:sz w:val="20"/>
          <w:szCs w:val="20"/>
          <w:lang w:val="fr-CA"/>
        </w:rPr>
        <w:t xml:space="preserve"> </w:t>
      </w:r>
      <w:r w:rsidR="00C447A5">
        <w:rPr>
          <w:rFonts w:cs="Times New Roman"/>
          <w:sz w:val="20"/>
          <w:szCs w:val="20"/>
          <w:lang w:val="fr-CA"/>
        </w:rPr>
        <w:t>7</w:t>
      </w:r>
      <w:r w:rsidRPr="003B3977">
        <w:rPr>
          <w:rFonts w:cs="Times New Roman"/>
          <w:sz w:val="20"/>
          <w:szCs w:val="20"/>
          <w:lang w:val="fr-CA"/>
        </w:rPr>
        <w:t xml:space="preserve">, 2010 / Judgment:  October </w:t>
      </w:r>
      <w:r w:rsidR="00C447A5">
        <w:rPr>
          <w:rFonts w:cs="Times New Roman"/>
          <w:sz w:val="20"/>
          <w:szCs w:val="20"/>
          <w:lang w:val="fr-CA"/>
        </w:rPr>
        <w:t>19</w:t>
      </w:r>
      <w:r w:rsidRPr="003B3977">
        <w:rPr>
          <w:rFonts w:cs="Times New Roman"/>
          <w:sz w:val="20"/>
          <w:szCs w:val="20"/>
          <w:lang w:val="fr-CA"/>
        </w:rPr>
        <w:t>, 201</w:t>
      </w:r>
      <w:r w:rsidR="00C447A5">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C447A5">
        <w:rPr>
          <w:rFonts w:cs="Times New Roman"/>
          <w:sz w:val="20"/>
          <w:szCs w:val="20"/>
          <w:lang w:val="fr-CA"/>
        </w:rPr>
        <w:t>7 décem</w:t>
      </w:r>
      <w:r w:rsidRPr="003B3977">
        <w:rPr>
          <w:rFonts w:cs="Times New Roman"/>
          <w:sz w:val="20"/>
          <w:szCs w:val="20"/>
          <w:lang w:val="fr-CA"/>
        </w:rPr>
        <w:t xml:space="preserve">bre 2010 / Jugement : Le </w:t>
      </w:r>
      <w:r w:rsidR="00C447A5">
        <w:rPr>
          <w:rFonts w:cs="Times New Roman"/>
          <w:sz w:val="20"/>
          <w:szCs w:val="20"/>
          <w:lang w:val="fr-CA"/>
        </w:rPr>
        <w:t>19</w:t>
      </w:r>
      <w:r w:rsidRPr="003B3977">
        <w:rPr>
          <w:rFonts w:cs="Times New Roman"/>
          <w:sz w:val="20"/>
          <w:szCs w:val="20"/>
          <w:lang w:val="fr-CA"/>
        </w:rPr>
        <w:t xml:space="preserve"> octobre 201</w:t>
      </w:r>
      <w:r w:rsidR="00C447A5">
        <w:rPr>
          <w:rFonts w:cs="Times New Roman"/>
          <w:sz w:val="20"/>
          <w:szCs w:val="20"/>
          <w:lang w:val="fr-CA"/>
        </w:rPr>
        <w:t>1</w:t>
      </w:r>
    </w:p>
    <w:p w:rsidR="005C6840" w:rsidRPr="003B3977" w:rsidRDefault="004D21E4" w:rsidP="005C6840">
      <w:pPr>
        <w:rPr>
          <w:rFonts w:cs="Times New Roman"/>
          <w:sz w:val="20"/>
          <w:szCs w:val="20"/>
          <w:lang w:val="fr-CA"/>
        </w:rPr>
      </w:pPr>
      <w:r w:rsidRPr="004D21E4">
        <w:rPr>
          <w:rFonts w:cs="Times New Roman"/>
          <w:i/>
          <w:sz w:val="20"/>
          <w:szCs w:val="20"/>
        </w:rPr>
        <w:pict>
          <v:rect id="_x0000_i1132"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C11ABA" w:rsidRPr="003C35CA" w:rsidRDefault="00C11ABA" w:rsidP="00C11ABA">
      <w:pPr>
        <w:jc w:val="both"/>
        <w:rPr>
          <w:sz w:val="20"/>
        </w:rPr>
      </w:pPr>
      <w:r w:rsidRPr="003C35CA">
        <w:rPr>
          <w:sz w:val="20"/>
        </w:rPr>
        <w:t>Present:  McLachlin C.J. and Binnie, LeBel, Deschamps, Fish, Abella, Charron, Rothstein and Cromwell JJ.</w:t>
      </w:r>
    </w:p>
    <w:p w:rsidR="00C11ABA" w:rsidRPr="003C35CA" w:rsidRDefault="00C11ABA" w:rsidP="00C11ABA">
      <w:pPr>
        <w:pStyle w:val="SCCLowerCourtNameLowercase"/>
        <w:spacing w:line="240" w:lineRule="auto"/>
        <w:rPr>
          <w:sz w:val="20"/>
        </w:rPr>
      </w:pPr>
    </w:p>
    <w:p w:rsidR="00C11ABA" w:rsidRPr="003C35CA" w:rsidRDefault="00C11ABA" w:rsidP="00C11ABA">
      <w:pPr>
        <w:pStyle w:val="SCCNormalDoubleSpacing"/>
        <w:spacing w:line="240" w:lineRule="auto"/>
        <w:rPr>
          <w:i/>
          <w:sz w:val="20"/>
        </w:rPr>
      </w:pPr>
      <w:r w:rsidRPr="003C35CA">
        <w:rPr>
          <w:sz w:val="20"/>
        </w:rPr>
        <w:tab/>
      </w:r>
      <w:r w:rsidRPr="003C35CA">
        <w:rPr>
          <w:i/>
          <w:sz w:val="20"/>
        </w:rPr>
        <w:t xml:space="preserve">Torts — Libel and slander — Publication — Internet — Defendant creating hyperlinks to allegedly defamatory articles — </w:t>
      </w:r>
      <w:proofErr w:type="gramStart"/>
      <w:r w:rsidRPr="003C35CA">
        <w:rPr>
          <w:i/>
          <w:sz w:val="20"/>
        </w:rPr>
        <w:t>Whether</w:t>
      </w:r>
      <w:proofErr w:type="gramEnd"/>
      <w:r w:rsidRPr="003C35CA">
        <w:rPr>
          <w:i/>
          <w:sz w:val="20"/>
        </w:rPr>
        <w:t xml:space="preserve"> hyperlinking, in and of itself, constitutes publication.</w:t>
      </w:r>
    </w:p>
    <w:p w:rsidR="00C11ABA" w:rsidRPr="003C35CA" w:rsidRDefault="00C11ABA" w:rsidP="00C11ABA">
      <w:pPr>
        <w:pStyle w:val="SCCNormalDoubleSpacing"/>
        <w:spacing w:line="240" w:lineRule="auto"/>
        <w:rPr>
          <w:i/>
          <w:sz w:val="20"/>
        </w:rPr>
      </w:pPr>
    </w:p>
    <w:p w:rsidR="00C11ABA" w:rsidRPr="003C35CA" w:rsidRDefault="00C11ABA" w:rsidP="00C11ABA">
      <w:pPr>
        <w:pStyle w:val="SCCNormalDoubleSpacing"/>
        <w:spacing w:line="240" w:lineRule="auto"/>
        <w:rPr>
          <w:sz w:val="20"/>
        </w:rPr>
      </w:pPr>
      <w:r w:rsidRPr="003C35CA">
        <w:rPr>
          <w:sz w:val="20"/>
        </w:rPr>
        <w:tab/>
        <w:t xml:space="preserve">N owns and operates a website in British Columbia containing commentary about various issues, including free speech and the Internet.  One of the articles he posted on it contained shallow and deep hyperlinks to other websites, which in turn contained information about C.  C sued N on the basis that two of the hyperlinks he created connected to defamatory </w:t>
      </w:r>
      <w:proofErr w:type="gramStart"/>
      <w:r w:rsidRPr="003C35CA">
        <w:rPr>
          <w:sz w:val="20"/>
        </w:rPr>
        <w:t>material,</w:t>
      </w:r>
      <w:proofErr w:type="gramEnd"/>
      <w:r w:rsidRPr="003C35CA">
        <w:rPr>
          <w:sz w:val="20"/>
        </w:rPr>
        <w:t xml:space="preserve"> and that by using those hyperlinks, N was publishing the defamatory information.  At trial, the judge concluded that the mere creation of a hyperlink in a website does not lead to a presumption that someone actually used the hyperlink to access the impugned words.  The judge agreed that hyperlinks were analogous to footnotes since they only refer to another source without repeating it.  Since there was no repetition, there was no publication.  Furthermore, in the absence of evidence that anyone other than C used the links and read the words to which they linked, there could not be a finding of publication.  A majority of the Court of Appeal upheld the decision, finding that while some words in an article may suggest that a particular hyperlink is an encouragement or invitation to view the impugned site, there was no such encouragement or invitation in this case.  In addition, the number of “hits” on the article itself was an insufficient basis for drawing an inference in this case that a third party had read the defamatory words.  The dissenting judge held that there was publication.  The fact that N’s website had been viewed 1,788 times made it unlikely that no one had followed the hyperlinks and read the impugned article.  Furthermore, the context of the article suggested that readers were encouraged or invited to click on the links.</w:t>
      </w:r>
    </w:p>
    <w:p w:rsidR="00C11ABA" w:rsidRPr="003C35CA" w:rsidRDefault="00C11ABA" w:rsidP="00C11ABA">
      <w:pPr>
        <w:pStyle w:val="SCCNormalDoubleSpacing"/>
        <w:spacing w:line="240" w:lineRule="auto"/>
        <w:rPr>
          <w:sz w:val="20"/>
        </w:rPr>
      </w:pPr>
    </w:p>
    <w:p w:rsidR="00C11ABA" w:rsidRPr="003C35CA" w:rsidRDefault="00C11ABA" w:rsidP="00C11ABA">
      <w:pPr>
        <w:pStyle w:val="SCCNormalDoubleSpacing"/>
        <w:spacing w:line="240" w:lineRule="auto"/>
        <w:rPr>
          <w:sz w:val="20"/>
        </w:rPr>
      </w:pPr>
      <w:r w:rsidRPr="003C35CA">
        <w:rPr>
          <w:sz w:val="20"/>
        </w:rPr>
        <w:tab/>
      </w:r>
      <w:r w:rsidRPr="005566FF">
        <w:rPr>
          <w:rStyle w:val="QuoteChar"/>
          <w:color w:val="auto"/>
          <w:sz w:val="20"/>
        </w:rPr>
        <w:t>Held</w:t>
      </w:r>
      <w:r w:rsidRPr="005566FF">
        <w:rPr>
          <w:rStyle w:val="QuoteChar"/>
          <w:i w:val="0"/>
          <w:color w:val="auto"/>
          <w:sz w:val="20"/>
        </w:rPr>
        <w:t>:</w:t>
      </w:r>
      <w:r w:rsidRPr="003C35CA">
        <w:rPr>
          <w:sz w:val="20"/>
        </w:rPr>
        <w:t xml:space="preserve">  The appeal should be dismissed.</w:t>
      </w:r>
    </w:p>
    <w:p w:rsidR="00C11ABA" w:rsidRPr="003C35CA" w:rsidRDefault="00C11ABA" w:rsidP="00C11ABA">
      <w:pPr>
        <w:pStyle w:val="SCCNormalDoubleSpacing"/>
        <w:spacing w:line="240" w:lineRule="auto"/>
        <w:rPr>
          <w:sz w:val="20"/>
        </w:rPr>
      </w:pPr>
    </w:p>
    <w:p w:rsidR="00C11ABA" w:rsidRPr="003C35CA" w:rsidRDefault="00C11ABA" w:rsidP="00C11ABA">
      <w:pPr>
        <w:pStyle w:val="SCCNormalDoubleSpacing"/>
        <w:spacing w:line="240" w:lineRule="auto"/>
        <w:rPr>
          <w:sz w:val="20"/>
        </w:rPr>
      </w:pPr>
      <w:r w:rsidRPr="003C35CA">
        <w:rPr>
          <w:sz w:val="20"/>
        </w:rPr>
        <w:tab/>
      </w:r>
      <w:r w:rsidRPr="003C35CA">
        <w:rPr>
          <w:i/>
          <w:sz w:val="20"/>
        </w:rPr>
        <w:t>Per</w:t>
      </w:r>
      <w:r w:rsidRPr="003C35CA">
        <w:rPr>
          <w:sz w:val="20"/>
        </w:rPr>
        <w:t xml:space="preserve"> Binnie, LeBel, </w:t>
      </w:r>
      <w:r w:rsidRPr="003C35CA">
        <w:rPr>
          <w:b/>
          <w:sz w:val="20"/>
        </w:rPr>
        <w:t>Abella</w:t>
      </w:r>
      <w:r w:rsidRPr="003C35CA">
        <w:rPr>
          <w:sz w:val="20"/>
        </w:rPr>
        <w:t xml:space="preserve">, Charron, Rothstein and Cromwell JJ.:  To prove the publication element of defamation, a plaintiff must establish that the defendant has, by any act, conveyed defamatory meaning to a single third party who has received it.  Traditionally, the form the defendant’s act takes and the manner in which it assists in causing the defamatory content to reach the third party are irrelevant.  Applying this traditional rule to hyperlinks, however, would have the effect of creating a presumption of liability for all hyperlinkers.  This would seriously restrict the flow of information on the Internet and, as a result, freedom of expression. </w:t>
      </w:r>
    </w:p>
    <w:p w:rsidR="00C11ABA" w:rsidRPr="003C35CA" w:rsidRDefault="00C11ABA" w:rsidP="00C11ABA">
      <w:pPr>
        <w:pStyle w:val="SCCNormalDoubleSpacing"/>
        <w:spacing w:line="240" w:lineRule="auto"/>
        <w:rPr>
          <w:sz w:val="20"/>
        </w:rPr>
      </w:pPr>
    </w:p>
    <w:p w:rsidR="00C11ABA" w:rsidRPr="003C35CA" w:rsidRDefault="00C11ABA" w:rsidP="00C11ABA">
      <w:pPr>
        <w:pStyle w:val="SCCNormalDoubleSpacing"/>
        <w:spacing w:line="240" w:lineRule="auto"/>
        <w:rPr>
          <w:sz w:val="20"/>
        </w:rPr>
      </w:pPr>
      <w:r w:rsidRPr="003C35CA">
        <w:rPr>
          <w:sz w:val="20"/>
        </w:rPr>
        <w:tab/>
        <w:t xml:space="preserve">Hyperlinks are, in essence, references, which are fundamentally different from other acts of “publication”.  Hyperlinks and references both communicate that something exists, but do not, by </w:t>
      </w:r>
      <w:proofErr w:type="gramStart"/>
      <w:r w:rsidRPr="003C35CA">
        <w:rPr>
          <w:sz w:val="20"/>
        </w:rPr>
        <w:t>themselves</w:t>
      </w:r>
      <w:proofErr w:type="gramEnd"/>
      <w:r w:rsidRPr="003C35CA">
        <w:rPr>
          <w:sz w:val="20"/>
        </w:rPr>
        <w:t xml:space="preserve">, communicate its content.  They both require some act on the part of a third party before he or she gains access to the content.  The fact that access to that content is far easier with hyperlinks than with footnotes does not change the reality that a hyperlink, by itself, is content neutral.  Furthermore, inserting a hyperlink into a text gives the author no control over the content in the secondary article to which he or she has linked. </w:t>
      </w:r>
    </w:p>
    <w:p w:rsidR="00C11ABA" w:rsidRPr="003C35CA" w:rsidRDefault="00C11ABA" w:rsidP="00C11ABA">
      <w:pPr>
        <w:pStyle w:val="SCCNormalDoubleSpacing"/>
        <w:spacing w:line="240" w:lineRule="auto"/>
        <w:rPr>
          <w:sz w:val="20"/>
        </w:rPr>
      </w:pPr>
    </w:p>
    <w:p w:rsidR="00C11ABA" w:rsidRPr="003C35CA" w:rsidRDefault="00C11ABA" w:rsidP="00C11ABA">
      <w:pPr>
        <w:pStyle w:val="SCCNormalDoubleSpacing"/>
        <w:spacing w:line="240" w:lineRule="auto"/>
        <w:rPr>
          <w:sz w:val="20"/>
        </w:rPr>
      </w:pPr>
      <w:r w:rsidRPr="003C35CA">
        <w:rPr>
          <w:sz w:val="20"/>
        </w:rPr>
        <w:tab/>
        <w:t>A hyperlink, by itself, should never be seen as “publication” of the content to which it refers.  When a person follows a hyperlink to a secondary source that contains defamatory words, the actual creator or poster of the defamatory words in the secondary material is the person who is publishing the libel. Only when a hyperlinker presents content from the hyperlinked material in a way that actually repeats the defamatory content, should that content be considered to be “published” by the hyperlinker.</w:t>
      </w:r>
    </w:p>
    <w:p w:rsidR="00C11ABA" w:rsidRPr="003C35CA" w:rsidRDefault="00C11ABA" w:rsidP="00C11ABA">
      <w:pPr>
        <w:pStyle w:val="SCCNormalDoubleSpacing"/>
        <w:spacing w:line="240" w:lineRule="auto"/>
        <w:rPr>
          <w:sz w:val="20"/>
        </w:rPr>
      </w:pPr>
    </w:p>
    <w:p w:rsidR="005566FF" w:rsidRDefault="00C11ABA" w:rsidP="005566FF">
      <w:pPr>
        <w:pStyle w:val="SCCNormalDoubleSpacing"/>
        <w:spacing w:line="240" w:lineRule="auto"/>
        <w:rPr>
          <w:sz w:val="20"/>
        </w:rPr>
      </w:pPr>
      <w:r w:rsidRPr="003C35CA">
        <w:rPr>
          <w:sz w:val="20"/>
        </w:rPr>
        <w:tab/>
        <w:t xml:space="preserve">Here, nothing on N’s page is itself alleged to be defamatory.  Since the use of a hyperlink cannot, by itself, amount to publication even if the hyperlink is followed and the defamatory content is accessed, N has not published the defamatory content and C’s action cannot succeed. </w:t>
      </w:r>
      <w:r w:rsidR="005566FF">
        <w:rPr>
          <w:sz w:val="20"/>
        </w:rPr>
        <w:br w:type="page"/>
      </w:r>
    </w:p>
    <w:p w:rsidR="00C11ABA" w:rsidRPr="003C35CA" w:rsidRDefault="00C11ABA" w:rsidP="00C11ABA">
      <w:pPr>
        <w:pStyle w:val="SCCNormalDoubleSpacing"/>
        <w:spacing w:line="240" w:lineRule="auto"/>
        <w:rPr>
          <w:sz w:val="20"/>
        </w:rPr>
      </w:pPr>
      <w:r w:rsidRPr="003C35CA">
        <w:rPr>
          <w:sz w:val="20"/>
        </w:rPr>
        <w:lastRenderedPageBreak/>
        <w:tab/>
      </w:r>
      <w:r w:rsidRPr="003C35CA">
        <w:rPr>
          <w:i/>
          <w:sz w:val="20"/>
        </w:rPr>
        <w:t>Per</w:t>
      </w:r>
      <w:r w:rsidRPr="003C35CA">
        <w:rPr>
          <w:sz w:val="20"/>
        </w:rPr>
        <w:t xml:space="preserve"> </w:t>
      </w:r>
      <w:r w:rsidRPr="003C35CA">
        <w:rPr>
          <w:b/>
          <w:sz w:val="20"/>
        </w:rPr>
        <w:t>McLachlin</w:t>
      </w:r>
      <w:r w:rsidRPr="003C35CA">
        <w:rPr>
          <w:sz w:val="20"/>
        </w:rPr>
        <w:t xml:space="preserve"> C.J. and </w:t>
      </w:r>
      <w:r w:rsidRPr="003C35CA">
        <w:rPr>
          <w:b/>
          <w:sz w:val="20"/>
        </w:rPr>
        <w:t>Fish</w:t>
      </w:r>
      <w:r w:rsidRPr="003C35CA">
        <w:rPr>
          <w:sz w:val="20"/>
        </w:rPr>
        <w:t> J.:  The reasons of the majority are agreed with substantially. However, a hyperlink should constitute publication if, read contextually, the text that includes the hyperlink constitutes adoption or endorsement of the specific content it links to.  A mere general reference to a website is not enough to find publication.</w:t>
      </w:r>
    </w:p>
    <w:p w:rsidR="00C11ABA" w:rsidRPr="003C35CA" w:rsidRDefault="00C11ABA" w:rsidP="00C11ABA">
      <w:pPr>
        <w:pStyle w:val="SCCNormalDoubleSpacing"/>
        <w:spacing w:line="240" w:lineRule="auto"/>
        <w:rPr>
          <w:sz w:val="20"/>
        </w:rPr>
      </w:pPr>
    </w:p>
    <w:p w:rsidR="00C11ABA" w:rsidRPr="003C35CA" w:rsidRDefault="00C11ABA" w:rsidP="00C11ABA">
      <w:pPr>
        <w:pStyle w:val="SCCNormalDoubleSpacing"/>
        <w:spacing w:line="240" w:lineRule="auto"/>
        <w:rPr>
          <w:sz w:val="20"/>
        </w:rPr>
      </w:pPr>
      <w:r w:rsidRPr="003C35CA">
        <w:rPr>
          <w:sz w:val="20"/>
        </w:rPr>
        <w:tab/>
      </w:r>
      <w:r w:rsidRPr="003C35CA">
        <w:rPr>
          <w:i/>
          <w:sz w:val="20"/>
        </w:rPr>
        <w:t>Per</w:t>
      </w:r>
      <w:r w:rsidRPr="003C35CA">
        <w:rPr>
          <w:sz w:val="20"/>
        </w:rPr>
        <w:t xml:space="preserve"> </w:t>
      </w:r>
      <w:r w:rsidRPr="003C35CA">
        <w:rPr>
          <w:b/>
          <w:sz w:val="20"/>
        </w:rPr>
        <w:t>Deschamps</w:t>
      </w:r>
      <w:r w:rsidRPr="003C35CA">
        <w:rPr>
          <w:sz w:val="20"/>
        </w:rPr>
        <w:t xml:space="preserve"> J.:  Excluding hyperlinks from the scope of the publication rule is an inadequate solution to the novel issues raised by the Internet.  This blanket exclusion exaggerates the difference between references and other acts of publication, and treats all references, from footnotes to hyperlinks, alike, thereby disregarding the fact that references vary greatly in how they make defamatory information available to third parties and, consequently, in the harm they can cause to people’s reputations. </w:t>
      </w:r>
    </w:p>
    <w:p w:rsidR="00C11ABA" w:rsidRPr="003C35CA" w:rsidRDefault="00C11ABA" w:rsidP="00C11ABA">
      <w:pPr>
        <w:pStyle w:val="SCCNormalDoubleSpacing"/>
        <w:spacing w:line="240" w:lineRule="auto"/>
        <w:rPr>
          <w:sz w:val="20"/>
        </w:rPr>
      </w:pPr>
    </w:p>
    <w:p w:rsidR="00C11ABA" w:rsidRPr="003C35CA" w:rsidRDefault="00C11ABA" w:rsidP="00C11ABA">
      <w:pPr>
        <w:pStyle w:val="SCCNormalDoubleSpacing"/>
        <w:spacing w:line="240" w:lineRule="auto"/>
        <w:rPr>
          <w:sz w:val="20"/>
        </w:rPr>
      </w:pPr>
      <w:r w:rsidRPr="003C35CA">
        <w:rPr>
          <w:sz w:val="20"/>
        </w:rPr>
        <w:tab/>
        <w:t xml:space="preserve">In the common law of defamation, publication has two components: (1) an act that makes the defamatory information available to a third party in a comprehensible form, and (2) the receipt of the information by a third party in such a way that it is understood. </w:t>
      </w:r>
    </w:p>
    <w:p w:rsidR="00C11ABA" w:rsidRPr="003C35CA" w:rsidRDefault="00C11ABA" w:rsidP="00C11ABA">
      <w:pPr>
        <w:pStyle w:val="SCCNormalDoubleSpacing"/>
        <w:spacing w:line="240" w:lineRule="auto"/>
        <w:rPr>
          <w:sz w:val="20"/>
        </w:rPr>
      </w:pPr>
    </w:p>
    <w:p w:rsidR="00C11ABA" w:rsidRPr="003C35CA" w:rsidRDefault="00C11ABA" w:rsidP="00C11ABA">
      <w:pPr>
        <w:pStyle w:val="SCCNormalDoubleSpacing"/>
        <w:spacing w:line="240" w:lineRule="auto"/>
        <w:rPr>
          <w:sz w:val="20"/>
        </w:rPr>
      </w:pPr>
      <w:r w:rsidRPr="003C35CA">
        <w:rPr>
          <w:sz w:val="20"/>
        </w:rPr>
        <w:tab/>
        <w:t xml:space="preserve">In the context of Internet hyperlinks, a simple reference, absent evidence that someone actually viewed and understood the defamatory information to which it directs third parties, is not publication of that content.  In order to satisfy the requirements of the first component of publication, the plaintiff must establish, on a balance or probabilities, that the hyperlinker performed a deliberate act that made defamatory information readily available to a third party in a comprehensible form.  An act is deliberate if the defendant played more than a passive instrumental role in making the information available.  In determining whether hyperlinked information is readily available, a court should consider a number of factors, including whether the hyperlink is user-activated or automatic, whether it is a shallow or a deep link, and whether the linked information is available to the general public (as opposed to being restricted).  Any matter that has a bearing on the ease with which the referenced information could be accessed will be relevant to the inquiry. </w:t>
      </w:r>
    </w:p>
    <w:p w:rsidR="00C11ABA" w:rsidRPr="003C35CA" w:rsidRDefault="00C11ABA" w:rsidP="00C11ABA">
      <w:pPr>
        <w:pStyle w:val="SCCNormalDoubleSpacing"/>
        <w:spacing w:line="240" w:lineRule="auto"/>
        <w:rPr>
          <w:sz w:val="20"/>
        </w:rPr>
      </w:pPr>
    </w:p>
    <w:p w:rsidR="00C11ABA" w:rsidRPr="003C35CA" w:rsidRDefault="00C11ABA" w:rsidP="00C11ABA">
      <w:pPr>
        <w:pStyle w:val="SCCNormalDoubleSpacing"/>
        <w:spacing w:line="240" w:lineRule="auto"/>
        <w:rPr>
          <w:sz w:val="20"/>
        </w:rPr>
      </w:pPr>
      <w:r w:rsidRPr="003C35CA">
        <w:rPr>
          <w:sz w:val="20"/>
        </w:rPr>
        <w:tab/>
        <w:t xml:space="preserve">For an action in defamation to succeed, the plaintiff must also satisfy the requirements of the second component of publication on a balance of probabilities, namely that a third party received and understood the defamatory information.  This requirement can be satisfied either by adducing direct evidence or by asking the court to draw an inference based on, notably, whether the link was user-activated or automatic; whether it was a deep or a shallow link; whether the page contained more than one hyperlink and, if so, where the impugned link was located in relation to others; the context in which the link was presented to users; the number of hits on the page containing the hyperlink; the number of hits on the page containing the linked information (both before and after the page containing the link was posted); whether access to the Web sites in question was general or restricted; whether changes were made to the linked information and, if so, how they correlate with the number of hits on the page containing that information; and evidence concerning the behaviour of Internet users.  Once the plaintiff establishes </w:t>
      </w:r>
      <w:r w:rsidRPr="003C35CA">
        <w:rPr>
          <w:i/>
          <w:sz w:val="20"/>
        </w:rPr>
        <w:t>prima facie</w:t>
      </w:r>
      <w:r w:rsidRPr="003C35CA">
        <w:rPr>
          <w:sz w:val="20"/>
        </w:rPr>
        <w:t xml:space="preserve"> liability for defamation, the defendant can invoke any available defences.</w:t>
      </w:r>
    </w:p>
    <w:p w:rsidR="00C11ABA" w:rsidRPr="003C35CA" w:rsidRDefault="00C11ABA" w:rsidP="00C11ABA">
      <w:pPr>
        <w:pStyle w:val="SCCNormalDoubleSpacing"/>
        <w:spacing w:line="240" w:lineRule="auto"/>
        <w:rPr>
          <w:sz w:val="20"/>
        </w:rPr>
      </w:pPr>
    </w:p>
    <w:p w:rsidR="00C11ABA" w:rsidRPr="003C35CA" w:rsidRDefault="00C11ABA" w:rsidP="00C11ABA">
      <w:pPr>
        <w:pStyle w:val="SCCNormalDoubleSpacing"/>
        <w:spacing w:line="240" w:lineRule="auto"/>
        <w:rPr>
          <w:sz w:val="20"/>
        </w:rPr>
      </w:pPr>
      <w:r w:rsidRPr="003C35CA">
        <w:rPr>
          <w:sz w:val="20"/>
        </w:rPr>
        <w:tab/>
        <w:t xml:space="preserve">Here, N acted as more than a mere conduit in making the hyperlinked information available.  His action was deliberate.  However, having regard to the totality of the circumstances, it cannot be inferred that the first, shallow hyperlink made the defamatory content readily available.  The various articles were not placed on N’s site’s home page and they had separate addresses.  The fact that the reader had to take further action in order to find the defamatory material constituted a meaningful barrier to the receipt, by a third party, of the linked information.  The second, deep hyperlink, however, did make the content readily available.  All the reader had to do to gain access to the article was to click on the link, which does not constitute a barrier to the availability of the material.  Thus, C has satisfied the requirements of the first component of publication on a balance of probabilities where this link is concerned.  However, the nature of N’s article, the way the various links were presented and the number of hits on the article do not support an inference that the allegedly defamatory information was brought to the knowledge of some third person.  The defamation action with respect to either of the impugned hyperlinks cannot succeed. </w:t>
      </w:r>
    </w:p>
    <w:p w:rsidR="00C11ABA" w:rsidRPr="003C35CA" w:rsidRDefault="00C11ABA" w:rsidP="00C11ABA">
      <w:pPr>
        <w:pStyle w:val="SCCNormalDoubleSpacing"/>
        <w:spacing w:line="240" w:lineRule="auto"/>
        <w:rPr>
          <w:sz w:val="20"/>
        </w:rPr>
      </w:pPr>
    </w:p>
    <w:p w:rsidR="00C11ABA" w:rsidRPr="003C35CA" w:rsidRDefault="00C11ABA" w:rsidP="00C11ABA">
      <w:pPr>
        <w:pStyle w:val="SCCNormalDoubleSpacing"/>
        <w:spacing w:line="240" w:lineRule="auto"/>
        <w:rPr>
          <w:sz w:val="20"/>
        </w:rPr>
      </w:pPr>
      <w:r w:rsidRPr="003C35CA">
        <w:rPr>
          <w:sz w:val="20"/>
        </w:rPr>
        <w:tab/>
        <w:t>APPEAL from a judgment of the British Columbia Court of Appeal (</w:t>
      </w:r>
      <w:r w:rsidR="004D21E4" w:rsidRPr="003C35CA">
        <w:rPr>
          <w:sz w:val="20"/>
        </w:rPr>
        <w:fldChar w:fldCharType="begin"/>
      </w:r>
      <w:r w:rsidRPr="003C35CA">
        <w:rPr>
          <w:sz w:val="20"/>
        </w:rPr>
        <w:instrText xml:space="preserve"> SEQ CHAPTER \h \r 1</w:instrText>
      </w:r>
      <w:r w:rsidR="004D21E4" w:rsidRPr="003C35CA">
        <w:rPr>
          <w:sz w:val="20"/>
        </w:rPr>
        <w:fldChar w:fldCharType="end"/>
      </w:r>
      <w:r w:rsidRPr="003C35CA">
        <w:rPr>
          <w:sz w:val="20"/>
        </w:rPr>
        <w:t xml:space="preserve">Prowse, Saunders and Bauman JJ.A.), </w:t>
      </w:r>
      <w:r w:rsidR="004D21E4" w:rsidRPr="003C35CA">
        <w:rPr>
          <w:sz w:val="20"/>
        </w:rPr>
        <w:fldChar w:fldCharType="begin"/>
      </w:r>
      <w:r w:rsidRPr="003C35CA">
        <w:rPr>
          <w:sz w:val="20"/>
        </w:rPr>
        <w:instrText xml:space="preserve"> SEQ CHAPTER \h \r 1</w:instrText>
      </w:r>
      <w:r w:rsidR="004D21E4" w:rsidRPr="003C35CA">
        <w:rPr>
          <w:sz w:val="20"/>
        </w:rPr>
        <w:fldChar w:fldCharType="end"/>
      </w:r>
      <w:r w:rsidRPr="003C35CA">
        <w:rPr>
          <w:sz w:val="20"/>
        </w:rPr>
        <w:t xml:space="preserve">2009 BCCA 392, 96 B.C.L.R. (4th) 315, 311 D.L.R. (4th) 647, 276 B.C.A.C. 105, 468 W.A.C. 105, 69 C.C.L.T. (3d) 66, [2010] 2 W.W.R. 271, [2009] B.C.J. No. 1832 (QL), 2009 CarswellBC 2401, affirming a decision of Kelleher J., </w:t>
      </w:r>
      <w:r w:rsidR="004D21E4" w:rsidRPr="003C35CA">
        <w:rPr>
          <w:sz w:val="20"/>
        </w:rPr>
        <w:fldChar w:fldCharType="begin"/>
      </w:r>
      <w:r w:rsidRPr="003C35CA">
        <w:rPr>
          <w:sz w:val="20"/>
        </w:rPr>
        <w:instrText xml:space="preserve"> SEQ CHAPTER \h \r 1</w:instrText>
      </w:r>
      <w:r w:rsidR="004D21E4" w:rsidRPr="003C35CA">
        <w:rPr>
          <w:sz w:val="20"/>
        </w:rPr>
        <w:fldChar w:fldCharType="end"/>
      </w:r>
      <w:r w:rsidRPr="003C35CA">
        <w:rPr>
          <w:sz w:val="20"/>
        </w:rPr>
        <w:t>2008 BCSC 1424, 88 B.C.L.R. (4th) 395, 61 C.C.L.T. (3d) 148, [2009] 1 W.W.R. 482, [2008] B.C.J. No. 2012 (QL), 2008 CarswellBC 2237.  Appeal dismissed.</w:t>
      </w:r>
    </w:p>
    <w:p w:rsidR="00C11ABA" w:rsidRPr="003C35CA" w:rsidRDefault="00C11ABA" w:rsidP="00C11ABA">
      <w:pPr>
        <w:pStyle w:val="SCCNormalDoubleSpacing"/>
        <w:spacing w:line="240" w:lineRule="auto"/>
        <w:rPr>
          <w:sz w:val="20"/>
        </w:rPr>
      </w:pPr>
    </w:p>
    <w:p w:rsidR="005566FF" w:rsidRDefault="005566FF">
      <w:pPr>
        <w:rPr>
          <w:rStyle w:val="SCCCounselNameChar"/>
          <w:rFonts w:eastAsiaTheme="minorHAnsi"/>
          <w:sz w:val="20"/>
        </w:rPr>
      </w:pPr>
      <w:r>
        <w:rPr>
          <w:rStyle w:val="SCCCounselNameChar"/>
          <w:rFonts w:eastAsiaTheme="minorHAnsi"/>
          <w:sz w:val="20"/>
        </w:rPr>
        <w:br w:type="page"/>
      </w:r>
    </w:p>
    <w:p w:rsidR="00C11ABA" w:rsidRPr="003C35CA" w:rsidRDefault="00C11ABA" w:rsidP="00C11ABA">
      <w:pPr>
        <w:pStyle w:val="SCCNormalDoubleSpacing"/>
        <w:spacing w:line="240" w:lineRule="auto"/>
        <w:rPr>
          <w:rStyle w:val="SCCCounselPartyRoleChar"/>
          <w:sz w:val="20"/>
        </w:rPr>
      </w:pPr>
      <w:r w:rsidRPr="003C35CA">
        <w:rPr>
          <w:rStyle w:val="SCCCounselNameChar"/>
          <w:sz w:val="20"/>
        </w:rPr>
        <w:lastRenderedPageBreak/>
        <w:tab/>
      </w:r>
      <w:proofErr w:type="gramStart"/>
      <w:r w:rsidRPr="003C35CA">
        <w:rPr>
          <w:rStyle w:val="SCCCounselNameChar"/>
          <w:sz w:val="20"/>
        </w:rPr>
        <w:t>Donald J. Jordan</w:t>
      </w:r>
      <w:r w:rsidRPr="003C35CA">
        <w:rPr>
          <w:rStyle w:val="SCCCounselNameChar"/>
          <w:i w:val="0"/>
          <w:sz w:val="20"/>
        </w:rPr>
        <w:t xml:space="preserve">, </w:t>
      </w:r>
      <w:r w:rsidRPr="003C35CA">
        <w:rPr>
          <w:rStyle w:val="SCCCounselNameChar"/>
          <w:sz w:val="20"/>
        </w:rPr>
        <w:t>Q.C.</w:t>
      </w:r>
      <w:r w:rsidRPr="003C35CA">
        <w:rPr>
          <w:rStyle w:val="SCCCounselPartyRoleChar"/>
          <w:sz w:val="20"/>
        </w:rPr>
        <w:t xml:space="preserve">, and </w:t>
      </w:r>
      <w:r w:rsidRPr="003C35CA">
        <w:rPr>
          <w:rStyle w:val="SCCCounselNameChar"/>
          <w:sz w:val="20"/>
        </w:rPr>
        <w:t>Robert A. Kasting</w:t>
      </w:r>
      <w:r w:rsidRPr="00C11ABA">
        <w:rPr>
          <w:rStyle w:val="SCCCounselSeparatorChar"/>
          <w:sz w:val="20"/>
          <w:lang w:val="en-CA"/>
        </w:rPr>
        <w:t xml:space="preserve">, </w:t>
      </w:r>
      <w:r w:rsidRPr="003C35CA">
        <w:rPr>
          <w:rStyle w:val="SCCCounselPartyRoleChar"/>
          <w:sz w:val="20"/>
        </w:rPr>
        <w:t>for the appellants.</w:t>
      </w:r>
      <w:proofErr w:type="gramEnd"/>
    </w:p>
    <w:p w:rsidR="00C11ABA" w:rsidRPr="003C35CA" w:rsidRDefault="00C11ABA" w:rsidP="00C11ABA">
      <w:pPr>
        <w:pStyle w:val="SCCNormalDoubleSpacing"/>
        <w:spacing w:line="240" w:lineRule="auto"/>
        <w:rPr>
          <w:sz w:val="20"/>
        </w:rPr>
      </w:pPr>
    </w:p>
    <w:p w:rsidR="00C11ABA" w:rsidRPr="003C35CA" w:rsidRDefault="00C11ABA" w:rsidP="00C11ABA">
      <w:pPr>
        <w:pStyle w:val="SCCNormalDoubleSpacing"/>
        <w:spacing w:line="240" w:lineRule="auto"/>
        <w:rPr>
          <w:rStyle w:val="SCCCounselPartyRoleChar"/>
          <w:sz w:val="20"/>
        </w:rPr>
      </w:pPr>
      <w:r w:rsidRPr="003C35CA">
        <w:rPr>
          <w:rStyle w:val="SCCCounselNameChar"/>
          <w:sz w:val="20"/>
        </w:rPr>
        <w:tab/>
      </w:r>
      <w:proofErr w:type="gramStart"/>
      <w:r w:rsidRPr="003C35CA">
        <w:rPr>
          <w:rStyle w:val="SCCCounselNameChar"/>
          <w:sz w:val="20"/>
        </w:rPr>
        <w:t>Daniel W. Burnett</w:t>
      </w:r>
      <w:r w:rsidRPr="00C11ABA">
        <w:rPr>
          <w:rStyle w:val="SCCCounselSeparatorChar"/>
          <w:sz w:val="20"/>
          <w:lang w:val="en-CA"/>
        </w:rPr>
        <w:t xml:space="preserve"> and </w:t>
      </w:r>
      <w:r w:rsidRPr="003C35CA">
        <w:rPr>
          <w:rStyle w:val="SCCCounselNameChar"/>
          <w:sz w:val="20"/>
        </w:rPr>
        <w:t>Harvey S. Delaney</w:t>
      </w:r>
      <w:r w:rsidRPr="003C35CA">
        <w:rPr>
          <w:rStyle w:val="SCCCounselPartyRoleChar"/>
          <w:sz w:val="20"/>
        </w:rPr>
        <w:t>, for the respondent.</w:t>
      </w:r>
      <w:proofErr w:type="gramEnd"/>
    </w:p>
    <w:p w:rsidR="00C11ABA" w:rsidRPr="003C35CA" w:rsidRDefault="00C11ABA" w:rsidP="00C11ABA">
      <w:pPr>
        <w:pStyle w:val="SCCNormalDoubleSpacing"/>
        <w:spacing w:line="240" w:lineRule="auto"/>
        <w:rPr>
          <w:sz w:val="20"/>
        </w:rPr>
      </w:pPr>
    </w:p>
    <w:p w:rsidR="00C11ABA" w:rsidRPr="003C35CA" w:rsidRDefault="00C11ABA" w:rsidP="00C11ABA">
      <w:pPr>
        <w:pStyle w:val="SCCNormalDoubleSpacing"/>
        <w:spacing w:line="240" w:lineRule="auto"/>
        <w:rPr>
          <w:rStyle w:val="SCCCounselPartyRoleChar"/>
          <w:sz w:val="20"/>
        </w:rPr>
      </w:pPr>
      <w:r w:rsidRPr="003C35CA">
        <w:rPr>
          <w:rStyle w:val="SCCCounselNameChar"/>
          <w:sz w:val="20"/>
        </w:rPr>
        <w:tab/>
      </w:r>
      <w:proofErr w:type="gramStart"/>
      <w:r w:rsidRPr="003C35CA">
        <w:rPr>
          <w:rStyle w:val="SCCCounselNameChar"/>
          <w:sz w:val="20"/>
        </w:rPr>
        <w:t>Wendy Matheson</w:t>
      </w:r>
      <w:r w:rsidRPr="00C11ABA">
        <w:rPr>
          <w:rStyle w:val="SCCCounselSeparatorChar"/>
          <w:sz w:val="20"/>
          <w:lang w:val="en-CA"/>
        </w:rPr>
        <w:t xml:space="preserve">, </w:t>
      </w:r>
      <w:r w:rsidRPr="003C35CA">
        <w:rPr>
          <w:rStyle w:val="SCCCounselNameChar"/>
          <w:sz w:val="20"/>
        </w:rPr>
        <w:t>Andrew Bernstein</w:t>
      </w:r>
      <w:r w:rsidRPr="003C35CA">
        <w:rPr>
          <w:rStyle w:val="SCCCounselPartyRoleChar"/>
          <w:sz w:val="20"/>
        </w:rPr>
        <w:t xml:space="preserve"> and </w:t>
      </w:r>
      <w:r w:rsidRPr="003C35CA">
        <w:rPr>
          <w:rStyle w:val="SCCCounselPartyRoleChar"/>
          <w:i/>
          <w:sz w:val="20"/>
        </w:rPr>
        <w:t>Molly Reynolds</w:t>
      </w:r>
      <w:r w:rsidRPr="003C35CA">
        <w:rPr>
          <w:rStyle w:val="SCCCounselPartyRoleChar"/>
          <w:sz w:val="20"/>
        </w:rPr>
        <w:t>, for the intervener the Canadian Civil Liberties Association.</w:t>
      </w:r>
      <w:proofErr w:type="gramEnd"/>
    </w:p>
    <w:p w:rsidR="00C11ABA" w:rsidRPr="003C35CA" w:rsidRDefault="00C11ABA" w:rsidP="00C11ABA">
      <w:pPr>
        <w:pStyle w:val="SCCNormalDoubleSpacing"/>
        <w:spacing w:line="240" w:lineRule="auto"/>
        <w:rPr>
          <w:sz w:val="20"/>
        </w:rPr>
      </w:pPr>
    </w:p>
    <w:p w:rsidR="00C11ABA" w:rsidRPr="003C35CA" w:rsidRDefault="00C11ABA" w:rsidP="00C11ABA">
      <w:pPr>
        <w:pStyle w:val="SCCNormalDoubleSpacing"/>
        <w:spacing w:line="240" w:lineRule="auto"/>
        <w:rPr>
          <w:rStyle w:val="SCCCounselPartyRoleChar"/>
          <w:sz w:val="20"/>
        </w:rPr>
      </w:pPr>
      <w:r w:rsidRPr="003C35CA">
        <w:rPr>
          <w:rStyle w:val="SCCCounselNameChar"/>
          <w:sz w:val="20"/>
        </w:rPr>
        <w:tab/>
      </w:r>
      <w:proofErr w:type="gramStart"/>
      <w:r w:rsidRPr="003C35CA">
        <w:rPr>
          <w:rStyle w:val="SCCCounselNameChar"/>
          <w:sz w:val="20"/>
        </w:rPr>
        <w:t>Richard G. Dearden</w:t>
      </w:r>
      <w:r w:rsidRPr="00C11ABA">
        <w:rPr>
          <w:rStyle w:val="SCCCounselSeparatorChar"/>
          <w:sz w:val="20"/>
          <w:lang w:val="en-CA"/>
        </w:rPr>
        <w:t xml:space="preserve"> and </w:t>
      </w:r>
      <w:r w:rsidRPr="003C35CA">
        <w:rPr>
          <w:rStyle w:val="SCCCounselNameChar"/>
          <w:sz w:val="20"/>
        </w:rPr>
        <w:t>Wendy J. Wagner</w:t>
      </w:r>
      <w:r w:rsidRPr="003C35CA">
        <w:rPr>
          <w:rStyle w:val="SCCCounselPartyRoleChar"/>
          <w:sz w:val="20"/>
        </w:rPr>
        <w:t>, for the intervener the Samuelson-Glushko Canadian Internet Policy and Public Interest Clinic.</w:t>
      </w:r>
      <w:proofErr w:type="gramEnd"/>
    </w:p>
    <w:p w:rsidR="00C11ABA" w:rsidRPr="003C35CA" w:rsidRDefault="00C11ABA" w:rsidP="00C11ABA">
      <w:pPr>
        <w:pStyle w:val="SCCNormalDoubleSpacing"/>
        <w:spacing w:line="240" w:lineRule="auto"/>
        <w:rPr>
          <w:sz w:val="20"/>
        </w:rPr>
      </w:pPr>
    </w:p>
    <w:p w:rsidR="00C11ABA" w:rsidRPr="003C35CA" w:rsidRDefault="00C11ABA" w:rsidP="00C11ABA">
      <w:pPr>
        <w:pStyle w:val="SCCNormalDoubleSpacing"/>
        <w:spacing w:line="240" w:lineRule="auto"/>
        <w:rPr>
          <w:rStyle w:val="SCCCounselPartyRoleChar"/>
          <w:sz w:val="20"/>
        </w:rPr>
      </w:pPr>
      <w:r w:rsidRPr="003C35CA">
        <w:rPr>
          <w:rStyle w:val="SCCCounselNameChar"/>
          <w:sz w:val="20"/>
        </w:rPr>
        <w:tab/>
      </w:r>
      <w:proofErr w:type="gramStart"/>
      <w:r w:rsidRPr="003C35CA">
        <w:rPr>
          <w:rStyle w:val="SCCCounselNameChar"/>
          <w:sz w:val="20"/>
        </w:rPr>
        <w:t>William C. McDowell</w:t>
      </w:r>
      <w:r w:rsidRPr="00C11ABA">
        <w:rPr>
          <w:rStyle w:val="SCCCounselSeparatorChar"/>
          <w:sz w:val="20"/>
          <w:lang w:val="en-CA"/>
        </w:rPr>
        <w:t xml:space="preserve">, </w:t>
      </w:r>
      <w:r w:rsidRPr="003C35CA">
        <w:rPr>
          <w:rStyle w:val="SCCCounselNameChar"/>
          <w:sz w:val="20"/>
        </w:rPr>
        <w:t>Marguerite F. Ethier</w:t>
      </w:r>
      <w:r w:rsidRPr="00C11ABA">
        <w:rPr>
          <w:rStyle w:val="SCCCounselSeparatorChar"/>
          <w:sz w:val="20"/>
          <w:lang w:val="en-CA"/>
        </w:rPr>
        <w:t xml:space="preserve">, </w:t>
      </w:r>
      <w:r w:rsidRPr="003C35CA">
        <w:rPr>
          <w:rStyle w:val="SCCCounselNameChar"/>
          <w:sz w:val="20"/>
        </w:rPr>
        <w:t>Naomi D. Loewith</w:t>
      </w:r>
      <w:r w:rsidRPr="003C35CA">
        <w:rPr>
          <w:rStyle w:val="SCCCounselPartyRoleChar"/>
          <w:sz w:val="20"/>
        </w:rPr>
        <w:t xml:space="preserve"> and Colin S. Baxter, for the intervener NetCoalition.</w:t>
      </w:r>
      <w:proofErr w:type="gramEnd"/>
    </w:p>
    <w:p w:rsidR="00C11ABA" w:rsidRPr="003C35CA" w:rsidRDefault="00C11ABA" w:rsidP="00C11ABA">
      <w:pPr>
        <w:pStyle w:val="SCCNormalDoubleSpacing"/>
        <w:spacing w:line="240" w:lineRule="auto"/>
        <w:rPr>
          <w:sz w:val="20"/>
        </w:rPr>
      </w:pPr>
    </w:p>
    <w:p w:rsidR="00C11ABA" w:rsidRPr="003C35CA" w:rsidRDefault="00C11ABA" w:rsidP="00C11ABA">
      <w:pPr>
        <w:pStyle w:val="SCCNormalDoubleSpacing"/>
        <w:spacing w:line="240" w:lineRule="auto"/>
        <w:rPr>
          <w:rStyle w:val="SCCCounselPartyRoleChar"/>
          <w:sz w:val="20"/>
        </w:rPr>
      </w:pPr>
      <w:r w:rsidRPr="003C35CA">
        <w:rPr>
          <w:rStyle w:val="SCCCounselNameChar"/>
          <w:sz w:val="20"/>
        </w:rPr>
        <w:tab/>
      </w:r>
      <w:proofErr w:type="gramStart"/>
      <w:r w:rsidRPr="003C35CA">
        <w:rPr>
          <w:rStyle w:val="SCCCounselNameChar"/>
          <w:sz w:val="20"/>
        </w:rPr>
        <w:t>Roy W. Millen</w:t>
      </w:r>
      <w:r w:rsidRPr="00C11ABA">
        <w:rPr>
          <w:rStyle w:val="SCCCounselSeparatorChar"/>
          <w:sz w:val="20"/>
          <w:lang w:val="en-CA"/>
        </w:rPr>
        <w:t xml:space="preserve">, </w:t>
      </w:r>
      <w:r w:rsidRPr="003C35CA">
        <w:rPr>
          <w:rStyle w:val="SCCCounselNameChar"/>
          <w:sz w:val="20"/>
        </w:rPr>
        <w:t>Paul Schabas</w:t>
      </w:r>
      <w:r w:rsidRPr="00C11ABA">
        <w:rPr>
          <w:rStyle w:val="SCCCounselSeparatorChar"/>
          <w:sz w:val="20"/>
          <w:lang w:val="en-CA"/>
        </w:rPr>
        <w:t xml:space="preserve"> and </w:t>
      </w:r>
      <w:r w:rsidRPr="003C35CA">
        <w:rPr>
          <w:rStyle w:val="SCCCounselNameChar"/>
          <w:sz w:val="20"/>
        </w:rPr>
        <w:t>Jon Goheen</w:t>
      </w:r>
      <w:r w:rsidRPr="003C35CA">
        <w:rPr>
          <w:rStyle w:val="SCCCounselPartyRoleChar"/>
          <w:sz w:val="20"/>
        </w:rPr>
        <w:t>, for the intervener the British Columbia Civil Liberties Association.</w:t>
      </w:r>
      <w:proofErr w:type="gramEnd"/>
    </w:p>
    <w:p w:rsidR="00C11ABA" w:rsidRPr="003C35CA" w:rsidRDefault="00C11ABA" w:rsidP="00C11ABA">
      <w:pPr>
        <w:pStyle w:val="SCCNormalDoubleSpacing"/>
        <w:spacing w:line="240" w:lineRule="auto"/>
        <w:rPr>
          <w:sz w:val="20"/>
        </w:rPr>
      </w:pPr>
    </w:p>
    <w:p w:rsidR="00C11ABA" w:rsidRPr="003C35CA" w:rsidRDefault="00C11ABA" w:rsidP="00C11ABA">
      <w:pPr>
        <w:pStyle w:val="SCCNormalDoubleSpacing"/>
        <w:spacing w:line="240" w:lineRule="auto"/>
        <w:rPr>
          <w:rStyle w:val="SCCCounselPartyRoleChar"/>
          <w:sz w:val="20"/>
        </w:rPr>
      </w:pPr>
      <w:r w:rsidRPr="003C35CA">
        <w:rPr>
          <w:rStyle w:val="SCCCounselNameChar"/>
          <w:sz w:val="20"/>
        </w:rPr>
        <w:tab/>
        <w:t>Robert S. Anderson</w:t>
      </w:r>
      <w:r w:rsidRPr="003C35CA">
        <w:rPr>
          <w:rStyle w:val="SCCCounselNameChar"/>
          <w:i w:val="0"/>
          <w:sz w:val="20"/>
        </w:rPr>
        <w:t xml:space="preserve">, </w:t>
      </w:r>
      <w:r w:rsidRPr="003C35CA">
        <w:rPr>
          <w:rStyle w:val="SCCCounselNameChar"/>
          <w:sz w:val="20"/>
        </w:rPr>
        <w:t>Q.C.</w:t>
      </w:r>
      <w:r w:rsidRPr="003C35CA">
        <w:rPr>
          <w:rStyle w:val="SCCCounselNameChar"/>
          <w:i w:val="0"/>
          <w:sz w:val="20"/>
        </w:rPr>
        <w:t>,</w:t>
      </w:r>
      <w:r w:rsidRPr="00C11ABA">
        <w:rPr>
          <w:rStyle w:val="SCCCounselSeparatorChar"/>
          <w:sz w:val="20"/>
          <w:lang w:val="en-CA"/>
        </w:rPr>
        <w:t xml:space="preserve"> and </w:t>
      </w:r>
      <w:r w:rsidRPr="003C35CA">
        <w:rPr>
          <w:rStyle w:val="SCCCounselNameChar"/>
          <w:sz w:val="20"/>
        </w:rPr>
        <w:t>Ludmila B. Herbst</w:t>
      </w:r>
      <w:r w:rsidRPr="003C35CA">
        <w:rPr>
          <w:rStyle w:val="SCCCounselPartyRoleChar"/>
          <w:sz w:val="20"/>
        </w:rPr>
        <w:t>, for the interveners the Canadian Newspaper Association, Ad IDEM/Canadian Media Lawyers Association, Magazines Canada, Canadian Journalists for Free Expression, the Writers’ Union of Canada, the Professional Writers Association of Canada, PEN Canada and the Canadian Publishers’ Council.</w:t>
      </w:r>
    </w:p>
    <w:p w:rsidR="00C11ABA" w:rsidRPr="003C35CA" w:rsidRDefault="00C11ABA" w:rsidP="00C11ABA">
      <w:pPr>
        <w:pStyle w:val="SCCNormalDoubleSpacing"/>
        <w:spacing w:line="240" w:lineRule="auto"/>
        <w:rPr>
          <w:sz w:val="20"/>
        </w:rPr>
      </w:pPr>
    </w:p>
    <w:p w:rsidR="00C11ABA" w:rsidRPr="003C35CA" w:rsidRDefault="00C11ABA" w:rsidP="00C11ABA">
      <w:pPr>
        <w:pStyle w:val="SCCLawFirm"/>
        <w:spacing w:line="240" w:lineRule="auto"/>
        <w:rPr>
          <w:sz w:val="20"/>
        </w:rPr>
      </w:pPr>
      <w:r w:rsidRPr="003C35CA">
        <w:rPr>
          <w:sz w:val="20"/>
        </w:rPr>
        <w:tab/>
      </w:r>
      <w:proofErr w:type="gramStart"/>
      <w:r w:rsidRPr="003C35CA">
        <w:rPr>
          <w:sz w:val="20"/>
        </w:rPr>
        <w:t>Solicitors for the appellants:  Stewart, Aulinger &amp; Company, Vancouver.</w:t>
      </w:r>
      <w:proofErr w:type="gramEnd"/>
    </w:p>
    <w:p w:rsidR="00C11ABA" w:rsidRPr="003C35CA" w:rsidRDefault="00C11ABA" w:rsidP="00C11ABA">
      <w:pPr>
        <w:pStyle w:val="SCCNormalDoubleSpacing"/>
        <w:spacing w:line="240" w:lineRule="auto"/>
        <w:rPr>
          <w:sz w:val="20"/>
        </w:rPr>
      </w:pPr>
    </w:p>
    <w:p w:rsidR="00C11ABA" w:rsidRPr="003C35CA" w:rsidRDefault="00C11ABA" w:rsidP="00C11ABA">
      <w:pPr>
        <w:pStyle w:val="SCCLawFirm"/>
        <w:spacing w:line="240" w:lineRule="auto"/>
        <w:rPr>
          <w:sz w:val="20"/>
        </w:rPr>
      </w:pPr>
      <w:r w:rsidRPr="003C35CA">
        <w:rPr>
          <w:sz w:val="20"/>
        </w:rPr>
        <w:tab/>
        <w:t>Solicitors for the respondent:  Owen Bird Law Corporation, Vancouver.</w:t>
      </w:r>
    </w:p>
    <w:p w:rsidR="00C11ABA" w:rsidRPr="003C35CA" w:rsidRDefault="00C11ABA" w:rsidP="00C11ABA">
      <w:pPr>
        <w:pStyle w:val="SCCNormalDoubleSpacing"/>
        <w:spacing w:line="240" w:lineRule="auto"/>
        <w:rPr>
          <w:sz w:val="20"/>
        </w:rPr>
      </w:pPr>
    </w:p>
    <w:p w:rsidR="00C11ABA" w:rsidRPr="003C35CA" w:rsidRDefault="00C11ABA" w:rsidP="00C11ABA">
      <w:pPr>
        <w:pStyle w:val="SCCLawFirm"/>
        <w:spacing w:line="240" w:lineRule="auto"/>
        <w:rPr>
          <w:sz w:val="20"/>
        </w:rPr>
      </w:pPr>
      <w:r w:rsidRPr="003C35CA">
        <w:rPr>
          <w:sz w:val="20"/>
        </w:rPr>
        <w:tab/>
        <w:t>Solicitors for the intervener the Canadian Civil Liberties Association:  Torys, Toronto.</w:t>
      </w:r>
    </w:p>
    <w:p w:rsidR="00C11ABA" w:rsidRPr="003C35CA" w:rsidRDefault="00C11ABA" w:rsidP="00C11ABA">
      <w:pPr>
        <w:pStyle w:val="SCCNormalDoubleSpacing"/>
        <w:spacing w:line="240" w:lineRule="auto"/>
        <w:rPr>
          <w:sz w:val="20"/>
        </w:rPr>
      </w:pPr>
    </w:p>
    <w:p w:rsidR="00C11ABA" w:rsidRPr="003C35CA" w:rsidRDefault="00C11ABA" w:rsidP="00C11ABA">
      <w:pPr>
        <w:pStyle w:val="SCCLawFirm"/>
        <w:spacing w:line="240" w:lineRule="auto"/>
        <w:rPr>
          <w:sz w:val="20"/>
        </w:rPr>
      </w:pPr>
      <w:r w:rsidRPr="003C35CA">
        <w:rPr>
          <w:sz w:val="20"/>
        </w:rPr>
        <w:tab/>
        <w:t>Solicitors for the intervener the Samuelson-Glushko Canadian Internet Policy and Public Interest Clinic:  Gowling Lafleur Henderson, Ottawa.</w:t>
      </w:r>
    </w:p>
    <w:p w:rsidR="00C11ABA" w:rsidRPr="003C35CA" w:rsidRDefault="00C11ABA" w:rsidP="00C11ABA">
      <w:pPr>
        <w:pStyle w:val="SCCNormalDoubleSpacing"/>
        <w:spacing w:line="240" w:lineRule="auto"/>
      </w:pPr>
    </w:p>
    <w:p w:rsidR="00C11ABA" w:rsidRPr="003C35CA" w:rsidRDefault="00C11ABA" w:rsidP="00C11ABA">
      <w:pPr>
        <w:pStyle w:val="SCCLawFirm"/>
        <w:spacing w:line="240" w:lineRule="auto"/>
        <w:rPr>
          <w:sz w:val="20"/>
        </w:rPr>
      </w:pPr>
      <w:r w:rsidRPr="003C35CA">
        <w:rPr>
          <w:sz w:val="20"/>
        </w:rPr>
        <w:tab/>
        <w:t>Solicitors for the intervener NetCoalition:  Lenczner Slaght Royce Smith Griffin, Toronto.</w:t>
      </w:r>
    </w:p>
    <w:p w:rsidR="00C11ABA" w:rsidRPr="003C35CA" w:rsidRDefault="00C11ABA" w:rsidP="00C11ABA">
      <w:pPr>
        <w:pStyle w:val="SCCNormalDoubleSpacing"/>
        <w:spacing w:line="240" w:lineRule="auto"/>
      </w:pPr>
    </w:p>
    <w:p w:rsidR="00C11ABA" w:rsidRPr="003C35CA" w:rsidRDefault="00C11ABA" w:rsidP="00C11ABA">
      <w:pPr>
        <w:pStyle w:val="SCCLawFirm"/>
        <w:spacing w:line="240" w:lineRule="auto"/>
        <w:rPr>
          <w:sz w:val="20"/>
        </w:rPr>
      </w:pPr>
      <w:r w:rsidRPr="003C35CA">
        <w:rPr>
          <w:sz w:val="20"/>
        </w:rPr>
        <w:tab/>
        <w:t>Solicitors for the intervener the British Columbia Civil Liberties Association:  Blake, Cassels &amp; Graydon, Vancouver.</w:t>
      </w:r>
    </w:p>
    <w:p w:rsidR="00C11ABA" w:rsidRPr="003C35CA" w:rsidRDefault="00C11ABA" w:rsidP="00C11ABA">
      <w:pPr>
        <w:pStyle w:val="SCCNormalDoubleSpacing"/>
        <w:spacing w:line="240" w:lineRule="auto"/>
      </w:pPr>
    </w:p>
    <w:p w:rsidR="00C11ABA" w:rsidRPr="003C35CA" w:rsidRDefault="00C11ABA" w:rsidP="00C11ABA">
      <w:pPr>
        <w:pStyle w:val="SCCLawFirm"/>
        <w:spacing w:line="240" w:lineRule="auto"/>
        <w:rPr>
          <w:sz w:val="20"/>
        </w:rPr>
      </w:pPr>
      <w:r w:rsidRPr="003C35CA">
        <w:rPr>
          <w:sz w:val="20"/>
        </w:rPr>
        <w:tab/>
        <w:t>Solicitors for the interveners the Canadian Newspaper Association, Ad IDEM/Canadian Media Lawyers Association, Magazines Canada, Canadian Journalists for Free Expression, the Writers’ Union of Canada, the Professional Writers Association of Canada, PEN Canada and the Canadian Publishers’ Council:  Farris, Vaughan, Wills &amp; Murphy, Vancouver.</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A67BBB" w:rsidRPr="00A67BBB" w:rsidRDefault="00A67BBB" w:rsidP="00A67BBB">
      <w:pPr>
        <w:jc w:val="both"/>
        <w:rPr>
          <w:sz w:val="20"/>
          <w:szCs w:val="20"/>
          <w:lang w:val="fr-CA"/>
        </w:rPr>
      </w:pPr>
      <w:r w:rsidRPr="00A67BBB">
        <w:rPr>
          <w:sz w:val="20"/>
          <w:szCs w:val="20"/>
          <w:lang w:val="fr-CA"/>
        </w:rPr>
        <w:t>Présents : La juge en chef McLachlin et les juges Binnie, LeBel, Deschamps, Fish, Abella, Charron, Rothstein et Cromwell.</w:t>
      </w:r>
    </w:p>
    <w:p w:rsidR="00A67BBB" w:rsidRPr="00A67BBB" w:rsidRDefault="00A67BBB" w:rsidP="00A67BBB">
      <w:pPr>
        <w:pStyle w:val="SCCLowerCourtNameLowercase"/>
        <w:spacing w:line="240" w:lineRule="auto"/>
        <w:rPr>
          <w:sz w:val="20"/>
          <w:lang w:val="fr-CA"/>
        </w:rPr>
      </w:pPr>
    </w:p>
    <w:p w:rsidR="00A67BBB" w:rsidRPr="00A67BBB" w:rsidRDefault="00A67BBB" w:rsidP="00A67BBB">
      <w:pPr>
        <w:pStyle w:val="SCCNormalDoubleSpacing"/>
        <w:spacing w:line="240" w:lineRule="auto"/>
        <w:rPr>
          <w:i/>
          <w:sz w:val="20"/>
          <w:lang w:val="fr-CA"/>
        </w:rPr>
      </w:pPr>
      <w:r w:rsidRPr="00A67BBB">
        <w:rPr>
          <w:sz w:val="20"/>
          <w:lang w:val="fr-CA"/>
        </w:rPr>
        <w:tab/>
      </w:r>
      <w:r w:rsidRPr="00A67BBB">
        <w:rPr>
          <w:i/>
          <w:sz w:val="20"/>
          <w:lang w:val="fr-CA"/>
        </w:rPr>
        <w:t>Responsabilité délictuelle — Diffamation — Diffusion — Internet — Le défendeur a créé des hyperliens menant à des articles prétendument diffamatoires — Le fait de créer des hyperliens constitue</w:t>
      </w:r>
      <w:r w:rsidRPr="00A67BBB">
        <w:rPr>
          <w:i/>
          <w:sz w:val="20"/>
          <w:lang w:val="fr-CA"/>
        </w:rPr>
        <w:noBreakHyphen/>
        <w:t>t</w:t>
      </w:r>
      <w:r w:rsidRPr="00A67BBB">
        <w:rPr>
          <w:i/>
          <w:sz w:val="20"/>
          <w:lang w:val="fr-CA"/>
        </w:rPr>
        <w:noBreakHyphen/>
        <w:t>il en soi de la diffusion?</w:t>
      </w:r>
    </w:p>
    <w:p w:rsidR="00A67BBB" w:rsidRPr="00A67BBB" w:rsidRDefault="00A67BBB" w:rsidP="00A67BBB">
      <w:pPr>
        <w:pStyle w:val="SCCNormalDoubleSpacing"/>
        <w:spacing w:line="240" w:lineRule="auto"/>
        <w:rPr>
          <w:sz w:val="20"/>
          <w:lang w:val="fr-CA"/>
        </w:rPr>
      </w:pPr>
    </w:p>
    <w:p w:rsidR="00A67BBB" w:rsidRPr="005566FF" w:rsidRDefault="00A67BBB" w:rsidP="00A67BBB">
      <w:pPr>
        <w:pStyle w:val="SCCNormalDoubleSpacing"/>
        <w:spacing w:line="240" w:lineRule="auto"/>
        <w:rPr>
          <w:sz w:val="20"/>
          <w:lang w:val="fr-CA"/>
        </w:rPr>
      </w:pPr>
      <w:r w:rsidRPr="00A67BBB">
        <w:rPr>
          <w:sz w:val="20"/>
          <w:lang w:val="fr-CA"/>
        </w:rPr>
        <w:tab/>
        <w:t>N possède et exploite en Colombie</w:t>
      </w:r>
      <w:r w:rsidRPr="00A67BBB">
        <w:rPr>
          <w:sz w:val="20"/>
          <w:lang w:val="fr-CA"/>
        </w:rPr>
        <w:noBreakHyphen/>
        <w:t xml:space="preserve">Britannique un site Web commentant divers sujets, dont la question de la liberté d’expression dans le contexte de l’Internet.  </w:t>
      </w:r>
      <w:r w:rsidRPr="005566FF">
        <w:rPr>
          <w:sz w:val="20"/>
          <w:lang w:val="fr-CA"/>
        </w:rPr>
        <w:t xml:space="preserve">L’un des articles qui y figuraient comprenait des hyperliens simples et profonds menant à d’autres sites Web dans lesquels se trouvaient des renseignements au sujet de C.  C a poursuivi N, alléguant que deux des hyperliens créés par ce dernier renvoyaient à des propos diffamatoires et que N avait ainsi diffusé de l’information diffamatoire à son égard.  Au procès, le juge a conclu que la simple création d’un hyperlien dans un site Web n’entraînait pas une présomption qu’on avait effectivement utilisé cet hyperlien pour accéder aux mots en cause.  Le juge était d’accord que les hyperliens s’apparentaient à des notes de bas de page puisqu’ils ne </w:t>
      </w:r>
      <w:r w:rsidRPr="005566FF">
        <w:rPr>
          <w:sz w:val="20"/>
          <w:lang w:val="fr-CA"/>
        </w:rPr>
        <w:lastRenderedPageBreak/>
        <w:t>faisaient que renvoyer à une autre source sans toutefois en répéter le contenu.  Sans répétition, il ne pouvait y avoir eu diffusion.  Par surcroît, en l’absence de toute preuve établissant que qui que ce soit d’autre que C avait suivi les liens et lu les mots auxquels ils menaient, il était impossible de conclure qu’il y avait eu diffusion.  Les juges majoritaires de la Cour d’appel ont maintenu la décision, concluant qu’il pouvait arriver que certains mots d’un article donnent à penser qu’un hyperlien donné constitue un encouragement ou une invitation à se rendre au site visé, mais ce n’était pas le cas en l’espèce.  De plus, le nombre de « visites » relativement à l’article lui</w:t>
      </w:r>
      <w:r w:rsidRPr="005566FF">
        <w:rPr>
          <w:sz w:val="20"/>
          <w:lang w:val="fr-CA"/>
        </w:rPr>
        <w:noBreakHyphen/>
        <w:t>même ne constituait pas un fondement suffisant pour inférer qu’en l’espèce un tiers avait lu les mots diffamatoires.  Le juge dissident a conclu qu’il y avait eu diffusion, jugeant qu’il était peu probable, compte tenu du fait que le site Web de N avait été consulté 1 788 fois, que personne n’ait suivi les hyperliens et lu les articles en cause. En outre, il ressortait du contexte dans lequel s’inscrivait l’article de N qu’il encourageait ou invitait les lecteurs à cliquer sur les liens.</w:t>
      </w:r>
    </w:p>
    <w:p w:rsidR="00A67BBB" w:rsidRPr="005566FF" w:rsidRDefault="00A67BBB" w:rsidP="00A67BBB">
      <w:pPr>
        <w:pStyle w:val="SCCNormalDoubleSpacing"/>
        <w:spacing w:line="240" w:lineRule="auto"/>
        <w:rPr>
          <w:sz w:val="20"/>
          <w:lang w:val="fr-CA"/>
        </w:rPr>
      </w:pPr>
    </w:p>
    <w:p w:rsidR="00A67BBB" w:rsidRPr="005566FF" w:rsidRDefault="00A67BBB" w:rsidP="00A67BBB">
      <w:pPr>
        <w:pStyle w:val="SCCNormalDoubleSpacing"/>
        <w:spacing w:line="240" w:lineRule="auto"/>
        <w:rPr>
          <w:sz w:val="20"/>
          <w:lang w:val="fr-CA"/>
        </w:rPr>
      </w:pPr>
      <w:r w:rsidRPr="005566FF">
        <w:rPr>
          <w:sz w:val="20"/>
          <w:lang w:val="fr-CA"/>
        </w:rPr>
        <w:tab/>
      </w:r>
      <w:r w:rsidRPr="005566FF">
        <w:rPr>
          <w:i/>
          <w:sz w:val="20"/>
          <w:lang w:val="fr-CA"/>
        </w:rPr>
        <w:t>Arrêt</w:t>
      </w:r>
      <w:r w:rsidRPr="005566FF">
        <w:rPr>
          <w:sz w:val="20"/>
          <w:lang w:val="fr-CA"/>
        </w:rPr>
        <w:t> : Le pourvoi est rejeté.</w:t>
      </w:r>
    </w:p>
    <w:p w:rsidR="00A67BBB" w:rsidRPr="005566FF" w:rsidRDefault="00A67BBB" w:rsidP="00A67BBB">
      <w:pPr>
        <w:pStyle w:val="SCCNormalDoubleSpacing"/>
        <w:spacing w:line="240" w:lineRule="auto"/>
        <w:rPr>
          <w:sz w:val="20"/>
          <w:lang w:val="fr-CA"/>
        </w:rPr>
      </w:pPr>
    </w:p>
    <w:p w:rsidR="00A67BBB" w:rsidRPr="005566FF" w:rsidRDefault="00A67BBB" w:rsidP="00A67BBB">
      <w:pPr>
        <w:pStyle w:val="SCCNormalDoubleSpacing"/>
        <w:spacing w:line="240" w:lineRule="auto"/>
        <w:rPr>
          <w:sz w:val="20"/>
          <w:lang w:val="fr-CA"/>
        </w:rPr>
      </w:pPr>
      <w:r w:rsidRPr="005566FF">
        <w:rPr>
          <w:sz w:val="20"/>
          <w:lang w:val="fr-CA"/>
        </w:rPr>
        <w:tab/>
      </w:r>
      <w:r w:rsidRPr="005566FF">
        <w:rPr>
          <w:i/>
          <w:sz w:val="20"/>
          <w:lang w:val="fr-CA"/>
        </w:rPr>
        <w:t>Les</w:t>
      </w:r>
      <w:r w:rsidRPr="005566FF">
        <w:rPr>
          <w:sz w:val="20"/>
          <w:lang w:val="fr-CA"/>
        </w:rPr>
        <w:t xml:space="preserve"> juges Binnie, LeBel, </w:t>
      </w:r>
      <w:r w:rsidRPr="005566FF">
        <w:rPr>
          <w:b/>
          <w:sz w:val="20"/>
          <w:lang w:val="fr-CA"/>
        </w:rPr>
        <w:t>Abella</w:t>
      </w:r>
      <w:r w:rsidRPr="005566FF">
        <w:rPr>
          <w:sz w:val="20"/>
          <w:lang w:val="fr-CA"/>
        </w:rPr>
        <w:t xml:space="preserve">, Charron, Rothstein et Cromwell : Pour établir, dans le cadre d’une action en diffamation, qu’il y a eu diffusion des propos visés, le plaignant doit prouver que le défendeur a, </w:t>
      </w:r>
      <w:r w:rsidRPr="005566FF">
        <w:rPr>
          <w:iCs/>
          <w:sz w:val="20"/>
          <w:lang w:val="fr-CA"/>
        </w:rPr>
        <w:t>par le biais d’un acte quelconque</w:t>
      </w:r>
      <w:r w:rsidRPr="005566FF">
        <w:rPr>
          <w:sz w:val="20"/>
          <w:lang w:val="fr-CA"/>
        </w:rPr>
        <w:t xml:space="preserve">, transmis des propos diffamatoires à au moins un tiers, qui les a reçus.  Traditionnellement, la forme que </w:t>
      </w:r>
      <w:proofErr w:type="gramStart"/>
      <w:r w:rsidRPr="005566FF">
        <w:rPr>
          <w:sz w:val="20"/>
          <w:lang w:val="fr-CA"/>
        </w:rPr>
        <w:t>revêt</w:t>
      </w:r>
      <w:proofErr w:type="gramEnd"/>
      <w:r w:rsidRPr="005566FF">
        <w:rPr>
          <w:sz w:val="20"/>
          <w:lang w:val="fr-CA"/>
        </w:rPr>
        <w:t xml:space="preserve"> cet acte et la façon dont il contribue à permettre au tiers d’y accéder sont dénuées de pertinence.  L’application de cette règle traditionnelle aux hyperliens aurait cependant pour effet de créer une présomption de responsabilité à l’égard de tous ceux qui créent des hyperliens.  Cela restreindrait gravement la circulation de l’information dans l’Internet et, partant, la liberté d’expression. </w:t>
      </w:r>
    </w:p>
    <w:p w:rsidR="00A67BBB" w:rsidRPr="005566FF" w:rsidRDefault="00A67BBB" w:rsidP="00A67BBB">
      <w:pPr>
        <w:pStyle w:val="SCCNormalDoubleSpacing"/>
        <w:spacing w:line="240" w:lineRule="auto"/>
        <w:rPr>
          <w:sz w:val="20"/>
          <w:lang w:val="fr-CA"/>
        </w:rPr>
      </w:pPr>
    </w:p>
    <w:p w:rsidR="00A67BBB" w:rsidRPr="005566FF" w:rsidRDefault="00A67BBB" w:rsidP="00A67BBB">
      <w:pPr>
        <w:pStyle w:val="SCCNormalDoubleSpacing"/>
        <w:spacing w:line="240" w:lineRule="auto"/>
        <w:rPr>
          <w:sz w:val="20"/>
          <w:lang w:val="fr-CA"/>
        </w:rPr>
      </w:pPr>
      <w:r w:rsidRPr="005566FF">
        <w:rPr>
          <w:sz w:val="20"/>
          <w:lang w:val="fr-CA"/>
        </w:rPr>
        <w:tab/>
        <w:t>Les hyperliens constituent essentiellement des renvois, qui diffèrent fondamentalement d’autres actes de « diffusion ».  Tant les hyperliens que les renvois signalent l’existence d’une information sans toutefois en communiquer eux</w:t>
      </w:r>
      <w:r w:rsidRPr="005566FF">
        <w:rPr>
          <w:sz w:val="20"/>
          <w:lang w:val="fr-CA"/>
        </w:rPr>
        <w:noBreakHyphen/>
        <w:t>mêmes le contenu.  Ils obligent le tiers qui souhaite prendre connaissance du contenu à poser un certain acte avant de pouvoir le faire.  Le fait qu’il soit beaucoup plus facile d’accéder au contenu d’un texte par le biais d’hyperliens que par des notes de bas de page ne change rien au fait que l’hyperlien en lui</w:t>
      </w:r>
      <w:r w:rsidRPr="005566FF">
        <w:rPr>
          <w:sz w:val="20"/>
          <w:lang w:val="fr-CA"/>
        </w:rPr>
        <w:noBreakHyphen/>
        <w:t>même est neutre sur le plan du contenu.  En outre, le seul fait d’incorporer un hyperlien dans un article ne confère pas à l’auteur de celui</w:t>
      </w:r>
      <w:r w:rsidRPr="005566FF">
        <w:rPr>
          <w:sz w:val="20"/>
          <w:lang w:val="fr-CA"/>
        </w:rPr>
        <w:noBreakHyphen/>
        <w:t xml:space="preserve">ci un quelconque contrôle sur le contenu de l’article secondaire auquel il mène. </w:t>
      </w:r>
    </w:p>
    <w:p w:rsidR="00A67BBB" w:rsidRPr="005566FF" w:rsidRDefault="00A67BBB" w:rsidP="00A67BBB">
      <w:pPr>
        <w:pStyle w:val="SCCNormalDoubleSpacing"/>
        <w:spacing w:line="240" w:lineRule="auto"/>
        <w:rPr>
          <w:sz w:val="20"/>
          <w:lang w:val="fr-CA"/>
        </w:rPr>
      </w:pPr>
    </w:p>
    <w:p w:rsidR="00A67BBB" w:rsidRPr="005566FF" w:rsidRDefault="00A67BBB" w:rsidP="00A67BBB">
      <w:pPr>
        <w:pStyle w:val="SCCNormalDoubleSpacing"/>
        <w:spacing w:line="240" w:lineRule="auto"/>
        <w:rPr>
          <w:sz w:val="20"/>
          <w:lang w:val="fr-CA"/>
        </w:rPr>
      </w:pPr>
      <w:r w:rsidRPr="005566FF">
        <w:rPr>
          <w:sz w:val="20"/>
          <w:lang w:val="fr-CA"/>
        </w:rPr>
        <w:tab/>
        <w:t>L’hyperlien, en lui</w:t>
      </w:r>
      <w:r w:rsidRPr="005566FF">
        <w:rPr>
          <w:sz w:val="20"/>
          <w:lang w:val="fr-CA"/>
        </w:rPr>
        <w:noBreakHyphen/>
        <w:t>même, ne devrait jamais être assimilé à la « diffusion » du contenu auquel il renvoie.  Lorsqu’une personne se rend, par le biais d’un hyperlien, à une source secondaire qui contient des mots diffamatoires, c’est la personne même qui crée ou affiche les mots diffamatoires dans le contenu secondaire qui se trouve à diffuser le libelle.  Ce n’est que lorsque la personne qui crée l’hyperlien présente les propos auxquels ce dernier renvoie d’une façon qui, en fait, répète le contenu diffamatoire, que celui</w:t>
      </w:r>
      <w:r w:rsidRPr="005566FF">
        <w:rPr>
          <w:sz w:val="20"/>
          <w:lang w:val="fr-CA"/>
        </w:rPr>
        <w:noBreakHyphen/>
        <w:t>ci doit être considéré comme ayant été « diffusé » par elle.</w:t>
      </w:r>
    </w:p>
    <w:p w:rsidR="00A67BBB" w:rsidRPr="005566FF" w:rsidRDefault="00A67BBB" w:rsidP="00A67BBB">
      <w:pPr>
        <w:pStyle w:val="SCCNormalDoubleSpacing"/>
        <w:spacing w:line="240" w:lineRule="auto"/>
        <w:rPr>
          <w:sz w:val="20"/>
          <w:lang w:val="fr-CA"/>
        </w:rPr>
      </w:pPr>
    </w:p>
    <w:p w:rsidR="00A67BBB" w:rsidRPr="005566FF" w:rsidRDefault="00A67BBB" w:rsidP="00A67BBB">
      <w:pPr>
        <w:pStyle w:val="SCCNormalDoubleSpacing"/>
        <w:spacing w:line="240" w:lineRule="auto"/>
        <w:rPr>
          <w:sz w:val="20"/>
          <w:lang w:val="fr-CA"/>
        </w:rPr>
      </w:pPr>
      <w:r w:rsidRPr="005566FF">
        <w:rPr>
          <w:sz w:val="20"/>
          <w:lang w:val="fr-CA"/>
        </w:rPr>
        <w:tab/>
        <w:t>En l’espèce, rien dans la page Web de N n’est en soi présenté comme étant diffamatoire.  Puisque l’utilisation d’un hyperlien ne peut, en soi, équivaloir à de la diffusion même si on le suit en vue de consulter le contenu diffamatoire auquel il mène, N n’a pas diffusé le contenu diffamatoire et l’action de C ne saurait être accueillie.</w:t>
      </w:r>
    </w:p>
    <w:p w:rsidR="00A67BBB" w:rsidRPr="005566FF" w:rsidRDefault="00A67BBB" w:rsidP="00A67BBB">
      <w:pPr>
        <w:pStyle w:val="SCCNormalDoubleSpacing"/>
        <w:spacing w:line="240" w:lineRule="auto"/>
        <w:rPr>
          <w:sz w:val="20"/>
          <w:lang w:val="fr-CA"/>
        </w:rPr>
      </w:pPr>
    </w:p>
    <w:p w:rsidR="00A67BBB" w:rsidRPr="005566FF" w:rsidRDefault="00A67BBB" w:rsidP="00A67BBB">
      <w:pPr>
        <w:pStyle w:val="SCCNormalDoubleSpacing"/>
        <w:spacing w:line="240" w:lineRule="auto"/>
        <w:rPr>
          <w:sz w:val="20"/>
          <w:lang w:val="fr-CA"/>
        </w:rPr>
      </w:pPr>
      <w:r w:rsidRPr="005566FF">
        <w:rPr>
          <w:sz w:val="20"/>
          <w:lang w:val="fr-CA"/>
        </w:rPr>
        <w:tab/>
      </w:r>
      <w:r w:rsidRPr="005566FF">
        <w:rPr>
          <w:i/>
          <w:sz w:val="20"/>
          <w:lang w:val="fr-CA"/>
        </w:rPr>
        <w:t>La</w:t>
      </w:r>
      <w:r w:rsidRPr="005566FF">
        <w:rPr>
          <w:sz w:val="20"/>
          <w:lang w:val="fr-CA"/>
        </w:rPr>
        <w:t xml:space="preserve"> juge en chef </w:t>
      </w:r>
      <w:r w:rsidRPr="005566FF">
        <w:rPr>
          <w:b/>
          <w:sz w:val="20"/>
          <w:lang w:val="fr-CA"/>
        </w:rPr>
        <w:t xml:space="preserve">McLachlin </w:t>
      </w:r>
      <w:r w:rsidRPr="005566FF">
        <w:rPr>
          <w:sz w:val="20"/>
          <w:lang w:val="fr-CA"/>
        </w:rPr>
        <w:t>et le juge</w:t>
      </w:r>
      <w:r w:rsidRPr="005566FF">
        <w:rPr>
          <w:b/>
          <w:sz w:val="20"/>
          <w:lang w:val="fr-CA"/>
        </w:rPr>
        <w:t xml:space="preserve"> Fish :</w:t>
      </w:r>
      <w:r w:rsidRPr="005566FF">
        <w:rPr>
          <w:sz w:val="20"/>
          <w:lang w:val="fr-CA"/>
        </w:rPr>
        <w:t xml:space="preserve"> Nous souscrivons en grande partie aux motifs des juges majoritaires.  Cependant, selon nous, l’hyperlien équivaut à de la diffusion s’il ressort du texte qui le contient, interprété en fonction de son contexte, que l’auteur adopte le contenu auquel il renvoie, ou y adhère.  Le simple renvoi général à un site Web ne suffit pas pour conclure qu’il y a eu diffusion.</w:t>
      </w:r>
    </w:p>
    <w:p w:rsidR="00A67BBB" w:rsidRPr="005566FF" w:rsidRDefault="00A67BBB" w:rsidP="00A67BBB">
      <w:pPr>
        <w:pStyle w:val="SCCNormalDoubleSpacing"/>
        <w:spacing w:line="240" w:lineRule="auto"/>
        <w:rPr>
          <w:sz w:val="20"/>
          <w:lang w:val="fr-CA"/>
        </w:rPr>
      </w:pPr>
    </w:p>
    <w:p w:rsidR="00A67BBB" w:rsidRPr="005566FF" w:rsidRDefault="00A67BBB" w:rsidP="00A67BBB">
      <w:pPr>
        <w:pStyle w:val="SCCNormalDoubleSpacing"/>
        <w:spacing w:line="240" w:lineRule="auto"/>
        <w:rPr>
          <w:sz w:val="20"/>
          <w:lang w:val="fr-CA"/>
        </w:rPr>
      </w:pPr>
      <w:r w:rsidRPr="005566FF">
        <w:rPr>
          <w:sz w:val="20"/>
          <w:lang w:val="fr-CA"/>
        </w:rPr>
        <w:tab/>
      </w:r>
      <w:r w:rsidRPr="005566FF">
        <w:rPr>
          <w:i/>
          <w:sz w:val="20"/>
          <w:lang w:val="fr-CA"/>
        </w:rPr>
        <w:t>La</w:t>
      </w:r>
      <w:r w:rsidRPr="005566FF">
        <w:rPr>
          <w:sz w:val="20"/>
          <w:lang w:val="fr-CA"/>
        </w:rPr>
        <w:t xml:space="preserve"> juge </w:t>
      </w:r>
      <w:r w:rsidRPr="005566FF">
        <w:rPr>
          <w:b/>
          <w:sz w:val="20"/>
          <w:lang w:val="fr-CA"/>
        </w:rPr>
        <w:t>Deschamps </w:t>
      </w:r>
      <w:r w:rsidRPr="005566FF">
        <w:rPr>
          <w:sz w:val="20"/>
          <w:lang w:val="fr-CA"/>
        </w:rPr>
        <w:t xml:space="preserve">: Soustraire les hyperliens à la règle en matière de diffusion constituerait une solution inadéquate aux nouveaux problèmes soulevés par l’Internet.  Une telle exclusion générale accentuerait la différence qui existe entre les renvois et les autres formes de diffusion et traiterait tous les renvois de la même façon, qu’il s’agisse des notes de bas de page ou des hyperliens.  Ce faisant, elle omettrait de reconnaître que les renvois varient considérablement dans la manière dont ils permettent à des tiers d’obtenir de l’information diffamatoire, et, par conséquent, dans le tort qu’ils peuvent causer à la réputation des gens. </w:t>
      </w:r>
    </w:p>
    <w:p w:rsidR="00A67BBB" w:rsidRPr="005566FF" w:rsidRDefault="00A67BBB" w:rsidP="00A67BBB">
      <w:pPr>
        <w:pStyle w:val="SCCNormalDoubleSpacing"/>
        <w:spacing w:line="240" w:lineRule="auto"/>
        <w:rPr>
          <w:sz w:val="20"/>
          <w:lang w:val="fr-CA"/>
        </w:rPr>
      </w:pPr>
    </w:p>
    <w:p w:rsidR="00A67BBB" w:rsidRPr="005566FF" w:rsidRDefault="00A67BBB" w:rsidP="00A67BBB">
      <w:pPr>
        <w:pStyle w:val="SCCNormalDoubleSpacing"/>
        <w:spacing w:line="240" w:lineRule="auto"/>
        <w:rPr>
          <w:sz w:val="20"/>
          <w:lang w:val="fr-CA"/>
        </w:rPr>
      </w:pPr>
      <w:r w:rsidRPr="005566FF">
        <w:rPr>
          <w:sz w:val="20"/>
          <w:lang w:val="fr-CA"/>
        </w:rPr>
        <w:tab/>
        <w:t xml:space="preserve">En common law en matière de diffamation, la diffusion comporte donc deux volets : (1) un acte qui rend l’information diffamatoire disponible à un tiers, dans un format compréhensible, et (2) la réception de l’information par le tiers, de telle sorte qu’il en comprend le sens. </w:t>
      </w:r>
    </w:p>
    <w:p w:rsidR="00A67BBB" w:rsidRPr="005566FF" w:rsidRDefault="00A67BBB" w:rsidP="00A67BBB">
      <w:pPr>
        <w:pStyle w:val="SCCNormalDoubleSpacing"/>
        <w:spacing w:line="240" w:lineRule="auto"/>
        <w:rPr>
          <w:sz w:val="20"/>
          <w:lang w:val="fr-CA"/>
        </w:rPr>
      </w:pPr>
    </w:p>
    <w:p w:rsidR="00A67BBB" w:rsidRPr="005566FF" w:rsidRDefault="00A67BBB" w:rsidP="00A67BBB">
      <w:pPr>
        <w:pStyle w:val="SCCNormalDoubleSpacing"/>
        <w:spacing w:line="240" w:lineRule="auto"/>
        <w:rPr>
          <w:sz w:val="20"/>
          <w:lang w:val="fr-CA"/>
        </w:rPr>
      </w:pPr>
      <w:r w:rsidRPr="005566FF">
        <w:rPr>
          <w:sz w:val="20"/>
          <w:lang w:val="fr-CA"/>
        </w:rPr>
        <w:lastRenderedPageBreak/>
        <w:tab/>
        <w:t>Dans le contexte des hyperliens dans l’Internet, le simple renvoi à de l’information diffamatoire, en l’absence de preuve que quelqu’un en a bel et bien pris connaissance et l’a comprise, ne constitue pas une diffusion de celle</w:t>
      </w:r>
      <w:r w:rsidRPr="005566FF">
        <w:rPr>
          <w:sz w:val="20"/>
          <w:lang w:val="fr-CA"/>
        </w:rPr>
        <w:noBreakHyphen/>
        <w:t xml:space="preserve">ci.  Pour satisfaire aux exigences du premier volet de la diffusion, le plaignant doit prouver, selon la prépondérance des probabilités, que la personne qui a créé l’hyperlien a posé un acte délibéré qui a rendu l’information diffamatoire immédiatement disponible à un tiers, dans un format compréhensible.  L’acte du défendeur est délibéré si ce dernier jouait un rôle qui dépassait le rôle instrumental passif en rendant l’information disponible.  Pour décider si l’information à laquelle mène un hyperlien est immédiatement disponible, le tribunal doit prendre en considération certains facteurs, notamment s’il s’agit d’un hyperlien activé par l’utilisateur ou automatique, s’il s’agit d’un lien superficiel ou profond, et si l’information à laquelle mène le lien est accessible au grand public ou s’il s’agit plutôt d’un contenu à accès restreint.  Tout ce qui a une incidence sur la facilité avec laquelle on peut prendre connaissance des propos en cause sera pertinent à cet égard. </w:t>
      </w:r>
    </w:p>
    <w:p w:rsidR="00A67BBB" w:rsidRPr="005566FF" w:rsidRDefault="00A67BBB" w:rsidP="00A67BBB">
      <w:pPr>
        <w:pStyle w:val="SCCNormalDoubleSpacing"/>
        <w:spacing w:line="240" w:lineRule="auto"/>
        <w:rPr>
          <w:sz w:val="20"/>
          <w:lang w:val="fr-CA"/>
        </w:rPr>
      </w:pPr>
    </w:p>
    <w:p w:rsidR="00A67BBB" w:rsidRPr="005566FF" w:rsidRDefault="00A67BBB" w:rsidP="00A67BBB">
      <w:pPr>
        <w:pStyle w:val="SCCNormalDoubleSpacing"/>
        <w:spacing w:line="240" w:lineRule="auto"/>
        <w:rPr>
          <w:sz w:val="20"/>
          <w:lang w:val="fr-CA"/>
        </w:rPr>
      </w:pPr>
      <w:r w:rsidRPr="005566FF">
        <w:rPr>
          <w:sz w:val="20"/>
          <w:lang w:val="fr-CA"/>
        </w:rPr>
        <w:tab/>
        <w:t>Pour avoir gain de cause, la personne qui intente une action en diffamation doit également établir, selon la prépondérance des probabilités, que les exigences du deuxième volet de la diffusion sont satisfaites, à savoir qu’un tiers a reçu et compris l’information diffamatoire.  Il est possible de satisfaire à ces exigences soit en produisant une preuve directe, soit en demandant au tribunal de tirer une inférence sur la base de certains facteurs, notamment s’il s’agissait d’un lien activé par l’utilisateur ou automatique; s’il s’agissait d’un lien profond ou superficiel; si la page contenait plus d’un hyperlien et, dans l’affirmative, l’endroit où se trouvait le lien contesté par rapport aux autres; le contexte dans lequel le lien était présenté aux utilisateurs; le nombre de visites de la page contenant l’hyperlien; le nombre de visites de la page où figurait l’information auquel le lien renvoyait (avant que ce dernier n’ait été affiché et après qu’il l’a été); si les sites Web en cause étaient accessibles au grand public ou s’il s’agissait plutôt de sites à accès restreint; si des changements avaient été apportés à l’information à laquelle menait le lien et, le cas échéant, le lien qui existe entre ces changements et le nombre de visites de la page dans laquelle se trouvait l’information; et enfin, la preuve relative au comportement des internautes.  Si le plaignant parvient à établir que la responsabilité du défendeur pour diffamation est, à première vue, engagée, il incombe alors à ce dernier d’invoquer les moyens de défense qui sont à sa disposition.</w:t>
      </w:r>
    </w:p>
    <w:p w:rsidR="00A67BBB" w:rsidRPr="005566FF" w:rsidRDefault="00A67BBB" w:rsidP="00A67BBB">
      <w:pPr>
        <w:pStyle w:val="SCCNormalDoubleSpacing"/>
        <w:spacing w:line="240" w:lineRule="auto"/>
        <w:rPr>
          <w:sz w:val="20"/>
          <w:lang w:val="fr-CA"/>
        </w:rPr>
      </w:pPr>
    </w:p>
    <w:p w:rsidR="00A67BBB" w:rsidRPr="005566FF" w:rsidRDefault="00A67BBB" w:rsidP="00A67BBB">
      <w:pPr>
        <w:pStyle w:val="SCCNormalDoubleSpacing"/>
        <w:spacing w:line="240" w:lineRule="auto"/>
        <w:rPr>
          <w:sz w:val="20"/>
          <w:lang w:val="fr-CA"/>
        </w:rPr>
      </w:pPr>
      <w:r w:rsidRPr="005566FF">
        <w:rPr>
          <w:sz w:val="20"/>
          <w:lang w:val="fr-CA"/>
        </w:rPr>
        <w:tab/>
        <w:t>En l’espèce, N était plus qu’un simple intermédiaire en rendant l’information visée disponible.  Il a agi délibérément.  Toutefois, compte tenu de l’ensemble des circonstances, on ne peut inférer que le premier hyperlien, qui était un lien superficiel, rendait le contenu diffamatoire immédiatement disponible.  Les divers articles ne figuraient pas sur la page d’accueil du site Web de N et ils avaient des adresses distinctes.  Le fait que le lecteur devait naviguer davantage afin de trouver le contenu diffamatoire constituait un obstacle important à franchir pour obtenir l’information visée.  Cependant, le deuxième hyperlien, qui était un lien profond, rendait effectivement le contenu immédiatement disponible.  Pour consulter l’article, le lecteur n’avait qu’à activer l’hyperlien d’un seul clic de souris, ce qui ne constitue pas un obstacle à la disponibilité des propos qu’il contenait.  Par conséquent, C a établi, selon la prépondérance des probabilités, que les exigences du premier volet de la diffusion étaient satisfaites pour ce qui est de ce lien.  Cependant, la nature de l’article de N, la façon dont les liens étaient présentés et le nombre de visites de l’article ne permettent pas d’inférer que l’information prétendument diffamatoire a été portée à la connaissance d’un tiers quelconque.  L’action en diffamation intentée relativement à l’un ou l’autre des hyperliens contestés ne saurait être accueillie.</w:t>
      </w:r>
    </w:p>
    <w:p w:rsidR="00A67BBB" w:rsidRPr="005566FF" w:rsidRDefault="00A67BBB" w:rsidP="00A67BBB">
      <w:pPr>
        <w:pStyle w:val="SCCNormalDoubleSpacing"/>
        <w:spacing w:line="240" w:lineRule="auto"/>
        <w:rPr>
          <w:sz w:val="20"/>
          <w:lang w:val="fr-CA"/>
        </w:rPr>
      </w:pPr>
    </w:p>
    <w:p w:rsidR="00A67BBB" w:rsidRPr="005566FF" w:rsidRDefault="00A67BBB" w:rsidP="00A67BBB">
      <w:pPr>
        <w:pStyle w:val="SCCNormalDoubleSpacing"/>
        <w:spacing w:line="240" w:lineRule="auto"/>
        <w:rPr>
          <w:sz w:val="20"/>
          <w:lang w:val="fr-CA"/>
        </w:rPr>
      </w:pPr>
      <w:r w:rsidRPr="005566FF">
        <w:rPr>
          <w:sz w:val="20"/>
          <w:lang w:val="fr-CA"/>
        </w:rPr>
        <w:tab/>
        <w:t>POURVOI contre un arrêt de la Cour d’appel de la Colombie</w:t>
      </w:r>
      <w:r w:rsidRPr="005566FF">
        <w:rPr>
          <w:sz w:val="20"/>
          <w:lang w:val="fr-CA"/>
        </w:rPr>
        <w:noBreakHyphen/>
        <w:t xml:space="preserve">Britannique (les juges Prowse, Saunders et Bauman), </w:t>
      </w:r>
      <w:r w:rsidR="004D21E4" w:rsidRPr="002A0A42">
        <w:rPr>
          <w:sz w:val="20"/>
        </w:rPr>
        <w:fldChar w:fldCharType="begin"/>
      </w:r>
      <w:r w:rsidRPr="005566FF">
        <w:rPr>
          <w:sz w:val="20"/>
          <w:lang w:val="fr-CA"/>
        </w:rPr>
        <w:instrText xml:space="preserve"> SEQ CHAPTER \h \r 1</w:instrText>
      </w:r>
      <w:r w:rsidR="004D21E4" w:rsidRPr="002A0A42">
        <w:rPr>
          <w:sz w:val="20"/>
        </w:rPr>
        <w:fldChar w:fldCharType="end"/>
      </w:r>
      <w:r w:rsidRPr="005566FF">
        <w:rPr>
          <w:sz w:val="20"/>
          <w:lang w:val="fr-CA"/>
        </w:rPr>
        <w:t xml:space="preserve">2009 BCCA 392, 96 B.C.L.R. (4th) 315, 311 D.L.R. (4th) 647, 276 B.C.A.C. 105, 468 W.A.C. 105, 69 C.C.L.T. (3d) 66, [2010] 2 W.W.R. 271, [2009] B.C.J. No. 1832 (QL), 2009 CarswellBC 2401, qui a confirmé une décision du juge Kelleher, </w:t>
      </w:r>
      <w:r w:rsidR="004D21E4" w:rsidRPr="002A0A42">
        <w:rPr>
          <w:sz w:val="20"/>
        </w:rPr>
        <w:fldChar w:fldCharType="begin"/>
      </w:r>
      <w:r w:rsidRPr="005566FF">
        <w:rPr>
          <w:sz w:val="20"/>
          <w:lang w:val="fr-CA"/>
        </w:rPr>
        <w:instrText xml:space="preserve"> SEQ CHAPTER \h \r 1</w:instrText>
      </w:r>
      <w:r w:rsidR="004D21E4" w:rsidRPr="002A0A42">
        <w:rPr>
          <w:sz w:val="20"/>
        </w:rPr>
        <w:fldChar w:fldCharType="end"/>
      </w:r>
      <w:r w:rsidRPr="005566FF">
        <w:rPr>
          <w:sz w:val="20"/>
          <w:lang w:val="fr-CA"/>
        </w:rPr>
        <w:t xml:space="preserve">2008 BCSC 1424, 88 B.C.L.R. (4th) 395, 61 C.C.L.T. (3d) 148, [2009] 1 W.W.R. 482, [2008] B.C.J. No. 2012 (QL), 2008 CarswellBC 2237.  </w:t>
      </w:r>
      <w:r w:rsidRPr="002A0A42">
        <w:rPr>
          <w:sz w:val="20"/>
          <w:lang w:val="fr-CA"/>
        </w:rPr>
        <w:t>Pourvoi rejeté.</w:t>
      </w:r>
    </w:p>
    <w:p w:rsidR="00A67BBB" w:rsidRPr="002A0A42" w:rsidRDefault="00A67BBB" w:rsidP="00A67BBB">
      <w:pPr>
        <w:pStyle w:val="SCCNormalDoubleSpacing"/>
        <w:spacing w:line="240" w:lineRule="auto"/>
        <w:rPr>
          <w:sz w:val="20"/>
          <w:lang w:val="fr-CA"/>
        </w:rPr>
      </w:pPr>
    </w:p>
    <w:p w:rsidR="00A67BBB" w:rsidRPr="005566FF" w:rsidRDefault="00A67BBB" w:rsidP="00A67BBB">
      <w:pPr>
        <w:pStyle w:val="SCCNormalDoubleSpacing"/>
        <w:spacing w:line="240" w:lineRule="auto"/>
        <w:rPr>
          <w:rStyle w:val="SCCCounselPartyRoleChar"/>
          <w:sz w:val="20"/>
          <w:lang w:val="fr-CA"/>
        </w:rPr>
      </w:pPr>
      <w:r w:rsidRPr="002A0A42">
        <w:rPr>
          <w:rStyle w:val="SCCCounselNameChar"/>
          <w:sz w:val="20"/>
          <w:lang w:val="fr-CA"/>
        </w:rPr>
        <w:tab/>
      </w:r>
      <w:r w:rsidRPr="005566FF">
        <w:rPr>
          <w:rStyle w:val="SCCCounselNameChar"/>
          <w:sz w:val="20"/>
          <w:lang w:val="fr-CA"/>
        </w:rPr>
        <w:t>Donald J. Jordan, c.r.</w:t>
      </w:r>
      <w:r w:rsidRPr="005566FF">
        <w:rPr>
          <w:rStyle w:val="SCCCounselPartyRoleChar"/>
          <w:sz w:val="20"/>
          <w:lang w:val="fr-CA"/>
        </w:rPr>
        <w:t xml:space="preserve">, et </w:t>
      </w:r>
      <w:r w:rsidRPr="005566FF">
        <w:rPr>
          <w:rStyle w:val="SCCCounselNameChar"/>
          <w:sz w:val="20"/>
          <w:lang w:val="fr-CA"/>
        </w:rPr>
        <w:t>Robert A. Kasting</w:t>
      </w:r>
      <w:r w:rsidRPr="002A0A42">
        <w:rPr>
          <w:rStyle w:val="SCCCounselSeparatorChar"/>
          <w:sz w:val="20"/>
        </w:rPr>
        <w:t xml:space="preserve">, </w:t>
      </w:r>
      <w:r w:rsidRPr="005566FF">
        <w:rPr>
          <w:rStyle w:val="SCCCounselPartyRoleChar"/>
          <w:sz w:val="20"/>
          <w:lang w:val="fr-CA"/>
        </w:rPr>
        <w:t>pour les appelants.</w:t>
      </w:r>
    </w:p>
    <w:p w:rsidR="00A67BBB" w:rsidRPr="005566FF" w:rsidRDefault="00A67BBB" w:rsidP="00A67BBB">
      <w:pPr>
        <w:pStyle w:val="SCCNormalDoubleSpacing"/>
        <w:spacing w:line="240" w:lineRule="auto"/>
        <w:rPr>
          <w:sz w:val="20"/>
          <w:lang w:val="fr-CA"/>
        </w:rPr>
      </w:pPr>
    </w:p>
    <w:p w:rsidR="00A67BBB" w:rsidRPr="005566FF" w:rsidRDefault="00A67BBB" w:rsidP="00A67BBB">
      <w:pPr>
        <w:pStyle w:val="SCCNormalDoubleSpacing"/>
        <w:spacing w:line="240" w:lineRule="auto"/>
        <w:rPr>
          <w:rStyle w:val="SCCCounselPartyRoleChar"/>
          <w:sz w:val="20"/>
          <w:lang w:val="fr-CA"/>
        </w:rPr>
      </w:pPr>
      <w:r w:rsidRPr="005566FF">
        <w:rPr>
          <w:rStyle w:val="SCCCounselNameChar"/>
          <w:sz w:val="20"/>
          <w:lang w:val="fr-CA"/>
        </w:rPr>
        <w:tab/>
        <w:t>Daniel W. Burnett</w:t>
      </w:r>
      <w:r w:rsidRPr="002A0A42">
        <w:rPr>
          <w:rStyle w:val="SCCCounselSeparatorChar"/>
          <w:sz w:val="20"/>
        </w:rPr>
        <w:t xml:space="preserve"> et </w:t>
      </w:r>
      <w:r w:rsidRPr="005566FF">
        <w:rPr>
          <w:rStyle w:val="SCCCounselNameChar"/>
          <w:sz w:val="20"/>
          <w:lang w:val="fr-CA"/>
        </w:rPr>
        <w:t>Harvey S. Delaney</w:t>
      </w:r>
      <w:r w:rsidRPr="005566FF">
        <w:rPr>
          <w:rStyle w:val="SCCCounselPartyRoleChar"/>
          <w:sz w:val="20"/>
          <w:lang w:val="fr-CA"/>
        </w:rPr>
        <w:t>, pour l’intimé.</w:t>
      </w:r>
    </w:p>
    <w:p w:rsidR="00A67BBB" w:rsidRPr="005566FF" w:rsidRDefault="00A67BBB" w:rsidP="00A67BBB">
      <w:pPr>
        <w:pStyle w:val="SCCNormalDoubleSpacing"/>
        <w:spacing w:line="240" w:lineRule="auto"/>
        <w:rPr>
          <w:sz w:val="20"/>
          <w:lang w:val="fr-CA"/>
        </w:rPr>
      </w:pPr>
    </w:p>
    <w:p w:rsidR="00A67BBB" w:rsidRPr="005566FF" w:rsidRDefault="00A67BBB" w:rsidP="00A67BBB">
      <w:pPr>
        <w:pStyle w:val="SCCNormalDoubleSpacing"/>
        <w:spacing w:line="240" w:lineRule="auto"/>
        <w:rPr>
          <w:rStyle w:val="SCCCounselPartyRoleChar"/>
          <w:sz w:val="20"/>
          <w:lang w:val="fr-CA"/>
        </w:rPr>
      </w:pPr>
      <w:r w:rsidRPr="005566FF">
        <w:rPr>
          <w:rStyle w:val="SCCCounselNameChar"/>
          <w:sz w:val="20"/>
          <w:lang w:val="fr-CA"/>
        </w:rPr>
        <w:tab/>
        <w:t>Wendy Matheson</w:t>
      </w:r>
      <w:r w:rsidRPr="002A0A42">
        <w:rPr>
          <w:rStyle w:val="SCCCounselSeparatorChar"/>
          <w:sz w:val="20"/>
        </w:rPr>
        <w:t xml:space="preserve">, </w:t>
      </w:r>
      <w:r w:rsidRPr="005566FF">
        <w:rPr>
          <w:rStyle w:val="SCCCounselNameChar"/>
          <w:sz w:val="20"/>
          <w:lang w:val="fr-CA"/>
        </w:rPr>
        <w:t>Andrew Bernstein</w:t>
      </w:r>
      <w:r w:rsidRPr="005566FF">
        <w:rPr>
          <w:rStyle w:val="SCCCounselPartyRoleChar"/>
          <w:sz w:val="20"/>
          <w:lang w:val="fr-CA"/>
        </w:rPr>
        <w:t xml:space="preserve"> et </w:t>
      </w:r>
      <w:r w:rsidRPr="005566FF">
        <w:rPr>
          <w:rStyle w:val="SCCCounselPartyRoleChar"/>
          <w:i/>
          <w:sz w:val="20"/>
          <w:lang w:val="fr-CA"/>
        </w:rPr>
        <w:t>Molly Reynolds</w:t>
      </w:r>
      <w:r w:rsidRPr="005566FF">
        <w:rPr>
          <w:rStyle w:val="SCCCounselPartyRoleChar"/>
          <w:sz w:val="20"/>
          <w:lang w:val="fr-CA"/>
        </w:rPr>
        <w:t>, pour l’intervenante l’Association canadienne des libertés civiles.</w:t>
      </w:r>
    </w:p>
    <w:p w:rsidR="00A67BBB" w:rsidRDefault="00A67BBB" w:rsidP="00A67BBB">
      <w:pPr>
        <w:pStyle w:val="SCCNormalDoubleSpacing"/>
        <w:spacing w:line="240" w:lineRule="auto"/>
        <w:rPr>
          <w:sz w:val="20"/>
          <w:lang w:val="fr-CA"/>
        </w:rPr>
      </w:pPr>
    </w:p>
    <w:p w:rsidR="005566FF" w:rsidRDefault="005566FF">
      <w:pPr>
        <w:rPr>
          <w:rFonts w:eastAsia="Times New Roman" w:cs="Times New Roman"/>
          <w:sz w:val="20"/>
          <w:szCs w:val="20"/>
          <w:lang w:val="fr-CA" w:eastAsia="en-CA"/>
        </w:rPr>
      </w:pPr>
      <w:r>
        <w:rPr>
          <w:sz w:val="20"/>
          <w:lang w:val="fr-CA"/>
        </w:rPr>
        <w:br w:type="page"/>
      </w:r>
    </w:p>
    <w:p w:rsidR="00A67BBB" w:rsidRPr="005566FF" w:rsidRDefault="00A67BBB" w:rsidP="00A67BBB">
      <w:pPr>
        <w:pStyle w:val="SCCNormalDoubleSpacing"/>
        <w:spacing w:line="240" w:lineRule="auto"/>
        <w:rPr>
          <w:rStyle w:val="SCCCounselPartyRoleChar"/>
          <w:sz w:val="20"/>
          <w:lang w:val="fr-CA"/>
        </w:rPr>
      </w:pPr>
      <w:r w:rsidRPr="005566FF">
        <w:rPr>
          <w:rStyle w:val="SCCCounselNameChar"/>
          <w:sz w:val="20"/>
          <w:lang w:val="fr-CA"/>
        </w:rPr>
        <w:lastRenderedPageBreak/>
        <w:tab/>
        <w:t>Richard G. Dearden</w:t>
      </w:r>
      <w:r w:rsidRPr="002A0A42">
        <w:rPr>
          <w:rStyle w:val="SCCCounselSeparatorChar"/>
          <w:sz w:val="20"/>
        </w:rPr>
        <w:t xml:space="preserve"> et </w:t>
      </w:r>
      <w:r w:rsidRPr="005566FF">
        <w:rPr>
          <w:rStyle w:val="SCCCounselNameChar"/>
          <w:sz w:val="20"/>
          <w:lang w:val="fr-CA"/>
        </w:rPr>
        <w:t>Wendy J. Wagner</w:t>
      </w:r>
      <w:r w:rsidRPr="005566FF">
        <w:rPr>
          <w:rStyle w:val="SCCCounselPartyRoleChar"/>
          <w:sz w:val="20"/>
          <w:lang w:val="fr-CA"/>
        </w:rPr>
        <w:t>, pour l’intervenante la Clinique d’intérêt public et de politique d’internet du Canada Samuelson</w:t>
      </w:r>
      <w:r w:rsidRPr="005566FF">
        <w:rPr>
          <w:rStyle w:val="SCCCounselPartyRoleChar"/>
          <w:sz w:val="20"/>
          <w:lang w:val="fr-CA"/>
        </w:rPr>
        <w:noBreakHyphen/>
        <w:t>Glushko.</w:t>
      </w:r>
    </w:p>
    <w:p w:rsidR="00A67BBB" w:rsidRPr="005566FF" w:rsidRDefault="00A67BBB" w:rsidP="00A67BBB">
      <w:pPr>
        <w:pStyle w:val="SCCNormalDoubleSpacing"/>
        <w:spacing w:line="240" w:lineRule="auto"/>
        <w:rPr>
          <w:sz w:val="20"/>
          <w:lang w:val="fr-CA"/>
        </w:rPr>
      </w:pPr>
    </w:p>
    <w:p w:rsidR="00A67BBB" w:rsidRPr="00A67BBB" w:rsidRDefault="00A67BBB" w:rsidP="00A67BBB">
      <w:pPr>
        <w:pStyle w:val="SCCNormalDoubleSpacing"/>
        <w:spacing w:line="240" w:lineRule="auto"/>
        <w:rPr>
          <w:rStyle w:val="SCCCounselPartyRoleChar"/>
          <w:sz w:val="20"/>
          <w:lang w:val="fr-CA"/>
        </w:rPr>
      </w:pPr>
      <w:r w:rsidRPr="005566FF">
        <w:rPr>
          <w:rStyle w:val="SCCCounselNameChar"/>
          <w:sz w:val="20"/>
          <w:lang w:val="fr-CA"/>
        </w:rPr>
        <w:tab/>
      </w:r>
      <w:r w:rsidRPr="00A67BBB">
        <w:rPr>
          <w:rStyle w:val="SCCCounselNameChar"/>
          <w:sz w:val="20"/>
          <w:lang w:val="fr-CA"/>
        </w:rPr>
        <w:t>William C. McDowell</w:t>
      </w:r>
      <w:r w:rsidRPr="002A0A42">
        <w:rPr>
          <w:rStyle w:val="SCCCounselSeparatorChar"/>
          <w:sz w:val="20"/>
        </w:rPr>
        <w:t xml:space="preserve">, </w:t>
      </w:r>
      <w:r w:rsidRPr="00A67BBB">
        <w:rPr>
          <w:rStyle w:val="SCCCounselNameChar"/>
          <w:sz w:val="20"/>
          <w:lang w:val="fr-CA"/>
        </w:rPr>
        <w:t>Marguerite F. Ethier</w:t>
      </w:r>
      <w:r w:rsidRPr="002A0A42">
        <w:rPr>
          <w:rStyle w:val="SCCCounselSeparatorChar"/>
          <w:sz w:val="20"/>
        </w:rPr>
        <w:t xml:space="preserve">, </w:t>
      </w:r>
      <w:r w:rsidRPr="00A67BBB">
        <w:rPr>
          <w:rStyle w:val="SCCCounselNameChar"/>
          <w:sz w:val="20"/>
          <w:lang w:val="fr-CA"/>
        </w:rPr>
        <w:t>Naomi D. Loewith</w:t>
      </w:r>
      <w:r w:rsidRPr="00A67BBB">
        <w:rPr>
          <w:rStyle w:val="SCCCounselPartyRoleChar"/>
          <w:sz w:val="20"/>
          <w:lang w:val="fr-CA"/>
        </w:rPr>
        <w:t xml:space="preserve"> et </w:t>
      </w:r>
      <w:r w:rsidRPr="00A67BBB">
        <w:rPr>
          <w:rStyle w:val="SCCCounselPartyRoleChar"/>
          <w:i/>
          <w:sz w:val="20"/>
          <w:lang w:val="fr-CA"/>
        </w:rPr>
        <w:t>Colin S. Baxter</w:t>
      </w:r>
      <w:r w:rsidRPr="00A67BBB">
        <w:rPr>
          <w:rStyle w:val="SCCCounselPartyRoleChar"/>
          <w:sz w:val="20"/>
          <w:lang w:val="fr-CA"/>
        </w:rPr>
        <w:t>, pour l’intervenante NetCoalition.</w:t>
      </w:r>
    </w:p>
    <w:p w:rsidR="00A67BBB" w:rsidRPr="00A67BBB" w:rsidRDefault="00A67BBB" w:rsidP="00A67BBB">
      <w:pPr>
        <w:pStyle w:val="SCCNormalDoubleSpacing"/>
        <w:spacing w:line="240" w:lineRule="auto"/>
        <w:rPr>
          <w:sz w:val="20"/>
          <w:lang w:val="fr-CA"/>
        </w:rPr>
      </w:pPr>
    </w:p>
    <w:p w:rsidR="00A67BBB" w:rsidRPr="00A67BBB" w:rsidRDefault="00A67BBB" w:rsidP="00A67BBB">
      <w:pPr>
        <w:pStyle w:val="SCCNormalDoubleSpacing"/>
        <w:spacing w:line="240" w:lineRule="auto"/>
        <w:rPr>
          <w:rStyle w:val="SCCCounselPartyRoleChar"/>
          <w:sz w:val="20"/>
          <w:lang w:val="fr-CA"/>
        </w:rPr>
      </w:pPr>
      <w:r w:rsidRPr="00A67BBB">
        <w:rPr>
          <w:rStyle w:val="SCCCounselNameChar"/>
          <w:sz w:val="20"/>
          <w:lang w:val="fr-CA"/>
        </w:rPr>
        <w:tab/>
        <w:t>Roy W. Millen</w:t>
      </w:r>
      <w:r w:rsidRPr="002A0A42">
        <w:rPr>
          <w:rStyle w:val="SCCCounselSeparatorChar"/>
          <w:sz w:val="20"/>
        </w:rPr>
        <w:t xml:space="preserve">, </w:t>
      </w:r>
      <w:r w:rsidRPr="00A67BBB">
        <w:rPr>
          <w:rStyle w:val="SCCCounselNameChar"/>
          <w:sz w:val="20"/>
          <w:lang w:val="fr-CA"/>
        </w:rPr>
        <w:t>Paul Schabas</w:t>
      </w:r>
      <w:r w:rsidRPr="002A0A42">
        <w:rPr>
          <w:rStyle w:val="SCCCounselSeparatorChar"/>
          <w:sz w:val="20"/>
        </w:rPr>
        <w:t xml:space="preserve"> et </w:t>
      </w:r>
      <w:r w:rsidRPr="00A67BBB">
        <w:rPr>
          <w:rStyle w:val="SCCCounselNameChar"/>
          <w:sz w:val="20"/>
          <w:lang w:val="fr-CA"/>
        </w:rPr>
        <w:t>Jon Goheen</w:t>
      </w:r>
      <w:r w:rsidRPr="00A67BBB">
        <w:rPr>
          <w:rStyle w:val="SCCCounselPartyRoleChar"/>
          <w:sz w:val="20"/>
          <w:lang w:val="fr-CA"/>
        </w:rPr>
        <w:t>, pour l’intervenante l’Association des libertés civiles de la Colombie</w:t>
      </w:r>
      <w:r w:rsidRPr="00A67BBB">
        <w:rPr>
          <w:rStyle w:val="SCCCounselPartyRoleChar"/>
          <w:sz w:val="20"/>
          <w:lang w:val="fr-CA"/>
        </w:rPr>
        <w:noBreakHyphen/>
        <w:t>Britannique.</w:t>
      </w:r>
    </w:p>
    <w:p w:rsidR="00A67BBB" w:rsidRPr="00A67BBB" w:rsidRDefault="00A67BBB" w:rsidP="00A67BBB">
      <w:pPr>
        <w:pStyle w:val="SCCNormalDoubleSpacing"/>
        <w:spacing w:line="240" w:lineRule="auto"/>
        <w:rPr>
          <w:sz w:val="20"/>
          <w:lang w:val="fr-CA"/>
        </w:rPr>
      </w:pPr>
    </w:p>
    <w:p w:rsidR="00A67BBB" w:rsidRPr="00A67BBB" w:rsidRDefault="00A67BBB" w:rsidP="00A67BBB">
      <w:pPr>
        <w:pStyle w:val="SCCNormalDoubleSpacing"/>
        <w:spacing w:line="240" w:lineRule="auto"/>
        <w:rPr>
          <w:rStyle w:val="SCCCounselPartyRoleChar"/>
          <w:sz w:val="20"/>
          <w:lang w:val="fr-CA"/>
        </w:rPr>
      </w:pPr>
      <w:r w:rsidRPr="00A67BBB">
        <w:rPr>
          <w:rStyle w:val="SCCCounselNameChar"/>
          <w:sz w:val="20"/>
          <w:lang w:val="fr-CA"/>
        </w:rPr>
        <w:tab/>
        <w:t>Robert S. Anderson, c.r.,</w:t>
      </w:r>
      <w:r w:rsidRPr="002A0A42">
        <w:rPr>
          <w:rStyle w:val="SCCCounselSeparatorChar"/>
          <w:sz w:val="20"/>
        </w:rPr>
        <w:t xml:space="preserve"> et </w:t>
      </w:r>
      <w:r w:rsidRPr="00A67BBB">
        <w:rPr>
          <w:rStyle w:val="SCCCounselNameChar"/>
          <w:sz w:val="20"/>
          <w:lang w:val="fr-CA"/>
        </w:rPr>
        <w:t>Ludmila B. Herbst</w:t>
      </w:r>
      <w:r w:rsidRPr="00A67BBB">
        <w:rPr>
          <w:rStyle w:val="SCCCounselPartyRoleChar"/>
          <w:sz w:val="20"/>
          <w:lang w:val="fr-CA"/>
        </w:rPr>
        <w:t>, pour les intervenants l’Association canadienne des jounaux, Ad IDEM/Canadian Media Lawyers Association, Magazines Canada, Journalistes canadiens pour la liberté d’expression, Writers’ Union of Canada, Professional Writers Association of Canada, PEN Canada et Canadian Publishers’ Council.</w:t>
      </w:r>
    </w:p>
    <w:p w:rsidR="00A67BBB" w:rsidRPr="00A67BBB" w:rsidRDefault="00A67BBB" w:rsidP="00A67BBB">
      <w:pPr>
        <w:pStyle w:val="SCCNormalDoubleSpacing"/>
        <w:spacing w:line="240" w:lineRule="auto"/>
        <w:rPr>
          <w:rStyle w:val="SCCCounselNameChar"/>
          <w:sz w:val="20"/>
          <w:lang w:val="fr-CA"/>
        </w:rPr>
      </w:pPr>
    </w:p>
    <w:p w:rsidR="00A67BBB" w:rsidRPr="00A67BBB" w:rsidRDefault="00A67BBB" w:rsidP="00A67BBB">
      <w:pPr>
        <w:pStyle w:val="SCCNormalDoubleSpacing"/>
        <w:spacing w:line="240" w:lineRule="auto"/>
        <w:rPr>
          <w:i/>
          <w:sz w:val="20"/>
          <w:lang w:val="fr-CA"/>
        </w:rPr>
      </w:pPr>
      <w:r w:rsidRPr="00A67BBB">
        <w:rPr>
          <w:i/>
          <w:sz w:val="20"/>
          <w:lang w:val="fr-CA"/>
        </w:rPr>
        <w:tab/>
        <w:t>Procureurs des appelants : Stewart, Aulinger &amp; Company, Vancouver.</w:t>
      </w:r>
    </w:p>
    <w:p w:rsidR="00A67BBB" w:rsidRPr="00A67BBB" w:rsidRDefault="00A67BBB" w:rsidP="00A67BBB">
      <w:pPr>
        <w:pStyle w:val="SCCNormalDoubleSpacing"/>
        <w:spacing w:line="240" w:lineRule="auto"/>
        <w:rPr>
          <w:i/>
          <w:sz w:val="20"/>
          <w:lang w:val="fr-CA"/>
        </w:rPr>
      </w:pPr>
    </w:p>
    <w:p w:rsidR="00A67BBB" w:rsidRPr="00A67BBB" w:rsidRDefault="00A67BBB" w:rsidP="00A67BBB">
      <w:pPr>
        <w:pStyle w:val="SCCLawFirm"/>
        <w:spacing w:line="240" w:lineRule="auto"/>
        <w:rPr>
          <w:sz w:val="20"/>
          <w:lang w:val="fr-CA"/>
        </w:rPr>
      </w:pPr>
      <w:r w:rsidRPr="00A67BBB">
        <w:rPr>
          <w:sz w:val="20"/>
          <w:lang w:val="fr-CA"/>
        </w:rPr>
        <w:tab/>
        <w:t>Procureurs de l’intimé : Owen Bird Law Corporation, Vancouver.</w:t>
      </w:r>
    </w:p>
    <w:p w:rsidR="00A67BBB" w:rsidRPr="00A67BBB" w:rsidRDefault="00A67BBB" w:rsidP="00A67BBB">
      <w:pPr>
        <w:pStyle w:val="SCCNormalDoubleSpacing"/>
        <w:spacing w:line="240" w:lineRule="auto"/>
        <w:rPr>
          <w:sz w:val="20"/>
          <w:lang w:val="fr-CA"/>
        </w:rPr>
      </w:pPr>
    </w:p>
    <w:p w:rsidR="00A67BBB" w:rsidRPr="00A67BBB" w:rsidRDefault="00A67BBB" w:rsidP="00A67BBB">
      <w:pPr>
        <w:pStyle w:val="SCCLawFirm"/>
        <w:spacing w:line="240" w:lineRule="auto"/>
        <w:rPr>
          <w:sz w:val="20"/>
          <w:lang w:val="fr-CA"/>
        </w:rPr>
      </w:pPr>
      <w:r w:rsidRPr="00A67BBB">
        <w:rPr>
          <w:sz w:val="20"/>
          <w:lang w:val="fr-CA"/>
        </w:rPr>
        <w:tab/>
        <w:t>Procureurs de l’intervenante l’Association canadienne des libertés civiles : Torys, Toronto.</w:t>
      </w:r>
    </w:p>
    <w:p w:rsidR="00A67BBB" w:rsidRPr="00A67BBB" w:rsidRDefault="00A67BBB" w:rsidP="00A67BBB">
      <w:pPr>
        <w:pStyle w:val="SCCNormalDoubleSpacing"/>
        <w:spacing w:line="240" w:lineRule="auto"/>
        <w:rPr>
          <w:sz w:val="20"/>
          <w:lang w:val="fr-CA"/>
        </w:rPr>
      </w:pPr>
    </w:p>
    <w:p w:rsidR="00A67BBB" w:rsidRPr="00A67BBB" w:rsidRDefault="00A67BBB" w:rsidP="00A67BBB">
      <w:pPr>
        <w:pStyle w:val="SCCLawFirm"/>
        <w:spacing w:line="240" w:lineRule="auto"/>
        <w:rPr>
          <w:sz w:val="20"/>
          <w:lang w:val="fr-CA"/>
        </w:rPr>
      </w:pPr>
      <w:r w:rsidRPr="00A67BBB">
        <w:rPr>
          <w:sz w:val="20"/>
          <w:lang w:val="fr-CA"/>
        </w:rPr>
        <w:tab/>
        <w:t xml:space="preserve">Procureurs de l’intervenante </w:t>
      </w:r>
      <w:r w:rsidRPr="00A67BBB">
        <w:rPr>
          <w:rStyle w:val="SCCCounselPartyRoleChar"/>
          <w:sz w:val="20"/>
          <w:lang w:val="fr-CA"/>
        </w:rPr>
        <w:t>la Clinique d’intérêt public et de politique d’internet du Canada Samuelson</w:t>
      </w:r>
      <w:r w:rsidRPr="00A67BBB">
        <w:rPr>
          <w:rStyle w:val="SCCCounselPartyRoleChar"/>
          <w:sz w:val="20"/>
          <w:lang w:val="fr-CA"/>
        </w:rPr>
        <w:noBreakHyphen/>
        <w:t>Glushko</w:t>
      </w:r>
      <w:r w:rsidRPr="00A67BBB">
        <w:rPr>
          <w:sz w:val="20"/>
          <w:lang w:val="fr-CA"/>
        </w:rPr>
        <w:t> : Gowling Lafleur Henderson, Ottawa.</w:t>
      </w:r>
    </w:p>
    <w:p w:rsidR="00A67BBB" w:rsidRPr="00A67BBB" w:rsidRDefault="00A67BBB" w:rsidP="00A67BBB">
      <w:pPr>
        <w:pStyle w:val="SCCNormalDoubleSpacing"/>
        <w:spacing w:line="240" w:lineRule="auto"/>
        <w:rPr>
          <w:sz w:val="20"/>
          <w:lang w:val="fr-CA"/>
        </w:rPr>
      </w:pPr>
    </w:p>
    <w:p w:rsidR="00A67BBB" w:rsidRPr="00A67BBB" w:rsidRDefault="00A67BBB" w:rsidP="00A67BBB">
      <w:pPr>
        <w:pStyle w:val="SCCLawFirm"/>
        <w:spacing w:line="240" w:lineRule="auto"/>
        <w:rPr>
          <w:sz w:val="20"/>
          <w:lang w:val="fr-CA"/>
        </w:rPr>
      </w:pPr>
      <w:r w:rsidRPr="00A67BBB">
        <w:rPr>
          <w:sz w:val="20"/>
          <w:lang w:val="fr-CA"/>
        </w:rPr>
        <w:tab/>
        <w:t>Procureurs de l’intervenante NetCoalition : Lenczner Slaght Royce Smith Griffin, Toronto.</w:t>
      </w:r>
    </w:p>
    <w:p w:rsidR="00A67BBB" w:rsidRPr="00A67BBB" w:rsidRDefault="00A67BBB" w:rsidP="00A67BBB">
      <w:pPr>
        <w:pStyle w:val="SCCNormalDoubleSpacing"/>
        <w:spacing w:line="240" w:lineRule="auto"/>
        <w:rPr>
          <w:sz w:val="20"/>
          <w:lang w:val="fr-CA"/>
        </w:rPr>
      </w:pPr>
    </w:p>
    <w:p w:rsidR="00A67BBB" w:rsidRPr="00A67BBB" w:rsidRDefault="00A67BBB" w:rsidP="00A67BBB">
      <w:pPr>
        <w:pStyle w:val="SCCLawFirm"/>
        <w:spacing w:line="240" w:lineRule="auto"/>
        <w:rPr>
          <w:sz w:val="20"/>
          <w:lang w:val="fr-CA"/>
        </w:rPr>
      </w:pPr>
      <w:r w:rsidRPr="00A67BBB">
        <w:rPr>
          <w:sz w:val="20"/>
          <w:lang w:val="fr-CA"/>
        </w:rPr>
        <w:tab/>
        <w:t>Procureurs de l’intervenante l’Association des libertés civiles de la Colombie</w:t>
      </w:r>
      <w:r w:rsidRPr="00A67BBB">
        <w:rPr>
          <w:sz w:val="20"/>
          <w:lang w:val="fr-CA"/>
        </w:rPr>
        <w:noBreakHyphen/>
        <w:t>Britannique : Blake, Cassels &amp; Graydon, Vancouver.</w:t>
      </w:r>
    </w:p>
    <w:p w:rsidR="00A67BBB" w:rsidRPr="00A67BBB" w:rsidRDefault="00A67BBB" w:rsidP="00A67BBB">
      <w:pPr>
        <w:pStyle w:val="SCCNormalDoubleSpacing"/>
        <w:spacing w:line="240" w:lineRule="auto"/>
        <w:rPr>
          <w:sz w:val="20"/>
          <w:lang w:val="fr-CA"/>
        </w:rPr>
      </w:pPr>
    </w:p>
    <w:p w:rsidR="00A67BBB" w:rsidRPr="00A67BBB" w:rsidRDefault="00A67BBB" w:rsidP="00A67BBB">
      <w:pPr>
        <w:pStyle w:val="SCCLawFirm"/>
        <w:spacing w:line="240" w:lineRule="auto"/>
        <w:rPr>
          <w:sz w:val="20"/>
          <w:lang w:val="fr-CA"/>
        </w:rPr>
      </w:pPr>
      <w:r w:rsidRPr="00A67BBB">
        <w:rPr>
          <w:sz w:val="20"/>
          <w:lang w:val="fr-CA"/>
        </w:rPr>
        <w:tab/>
        <w:t>Procureurs des intervenants l’Association canadienne des jounaux, Ad IDEM/Canadian Media Lawyers Association, Magazines Canada, Journalistes canadiens pour la liberté d’expression, Writers’ Union of Canada, Professional Writers Association of Canada, PEN Canada et Canadian Publishers’ Council : Farris, Vaughan, Wills &amp; Murphy, Vancouver.</w:t>
      </w:r>
    </w:p>
    <w:p w:rsidR="00A67BBB" w:rsidRDefault="00A67BBB" w:rsidP="005C6840">
      <w:pPr>
        <w:jc w:val="both"/>
        <w:rPr>
          <w:rFonts w:cs="Times New Roman"/>
          <w:sz w:val="20"/>
          <w:szCs w:val="20"/>
          <w:lang w:val="fr-CA"/>
        </w:rPr>
      </w:pPr>
    </w:p>
    <w:p w:rsidR="005566FF" w:rsidRDefault="004D21E4" w:rsidP="005C6840">
      <w:pPr>
        <w:rPr>
          <w:rFonts w:cs="Times New Roman"/>
          <w:sz w:val="20"/>
          <w:szCs w:val="20"/>
          <w:lang w:val="fr-CA"/>
        </w:rPr>
      </w:pPr>
      <w:r w:rsidRPr="004D21E4">
        <w:rPr>
          <w:rFonts w:cs="Times New Roman"/>
          <w:sz w:val="20"/>
          <w:szCs w:val="20"/>
          <w:lang w:val="fr-CA"/>
        </w:rPr>
        <w:pict>
          <v:rect id="_x0000_i1133" style="width:144.3pt;height:1pt" o:hrpct="300" o:hralign="center" o:hrstd="t" o:hrnoshade="t" o:hr="t" fillcolor="black [3213]" stroked="f"/>
        </w:pict>
      </w:r>
    </w:p>
    <w:p w:rsidR="005566FF" w:rsidRDefault="005566FF" w:rsidP="005C6840">
      <w:pPr>
        <w:rPr>
          <w:rFonts w:cs="Times New Roman"/>
          <w:sz w:val="20"/>
          <w:szCs w:val="20"/>
          <w:lang w:val="fr-CA"/>
        </w:rPr>
      </w:pPr>
    </w:p>
    <w:p w:rsidR="005566FF" w:rsidRDefault="005566FF" w:rsidP="005C6840">
      <w:pPr>
        <w:rPr>
          <w:rFonts w:cs="Times New Roman"/>
          <w:sz w:val="20"/>
          <w:szCs w:val="20"/>
          <w:lang w:val="fr-CA"/>
        </w:rPr>
      </w:pPr>
    </w:p>
    <w:p w:rsidR="005C6840" w:rsidRDefault="005C6840" w:rsidP="005C6840">
      <w:pPr>
        <w:rPr>
          <w:lang w:val="fr-CA"/>
        </w:rPr>
      </w:pPr>
      <w:r>
        <w:rPr>
          <w:lang w:val="fr-CA"/>
        </w:rPr>
        <w:br w:type="page"/>
      </w:r>
    </w:p>
    <w:p w:rsidR="00C47482" w:rsidRPr="00D51131" w:rsidRDefault="00C47482" w:rsidP="00C47482">
      <w:pPr>
        <w:jc w:val="both"/>
        <w:rPr>
          <w:rFonts w:eastAsia="Calibri" w:cs="Times New Roman"/>
          <w:sz w:val="20"/>
          <w:szCs w:val="20"/>
        </w:rPr>
      </w:pPr>
      <w:proofErr w:type="gramStart"/>
      <w:r w:rsidRPr="00D51131">
        <w:rPr>
          <w:rFonts w:eastAsia="Calibri" w:cs="Times New Roman"/>
          <w:i/>
          <w:sz w:val="20"/>
          <w:szCs w:val="20"/>
        </w:rPr>
        <w:lastRenderedPageBreak/>
        <w:t>Robert Katigbak v.</w:t>
      </w:r>
      <w:proofErr w:type="gramEnd"/>
      <w:r w:rsidRPr="00D51131">
        <w:rPr>
          <w:rFonts w:eastAsia="Calibri" w:cs="Times New Roman"/>
          <w:i/>
          <w:sz w:val="20"/>
          <w:szCs w:val="20"/>
        </w:rPr>
        <w:t xml:space="preserve"> Her Majesty the Queen</w:t>
      </w:r>
      <w:r w:rsidRPr="00D51131">
        <w:rPr>
          <w:rFonts w:eastAsia="Calibri" w:cs="Times New Roman"/>
          <w:sz w:val="20"/>
          <w:szCs w:val="20"/>
        </w:rPr>
        <w:t xml:space="preserve"> (Ont.) (33762)</w:t>
      </w:r>
    </w:p>
    <w:p w:rsidR="001D5372" w:rsidRPr="001D5372" w:rsidRDefault="001D5372" w:rsidP="001D5372">
      <w:pPr>
        <w:jc w:val="both"/>
        <w:rPr>
          <w:b/>
          <w:sz w:val="20"/>
          <w:szCs w:val="20"/>
        </w:rPr>
      </w:pPr>
      <w:r w:rsidRPr="00360DEB">
        <w:rPr>
          <w:b/>
          <w:sz w:val="20"/>
          <w:szCs w:val="20"/>
        </w:rPr>
        <w:t xml:space="preserve">Indexed as:  R. </w:t>
      </w:r>
      <w:r w:rsidRPr="00360DEB">
        <w:rPr>
          <w:b/>
          <w:i/>
          <w:sz w:val="20"/>
          <w:szCs w:val="20"/>
        </w:rPr>
        <w:t>v.</w:t>
      </w:r>
      <w:r w:rsidRPr="00360DEB">
        <w:rPr>
          <w:b/>
          <w:sz w:val="20"/>
          <w:szCs w:val="20"/>
        </w:rPr>
        <w:t xml:space="preserve"> </w:t>
      </w:r>
      <w:r w:rsidRPr="001D5372">
        <w:rPr>
          <w:rStyle w:val="SCCAppellantForIndexChar"/>
          <w:rFonts w:eastAsiaTheme="minorHAnsi"/>
          <w:sz w:val="20"/>
          <w:lang w:val="en-CA"/>
        </w:rPr>
        <w:t xml:space="preserve">Katigbak / </w:t>
      </w:r>
      <w:proofErr w:type="gramStart"/>
      <w:r w:rsidRPr="001D5372">
        <w:rPr>
          <w:b/>
          <w:sz w:val="20"/>
          <w:szCs w:val="20"/>
        </w:rPr>
        <w:t>Répertorié :</w:t>
      </w:r>
      <w:proofErr w:type="gramEnd"/>
      <w:r w:rsidRPr="001D5372">
        <w:rPr>
          <w:b/>
          <w:sz w:val="20"/>
          <w:szCs w:val="20"/>
        </w:rPr>
        <w:t xml:space="preserve"> R. </w:t>
      </w:r>
      <w:r w:rsidRPr="001D5372">
        <w:rPr>
          <w:b/>
          <w:i/>
          <w:sz w:val="20"/>
          <w:szCs w:val="20"/>
        </w:rPr>
        <w:t>c.</w:t>
      </w:r>
      <w:r w:rsidRPr="001D5372">
        <w:rPr>
          <w:b/>
          <w:sz w:val="20"/>
          <w:szCs w:val="20"/>
        </w:rPr>
        <w:t xml:space="preserve"> </w:t>
      </w:r>
      <w:r w:rsidRPr="001D5372">
        <w:rPr>
          <w:rStyle w:val="SCCAppellantForIndexChar"/>
          <w:rFonts w:eastAsiaTheme="minorHAnsi"/>
          <w:sz w:val="20"/>
          <w:lang w:val="en-CA"/>
        </w:rPr>
        <w:t>Katigbak</w:t>
      </w:r>
    </w:p>
    <w:p w:rsidR="005C6840" w:rsidRPr="00C47482" w:rsidRDefault="005C6840" w:rsidP="005C6840">
      <w:pPr>
        <w:pStyle w:val="SCCSystemYear"/>
        <w:jc w:val="both"/>
        <w:rPr>
          <w:sz w:val="20"/>
        </w:rPr>
      </w:pPr>
      <w:r w:rsidRPr="00C47482">
        <w:rPr>
          <w:sz w:val="20"/>
        </w:rPr>
        <w:t>Neutral citation</w:t>
      </w:r>
      <w:proofErr w:type="gramStart"/>
      <w:r w:rsidRPr="00C47482">
        <w:rPr>
          <w:sz w:val="20"/>
        </w:rPr>
        <w:t>:  201</w:t>
      </w:r>
      <w:r w:rsidR="007F387B" w:rsidRPr="00C47482">
        <w:rPr>
          <w:sz w:val="20"/>
        </w:rPr>
        <w:t>1</w:t>
      </w:r>
      <w:proofErr w:type="gramEnd"/>
      <w:r w:rsidRPr="00C47482">
        <w:rPr>
          <w:sz w:val="20"/>
        </w:rPr>
        <w:t xml:space="preserve"> SCC </w:t>
      </w:r>
      <w:r w:rsidR="00C47482" w:rsidRPr="00C47482">
        <w:rPr>
          <w:sz w:val="20"/>
        </w:rPr>
        <w:t>48</w:t>
      </w:r>
      <w:r w:rsidRPr="00C47482">
        <w:rPr>
          <w:sz w:val="20"/>
        </w:rPr>
        <w:t xml:space="preserve"> / Référence neutre : 201</w:t>
      </w:r>
      <w:r w:rsidR="007F387B" w:rsidRPr="00C47482">
        <w:rPr>
          <w:sz w:val="20"/>
        </w:rPr>
        <w:t>1</w:t>
      </w:r>
      <w:r w:rsidRPr="00C47482">
        <w:rPr>
          <w:sz w:val="20"/>
        </w:rPr>
        <w:t xml:space="preserve"> CSC </w:t>
      </w:r>
      <w:r w:rsidR="00C47482">
        <w:rPr>
          <w:sz w:val="20"/>
        </w:rPr>
        <w:t>48</w:t>
      </w:r>
    </w:p>
    <w:p w:rsidR="005C6840" w:rsidRPr="00C47482" w:rsidRDefault="005C6840" w:rsidP="005C6840">
      <w:pPr>
        <w:rPr>
          <w:sz w:val="20"/>
          <w:szCs w:val="20"/>
          <w:lang w:val="fr-CA"/>
        </w:rPr>
      </w:pPr>
      <w:r w:rsidRPr="00C47482">
        <w:rPr>
          <w:sz w:val="20"/>
          <w:szCs w:val="20"/>
          <w:lang w:val="fr-CA"/>
        </w:rPr>
        <w:t>Hearing</w:t>
      </w:r>
      <w:proofErr w:type="gramStart"/>
      <w:r w:rsidRPr="00C47482">
        <w:rPr>
          <w:sz w:val="20"/>
          <w:szCs w:val="20"/>
          <w:lang w:val="fr-CA"/>
        </w:rPr>
        <w:t xml:space="preserve">:  </w:t>
      </w:r>
      <w:r w:rsidR="001D5372">
        <w:rPr>
          <w:sz w:val="20"/>
          <w:szCs w:val="20"/>
          <w:lang w:val="fr-CA"/>
        </w:rPr>
        <w:t>Februar</w:t>
      </w:r>
      <w:r w:rsidRPr="00C47482">
        <w:rPr>
          <w:sz w:val="20"/>
          <w:szCs w:val="20"/>
          <w:lang w:val="fr-CA"/>
        </w:rPr>
        <w:t>y</w:t>
      </w:r>
      <w:proofErr w:type="gramEnd"/>
      <w:r w:rsidRPr="00C47482">
        <w:rPr>
          <w:sz w:val="20"/>
          <w:szCs w:val="20"/>
          <w:lang w:val="fr-CA"/>
        </w:rPr>
        <w:t xml:space="preserve"> 21, 201</w:t>
      </w:r>
      <w:r w:rsidR="001D5372">
        <w:rPr>
          <w:sz w:val="20"/>
          <w:szCs w:val="20"/>
          <w:lang w:val="fr-CA"/>
        </w:rPr>
        <w:t>1</w:t>
      </w:r>
      <w:r w:rsidRPr="00C47482">
        <w:rPr>
          <w:sz w:val="20"/>
          <w:szCs w:val="20"/>
          <w:lang w:val="fr-CA"/>
        </w:rPr>
        <w:t xml:space="preserve"> / Judgment:  October 2</w:t>
      </w:r>
      <w:r w:rsidR="00C47482" w:rsidRPr="00C47482">
        <w:rPr>
          <w:sz w:val="20"/>
          <w:szCs w:val="20"/>
          <w:lang w:val="fr-CA"/>
        </w:rPr>
        <w:t>0</w:t>
      </w:r>
      <w:r w:rsidRPr="00C47482">
        <w:rPr>
          <w:sz w:val="20"/>
          <w:szCs w:val="20"/>
          <w:lang w:val="fr-CA"/>
        </w:rPr>
        <w:t>, 201</w:t>
      </w:r>
      <w:r w:rsidR="00C47482" w:rsidRPr="00C47482">
        <w:rPr>
          <w:sz w:val="20"/>
          <w:szCs w:val="20"/>
          <w:lang w:val="fr-CA"/>
        </w:rPr>
        <w:t>1</w:t>
      </w:r>
    </w:p>
    <w:p w:rsidR="005C6840" w:rsidRPr="003B3977" w:rsidRDefault="005C6840" w:rsidP="005C6840">
      <w:pPr>
        <w:rPr>
          <w:sz w:val="20"/>
          <w:szCs w:val="20"/>
          <w:lang w:val="fr-CA"/>
        </w:rPr>
      </w:pPr>
      <w:r w:rsidRPr="003B3977">
        <w:rPr>
          <w:sz w:val="20"/>
          <w:szCs w:val="20"/>
          <w:lang w:val="fr-CA"/>
        </w:rPr>
        <w:t xml:space="preserve">Audition : Le 21 </w:t>
      </w:r>
      <w:r w:rsidR="001D5372">
        <w:rPr>
          <w:sz w:val="20"/>
          <w:szCs w:val="20"/>
          <w:lang w:val="fr-CA"/>
        </w:rPr>
        <w:t>févr</w:t>
      </w:r>
      <w:r w:rsidRPr="003B3977">
        <w:rPr>
          <w:sz w:val="20"/>
          <w:szCs w:val="20"/>
          <w:lang w:val="fr-CA"/>
        </w:rPr>
        <w:t>i</w:t>
      </w:r>
      <w:r w:rsidR="001D5372">
        <w:rPr>
          <w:sz w:val="20"/>
          <w:szCs w:val="20"/>
          <w:lang w:val="fr-CA"/>
        </w:rPr>
        <w:t>er</w:t>
      </w:r>
      <w:r w:rsidRPr="003B3977">
        <w:rPr>
          <w:sz w:val="20"/>
          <w:szCs w:val="20"/>
          <w:lang w:val="fr-CA"/>
        </w:rPr>
        <w:t xml:space="preserve"> 201</w:t>
      </w:r>
      <w:r w:rsidR="001D5372">
        <w:rPr>
          <w:sz w:val="20"/>
          <w:szCs w:val="20"/>
          <w:lang w:val="fr-CA"/>
        </w:rPr>
        <w:t>1</w:t>
      </w:r>
      <w:r w:rsidRPr="003B3977">
        <w:rPr>
          <w:sz w:val="20"/>
          <w:szCs w:val="20"/>
          <w:lang w:val="fr-CA"/>
        </w:rPr>
        <w:t xml:space="preserve"> / Jugement : Le 2</w:t>
      </w:r>
      <w:r w:rsidR="00C47482">
        <w:rPr>
          <w:sz w:val="20"/>
          <w:szCs w:val="20"/>
          <w:lang w:val="fr-CA"/>
        </w:rPr>
        <w:t>0</w:t>
      </w:r>
      <w:r w:rsidRPr="003B3977">
        <w:rPr>
          <w:sz w:val="20"/>
          <w:szCs w:val="20"/>
          <w:lang w:val="fr-CA"/>
        </w:rPr>
        <w:t xml:space="preserve"> octobre 201</w:t>
      </w:r>
      <w:r w:rsidR="00C47482">
        <w:rPr>
          <w:sz w:val="20"/>
          <w:szCs w:val="20"/>
          <w:lang w:val="fr-CA"/>
        </w:rPr>
        <w:t>1</w:t>
      </w:r>
    </w:p>
    <w:p w:rsidR="005C6840" w:rsidRPr="003B3977" w:rsidRDefault="004D21E4" w:rsidP="005C6840">
      <w:pPr>
        <w:rPr>
          <w:sz w:val="20"/>
          <w:szCs w:val="20"/>
          <w:lang w:val="fr-CA"/>
        </w:rPr>
      </w:pPr>
      <w:r w:rsidRPr="004D21E4">
        <w:rPr>
          <w:i/>
          <w:sz w:val="20"/>
          <w:szCs w:val="20"/>
        </w:rPr>
        <w:pict>
          <v:rect id="_x0000_i1134"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1D5372" w:rsidRPr="00360DEB" w:rsidRDefault="001D5372" w:rsidP="001D5372">
      <w:pPr>
        <w:jc w:val="both"/>
        <w:rPr>
          <w:sz w:val="20"/>
          <w:szCs w:val="20"/>
        </w:rPr>
      </w:pPr>
      <w:r w:rsidRPr="00360DEB">
        <w:rPr>
          <w:sz w:val="20"/>
          <w:szCs w:val="20"/>
        </w:rPr>
        <w:t>Present:  McLachlin C.J. and Binnie, LeBel, Deschamps, Fish, Abella, Charron, Rothstein and Cromwell JJ.</w:t>
      </w:r>
    </w:p>
    <w:p w:rsidR="001D5372" w:rsidRDefault="001D5372" w:rsidP="001D5372">
      <w:pPr>
        <w:pStyle w:val="SCCLowerCourtNameLowercase"/>
        <w:spacing w:line="240" w:lineRule="auto"/>
        <w:rPr>
          <w:sz w:val="20"/>
        </w:rPr>
      </w:pPr>
    </w:p>
    <w:p w:rsidR="001D5372" w:rsidRDefault="001D5372" w:rsidP="001D5372">
      <w:pPr>
        <w:pStyle w:val="SCCNormalDoubleSpacing"/>
        <w:spacing w:line="240" w:lineRule="auto"/>
        <w:rPr>
          <w:i/>
          <w:sz w:val="20"/>
        </w:rPr>
      </w:pPr>
      <w:r w:rsidRPr="00360DEB">
        <w:rPr>
          <w:sz w:val="20"/>
        </w:rPr>
        <w:tab/>
      </w:r>
      <w:r w:rsidRPr="00360DEB">
        <w:rPr>
          <w:i/>
          <w:sz w:val="20"/>
        </w:rPr>
        <w:t>Criminal law — Child pornography — Defences — Accused charged with one count possession of child pornography between 1999 and 2006 — Statutory defences amended 2005 — Accused testifying purpose of collecting child pornography to create artistic exhibition from perspective of exploited children — Trial judge accepting testimony and acquitting accused on basis of pre</w:t>
      </w:r>
      <w:r w:rsidRPr="00360DEB">
        <w:rPr>
          <w:i/>
          <w:sz w:val="20"/>
        </w:rPr>
        <w:noBreakHyphen/>
        <w:t>2005 artistic merit defence — Whether accused’s actions constituted artistic merit or served public good per pre</w:t>
      </w:r>
      <w:r w:rsidRPr="00360DEB">
        <w:rPr>
          <w:i/>
          <w:sz w:val="20"/>
        </w:rPr>
        <w:noBreakHyphen/>
        <w:t>2005 defences — Whether accused’s actions had legitimate purpose which did not pose undue risk of harm per post</w:t>
      </w:r>
      <w:r w:rsidRPr="00360DEB">
        <w:rPr>
          <w:i/>
          <w:sz w:val="20"/>
        </w:rPr>
        <w:noBreakHyphen/>
        <w:t>2005 defence — Criminal Code, R.S.C. 1985, c. C</w:t>
      </w:r>
      <w:r w:rsidRPr="00360DEB">
        <w:rPr>
          <w:i/>
          <w:sz w:val="20"/>
        </w:rPr>
        <w:noBreakHyphen/>
        <w:t>46, ss. 163(3), 163.1(6).</w:t>
      </w:r>
    </w:p>
    <w:p w:rsidR="001D5372" w:rsidRPr="00360DEB" w:rsidRDefault="001D5372" w:rsidP="001D5372">
      <w:pPr>
        <w:pStyle w:val="SCCNormalDoubleSpacing"/>
        <w:spacing w:line="240" w:lineRule="auto"/>
        <w:rPr>
          <w:i/>
          <w:sz w:val="20"/>
        </w:rPr>
      </w:pPr>
    </w:p>
    <w:p w:rsidR="001D5372" w:rsidRDefault="001D5372" w:rsidP="001D5372">
      <w:pPr>
        <w:pStyle w:val="SCCNormalDoubleSpacing"/>
        <w:spacing w:line="240" w:lineRule="auto"/>
        <w:rPr>
          <w:i/>
          <w:sz w:val="20"/>
        </w:rPr>
      </w:pPr>
      <w:r w:rsidRPr="00360DEB">
        <w:rPr>
          <w:i/>
          <w:sz w:val="20"/>
        </w:rPr>
        <w:tab/>
        <w:t>Criminal law — Appeal from acquittal — Powers of court of appeal — Accused charged with one count possession of child pornography between 1999 and 2006 — Trial judge acquitting accused — Court of Appeal overturning acquittal and registering conviction — Whether substituting conviction exceeded Court of Appeal’s jurisdiction limited to questions of law — Criminal Code, R.S.C. 1985, c. C</w:t>
      </w:r>
      <w:r w:rsidRPr="00360DEB">
        <w:rPr>
          <w:i/>
          <w:sz w:val="20"/>
        </w:rPr>
        <w:noBreakHyphen/>
        <w:t>46, ss. 676(1</w:t>
      </w:r>
      <w:proofErr w:type="gramStart"/>
      <w:r w:rsidRPr="00360DEB">
        <w:rPr>
          <w:i/>
          <w:sz w:val="20"/>
        </w:rPr>
        <w:t>)(</w:t>
      </w:r>
      <w:proofErr w:type="gramEnd"/>
      <w:r w:rsidRPr="00360DEB">
        <w:rPr>
          <w:i/>
          <w:sz w:val="20"/>
        </w:rPr>
        <w:t>a), 686(4)(b)(ii).</w:t>
      </w:r>
    </w:p>
    <w:p w:rsidR="001D5372" w:rsidRPr="00360DEB" w:rsidRDefault="001D5372" w:rsidP="001D5372">
      <w:pPr>
        <w:pStyle w:val="SCCNormalDoubleSpacing"/>
        <w:spacing w:line="240" w:lineRule="auto"/>
        <w:rPr>
          <w:i/>
          <w:sz w:val="20"/>
        </w:rPr>
      </w:pPr>
    </w:p>
    <w:p w:rsidR="001D5372" w:rsidRDefault="001D5372" w:rsidP="001D5372">
      <w:pPr>
        <w:pStyle w:val="SCCNormalDoubleSpacing"/>
        <w:spacing w:line="240" w:lineRule="auto"/>
        <w:rPr>
          <w:sz w:val="20"/>
        </w:rPr>
      </w:pPr>
      <w:r w:rsidRPr="00360DEB">
        <w:rPr>
          <w:i/>
          <w:sz w:val="20"/>
        </w:rPr>
        <w:tab/>
        <w:t>Criminal law — Information — Accused charged with one count possession of child pornography between 1999 and 2006 — Statutory defences amended 2005 — Whether Information defective because only one count of offence charged for period during which statutory defences amended</w:t>
      </w:r>
      <w:r w:rsidRPr="00360DEB">
        <w:rPr>
          <w:sz w:val="20"/>
        </w:rPr>
        <w:t>.</w:t>
      </w:r>
    </w:p>
    <w:p w:rsidR="001D5372" w:rsidRPr="00360DEB" w:rsidRDefault="001D5372" w:rsidP="001D5372">
      <w:pPr>
        <w:pStyle w:val="SCCNormalDoubleSpacing"/>
        <w:spacing w:line="240" w:lineRule="auto"/>
        <w:rPr>
          <w:i/>
          <w:sz w:val="20"/>
        </w:rPr>
      </w:pPr>
    </w:p>
    <w:p w:rsidR="001D5372" w:rsidRDefault="001D5372" w:rsidP="001D5372">
      <w:pPr>
        <w:pStyle w:val="SCCNormalDoubleSpacing"/>
        <w:spacing w:line="240" w:lineRule="auto"/>
        <w:rPr>
          <w:sz w:val="20"/>
        </w:rPr>
      </w:pPr>
      <w:r w:rsidRPr="00360DEB">
        <w:rPr>
          <w:sz w:val="20"/>
        </w:rPr>
        <w:tab/>
        <w:t xml:space="preserve">The appeal concerns the nature and scope of the child pornography defences found in the </w:t>
      </w:r>
      <w:r w:rsidRPr="00360DEB">
        <w:rPr>
          <w:i/>
          <w:sz w:val="20"/>
        </w:rPr>
        <w:t>Criminal Code</w:t>
      </w:r>
      <w:r w:rsidRPr="00360DEB">
        <w:rPr>
          <w:sz w:val="20"/>
        </w:rPr>
        <w:t xml:space="preserve"> as they existed before and after Parliament amended those provisions.  Prior to November 1, 2005, the defence under s. 163.1(6) applied if the accused raised a reasonable doubt as to his or her guilt by establishing, </w:t>
      </w:r>
      <w:r w:rsidRPr="00360DEB">
        <w:rPr>
          <w:i/>
          <w:sz w:val="20"/>
        </w:rPr>
        <w:t>inter alia</w:t>
      </w:r>
      <w:r w:rsidRPr="00360DEB">
        <w:rPr>
          <w:sz w:val="20"/>
        </w:rPr>
        <w:t>, the material’s artistic merit.  In addition, the accused would be acquitted where the acts served, but did not extend beyond what served, the public good (s. 163(3)).  After November 1, 2005, the public good defence no longer applied and s. 163.1(6) was amended to provide a defence if the acts:  (1) had a legitimate purpose related to the administration of justice or to science, medicine, education, or art; and (2) did not pose undue risk of harm to persons under the age of eighteen.  The accused was charged with one count of possessing child pornography between 1999 and 2006, therefore engaging both versions of the defence.  He testified that he was in possession of child pornography for the purpose of creating an artistic exhibition that would present the issue of child exploitation from the perspective of the child.  Accepting that testimony, the trial judge held the accused was entitled to rely on the defences as they existed before and after the 2005 amendments and acquitted him on the basis of the pre</w:t>
      </w:r>
      <w:r w:rsidRPr="00360DEB">
        <w:rPr>
          <w:sz w:val="20"/>
        </w:rPr>
        <w:noBreakHyphen/>
        <w:t xml:space="preserve">2005 artistic merit defence.  The Court of Appeal set aside the acquittal and registered a conviction, concluding that none of the defences were available to the accused on the record. </w:t>
      </w:r>
    </w:p>
    <w:p w:rsidR="001D5372" w:rsidRPr="00360DEB" w:rsidRDefault="001D5372" w:rsidP="001D5372">
      <w:pPr>
        <w:pStyle w:val="SCCNormalDoubleSpacing"/>
        <w:spacing w:line="240" w:lineRule="auto"/>
        <w:rPr>
          <w:sz w:val="20"/>
        </w:rPr>
      </w:pPr>
    </w:p>
    <w:p w:rsidR="001D5372" w:rsidRDefault="001D5372" w:rsidP="001D5372">
      <w:pPr>
        <w:pStyle w:val="SCCNormalDoubleSpacing"/>
        <w:spacing w:line="240" w:lineRule="auto"/>
        <w:rPr>
          <w:sz w:val="20"/>
        </w:rPr>
      </w:pPr>
      <w:r w:rsidRPr="00360DEB">
        <w:rPr>
          <w:rStyle w:val="QuoteChar"/>
          <w:sz w:val="20"/>
        </w:rPr>
        <w:tab/>
        <w:t>Held:</w:t>
      </w:r>
      <w:r w:rsidRPr="00360DEB">
        <w:rPr>
          <w:sz w:val="20"/>
        </w:rPr>
        <w:t xml:space="preserve">  The appeal should be allowed and a new trial ordered.</w:t>
      </w:r>
    </w:p>
    <w:p w:rsidR="001D5372" w:rsidRPr="00360DEB" w:rsidRDefault="001D5372" w:rsidP="001D5372">
      <w:pPr>
        <w:pStyle w:val="SCCNormalDoubleSpacing"/>
        <w:spacing w:line="240" w:lineRule="auto"/>
        <w:rPr>
          <w:sz w:val="20"/>
        </w:rPr>
      </w:pPr>
    </w:p>
    <w:p w:rsidR="001D5372" w:rsidRDefault="001D5372" w:rsidP="001D5372">
      <w:pPr>
        <w:pStyle w:val="SCCNormalDoubleSpacing"/>
        <w:spacing w:line="240" w:lineRule="auto"/>
        <w:rPr>
          <w:sz w:val="20"/>
        </w:rPr>
      </w:pPr>
      <w:r w:rsidRPr="00360DEB">
        <w:rPr>
          <w:i/>
          <w:sz w:val="20"/>
        </w:rPr>
        <w:tab/>
        <w:t>Per</w:t>
      </w:r>
      <w:r w:rsidRPr="00360DEB">
        <w:rPr>
          <w:sz w:val="20"/>
        </w:rPr>
        <w:t xml:space="preserve"> </w:t>
      </w:r>
      <w:r w:rsidRPr="00360DEB">
        <w:rPr>
          <w:rStyle w:val="SCCCoramChar"/>
          <w:b/>
          <w:sz w:val="20"/>
        </w:rPr>
        <w:t>McLachlin C.J.</w:t>
      </w:r>
      <w:r w:rsidRPr="00360DEB">
        <w:rPr>
          <w:rStyle w:val="SCCCoramChar"/>
          <w:sz w:val="20"/>
        </w:rPr>
        <w:t xml:space="preserve"> </w:t>
      </w:r>
      <w:r w:rsidRPr="00360DEB">
        <w:rPr>
          <w:sz w:val="20"/>
        </w:rPr>
        <w:t>and</w:t>
      </w:r>
      <w:r w:rsidRPr="00360DEB">
        <w:rPr>
          <w:rStyle w:val="SCCCoramChar"/>
          <w:sz w:val="20"/>
        </w:rPr>
        <w:t xml:space="preserve"> Binnie, Deschamps, Abella, </w:t>
      </w:r>
      <w:r w:rsidRPr="00360DEB">
        <w:rPr>
          <w:rStyle w:val="SCCCoramChar"/>
          <w:b/>
          <w:sz w:val="20"/>
        </w:rPr>
        <w:t>Charron</w:t>
      </w:r>
      <w:r w:rsidRPr="00360DEB">
        <w:rPr>
          <w:rStyle w:val="SCCCoramChar"/>
          <w:sz w:val="20"/>
        </w:rPr>
        <w:t xml:space="preserve">, Rothstein and Cromwell JJ.: </w:t>
      </w:r>
      <w:r w:rsidRPr="00360DEB">
        <w:rPr>
          <w:sz w:val="20"/>
        </w:rPr>
        <w:t xml:space="preserve"> The trial judge made errors of law regarding both versions of s. 163.1(6).  First, she erred by finding that the pornographic material fell within the scope of the pre</w:t>
      </w:r>
      <w:r w:rsidRPr="00360DEB">
        <w:rPr>
          <w:sz w:val="20"/>
        </w:rPr>
        <w:noBreakHyphen/>
        <w:t xml:space="preserve">2005 artistic merit defence on the ground that the accused possessed the material for an artistic purpose, notwithstanding the fact that the material itself had no artistic merit.  Second, she erred in her interpretation of the phrase “legitimate purpose” in the current defence by inquiring solely into the accused’s subjective purpose for possessing the material.  Parliament’s use of the word “legitimate” connotes its intention that the connection between the impugned activity and the stated purpose also be objectively verifiable.  That is, based on all the circumstances:  (1) there is an objective connection between the accused’s actions and his or her purpose; and (2) there is an objective relationship between the accused’s purpose and one or more of the protected activities (administration of justice, science, medicine, education, or art).  </w:t>
      </w:r>
    </w:p>
    <w:p w:rsidR="001D5372" w:rsidRPr="00360DEB" w:rsidRDefault="001D5372" w:rsidP="001D5372">
      <w:pPr>
        <w:pStyle w:val="SCCNormalDoubleSpacing"/>
        <w:spacing w:line="240" w:lineRule="auto"/>
        <w:rPr>
          <w:sz w:val="20"/>
        </w:rPr>
      </w:pPr>
    </w:p>
    <w:p w:rsidR="001D5372" w:rsidRDefault="001D5372" w:rsidP="001D5372">
      <w:pPr>
        <w:pStyle w:val="SCCNormalDoubleSpacing"/>
        <w:spacing w:line="240" w:lineRule="auto"/>
        <w:rPr>
          <w:sz w:val="20"/>
        </w:rPr>
      </w:pPr>
      <w:r w:rsidRPr="00360DEB">
        <w:rPr>
          <w:sz w:val="20"/>
        </w:rPr>
        <w:tab/>
        <w:t xml:space="preserve">In light of those errors, the Court of Appeal was correct to set aside the acquittal.  However, it erred in substituting a conviction.  The proper remedy is a new trial.  Appellate courts may only substitute an acquittal with a </w:t>
      </w:r>
      <w:r w:rsidRPr="00360DEB">
        <w:rPr>
          <w:sz w:val="20"/>
        </w:rPr>
        <w:lastRenderedPageBreak/>
        <w:t>conviction if the trial judge’s findings of fact, viewed in light of the applicable law, supported a conviction beyond a reasonable doubt (s. 686(4</w:t>
      </w:r>
      <w:proofErr w:type="gramStart"/>
      <w:r w:rsidRPr="00360DEB">
        <w:rPr>
          <w:sz w:val="20"/>
        </w:rPr>
        <w:t>)(</w:t>
      </w:r>
      <w:proofErr w:type="gramEnd"/>
      <w:r w:rsidRPr="00360DEB">
        <w:rPr>
          <w:i/>
          <w:sz w:val="20"/>
        </w:rPr>
        <w:t>b</w:t>
      </w:r>
      <w:r w:rsidRPr="00360DEB">
        <w:rPr>
          <w:sz w:val="20"/>
        </w:rPr>
        <w:t>)(ii)).  In making findings of fact about the accused’s activities and that they extended beyond what served the public good, the Court of Appeal went beyond the jurisdiction conferred on it which, in an appeal from acquittal, is limited to questions of law alone (s. 676(1)</w:t>
      </w:r>
      <w:r w:rsidRPr="00360DEB">
        <w:rPr>
          <w:i/>
          <w:sz w:val="20"/>
        </w:rPr>
        <w:t>(a</w:t>
      </w:r>
      <w:r w:rsidRPr="00360DEB">
        <w:rPr>
          <w:sz w:val="20"/>
        </w:rPr>
        <w:t>)).  As the trial judge did not make the requisite factual inquiries, an appellate court cannot conclude on this record whether the pre</w:t>
      </w:r>
      <w:r w:rsidRPr="00360DEB">
        <w:rPr>
          <w:sz w:val="20"/>
        </w:rPr>
        <w:noBreakHyphen/>
        <w:t>2005 defence of public good would be successful or not.  The same is true in relation to the current defence.  The connection between the repeated collection and storing of child pornography over a 7</w:t>
      </w:r>
      <w:r w:rsidRPr="00360DEB">
        <w:rPr>
          <w:sz w:val="20"/>
        </w:rPr>
        <w:noBreakHyphen/>
        <w:t xml:space="preserve">year span and the accused’s stated purpose of creating an art exhibition was highly contentious at trial.  In the circumstances, the trial judge’s findings of fact on credibility cannot simply be applied to answer the objective component of the legitimate purpose branch of the defence.  Because the factual underpinnings for the objective component of the legitimate purpose branch of the defence were not fully explored, the appropriate remedy is to order a new trial.  As to the undue risk of harm branch, the Court of Appeal erred by relying on a community standard of tolerance test to determine if the risk of harm posed was undue.  The correct approach is to assess whether the physical and/or the psychological harm </w:t>
      </w:r>
      <w:proofErr w:type="gramStart"/>
      <w:r w:rsidRPr="00360DEB">
        <w:rPr>
          <w:sz w:val="20"/>
        </w:rPr>
        <w:t>is</w:t>
      </w:r>
      <w:proofErr w:type="gramEnd"/>
      <w:r w:rsidRPr="00360DEB">
        <w:rPr>
          <w:sz w:val="20"/>
        </w:rPr>
        <w:t xml:space="preserve"> objectively ascertainable and whether the level of the harm poses a significant risk to children.  The question is what degree of harm will be tolerated in the case of activity that has a legitimate purpose.  The Court of Appeal also erred by substituting its own views on the harm posed by the accused.  Determining the ways that the accused’s conduct posed a risk of harm to young persons and whether the risk of harm was </w:t>
      </w:r>
      <w:proofErr w:type="gramStart"/>
      <w:r w:rsidRPr="00360DEB">
        <w:rPr>
          <w:sz w:val="20"/>
        </w:rPr>
        <w:t>undue</w:t>
      </w:r>
      <w:proofErr w:type="gramEnd"/>
      <w:r w:rsidRPr="00360DEB">
        <w:rPr>
          <w:sz w:val="20"/>
        </w:rPr>
        <w:t xml:space="preserve"> will be questions to be determined based on the evidence at the new trial.</w:t>
      </w:r>
    </w:p>
    <w:p w:rsidR="001D5372" w:rsidRPr="00360DEB" w:rsidRDefault="001D5372" w:rsidP="001D5372">
      <w:pPr>
        <w:pStyle w:val="SCCNormalDoubleSpacing"/>
        <w:spacing w:line="240" w:lineRule="auto"/>
        <w:rPr>
          <w:sz w:val="20"/>
        </w:rPr>
      </w:pPr>
    </w:p>
    <w:p w:rsidR="001D5372" w:rsidRDefault="001D5372" w:rsidP="001D5372">
      <w:pPr>
        <w:pStyle w:val="SCCNormalDoubleSpacing"/>
        <w:spacing w:line="240" w:lineRule="auto"/>
        <w:rPr>
          <w:sz w:val="20"/>
        </w:rPr>
      </w:pPr>
      <w:r w:rsidRPr="00360DEB">
        <w:rPr>
          <w:sz w:val="20"/>
        </w:rPr>
        <w:tab/>
        <w:t>Finally, while it may have been preferable to charge the accused separately for the activities in the pre</w:t>
      </w:r>
      <w:r w:rsidRPr="00360DEB">
        <w:rPr>
          <w:sz w:val="20"/>
        </w:rPr>
        <w:noBreakHyphen/>
        <w:t xml:space="preserve"> and post</w:t>
      </w:r>
      <w:r w:rsidRPr="00360DEB">
        <w:rPr>
          <w:sz w:val="20"/>
        </w:rPr>
        <w:noBreakHyphen/>
        <w:t xml:space="preserve">amendment periods, the Crown’s decision to lay a single charge is not fatal.  The Information was not duplicitous as it was clear to the accused that he had to meet both defences for both periods of the alleged offence, and his defence was conducted accordingly.  Moreover, he was not prejudiced, since he would have been required to meet both defences had the Crown charged him with separate counts of the offence. </w:t>
      </w:r>
    </w:p>
    <w:p w:rsidR="001D5372" w:rsidRPr="00360DEB" w:rsidRDefault="001D5372" w:rsidP="001D5372">
      <w:pPr>
        <w:pStyle w:val="SCCNormalDoubleSpacing"/>
        <w:spacing w:line="240" w:lineRule="auto"/>
        <w:rPr>
          <w:sz w:val="20"/>
        </w:rPr>
      </w:pPr>
    </w:p>
    <w:p w:rsidR="001D5372" w:rsidRDefault="001D5372" w:rsidP="001D5372">
      <w:pPr>
        <w:pStyle w:val="SCCNormalDoubleSpacing"/>
        <w:spacing w:line="240" w:lineRule="auto"/>
        <w:rPr>
          <w:sz w:val="20"/>
        </w:rPr>
      </w:pPr>
      <w:r w:rsidRPr="00360DEB">
        <w:rPr>
          <w:i/>
          <w:sz w:val="20"/>
        </w:rPr>
        <w:tab/>
        <w:t>Per</w:t>
      </w:r>
      <w:r w:rsidRPr="00360DEB">
        <w:rPr>
          <w:sz w:val="20"/>
        </w:rPr>
        <w:t xml:space="preserve"> </w:t>
      </w:r>
      <w:r w:rsidRPr="00360DEB">
        <w:rPr>
          <w:b/>
          <w:sz w:val="20"/>
        </w:rPr>
        <w:t>LeBel</w:t>
      </w:r>
      <w:r w:rsidRPr="00360DEB">
        <w:rPr>
          <w:sz w:val="20"/>
        </w:rPr>
        <w:t xml:space="preserve"> and Fish JJ.:  The social interests at stake in relation to child pornography offences are not all the same and the importance of the public interest is not identical.  Thus, the nature and scope of the defence must be consistent with the nature of the crime itself.  Without downplaying its seriousness, possession can entail a lesser risk to the public and to children than the making and distribution of child pornography.  The harm to be proven to establish an “undue risk of harm” must therefore be greater than the generic harms associated with possession of child pornography.  A court must find facts and circumstances that create an undue risk in the context of the case before it, such as a lack of security and ease of access to the material by others.  The effect of holding that the generic harms amount to undue risk is to practically eliminate a defence left open by Parliament where the purpose of the possession is related to the administration of justice, science, medicine, education or art.</w:t>
      </w:r>
    </w:p>
    <w:p w:rsidR="001D5372" w:rsidRPr="00360DEB" w:rsidRDefault="001D5372" w:rsidP="001D5372">
      <w:pPr>
        <w:pStyle w:val="SCCNormalDoubleSpacing"/>
        <w:spacing w:line="240" w:lineRule="auto"/>
        <w:rPr>
          <w:sz w:val="20"/>
        </w:rPr>
      </w:pPr>
    </w:p>
    <w:p w:rsidR="001D5372" w:rsidRDefault="001D5372" w:rsidP="001D5372">
      <w:pPr>
        <w:pStyle w:val="SCCNormalDoubleSpacing"/>
        <w:widowControl w:val="0"/>
        <w:spacing w:line="240" w:lineRule="auto"/>
        <w:rPr>
          <w:sz w:val="20"/>
        </w:rPr>
      </w:pPr>
      <w:r w:rsidRPr="00360DEB">
        <w:rPr>
          <w:sz w:val="20"/>
        </w:rPr>
        <w:tab/>
        <w:t>APPEAL from a judgment of the Ontario Court of Appeal (Moldaver, Simmons and Blair JJ.A.), 2010 ONCA 411, 263 O.A.C. 301, 255 C.C.C. (3d) 365, 76 C.R. (6th) 330, 212 C.R.R. (2d) 272, 100 O.R. (3d) 481, [2010] O.J. No. 2412 (QL), 2010 CarswellOnt 3838, setting aside the accused’s acquittal for possession of child pornography and entering a conviction.  Appeal allowed and new trial ordered.</w:t>
      </w:r>
    </w:p>
    <w:p w:rsidR="001D5372" w:rsidRPr="00360DEB" w:rsidRDefault="001D5372" w:rsidP="001D5372">
      <w:pPr>
        <w:pStyle w:val="SCCNormalDoubleSpacing"/>
        <w:widowControl w:val="0"/>
        <w:spacing w:line="240" w:lineRule="auto"/>
        <w:rPr>
          <w:sz w:val="20"/>
        </w:rPr>
      </w:pPr>
    </w:p>
    <w:p w:rsidR="001D5372" w:rsidRPr="00360DEB" w:rsidRDefault="001D5372" w:rsidP="001D5372">
      <w:pPr>
        <w:pStyle w:val="SCCNormalDoubleSpacing"/>
        <w:spacing w:line="240" w:lineRule="auto"/>
        <w:rPr>
          <w:sz w:val="20"/>
        </w:rPr>
      </w:pPr>
      <w:r w:rsidRPr="00360DEB">
        <w:rPr>
          <w:rStyle w:val="SCCCounselNameChar"/>
          <w:sz w:val="20"/>
        </w:rPr>
        <w:tab/>
      </w:r>
      <w:proofErr w:type="gramStart"/>
      <w:r w:rsidRPr="00360DEB">
        <w:rPr>
          <w:rStyle w:val="SCCCounselNameChar"/>
          <w:sz w:val="20"/>
        </w:rPr>
        <w:t>David E. Harris</w:t>
      </w:r>
      <w:r w:rsidRPr="00360DEB">
        <w:rPr>
          <w:rStyle w:val="SCCCounselPartyRoleChar"/>
          <w:sz w:val="20"/>
        </w:rPr>
        <w:t>, for the appellant.</w:t>
      </w:r>
      <w:proofErr w:type="gramEnd"/>
    </w:p>
    <w:p w:rsidR="001D5372" w:rsidRDefault="001D5372" w:rsidP="001D5372">
      <w:pPr>
        <w:pStyle w:val="SCCNormalDoubleSpacing"/>
        <w:spacing w:line="240" w:lineRule="auto"/>
        <w:rPr>
          <w:rStyle w:val="SCCCounselNameChar"/>
          <w:sz w:val="20"/>
        </w:rPr>
      </w:pPr>
    </w:p>
    <w:p w:rsidR="001D5372" w:rsidRDefault="001D5372" w:rsidP="001D5372">
      <w:pPr>
        <w:pStyle w:val="SCCNormalDoubleSpacing"/>
        <w:spacing w:line="240" w:lineRule="auto"/>
        <w:rPr>
          <w:rStyle w:val="SCCCounselPartyRoleChar"/>
          <w:sz w:val="20"/>
        </w:rPr>
      </w:pPr>
      <w:r w:rsidRPr="00360DEB">
        <w:rPr>
          <w:rStyle w:val="SCCCounselNameChar"/>
          <w:sz w:val="20"/>
        </w:rPr>
        <w:tab/>
      </w:r>
      <w:proofErr w:type="gramStart"/>
      <w:r w:rsidRPr="00360DEB">
        <w:rPr>
          <w:rStyle w:val="SCCCounselNameChar"/>
          <w:sz w:val="20"/>
        </w:rPr>
        <w:t>Christine Bartlett</w:t>
      </w:r>
      <w:r w:rsidRPr="00360DEB">
        <w:rPr>
          <w:rStyle w:val="SCCCounselNameChar"/>
          <w:sz w:val="20"/>
        </w:rPr>
        <w:noBreakHyphen/>
        <w:t>Hughes</w:t>
      </w:r>
      <w:r w:rsidRPr="00360DEB">
        <w:rPr>
          <w:rStyle w:val="SCCCounselPartyRoleChar"/>
          <w:sz w:val="20"/>
        </w:rPr>
        <w:t>, for the respondent.</w:t>
      </w:r>
      <w:proofErr w:type="gramEnd"/>
    </w:p>
    <w:p w:rsidR="001D5372" w:rsidRPr="00360DEB" w:rsidRDefault="001D5372" w:rsidP="001D5372">
      <w:pPr>
        <w:pStyle w:val="SCCNormalDoubleSpacing"/>
        <w:spacing w:line="240" w:lineRule="auto"/>
        <w:rPr>
          <w:sz w:val="20"/>
        </w:rPr>
      </w:pPr>
    </w:p>
    <w:p w:rsidR="001D5372" w:rsidRDefault="001D5372" w:rsidP="001D5372">
      <w:pPr>
        <w:pStyle w:val="SCCNormalDoubleSpacing"/>
        <w:spacing w:line="240" w:lineRule="auto"/>
        <w:rPr>
          <w:rStyle w:val="SCCCounselPartyRoleChar"/>
          <w:sz w:val="20"/>
        </w:rPr>
      </w:pPr>
      <w:r w:rsidRPr="00360DEB">
        <w:rPr>
          <w:rStyle w:val="SCCCounselNameChar"/>
          <w:sz w:val="20"/>
        </w:rPr>
        <w:tab/>
      </w:r>
      <w:proofErr w:type="gramStart"/>
      <w:r w:rsidRPr="00360DEB">
        <w:rPr>
          <w:rStyle w:val="SCCCounselNameChar"/>
          <w:sz w:val="20"/>
        </w:rPr>
        <w:t>Christopher D. Bredt</w:t>
      </w:r>
      <w:r w:rsidRPr="001D5372">
        <w:rPr>
          <w:rStyle w:val="SCCCounselSeparatorChar"/>
          <w:sz w:val="20"/>
          <w:lang w:val="en-CA"/>
        </w:rPr>
        <w:t xml:space="preserve">, </w:t>
      </w:r>
      <w:r w:rsidRPr="00360DEB">
        <w:rPr>
          <w:rStyle w:val="SCCCounselNameChar"/>
          <w:sz w:val="20"/>
        </w:rPr>
        <w:t xml:space="preserve">Margot Finley </w:t>
      </w:r>
      <w:r w:rsidRPr="001D5372">
        <w:rPr>
          <w:rStyle w:val="SCCCounselSeparatorChar"/>
          <w:sz w:val="20"/>
          <w:lang w:val="en-CA"/>
        </w:rPr>
        <w:t>and</w:t>
      </w:r>
      <w:r w:rsidRPr="00360DEB">
        <w:rPr>
          <w:rStyle w:val="SCCCounselNameChar"/>
          <w:sz w:val="20"/>
        </w:rPr>
        <w:t xml:space="preserve"> Jamie Cameron</w:t>
      </w:r>
      <w:r w:rsidRPr="00360DEB">
        <w:rPr>
          <w:rStyle w:val="SCCCounselPartyRoleChar"/>
          <w:sz w:val="20"/>
        </w:rPr>
        <w:t>, for the intervener.</w:t>
      </w:r>
      <w:proofErr w:type="gramEnd"/>
    </w:p>
    <w:p w:rsidR="001D5372" w:rsidRPr="00360DEB" w:rsidRDefault="001D5372" w:rsidP="001D5372">
      <w:pPr>
        <w:pStyle w:val="SCCNormalDoubleSpacing"/>
        <w:spacing w:line="240" w:lineRule="auto"/>
        <w:rPr>
          <w:sz w:val="20"/>
        </w:rPr>
      </w:pPr>
    </w:p>
    <w:p w:rsidR="001D5372" w:rsidRDefault="001D5372" w:rsidP="001D5372">
      <w:pPr>
        <w:pStyle w:val="SCCNormalDoubleSpacing"/>
        <w:spacing w:line="240" w:lineRule="auto"/>
        <w:rPr>
          <w:i/>
          <w:sz w:val="20"/>
        </w:rPr>
      </w:pPr>
      <w:r w:rsidRPr="00360DEB">
        <w:rPr>
          <w:sz w:val="20"/>
        </w:rPr>
        <w:tab/>
      </w:r>
      <w:r w:rsidRPr="00360DEB">
        <w:rPr>
          <w:i/>
          <w:sz w:val="20"/>
        </w:rPr>
        <w:t>Solicitor for the appellant:  David E. Harris, Toronto.</w:t>
      </w:r>
    </w:p>
    <w:p w:rsidR="001D5372" w:rsidRPr="00360DEB" w:rsidRDefault="001D5372" w:rsidP="001D5372">
      <w:pPr>
        <w:pStyle w:val="SCCNormalDoubleSpacing"/>
        <w:spacing w:line="240" w:lineRule="auto"/>
        <w:rPr>
          <w:i/>
          <w:sz w:val="20"/>
        </w:rPr>
      </w:pPr>
    </w:p>
    <w:p w:rsidR="001D5372" w:rsidRDefault="001D5372" w:rsidP="001D5372">
      <w:pPr>
        <w:pStyle w:val="SCCNormalDoubleSpacing"/>
        <w:spacing w:line="240" w:lineRule="auto"/>
        <w:rPr>
          <w:i/>
          <w:sz w:val="20"/>
        </w:rPr>
      </w:pPr>
      <w:r w:rsidRPr="00360DEB">
        <w:rPr>
          <w:i/>
          <w:sz w:val="20"/>
        </w:rPr>
        <w:tab/>
        <w:t>Solicitor for the respondent:  Attorney General of Ontario, Toronto.</w:t>
      </w:r>
    </w:p>
    <w:p w:rsidR="001D5372" w:rsidRPr="00360DEB" w:rsidRDefault="001D5372" w:rsidP="001D5372">
      <w:pPr>
        <w:pStyle w:val="SCCNormalDoubleSpacing"/>
        <w:spacing w:line="240" w:lineRule="auto"/>
        <w:rPr>
          <w:i/>
          <w:sz w:val="20"/>
        </w:rPr>
      </w:pPr>
    </w:p>
    <w:p w:rsidR="001D5372" w:rsidRDefault="001D5372" w:rsidP="001D5372">
      <w:pPr>
        <w:pStyle w:val="SCCNormalDoubleSpacing"/>
        <w:spacing w:line="240" w:lineRule="auto"/>
        <w:rPr>
          <w:i/>
          <w:sz w:val="20"/>
        </w:rPr>
      </w:pPr>
      <w:r w:rsidRPr="00360DEB">
        <w:rPr>
          <w:i/>
          <w:sz w:val="20"/>
        </w:rPr>
        <w:tab/>
        <w:t>Solicitors for the intervener:  Borden Ladner Gervais, Toronto.</w:t>
      </w:r>
      <w:r>
        <w:rPr>
          <w:i/>
          <w:sz w:val="20"/>
        </w:rPr>
        <w:t xml:space="preserve"> </w:t>
      </w:r>
    </w:p>
    <w:p w:rsidR="003B3977" w:rsidRPr="00A91E44" w:rsidRDefault="003B3977" w:rsidP="003B3977">
      <w:pPr>
        <w:rPr>
          <w:sz w:val="20"/>
          <w:szCs w:val="20"/>
          <w:lang w:val="fr-CA"/>
        </w:rPr>
      </w:pPr>
      <w:r w:rsidRPr="00A91E44">
        <w:rPr>
          <w:sz w:val="20"/>
          <w:szCs w:val="20"/>
          <w:lang w:val="fr-CA"/>
        </w:rPr>
        <w:t>________________________</w:t>
      </w:r>
    </w:p>
    <w:p w:rsidR="003B3977" w:rsidRPr="00A91E44" w:rsidRDefault="003B3977" w:rsidP="003B3977">
      <w:pPr>
        <w:rPr>
          <w:sz w:val="20"/>
          <w:szCs w:val="20"/>
          <w:lang w:val="fr-CA"/>
        </w:rPr>
      </w:pPr>
    </w:p>
    <w:p w:rsidR="004D0CEC" w:rsidRPr="00B50781" w:rsidRDefault="004D0CEC" w:rsidP="004D0CEC">
      <w:pPr>
        <w:jc w:val="both"/>
        <w:rPr>
          <w:sz w:val="20"/>
          <w:szCs w:val="20"/>
          <w:lang w:val="fr-CA"/>
        </w:rPr>
      </w:pPr>
      <w:r w:rsidRPr="00B50781">
        <w:rPr>
          <w:sz w:val="20"/>
          <w:szCs w:val="20"/>
          <w:lang w:val="fr-CA"/>
        </w:rPr>
        <w:t>Présents : La juge en chef McLachlin et les juges Binnie, LeBel, Deschamps, Fish, Abella, Charron, Rothstein et Cromwell.</w:t>
      </w:r>
    </w:p>
    <w:p w:rsidR="004D0CEC" w:rsidRDefault="004D0CEC" w:rsidP="004D0CEC">
      <w:pPr>
        <w:pStyle w:val="SCCLowerCourtNameLowercase"/>
        <w:spacing w:line="240" w:lineRule="auto"/>
        <w:rPr>
          <w:sz w:val="20"/>
          <w:lang w:val="fr-CA"/>
        </w:rPr>
      </w:pPr>
    </w:p>
    <w:p w:rsidR="004D0CEC" w:rsidRDefault="004D0CEC" w:rsidP="004D0CEC">
      <w:pPr>
        <w:pStyle w:val="SCCNormalDoubleSpacing"/>
        <w:spacing w:line="240" w:lineRule="auto"/>
        <w:rPr>
          <w:i/>
          <w:sz w:val="20"/>
          <w:lang w:val="fr-CA"/>
        </w:rPr>
      </w:pPr>
      <w:r w:rsidRPr="00B50781">
        <w:rPr>
          <w:sz w:val="20"/>
          <w:lang w:val="fr-CA"/>
        </w:rPr>
        <w:lastRenderedPageBreak/>
        <w:tab/>
      </w:r>
      <w:r w:rsidRPr="00B50781">
        <w:rPr>
          <w:i/>
          <w:sz w:val="20"/>
          <w:lang w:val="fr-CA"/>
        </w:rPr>
        <w:t>Droit criminel — Pornographie juvénile — Moyens de défense — Accusé inculpé d’un chef de possession de pornographie juvénile entre 1999 et 2006 — Moyens de défense prévus par la loi modifiés en 2005 — L’accusé a témoigné qu’il collectionnait des documents de pornographie juvénile en vue de monter une exposition artistique exposant le point de vue d’enfants exploités — La juge du procès a accepté ce témoignage et acquitté l’accusé sur la base du moyen de défense fondé sur la valeur artistique qui existait avant 2005 — Les actes de l’accusé étaient</w:t>
      </w:r>
      <w:r w:rsidRPr="00B50781">
        <w:rPr>
          <w:i/>
          <w:sz w:val="20"/>
          <w:lang w:val="fr-CA"/>
        </w:rPr>
        <w:noBreakHyphen/>
        <w:t>ils visés par le moyen de défense fondé sur la valeur artistique ou celui fondé sur le bien public qui existaient avant 2005? — Les actes de l’accusé visaient</w:t>
      </w:r>
      <w:r w:rsidRPr="00B50781">
        <w:rPr>
          <w:i/>
          <w:sz w:val="20"/>
          <w:lang w:val="fr-CA"/>
        </w:rPr>
        <w:noBreakHyphen/>
        <w:t>ils un but légitime qui ne posait aucun risque indu conformément au moyen de défense qui existe depuis 2005? — Code criminel, L.R.C. 1985, ch. C</w:t>
      </w:r>
      <w:r w:rsidRPr="00B50781">
        <w:rPr>
          <w:i/>
          <w:sz w:val="20"/>
          <w:lang w:val="fr-CA"/>
        </w:rPr>
        <w:noBreakHyphen/>
        <w:t>46, art. 163(3), 163.1(6).</w:t>
      </w:r>
    </w:p>
    <w:p w:rsidR="004D0CEC" w:rsidRPr="00B50781" w:rsidRDefault="004D0CEC" w:rsidP="004D0CEC">
      <w:pPr>
        <w:pStyle w:val="SCCNormalDoubleSpacing"/>
        <w:spacing w:line="240" w:lineRule="auto"/>
        <w:rPr>
          <w:i/>
          <w:sz w:val="20"/>
          <w:lang w:val="fr-CA"/>
        </w:rPr>
      </w:pPr>
    </w:p>
    <w:p w:rsidR="004D0CEC" w:rsidRDefault="004D0CEC" w:rsidP="004D0CEC">
      <w:pPr>
        <w:pStyle w:val="SCCNormalDoubleSpacing"/>
        <w:spacing w:line="240" w:lineRule="auto"/>
        <w:rPr>
          <w:i/>
          <w:sz w:val="20"/>
          <w:lang w:val="fr-CA"/>
        </w:rPr>
      </w:pPr>
      <w:r w:rsidRPr="00B50781">
        <w:rPr>
          <w:i/>
          <w:sz w:val="20"/>
          <w:lang w:val="fr-CA"/>
        </w:rPr>
        <w:tab/>
        <w:t>Droit criminel — Appel contre un acquittement — Pouvoirs d’une cour d’appel — Accusé inculpé d’un chef de possession de pornographie juvénile entre 1999 et 2006 — La juge du procès a acquitté l’accusé — La Cour d’appel a annulé le verdict d’acquittement et inscrit une déclaration de culpabilité — La Cour d’appel a</w:t>
      </w:r>
      <w:r w:rsidRPr="00B50781">
        <w:rPr>
          <w:i/>
          <w:sz w:val="20"/>
          <w:lang w:val="fr-CA"/>
        </w:rPr>
        <w:noBreakHyphen/>
        <w:t>t</w:t>
      </w:r>
      <w:r w:rsidRPr="00B50781">
        <w:rPr>
          <w:i/>
          <w:sz w:val="20"/>
          <w:lang w:val="fr-CA"/>
        </w:rPr>
        <w:noBreakHyphen/>
        <w:t>elle outrepassé sa compétence, qui se limite aux questions de droit, en remplaçant le verdict d’acquittement par une déclaration de culpabilité? — Code criminel, L.R.C. 1985, ch. C</w:t>
      </w:r>
      <w:r w:rsidRPr="00B50781">
        <w:rPr>
          <w:i/>
          <w:sz w:val="20"/>
          <w:lang w:val="fr-CA"/>
        </w:rPr>
        <w:noBreakHyphen/>
        <w:t>46, art. 676(1)a), 686(4)b</w:t>
      </w:r>
      <w:proofErr w:type="gramStart"/>
      <w:r w:rsidRPr="00B50781">
        <w:rPr>
          <w:i/>
          <w:sz w:val="20"/>
          <w:lang w:val="fr-CA"/>
        </w:rPr>
        <w:t>)(</w:t>
      </w:r>
      <w:proofErr w:type="gramEnd"/>
      <w:r w:rsidRPr="00B50781">
        <w:rPr>
          <w:i/>
          <w:sz w:val="20"/>
          <w:lang w:val="fr-CA"/>
        </w:rPr>
        <w:t>ii).</w:t>
      </w:r>
    </w:p>
    <w:p w:rsidR="004D0CEC" w:rsidRPr="00B50781" w:rsidRDefault="004D0CEC" w:rsidP="004D0CEC">
      <w:pPr>
        <w:pStyle w:val="SCCNormalDoubleSpacing"/>
        <w:spacing w:line="240" w:lineRule="auto"/>
        <w:rPr>
          <w:i/>
          <w:sz w:val="20"/>
          <w:lang w:val="fr-CA"/>
        </w:rPr>
      </w:pPr>
    </w:p>
    <w:p w:rsidR="004D0CEC" w:rsidRDefault="004D0CEC" w:rsidP="004D0CEC">
      <w:pPr>
        <w:pStyle w:val="SCCNormalDoubleSpacing"/>
        <w:spacing w:line="240" w:lineRule="auto"/>
        <w:rPr>
          <w:i/>
          <w:sz w:val="20"/>
          <w:lang w:val="fr-CA"/>
        </w:rPr>
      </w:pPr>
      <w:r w:rsidRPr="00B50781">
        <w:rPr>
          <w:i/>
          <w:sz w:val="20"/>
          <w:lang w:val="fr-CA"/>
        </w:rPr>
        <w:tab/>
        <w:t>Droit criminel — Dénonciation — Accusé inculpé d’un chef de possession de pornographie juvénile entre 1999 et 2006 — Moyens de défense prévus par la loi modifiés en 2005 — La dénonciation était</w:t>
      </w:r>
      <w:r w:rsidRPr="00B50781">
        <w:rPr>
          <w:i/>
          <w:sz w:val="20"/>
          <w:lang w:val="fr-CA"/>
        </w:rPr>
        <w:noBreakHyphen/>
        <w:t>elle viciée parce qu’elle ne comportait qu’un seul chef d’accusation pour la période en cause, pendant laquelle les moyens de défense prévus par la loi ont été modifiés?</w:t>
      </w:r>
    </w:p>
    <w:p w:rsidR="004D0CEC" w:rsidRPr="00B50781" w:rsidRDefault="004D0CEC" w:rsidP="004D0CEC">
      <w:pPr>
        <w:pStyle w:val="SCCNormalDoubleSpacing"/>
        <w:spacing w:line="240" w:lineRule="auto"/>
        <w:rPr>
          <w:i/>
          <w:sz w:val="20"/>
          <w:lang w:val="fr-CA"/>
        </w:rPr>
      </w:pPr>
    </w:p>
    <w:p w:rsidR="004D0CEC" w:rsidRDefault="004D0CEC" w:rsidP="004D0CEC">
      <w:pPr>
        <w:pStyle w:val="SCCNormalDoubleSpacing"/>
        <w:spacing w:line="240" w:lineRule="auto"/>
        <w:rPr>
          <w:sz w:val="20"/>
          <w:lang w:val="fr-CA"/>
        </w:rPr>
      </w:pPr>
      <w:r w:rsidRPr="00B50781">
        <w:rPr>
          <w:sz w:val="20"/>
          <w:lang w:val="fr-CA"/>
        </w:rPr>
        <w:tab/>
        <w:t xml:space="preserve">Le présent pourvoi porte sur la nature et la portée des moyens de défense prévus au </w:t>
      </w:r>
      <w:r w:rsidRPr="00B50781">
        <w:rPr>
          <w:i/>
          <w:iCs/>
          <w:sz w:val="20"/>
          <w:lang w:val="fr-CA"/>
        </w:rPr>
        <w:t>Code criminel</w:t>
      </w:r>
      <w:r w:rsidRPr="00B50781">
        <w:rPr>
          <w:sz w:val="20"/>
          <w:lang w:val="fr-CA"/>
        </w:rPr>
        <w:t xml:space="preserve"> en matière de pornographie juvénile tels qu’ils existaient avant que le législateur n’y apporte des modifications et tels qu’ils existent depuis ces modifications.  Avant le 1</w:t>
      </w:r>
      <w:r w:rsidRPr="00B50781">
        <w:rPr>
          <w:sz w:val="20"/>
          <w:vertAlign w:val="superscript"/>
          <w:lang w:val="fr-CA"/>
        </w:rPr>
        <w:t>er </w:t>
      </w:r>
      <w:r w:rsidRPr="00B50781">
        <w:rPr>
          <w:sz w:val="20"/>
          <w:lang w:val="fr-CA"/>
        </w:rPr>
        <w:t>novembre 2005, l’accusé pouvait invoquer le moyen de défense prévu au par. 163.1(6) s’il soulevait un doute raisonnable quant à sa culpabilité, notamment en établissant la valeur artistique des documents en cause.  De plus, l’accusé devait être acquitté si les actes en cause avaient servi le bien public, mais n’avaient pas outrepassé ce qui avait servi celui</w:t>
      </w:r>
      <w:r w:rsidRPr="00B50781">
        <w:rPr>
          <w:sz w:val="20"/>
          <w:lang w:val="fr-CA"/>
        </w:rPr>
        <w:noBreakHyphen/>
        <w:t>ci (s. 163(3)).  Depuis le 1</w:t>
      </w:r>
      <w:r w:rsidRPr="00B50781">
        <w:rPr>
          <w:sz w:val="20"/>
          <w:vertAlign w:val="superscript"/>
          <w:lang w:val="fr-CA"/>
        </w:rPr>
        <w:t>er </w:t>
      </w:r>
      <w:r w:rsidRPr="00B50781">
        <w:rPr>
          <w:sz w:val="20"/>
          <w:lang w:val="fr-CA"/>
        </w:rPr>
        <w:t>novembre 2005, le moyen de défense fondé sur le bien public ne s’applique plus; le par. 163.1(6) a été modifié de telle sorte qu’il permet d’invoquer un moyen de défense si les actes en cause : (1) avaient un but légitime lié à l’administration de la justice, à la science, à la médecine, à l’éducation ou aux arts; et (2) ne posaient pas de risque indu pour les personnes âgées de moins de dix</w:t>
      </w:r>
      <w:r w:rsidRPr="00B50781">
        <w:rPr>
          <w:sz w:val="20"/>
          <w:lang w:val="fr-CA"/>
        </w:rPr>
        <w:noBreakHyphen/>
        <w:t xml:space="preserve">huit ans.  L’accusé ayant été inculpé d’un seul chef de possession de pornographie juvénile de 1999 à 2006, il pouvait invoquer l’ensemble de ces moyens de défense.  Il a témoigné avoir été en possession de pornographie juvénile en vue de monter une exposition artistique qui exposerait le problème de l’exploitation des enfants du point de vue de ces derniers.  Ayant accepté ce témoignage, la juge du procès a conclu que l’accusé pouvait invoquer les moyens de défense qui existaient avant les modifications de 2005 et l’a acquitté sur la base du moyen de défense fondé sur la valeur artistique qui existait avant 2005.  La Cour d’appel a annulé le verdict d’acquittement et inscrit une déclaration de culpabilité, concluant que, selon le dossier, l’accusé ne pouvait invoquer aucun des moyens de défense. </w:t>
      </w:r>
    </w:p>
    <w:p w:rsidR="004D0CEC" w:rsidRPr="00B50781" w:rsidRDefault="004D0CEC" w:rsidP="004D0CEC">
      <w:pPr>
        <w:pStyle w:val="SCCNormalDoubleSpacing"/>
        <w:spacing w:line="240" w:lineRule="auto"/>
        <w:rPr>
          <w:sz w:val="20"/>
          <w:lang w:val="fr-CA"/>
        </w:rPr>
      </w:pPr>
    </w:p>
    <w:p w:rsidR="004D0CEC" w:rsidRDefault="004D0CEC" w:rsidP="004D0CEC">
      <w:pPr>
        <w:pStyle w:val="SCCNormalDoubleSpacing"/>
        <w:spacing w:line="240" w:lineRule="auto"/>
        <w:rPr>
          <w:sz w:val="20"/>
          <w:lang w:val="fr-CA"/>
        </w:rPr>
      </w:pPr>
      <w:r w:rsidRPr="00B50781">
        <w:rPr>
          <w:rStyle w:val="QuoteChar"/>
          <w:sz w:val="20"/>
          <w:lang w:val="fr-CA"/>
        </w:rPr>
        <w:tab/>
        <w:t>Arrêt :</w:t>
      </w:r>
      <w:r w:rsidRPr="00B50781">
        <w:rPr>
          <w:sz w:val="20"/>
          <w:lang w:val="fr-CA"/>
        </w:rPr>
        <w:t xml:space="preserve"> Le pourvoi est accueilli et la tenue d’un nouveau procès est ordonnée.</w:t>
      </w:r>
    </w:p>
    <w:p w:rsidR="004D0CEC" w:rsidRPr="00B50781" w:rsidRDefault="004D0CEC" w:rsidP="004D0CEC">
      <w:pPr>
        <w:pStyle w:val="SCCNormalDoubleSpacing"/>
        <w:spacing w:line="240" w:lineRule="auto"/>
        <w:rPr>
          <w:sz w:val="20"/>
          <w:lang w:val="fr-CA"/>
        </w:rPr>
      </w:pPr>
    </w:p>
    <w:p w:rsidR="004D0CEC" w:rsidRDefault="004D0CEC" w:rsidP="004D0CEC">
      <w:pPr>
        <w:pStyle w:val="SCCNormalDoubleSpacing"/>
        <w:spacing w:line="240" w:lineRule="auto"/>
        <w:rPr>
          <w:sz w:val="20"/>
          <w:lang w:val="fr-CA"/>
        </w:rPr>
      </w:pPr>
      <w:r w:rsidRPr="00B50781">
        <w:rPr>
          <w:rStyle w:val="QuoteChar"/>
          <w:sz w:val="20"/>
          <w:lang w:val="fr-CA"/>
        </w:rPr>
        <w:tab/>
        <w:t>La</w:t>
      </w:r>
      <w:r w:rsidRPr="00B50781">
        <w:rPr>
          <w:sz w:val="20"/>
          <w:lang w:val="fr-CA"/>
        </w:rPr>
        <w:t xml:space="preserve"> juge en chef</w:t>
      </w:r>
      <w:r w:rsidRPr="00B50781">
        <w:rPr>
          <w:b/>
          <w:sz w:val="20"/>
          <w:lang w:val="fr-CA"/>
        </w:rPr>
        <w:t xml:space="preserve"> McLachlin</w:t>
      </w:r>
      <w:r w:rsidRPr="00B50781">
        <w:rPr>
          <w:sz w:val="20"/>
          <w:lang w:val="fr-CA"/>
        </w:rPr>
        <w:t xml:space="preserve"> et les juges Binnie, Deschamps, Abella, </w:t>
      </w:r>
      <w:r w:rsidRPr="00B50781">
        <w:rPr>
          <w:b/>
          <w:sz w:val="20"/>
          <w:lang w:val="fr-CA"/>
        </w:rPr>
        <w:t>Charron</w:t>
      </w:r>
      <w:r w:rsidRPr="00B50781">
        <w:rPr>
          <w:sz w:val="20"/>
          <w:lang w:val="fr-CA"/>
        </w:rPr>
        <w:t>, Rothstein et Cromwell</w:t>
      </w:r>
      <w:r w:rsidRPr="00B50781">
        <w:rPr>
          <w:i/>
          <w:sz w:val="20"/>
          <w:lang w:val="fr-CA"/>
        </w:rPr>
        <w:t> </w:t>
      </w:r>
      <w:r w:rsidRPr="00B50781">
        <w:rPr>
          <w:sz w:val="20"/>
          <w:lang w:val="fr-CA"/>
        </w:rPr>
        <w:t>:</w:t>
      </w:r>
      <w:r w:rsidRPr="00B50781">
        <w:rPr>
          <w:rStyle w:val="SCCCoramChar"/>
          <w:sz w:val="20"/>
          <w:lang w:val="fr-CA"/>
        </w:rPr>
        <w:t xml:space="preserve"> </w:t>
      </w:r>
      <w:r w:rsidRPr="00B50781">
        <w:rPr>
          <w:sz w:val="20"/>
          <w:lang w:val="fr-CA"/>
        </w:rPr>
        <w:t xml:space="preserve">La juge du procès a commis des erreurs de droit en ce qui concerne l’une et l’autre version du par. 163.1(6).  D’abord, elle s’est trompée en concluant que le matériel pornographique était visé par le moyen de défense fondé sur la valeur artistique qui existait avant 2005 au motif que l’accusé avait eu le matériel en sa possession dans un but artistique, et ce malgré le fait que le matériel en soi n’avait aucune valeur artistique.  Ensuite, elle a commis une erreur dans son interprétation de l’expression « but légitime » qui se trouve dans le moyen de défense actuel en s’enquérant seulement du but subjectif dans lequel l’accusé avait eu le matériel en sa possession.  L’emploi par le législateur du terme « légitime » témoigne de sa volonté que le lien entre l’acte reproché et le but proposé soit objectivement vérifiable.  Autrement dit, il doit exister, compte tenu de toutes les circonstances : (1) un lien objectif entre les actes de l’accusé et le but qu’il poursuivait; et (2) un lien objectif entre le but de l’accusé et l’une ou plusieurs des activités protégées (administration de la justice, science, médecine, éducation ou arts).  </w:t>
      </w:r>
    </w:p>
    <w:p w:rsidR="004D0CEC" w:rsidRPr="00B50781" w:rsidRDefault="004D0CEC" w:rsidP="004D0CEC">
      <w:pPr>
        <w:pStyle w:val="SCCNormalDoubleSpacing"/>
        <w:spacing w:line="240" w:lineRule="auto"/>
        <w:rPr>
          <w:sz w:val="20"/>
          <w:lang w:val="fr-CA"/>
        </w:rPr>
      </w:pPr>
    </w:p>
    <w:p w:rsidR="004D0CEC" w:rsidRDefault="004D0CEC" w:rsidP="004D0CEC">
      <w:pPr>
        <w:pStyle w:val="SCCNormalDoubleSpacing"/>
        <w:spacing w:line="240" w:lineRule="auto"/>
        <w:rPr>
          <w:sz w:val="20"/>
          <w:lang w:val="fr-CA"/>
        </w:rPr>
      </w:pPr>
      <w:r w:rsidRPr="00B50781">
        <w:rPr>
          <w:sz w:val="20"/>
          <w:lang w:val="fr-CA"/>
        </w:rPr>
        <w:tab/>
        <w:t xml:space="preserve">Compte tenu de ces erreurs, la Cour d’appel a eu raison d’annuler le verdict d’acquittement.  Cependant, elle a commis une erreur en lui substituant une déclaration de culpabilité.  La réparation appropriée consiste à tenir un nouveau procès.  Les cours d’appel ne peuvent remplacer un verdict d’acquittement par un verdict de culpabilité que si les conclusions de fait du juge du procès étayent, au regard du droit applicable, une déclaration de culpabilité hors de </w:t>
      </w:r>
      <w:r w:rsidRPr="00B50781">
        <w:rPr>
          <w:sz w:val="20"/>
          <w:lang w:val="fr-CA"/>
        </w:rPr>
        <w:lastRenderedPageBreak/>
        <w:t>tout doute raisonnable (sous</w:t>
      </w:r>
      <w:r w:rsidRPr="00B50781">
        <w:rPr>
          <w:sz w:val="20"/>
          <w:lang w:val="fr-CA"/>
        </w:rPr>
        <w:noBreakHyphen/>
        <w:t>al. 686(4</w:t>
      </w:r>
      <w:proofErr w:type="gramStart"/>
      <w:r w:rsidRPr="00B50781">
        <w:rPr>
          <w:sz w:val="20"/>
          <w:lang w:val="fr-CA"/>
        </w:rPr>
        <w:t>)</w:t>
      </w:r>
      <w:r w:rsidRPr="00B50781">
        <w:rPr>
          <w:i/>
          <w:sz w:val="20"/>
          <w:lang w:val="fr-CA"/>
        </w:rPr>
        <w:t>b</w:t>
      </w:r>
      <w:proofErr w:type="gramEnd"/>
      <w:r w:rsidRPr="00B50781">
        <w:rPr>
          <w:sz w:val="20"/>
          <w:lang w:val="fr-CA"/>
        </w:rPr>
        <w:t>)(ii)).  En tirant des conclusions de fait concernant les actes de l’accusé et en concluant qu’ils avaient outrepassé ce qui avait servi le bien public, la Cour d’appel a outrepassé la compétence qui lui est conférée, laquelle, dans le cadre d’un appel contre un acquittement, se limite aux questions de droit seulement (al. 676(1)</w:t>
      </w:r>
      <w:r w:rsidRPr="00B50781">
        <w:rPr>
          <w:i/>
          <w:sz w:val="20"/>
          <w:lang w:val="fr-CA"/>
        </w:rPr>
        <w:t>a</w:t>
      </w:r>
      <w:r w:rsidRPr="00B50781">
        <w:rPr>
          <w:sz w:val="20"/>
          <w:lang w:val="fr-CA"/>
        </w:rPr>
        <w:t>)).  La juge du procès n’ayant pas analysé les faits comme elle aurait dû le faire, une cour d’appel ne pouvait décider, sur la foi du dossier dont elle disposait, si l’accusé pouvait ou non invoquer avec succès le moyen de défense fondé sur le bien public qui existait avant 2005.  Il en va de même avec le moyen de défense actuel.  Le lien entre le fait que l’accusé avait accumulé et conservé de la pornographie juvénile sur une période de sept ans et le but qu’il avait dit poursuivre, à savoir monter une exposition artistique, a été une question fort litigieuse au procès.  Dans ces circonstances, il ne suffit pas d’appliquer les conclusions de fait tirées par la juge du procès en ce qui concerne la crédibilité de l’accusé pour déterminer s’il est satisfait à l’élément objectif du volet du moyen de défense relatif au but légitime.  Comme les faits qui sous</w:t>
      </w:r>
      <w:r w:rsidRPr="00B50781">
        <w:rPr>
          <w:sz w:val="20"/>
          <w:lang w:val="fr-CA"/>
        </w:rPr>
        <w:noBreakHyphen/>
        <w:t>tendent cet élément n’ont pas fait l’objet d’un examen complet, il convient d’ordonner la tenue d’un nouveau procès.  En ce qui concerne le volet relatif au risque indu, la Cour d’appel a commis une erreur en appliquant la norme de la tolérance de la société pour décider si le risque posé était indu.  L’approche à suivre consiste à se demander si le préjudice physique et/ou psychologique est objectivement vérifiable et si le degré de préjudice pose un risque important pour les enfants.  La question est de savoir quel degré de préjudice sera toléré dans le cas d’une activité menée dans un but légitime.  La Cour d’appel a également commis une erreur en substituant sa propre appréciation du risque que pose l’accusé à celle de la juge du procès.  La question de savoir en quoi le comportement de l’accusé posait un risque pour les personnes mineures et celle de savoir si ce risque était indu seront tranchées à la lumière de la preuve qui sera présentée au nouveau procès.</w:t>
      </w:r>
    </w:p>
    <w:p w:rsidR="004D0CEC" w:rsidRPr="00B50781" w:rsidRDefault="004D0CEC" w:rsidP="004D0CEC">
      <w:pPr>
        <w:pStyle w:val="SCCNormalDoubleSpacing"/>
        <w:spacing w:line="240" w:lineRule="auto"/>
        <w:rPr>
          <w:sz w:val="20"/>
          <w:lang w:val="fr-CA"/>
        </w:rPr>
      </w:pPr>
    </w:p>
    <w:p w:rsidR="004D0CEC" w:rsidRDefault="004D0CEC" w:rsidP="004D0CEC">
      <w:pPr>
        <w:pStyle w:val="SCCNormalDoubleSpacing"/>
        <w:spacing w:line="240" w:lineRule="auto"/>
        <w:rPr>
          <w:sz w:val="20"/>
          <w:lang w:val="fr-CA"/>
        </w:rPr>
      </w:pPr>
      <w:r w:rsidRPr="00B50781">
        <w:rPr>
          <w:sz w:val="20"/>
          <w:lang w:val="fr-CA"/>
        </w:rPr>
        <w:tab/>
        <w:t>Enfin, bien qu’il eût peut</w:t>
      </w:r>
      <w:r w:rsidRPr="00B50781">
        <w:rPr>
          <w:sz w:val="20"/>
          <w:lang w:val="fr-CA"/>
        </w:rPr>
        <w:noBreakHyphen/>
        <w:t>être été préférable de porter des accusations distinctes contre l’accusé relativement à ses activités précédant les modifications de 2005 et à ses activités postérieures à celles</w:t>
      </w:r>
      <w:r w:rsidRPr="00B50781">
        <w:rPr>
          <w:sz w:val="20"/>
          <w:lang w:val="fr-CA"/>
        </w:rPr>
        <w:noBreakHyphen/>
        <w:t>ci, la décision du ministère public de ne porter qu’une seule accusation contre lui ne vicie pas irrémédiablement l’acte d’accusation.  La dénonciation n’était pas double, et il était clair pour l’accusé qu’il devait satisfaire aux exigences de deux moyens de défense relativement aux deux périodes durant lesquelles il aurait commis l’infraction qui lui est reprochée, sa défense ayant été présentée en conséquence.  De plus, il n’a subi aucun préjudice puisqu’il lui aurait fallu satisfaire aux exigences de deux moyens de défense si le ministère public avait décidé de déposer un chef d’accusation pour chaque période en cause.</w:t>
      </w:r>
    </w:p>
    <w:p w:rsidR="004D0CEC" w:rsidRPr="00B50781" w:rsidRDefault="004D0CEC" w:rsidP="004D0CEC">
      <w:pPr>
        <w:pStyle w:val="SCCNormalDoubleSpacing"/>
        <w:spacing w:line="240" w:lineRule="auto"/>
        <w:rPr>
          <w:sz w:val="20"/>
          <w:lang w:val="fr-CA"/>
        </w:rPr>
      </w:pPr>
    </w:p>
    <w:p w:rsidR="004D0CEC" w:rsidRDefault="004D0CEC" w:rsidP="004D0CEC">
      <w:pPr>
        <w:pStyle w:val="SCCNormalDoubleSpacing"/>
        <w:spacing w:line="240" w:lineRule="auto"/>
        <w:rPr>
          <w:sz w:val="20"/>
          <w:lang w:val="fr-FR"/>
        </w:rPr>
      </w:pPr>
      <w:r w:rsidRPr="00B50781">
        <w:rPr>
          <w:i/>
          <w:sz w:val="20"/>
          <w:lang w:val="fr-CA"/>
        </w:rPr>
        <w:tab/>
        <w:t>Les</w:t>
      </w:r>
      <w:r w:rsidRPr="00B50781">
        <w:rPr>
          <w:sz w:val="20"/>
          <w:lang w:val="fr-CA"/>
        </w:rPr>
        <w:t xml:space="preserve"> juges</w:t>
      </w:r>
      <w:r w:rsidRPr="00B50781">
        <w:rPr>
          <w:b/>
          <w:sz w:val="20"/>
          <w:lang w:val="fr-CA"/>
        </w:rPr>
        <w:t xml:space="preserve"> LeBel </w:t>
      </w:r>
      <w:r w:rsidRPr="00B50781">
        <w:rPr>
          <w:sz w:val="20"/>
          <w:lang w:val="fr-CA"/>
        </w:rPr>
        <w:t>et Fish : Les intérêts sociaux en jeu en ce qui concerne l’ensemble des infractions de pornographie juvénile ne sont pas tous les mêmes et l’importance de l’intérêt public n’est pas identique dans tous les cas.  Par conséquent, la nature et la portée du moyen de défense doivent être conformes à la nature du crime lui</w:t>
      </w:r>
      <w:r w:rsidRPr="00B50781">
        <w:rPr>
          <w:sz w:val="20"/>
          <w:lang w:val="fr-CA"/>
        </w:rPr>
        <w:noBreakHyphen/>
        <w:t>même.  Sans vouloir en minimiser la gravité, la possession de pornographie juvénile pose un risque moins important pour le public, notamment les enfants, que la production et la distribution.  Le préjudice à prouver pour établir l’existence d’un « risque indu » doit donc être plus grave que celui que l’on associe ordinairement à la possession de pornographie juvénile.  Les tribunaux doivent conclure à l’existence de faits et de circonstances qui créent un risque indu dans le contexte de l’affaire dont ils sont saisis, telles l’absence de sécurité et la facilité d’accès au matériel par des tiers.  Conclure que le préjudice associé ordinairement à la possession de pornographie juvénile constitue un risque indu a pour effet d’éliminer à toutes fins pratiques un moyen de défense que le législateur a décidé de laisser à la disposition de l’accusé dans les cas où celui</w:t>
      </w:r>
      <w:r w:rsidRPr="00B50781">
        <w:rPr>
          <w:sz w:val="20"/>
          <w:lang w:val="fr-CA"/>
        </w:rPr>
        <w:noBreakHyphen/>
        <w:t xml:space="preserve">ci a le matériel en sa possession dans un but lié à l’administration de la justice, </w:t>
      </w:r>
      <w:r w:rsidRPr="00B50781">
        <w:rPr>
          <w:sz w:val="20"/>
          <w:lang w:val="fr-FR"/>
        </w:rPr>
        <w:t>à la science, à la médecine, à l’éducation ou aux arts.</w:t>
      </w:r>
    </w:p>
    <w:p w:rsidR="004D0CEC" w:rsidRPr="00B50781" w:rsidRDefault="004D0CEC" w:rsidP="004D0CEC">
      <w:pPr>
        <w:pStyle w:val="SCCNormalDoubleSpacing"/>
        <w:spacing w:line="240" w:lineRule="auto"/>
        <w:rPr>
          <w:sz w:val="20"/>
          <w:lang w:val="fr-CA"/>
        </w:rPr>
      </w:pPr>
    </w:p>
    <w:p w:rsidR="004D0CEC" w:rsidRDefault="004D0CEC" w:rsidP="004D0CEC">
      <w:pPr>
        <w:pStyle w:val="SCCNormalDoubleSpacing"/>
        <w:spacing w:line="240" w:lineRule="auto"/>
        <w:rPr>
          <w:sz w:val="20"/>
          <w:lang w:val="fr-CA"/>
        </w:rPr>
      </w:pPr>
      <w:r w:rsidRPr="00B50781">
        <w:rPr>
          <w:sz w:val="20"/>
          <w:lang w:val="fr-CA"/>
        </w:rPr>
        <w:tab/>
        <w:t>POURVOI contre un arrêt de la Cour d’appel de l’Ontario (les juges Moldaver, Simmons et Blair), 2010 ONCA 411, 263 O.A.C. 301, 255 C.C.C. (3d) 365, 76 C.R. (6th) 330, 212 C.R.R. (2d) 272, 100 O.R. (3d) 481, [2010] O.J. No. 2412 (QL), 2010 CarswellOnt 3838, qui a annulé l’acquittement de l’accusé à l’égard de la possession de pornographie juvénile et inscrit une déclaration de culpabilité.  Pourvoi accueilli et nouveau procès ordonné.</w:t>
      </w:r>
    </w:p>
    <w:p w:rsidR="004D0CEC" w:rsidRPr="00B50781" w:rsidRDefault="004D0CEC" w:rsidP="004D0CEC">
      <w:pPr>
        <w:pStyle w:val="SCCNormalDoubleSpacing"/>
        <w:spacing w:line="240" w:lineRule="auto"/>
        <w:rPr>
          <w:sz w:val="20"/>
          <w:lang w:val="fr-CA"/>
        </w:rPr>
      </w:pPr>
    </w:p>
    <w:p w:rsidR="004D0CEC" w:rsidRDefault="004D0CEC" w:rsidP="004D0CEC">
      <w:pPr>
        <w:pStyle w:val="SCCNormalDoubleSpacing"/>
        <w:spacing w:line="240" w:lineRule="auto"/>
        <w:rPr>
          <w:sz w:val="20"/>
          <w:lang w:val="fr-CA"/>
        </w:rPr>
      </w:pPr>
      <w:r w:rsidRPr="00B50781">
        <w:rPr>
          <w:i/>
          <w:sz w:val="20"/>
          <w:lang w:val="fr-CA"/>
        </w:rPr>
        <w:tab/>
        <w:t>David E. Harris</w:t>
      </w:r>
      <w:r w:rsidRPr="00B50781">
        <w:rPr>
          <w:sz w:val="20"/>
          <w:lang w:val="fr-CA"/>
        </w:rPr>
        <w:t>, pour l’appelant.</w:t>
      </w:r>
    </w:p>
    <w:p w:rsidR="004D0CEC" w:rsidRPr="00B50781" w:rsidRDefault="004D0CEC" w:rsidP="004D0CEC">
      <w:pPr>
        <w:pStyle w:val="SCCNormalDoubleSpacing"/>
        <w:spacing w:line="240" w:lineRule="auto"/>
        <w:rPr>
          <w:sz w:val="20"/>
          <w:lang w:val="fr-CA"/>
        </w:rPr>
      </w:pPr>
    </w:p>
    <w:p w:rsidR="004D0CEC" w:rsidRDefault="004D0CEC" w:rsidP="004D0CEC">
      <w:pPr>
        <w:pStyle w:val="SCCNormalDoubleSpacing"/>
        <w:spacing w:line="240" w:lineRule="auto"/>
        <w:rPr>
          <w:sz w:val="20"/>
          <w:lang w:val="fr-CA"/>
        </w:rPr>
      </w:pPr>
      <w:r w:rsidRPr="00B50781">
        <w:rPr>
          <w:i/>
          <w:sz w:val="20"/>
          <w:lang w:val="fr-CA"/>
        </w:rPr>
        <w:tab/>
        <w:t>Christine Bartlett</w:t>
      </w:r>
      <w:r w:rsidRPr="00B50781">
        <w:rPr>
          <w:i/>
          <w:sz w:val="20"/>
          <w:lang w:val="fr-CA"/>
        </w:rPr>
        <w:noBreakHyphen/>
        <w:t>Hughes</w:t>
      </w:r>
      <w:r w:rsidRPr="00B50781">
        <w:rPr>
          <w:sz w:val="20"/>
          <w:lang w:val="fr-CA"/>
        </w:rPr>
        <w:t>, pour l’intimée.</w:t>
      </w:r>
    </w:p>
    <w:p w:rsidR="004D0CEC" w:rsidRPr="00B50781" w:rsidRDefault="004D0CEC" w:rsidP="004D0CEC">
      <w:pPr>
        <w:pStyle w:val="SCCNormalDoubleSpacing"/>
        <w:spacing w:line="240" w:lineRule="auto"/>
        <w:rPr>
          <w:sz w:val="20"/>
          <w:lang w:val="fr-CA"/>
        </w:rPr>
      </w:pPr>
    </w:p>
    <w:p w:rsidR="004D0CEC" w:rsidRDefault="004D0CEC" w:rsidP="004D0CEC">
      <w:pPr>
        <w:pStyle w:val="SCCNormalDoubleSpacing"/>
        <w:spacing w:line="240" w:lineRule="auto"/>
        <w:rPr>
          <w:sz w:val="20"/>
          <w:lang w:val="fr-CA"/>
        </w:rPr>
      </w:pPr>
      <w:r w:rsidRPr="00B50781">
        <w:rPr>
          <w:i/>
          <w:sz w:val="20"/>
          <w:lang w:val="fr-CA"/>
        </w:rPr>
        <w:tab/>
        <w:t>Christopher D. Bredt</w:t>
      </w:r>
      <w:r w:rsidRPr="00B50781">
        <w:rPr>
          <w:sz w:val="20"/>
          <w:lang w:val="fr-CA"/>
        </w:rPr>
        <w:t xml:space="preserve">, </w:t>
      </w:r>
      <w:r w:rsidRPr="00B50781">
        <w:rPr>
          <w:i/>
          <w:sz w:val="20"/>
          <w:lang w:val="fr-CA"/>
        </w:rPr>
        <w:t>Margot Finley</w:t>
      </w:r>
      <w:r w:rsidRPr="00B50781">
        <w:rPr>
          <w:sz w:val="20"/>
          <w:lang w:val="fr-CA"/>
        </w:rPr>
        <w:t xml:space="preserve"> et </w:t>
      </w:r>
      <w:r w:rsidRPr="00B50781">
        <w:rPr>
          <w:i/>
          <w:sz w:val="20"/>
          <w:lang w:val="fr-CA"/>
        </w:rPr>
        <w:t>Jamie Cameron</w:t>
      </w:r>
      <w:r w:rsidRPr="00B50781">
        <w:rPr>
          <w:sz w:val="20"/>
          <w:lang w:val="fr-CA"/>
        </w:rPr>
        <w:t>, pour l’intervenante.</w:t>
      </w:r>
    </w:p>
    <w:p w:rsidR="004D0CEC" w:rsidRPr="00B50781" w:rsidRDefault="004D0CEC" w:rsidP="004D0CEC">
      <w:pPr>
        <w:pStyle w:val="SCCNormalDoubleSpacing"/>
        <w:spacing w:line="240" w:lineRule="auto"/>
        <w:rPr>
          <w:sz w:val="20"/>
          <w:lang w:val="fr-CA"/>
        </w:rPr>
      </w:pPr>
    </w:p>
    <w:p w:rsidR="004D0CEC" w:rsidRDefault="004D0CEC" w:rsidP="004D0CEC">
      <w:pPr>
        <w:pStyle w:val="SCCNormalDoubleSpacing"/>
        <w:spacing w:line="240" w:lineRule="auto"/>
        <w:rPr>
          <w:i/>
          <w:sz w:val="20"/>
          <w:lang w:val="fr-CA"/>
        </w:rPr>
      </w:pPr>
      <w:r w:rsidRPr="00B50781">
        <w:rPr>
          <w:i/>
          <w:sz w:val="20"/>
          <w:lang w:val="fr-CA"/>
        </w:rPr>
        <w:tab/>
        <w:t>Procureur de l’appelant : David E. Harris, Toronto.</w:t>
      </w:r>
    </w:p>
    <w:p w:rsidR="004D0CEC" w:rsidRPr="00B50781" w:rsidRDefault="004D0CEC" w:rsidP="004D0CEC">
      <w:pPr>
        <w:pStyle w:val="SCCNormalDoubleSpacing"/>
        <w:spacing w:line="240" w:lineRule="auto"/>
        <w:rPr>
          <w:i/>
          <w:sz w:val="20"/>
          <w:lang w:val="fr-CA"/>
        </w:rPr>
      </w:pPr>
    </w:p>
    <w:p w:rsidR="004D0CEC" w:rsidRDefault="004D0CEC" w:rsidP="004D0CEC">
      <w:pPr>
        <w:pStyle w:val="SCCNormalDoubleSpacing"/>
        <w:spacing w:line="240" w:lineRule="auto"/>
        <w:rPr>
          <w:i/>
          <w:sz w:val="20"/>
          <w:lang w:val="fr-CA"/>
        </w:rPr>
      </w:pPr>
      <w:r w:rsidRPr="00B50781">
        <w:rPr>
          <w:i/>
          <w:sz w:val="20"/>
          <w:lang w:val="fr-CA"/>
        </w:rPr>
        <w:lastRenderedPageBreak/>
        <w:tab/>
        <w:t>Procureur de l’intimée : Procureur général de l’Ontario, Toronto.</w:t>
      </w:r>
    </w:p>
    <w:p w:rsidR="004D0CEC" w:rsidRPr="00B50781" w:rsidRDefault="004D0CEC" w:rsidP="004D0CEC">
      <w:pPr>
        <w:pStyle w:val="SCCNormalDoubleSpacing"/>
        <w:spacing w:line="240" w:lineRule="auto"/>
        <w:rPr>
          <w:i/>
          <w:sz w:val="20"/>
          <w:lang w:val="fr-CA"/>
        </w:rPr>
      </w:pPr>
    </w:p>
    <w:p w:rsidR="004D0CEC" w:rsidRDefault="004D0CEC" w:rsidP="004D0CEC">
      <w:pPr>
        <w:pStyle w:val="SCCNormalDoubleSpacing"/>
        <w:spacing w:line="240" w:lineRule="auto"/>
        <w:rPr>
          <w:i/>
          <w:sz w:val="20"/>
          <w:lang w:val="fr-CA"/>
        </w:rPr>
      </w:pPr>
      <w:r w:rsidRPr="00B50781">
        <w:rPr>
          <w:i/>
          <w:sz w:val="20"/>
          <w:lang w:val="fr-CA"/>
        </w:rPr>
        <w:tab/>
        <w:t>Procureurs de l’intervenante : Borden Ladner Gervais, Toronto.</w:t>
      </w:r>
    </w:p>
    <w:p w:rsidR="004D0CEC" w:rsidRDefault="004D0CEC" w:rsidP="004D0CEC">
      <w:pPr>
        <w:pStyle w:val="SCCNormalDoubleSpacing"/>
        <w:spacing w:line="240" w:lineRule="auto"/>
        <w:rPr>
          <w:i/>
          <w:sz w:val="20"/>
          <w:lang w:val="fr-CA"/>
        </w:rPr>
      </w:pPr>
    </w:p>
    <w:p w:rsidR="001D5372" w:rsidRPr="004D0CEC" w:rsidRDefault="004D21E4" w:rsidP="003B3977">
      <w:pPr>
        <w:rPr>
          <w:sz w:val="20"/>
          <w:szCs w:val="20"/>
          <w:lang w:val="fr-CA"/>
        </w:rPr>
      </w:pPr>
      <w:r w:rsidRPr="004D21E4">
        <w:rPr>
          <w:rFonts w:cs="Times New Roman"/>
          <w:sz w:val="20"/>
          <w:szCs w:val="20"/>
          <w:lang w:val="fr-CA"/>
        </w:rPr>
        <w:pict>
          <v:rect id="_x0000_i1135" style="width:144.3pt;height:1pt" o:hrpct="300" o:hralign="center" o:hrstd="t" o:hrnoshade="t" o:hr="t" fillcolor="black [3213]" stroked="f"/>
        </w:pict>
      </w:r>
    </w:p>
    <w:p w:rsidR="001D5372" w:rsidRDefault="001D5372" w:rsidP="003B3977">
      <w:pPr>
        <w:rPr>
          <w:sz w:val="20"/>
          <w:szCs w:val="20"/>
          <w:lang w:val="fr-CA"/>
        </w:rPr>
      </w:pPr>
    </w:p>
    <w:p w:rsidR="004D0CEC" w:rsidRPr="004D0CEC" w:rsidRDefault="004D0CEC" w:rsidP="003B3977">
      <w:pPr>
        <w:rPr>
          <w:sz w:val="20"/>
          <w:szCs w:val="20"/>
          <w:lang w:val="fr-CA"/>
        </w:rPr>
      </w:pPr>
    </w:p>
    <w:p w:rsidR="005C6840" w:rsidRPr="004D0CEC" w:rsidRDefault="005C6840" w:rsidP="005C6840">
      <w:pPr>
        <w:jc w:val="both"/>
        <w:rPr>
          <w:sz w:val="20"/>
          <w:szCs w:val="20"/>
          <w:lang w:val="fr-CA"/>
        </w:rPr>
      </w:pPr>
    </w:p>
    <w:p w:rsidR="00102926" w:rsidRPr="004D0CEC" w:rsidRDefault="00102926" w:rsidP="00782AE4">
      <w:pPr>
        <w:jc w:val="both"/>
        <w:rPr>
          <w:sz w:val="20"/>
          <w:szCs w:val="20"/>
          <w:lang w:val="fr-CA"/>
        </w:rPr>
        <w:sectPr w:rsidR="00102926" w:rsidRPr="004D0CEC" w:rsidSect="00782AE4">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6B6926" w:rsidRPr="00FC7FF3"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DD0B49" w:rsidRPr="00FC7FF3" w:rsidTr="003B3977">
        <w:trPr>
          <w:cantSplit/>
          <w:trHeight w:val="1152"/>
        </w:trPr>
        <w:tc>
          <w:tcPr>
            <w:tcW w:w="4320" w:type="dxa"/>
            <w:tcBorders>
              <w:top w:val="nil"/>
              <w:left w:val="nil"/>
              <w:bottom w:val="nil"/>
              <w:right w:val="nil"/>
            </w:tcBorders>
          </w:tcPr>
          <w:p w:rsidR="00DD0B49" w:rsidRPr="00DD0B49" w:rsidRDefault="00DD0B49" w:rsidP="00DD0B49">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D0B49" w:rsidRPr="00DD0B49"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DD0B49" w:rsidRDefault="00DD0B49" w:rsidP="00DD0B49">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D0B49" w:rsidRPr="00DD0B49" w:rsidTr="003B3977">
        <w:tc>
          <w:tcPr>
            <w:tcW w:w="4320" w:type="dxa"/>
            <w:tcBorders>
              <w:top w:val="nil"/>
              <w:left w:val="nil"/>
              <w:bottom w:val="nil"/>
              <w:right w:val="nil"/>
            </w:tcBorders>
          </w:tcPr>
          <w:p w:rsidR="00DD0B49" w:rsidRPr="00DD0B49" w:rsidRDefault="00DD0B49" w:rsidP="003B3977">
            <w:pPr>
              <w:rPr>
                <w:rFonts w:cs="Times New Roman"/>
                <w:sz w:val="20"/>
                <w:szCs w:val="20"/>
                <w:lang w:val="en-GB"/>
              </w:rPr>
            </w:pPr>
            <w:r w:rsidRPr="00DD0B49">
              <w:rPr>
                <w:rFonts w:cs="Times New Roman"/>
                <w:b/>
                <w:bCs/>
                <w:sz w:val="20"/>
                <w:szCs w:val="20"/>
                <w:lang w:val="en-GB"/>
              </w:rPr>
              <w:t>Judgments reported in [201</w:t>
            </w:r>
            <w:r w:rsidR="006A7445">
              <w:rPr>
                <w:rFonts w:cs="Times New Roman"/>
                <w:b/>
                <w:bCs/>
                <w:sz w:val="20"/>
                <w:szCs w:val="20"/>
                <w:lang w:val="en-GB"/>
              </w:rPr>
              <w:t>1</w:t>
            </w:r>
            <w:r w:rsidRPr="00DD0B49">
              <w:rPr>
                <w:rFonts w:cs="Times New Roman"/>
                <w:b/>
                <w:bCs/>
                <w:sz w:val="20"/>
                <w:szCs w:val="20"/>
                <w:lang w:val="en-GB"/>
              </w:rPr>
              <w:t xml:space="preserve">] </w:t>
            </w:r>
            <w:r w:rsidR="006A7445">
              <w:rPr>
                <w:rFonts w:cs="Times New Roman"/>
                <w:b/>
                <w:bCs/>
                <w:sz w:val="20"/>
                <w:szCs w:val="20"/>
                <w:lang w:val="en-GB"/>
              </w:rPr>
              <w:t>2</w:t>
            </w:r>
            <w:r w:rsidRPr="00DD0B49">
              <w:rPr>
                <w:rFonts w:cs="Times New Roman"/>
                <w:b/>
                <w:bCs/>
                <w:sz w:val="20"/>
                <w:szCs w:val="20"/>
                <w:lang w:val="en-GB"/>
              </w:rPr>
              <w:t xml:space="preserve"> S.C.R. Part </w:t>
            </w:r>
            <w:r w:rsidR="006A7445">
              <w:rPr>
                <w:rFonts w:cs="Times New Roman"/>
                <w:b/>
                <w:bCs/>
                <w:sz w:val="20"/>
                <w:szCs w:val="20"/>
                <w:lang w:val="en-GB"/>
              </w:rPr>
              <w:t>2</w:t>
            </w:r>
          </w:p>
          <w:p w:rsidR="00DD0B49" w:rsidRPr="00DD0B49" w:rsidRDefault="00DD0B49" w:rsidP="003B3977">
            <w:pPr>
              <w:rPr>
                <w:rFonts w:cs="Times New Roman"/>
                <w:sz w:val="20"/>
                <w:szCs w:val="20"/>
                <w:lang w:val="en-GB"/>
              </w:rPr>
            </w:pPr>
          </w:p>
          <w:p w:rsidR="00DD0B49" w:rsidRPr="00DD0B49" w:rsidRDefault="006A7445" w:rsidP="003B3977">
            <w:pPr>
              <w:rPr>
                <w:rFonts w:cs="Times New Roman"/>
                <w:sz w:val="20"/>
                <w:szCs w:val="20"/>
                <w:lang w:val="en-GB"/>
              </w:rPr>
            </w:pPr>
            <w:r>
              <w:rPr>
                <w:rFonts w:cs="Times New Roman"/>
                <w:sz w:val="20"/>
                <w:szCs w:val="20"/>
                <w:lang w:val="en-GB"/>
              </w:rPr>
              <w:t>Alberta</w:t>
            </w:r>
            <w:r w:rsidR="00DD0B49" w:rsidRPr="00DD0B49">
              <w:rPr>
                <w:rFonts w:cs="Times New Roman"/>
                <w:sz w:val="20"/>
                <w:szCs w:val="20"/>
                <w:lang w:val="en-GB"/>
              </w:rPr>
              <w:t xml:space="preserve"> </w:t>
            </w:r>
            <w:r w:rsidR="00DD0B49" w:rsidRPr="00DD0B49">
              <w:rPr>
                <w:rFonts w:cs="Times New Roman"/>
                <w:i/>
                <w:sz w:val="20"/>
                <w:szCs w:val="20"/>
                <w:lang w:val="en-GB"/>
              </w:rPr>
              <w:t>v.</w:t>
            </w:r>
            <w:r w:rsidR="00DD0B49" w:rsidRPr="00DD0B49">
              <w:rPr>
                <w:rFonts w:cs="Times New Roman"/>
                <w:sz w:val="20"/>
                <w:szCs w:val="20"/>
                <w:lang w:val="en-GB"/>
              </w:rPr>
              <w:t xml:space="preserve"> </w:t>
            </w:r>
            <w:r>
              <w:rPr>
                <w:rFonts w:cs="Times New Roman"/>
                <w:sz w:val="20"/>
                <w:szCs w:val="20"/>
                <w:lang w:val="en-GB"/>
              </w:rPr>
              <w:t>Elder Advocates of Alberta Soc</w:t>
            </w:r>
            <w:r w:rsidR="00DD0B49" w:rsidRPr="00DD0B49">
              <w:rPr>
                <w:rFonts w:cs="Times New Roman"/>
                <w:sz w:val="20"/>
                <w:szCs w:val="20"/>
                <w:lang w:val="en-GB"/>
              </w:rPr>
              <w:t>i</w:t>
            </w:r>
            <w:r>
              <w:rPr>
                <w:rFonts w:cs="Times New Roman"/>
                <w:sz w:val="20"/>
                <w:szCs w:val="20"/>
                <w:lang w:val="en-GB"/>
              </w:rPr>
              <w:t>ety</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6A7445">
              <w:rPr>
                <w:rFonts w:cs="Times New Roman"/>
                <w:sz w:val="20"/>
                <w:szCs w:val="20"/>
                <w:lang w:val="en-GB"/>
              </w:rPr>
              <w:t>1</w:t>
            </w:r>
            <w:r w:rsidRPr="00DD0B49">
              <w:rPr>
                <w:rFonts w:cs="Times New Roman"/>
                <w:sz w:val="20"/>
                <w:szCs w:val="20"/>
                <w:lang w:val="en-GB"/>
              </w:rPr>
              <w:t xml:space="preserve"> SCC 2</w:t>
            </w:r>
            <w:r w:rsidR="006A7445">
              <w:rPr>
                <w:rFonts w:cs="Times New Roman"/>
                <w:sz w:val="20"/>
                <w:szCs w:val="20"/>
                <w:lang w:val="en-GB"/>
              </w:rPr>
              <w:t>4</w:t>
            </w:r>
            <w:r w:rsidRPr="00DD0B49">
              <w:rPr>
                <w:rFonts w:cs="Times New Roman"/>
                <w:sz w:val="20"/>
                <w:szCs w:val="20"/>
                <w:lang w:val="en-GB"/>
              </w:rPr>
              <w:t>, [201</w:t>
            </w:r>
            <w:r w:rsidR="006A7445">
              <w:rPr>
                <w:rFonts w:cs="Times New Roman"/>
                <w:sz w:val="20"/>
                <w:szCs w:val="20"/>
                <w:lang w:val="en-GB"/>
              </w:rPr>
              <w:t>1</w:t>
            </w:r>
            <w:r w:rsidRPr="00DD0B49">
              <w:rPr>
                <w:rFonts w:cs="Times New Roman"/>
                <w:sz w:val="20"/>
                <w:szCs w:val="20"/>
                <w:lang w:val="en-GB"/>
              </w:rPr>
              <w:t xml:space="preserve">] </w:t>
            </w:r>
            <w:r w:rsidR="006A7445">
              <w:rPr>
                <w:rFonts w:cs="Times New Roman"/>
                <w:sz w:val="20"/>
                <w:szCs w:val="20"/>
                <w:lang w:val="en-GB"/>
              </w:rPr>
              <w:t>2</w:t>
            </w:r>
            <w:r w:rsidRPr="00DD0B49">
              <w:rPr>
                <w:rFonts w:cs="Times New Roman"/>
                <w:sz w:val="20"/>
                <w:szCs w:val="20"/>
                <w:lang w:val="en-GB"/>
              </w:rPr>
              <w:t xml:space="preserve"> S.C.R. </w:t>
            </w:r>
            <w:r w:rsidR="006A7445">
              <w:rPr>
                <w:rFonts w:cs="Times New Roman"/>
                <w:sz w:val="20"/>
                <w:szCs w:val="20"/>
                <w:lang w:val="en-GB"/>
              </w:rPr>
              <w:t>26</w:t>
            </w:r>
            <w:r w:rsidRPr="00DD0B49">
              <w:rPr>
                <w:rFonts w:cs="Times New Roman"/>
                <w:sz w:val="20"/>
                <w:szCs w:val="20"/>
                <w:lang w:val="en-GB"/>
              </w:rPr>
              <w:t>1</w:t>
            </w:r>
          </w:p>
          <w:p w:rsidR="00DD0B49" w:rsidRPr="00DD0B49" w:rsidRDefault="00DD0B49" w:rsidP="003B3977">
            <w:pPr>
              <w:rPr>
                <w:rFonts w:cs="Times New Roman"/>
                <w:sz w:val="20"/>
                <w:szCs w:val="20"/>
                <w:lang w:val="en-GB"/>
              </w:rPr>
            </w:pPr>
          </w:p>
          <w:p w:rsidR="00DD0B49" w:rsidRPr="00DD0B49" w:rsidRDefault="006A7445" w:rsidP="003B3977">
            <w:pPr>
              <w:rPr>
                <w:rFonts w:cs="Times New Roman"/>
                <w:sz w:val="20"/>
                <w:szCs w:val="20"/>
                <w:lang w:val="en-GB"/>
              </w:rPr>
            </w:pPr>
            <w:r>
              <w:rPr>
                <w:rFonts w:cs="Times New Roman"/>
                <w:sz w:val="20"/>
                <w:szCs w:val="20"/>
                <w:lang w:val="en-GB"/>
              </w:rPr>
              <w:t>Canada (Attorney General)</w:t>
            </w:r>
            <w:r w:rsidR="00DD0B49" w:rsidRPr="00DD0B49">
              <w:rPr>
                <w:rFonts w:cs="Times New Roman"/>
                <w:sz w:val="20"/>
                <w:szCs w:val="20"/>
                <w:lang w:val="en-GB"/>
              </w:rPr>
              <w:t xml:space="preserve"> </w:t>
            </w:r>
            <w:r w:rsidR="00DD0B49" w:rsidRPr="00DD0B49">
              <w:rPr>
                <w:rFonts w:cs="Times New Roman"/>
                <w:i/>
                <w:iCs/>
                <w:sz w:val="20"/>
                <w:szCs w:val="20"/>
                <w:lang w:val="en-GB"/>
              </w:rPr>
              <w:t>v.</w:t>
            </w:r>
            <w:r w:rsidR="00DD0B49" w:rsidRPr="00DD0B49">
              <w:rPr>
                <w:rFonts w:cs="Times New Roman"/>
                <w:iCs/>
                <w:sz w:val="20"/>
                <w:szCs w:val="20"/>
                <w:lang w:val="en-GB"/>
              </w:rPr>
              <w:t xml:space="preserve"> </w:t>
            </w:r>
            <w:r>
              <w:rPr>
                <w:rFonts w:cs="Times New Roman"/>
                <w:iCs/>
                <w:sz w:val="20"/>
                <w:szCs w:val="20"/>
                <w:lang w:val="en-GB"/>
              </w:rPr>
              <w:t>Mavi</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6A7445">
              <w:rPr>
                <w:rFonts w:cs="Times New Roman"/>
                <w:sz w:val="20"/>
                <w:szCs w:val="20"/>
                <w:lang w:val="en-GB"/>
              </w:rPr>
              <w:t>1</w:t>
            </w:r>
            <w:r w:rsidRPr="00DD0B49">
              <w:rPr>
                <w:rFonts w:cs="Times New Roman"/>
                <w:sz w:val="20"/>
                <w:szCs w:val="20"/>
                <w:lang w:val="en-GB"/>
              </w:rPr>
              <w:t xml:space="preserve"> SCC </w:t>
            </w:r>
            <w:r w:rsidR="006A7445">
              <w:rPr>
                <w:rFonts w:cs="Times New Roman"/>
                <w:sz w:val="20"/>
                <w:szCs w:val="20"/>
                <w:lang w:val="en-GB"/>
              </w:rPr>
              <w:t>30</w:t>
            </w:r>
            <w:r w:rsidRPr="00DD0B49">
              <w:rPr>
                <w:rFonts w:cs="Times New Roman"/>
                <w:sz w:val="20"/>
                <w:szCs w:val="20"/>
                <w:lang w:val="en-GB"/>
              </w:rPr>
              <w:t>, [201</w:t>
            </w:r>
            <w:r w:rsidR="006A7445">
              <w:rPr>
                <w:rFonts w:cs="Times New Roman"/>
                <w:sz w:val="20"/>
                <w:szCs w:val="20"/>
                <w:lang w:val="en-GB"/>
              </w:rPr>
              <w:t>1</w:t>
            </w:r>
            <w:r w:rsidRPr="00DD0B49">
              <w:rPr>
                <w:rFonts w:cs="Times New Roman"/>
                <w:sz w:val="20"/>
                <w:szCs w:val="20"/>
                <w:lang w:val="en-GB"/>
              </w:rPr>
              <w:t xml:space="preserve">] </w:t>
            </w:r>
            <w:r w:rsidR="006A7445">
              <w:rPr>
                <w:rFonts w:cs="Times New Roman"/>
                <w:sz w:val="20"/>
                <w:szCs w:val="20"/>
                <w:lang w:val="en-GB"/>
              </w:rPr>
              <w:t>2</w:t>
            </w:r>
            <w:r w:rsidRPr="00DD0B49">
              <w:rPr>
                <w:rFonts w:cs="Times New Roman"/>
                <w:sz w:val="20"/>
                <w:szCs w:val="20"/>
                <w:lang w:val="en-GB"/>
              </w:rPr>
              <w:t xml:space="preserve"> S.C.R. 5</w:t>
            </w:r>
            <w:r w:rsidR="006A7445">
              <w:rPr>
                <w:rFonts w:cs="Times New Roman"/>
                <w:sz w:val="20"/>
                <w:szCs w:val="20"/>
                <w:lang w:val="en-GB"/>
              </w:rPr>
              <w:t>04</w:t>
            </w:r>
          </w:p>
          <w:p w:rsidR="00DD0B49" w:rsidRDefault="00DD0B49" w:rsidP="003B3977">
            <w:pPr>
              <w:rPr>
                <w:rFonts w:cs="Times New Roman"/>
                <w:iCs/>
                <w:sz w:val="20"/>
                <w:szCs w:val="20"/>
                <w:lang w:val="en-GB"/>
              </w:rPr>
            </w:pPr>
          </w:p>
          <w:p w:rsidR="00832284" w:rsidRPr="00DD0B49" w:rsidRDefault="00832284" w:rsidP="003B3977">
            <w:pPr>
              <w:rPr>
                <w:rFonts w:cs="Times New Roman"/>
                <w:iCs/>
                <w:sz w:val="20"/>
                <w:szCs w:val="20"/>
                <w:lang w:val="en-GB"/>
              </w:rPr>
            </w:pPr>
          </w:p>
          <w:p w:rsidR="00DD0B49" w:rsidRPr="00DD0B49" w:rsidRDefault="006A7445" w:rsidP="003B3977">
            <w:pPr>
              <w:rPr>
                <w:rFonts w:cs="Times New Roman"/>
                <w:iCs/>
                <w:sz w:val="20"/>
                <w:szCs w:val="20"/>
                <w:lang w:val="en-GB"/>
              </w:rPr>
            </w:pPr>
            <w:r>
              <w:rPr>
                <w:rFonts w:cs="Times New Roman"/>
                <w:iCs/>
                <w:sz w:val="20"/>
                <w:szCs w:val="20"/>
                <w:lang w:val="en-GB"/>
              </w:rPr>
              <w:t xml:space="preserve">Canada (Information Commissioner) </w:t>
            </w:r>
            <w:r w:rsidR="00DD0B49" w:rsidRPr="00DD0B49">
              <w:rPr>
                <w:rFonts w:cs="Times New Roman"/>
                <w:i/>
                <w:iCs/>
                <w:sz w:val="20"/>
                <w:szCs w:val="20"/>
                <w:lang w:val="en-GB"/>
              </w:rPr>
              <w:t>v.</w:t>
            </w:r>
            <w:r w:rsidR="00DD0B49" w:rsidRPr="00DD0B49">
              <w:rPr>
                <w:rFonts w:cs="Times New Roman"/>
                <w:iCs/>
                <w:sz w:val="20"/>
                <w:szCs w:val="20"/>
                <w:lang w:val="en-GB"/>
              </w:rPr>
              <w:t xml:space="preserve"> </w:t>
            </w:r>
            <w:r>
              <w:rPr>
                <w:rFonts w:cs="Times New Roman"/>
                <w:iCs/>
                <w:sz w:val="20"/>
                <w:szCs w:val="20"/>
                <w:lang w:val="en-GB"/>
              </w:rPr>
              <w:t>Canada (Minister of Nationa</w:t>
            </w:r>
            <w:r w:rsidR="00DD0B49" w:rsidRPr="00DD0B49">
              <w:rPr>
                <w:rFonts w:cs="Times New Roman"/>
                <w:iCs/>
                <w:sz w:val="20"/>
                <w:szCs w:val="20"/>
                <w:lang w:val="en-GB"/>
              </w:rPr>
              <w:t>l</w:t>
            </w:r>
            <w:r>
              <w:rPr>
                <w:rFonts w:cs="Times New Roman"/>
                <w:iCs/>
                <w:sz w:val="20"/>
                <w:szCs w:val="20"/>
                <w:lang w:val="en-GB"/>
              </w:rPr>
              <w:t xml:space="preserve"> D</w:t>
            </w:r>
            <w:r w:rsidR="00DD0B49" w:rsidRPr="00DD0B49">
              <w:rPr>
                <w:rFonts w:cs="Times New Roman"/>
                <w:iCs/>
                <w:sz w:val="20"/>
                <w:szCs w:val="20"/>
                <w:lang w:val="en-GB"/>
              </w:rPr>
              <w:t>e</w:t>
            </w:r>
            <w:r>
              <w:rPr>
                <w:rFonts w:cs="Times New Roman"/>
                <w:iCs/>
                <w:sz w:val="20"/>
                <w:szCs w:val="20"/>
                <w:lang w:val="en-GB"/>
              </w:rPr>
              <w:t>fence)</w:t>
            </w:r>
            <w:r w:rsidR="00DD0B49" w:rsidRPr="00DD0B49">
              <w:rPr>
                <w:rFonts w:cs="Times New Roman"/>
                <w:iCs/>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6A7445">
              <w:rPr>
                <w:rFonts w:cs="Times New Roman"/>
                <w:sz w:val="20"/>
                <w:szCs w:val="20"/>
                <w:lang w:val="en-GB"/>
              </w:rPr>
              <w:t>1</w:t>
            </w:r>
            <w:r w:rsidRPr="00DD0B49">
              <w:rPr>
                <w:rFonts w:cs="Times New Roman"/>
                <w:sz w:val="20"/>
                <w:szCs w:val="20"/>
                <w:lang w:val="en-GB"/>
              </w:rPr>
              <w:t xml:space="preserve"> SCC </w:t>
            </w:r>
            <w:r w:rsidR="006A7445">
              <w:rPr>
                <w:rFonts w:cs="Times New Roman"/>
                <w:sz w:val="20"/>
                <w:szCs w:val="20"/>
                <w:lang w:val="en-GB"/>
              </w:rPr>
              <w:t>25</w:t>
            </w:r>
            <w:r w:rsidRPr="00DD0B49">
              <w:rPr>
                <w:rFonts w:cs="Times New Roman"/>
                <w:sz w:val="20"/>
                <w:szCs w:val="20"/>
                <w:lang w:val="en-GB"/>
              </w:rPr>
              <w:t>, [201</w:t>
            </w:r>
            <w:r w:rsidR="006A7445">
              <w:rPr>
                <w:rFonts w:cs="Times New Roman"/>
                <w:sz w:val="20"/>
                <w:szCs w:val="20"/>
                <w:lang w:val="en-GB"/>
              </w:rPr>
              <w:t>1</w:t>
            </w:r>
            <w:r w:rsidRPr="00DD0B49">
              <w:rPr>
                <w:rFonts w:cs="Times New Roman"/>
                <w:sz w:val="20"/>
                <w:szCs w:val="20"/>
                <w:lang w:val="en-GB"/>
              </w:rPr>
              <w:t xml:space="preserve">] </w:t>
            </w:r>
            <w:r w:rsidR="006A7445">
              <w:rPr>
                <w:rFonts w:cs="Times New Roman"/>
                <w:sz w:val="20"/>
                <w:szCs w:val="20"/>
                <w:lang w:val="en-GB"/>
              </w:rPr>
              <w:t>2</w:t>
            </w:r>
            <w:r w:rsidRPr="00DD0B49">
              <w:rPr>
                <w:rFonts w:cs="Times New Roman"/>
                <w:sz w:val="20"/>
                <w:szCs w:val="20"/>
                <w:lang w:val="en-GB"/>
              </w:rPr>
              <w:t xml:space="preserve"> S.C.R. 3</w:t>
            </w:r>
            <w:r w:rsidR="006A7445">
              <w:rPr>
                <w:rFonts w:cs="Times New Roman"/>
                <w:sz w:val="20"/>
                <w:szCs w:val="20"/>
                <w:lang w:val="en-GB"/>
              </w:rPr>
              <w:t>06</w:t>
            </w:r>
          </w:p>
          <w:p w:rsidR="00DD0B49" w:rsidRPr="00DD0B49" w:rsidRDefault="00DD0B49" w:rsidP="003B3977">
            <w:pPr>
              <w:rPr>
                <w:rFonts w:cs="Times New Roman"/>
                <w:sz w:val="20"/>
                <w:szCs w:val="20"/>
                <w:lang w:val="en-GB"/>
              </w:rPr>
            </w:pPr>
          </w:p>
          <w:p w:rsidR="00DD0B49" w:rsidRPr="00DD0B49" w:rsidRDefault="006A7445" w:rsidP="003B3977">
            <w:pPr>
              <w:rPr>
                <w:rFonts w:cs="Times New Roman"/>
                <w:sz w:val="20"/>
                <w:szCs w:val="20"/>
                <w:lang w:val="en-GB"/>
              </w:rPr>
            </w:pPr>
            <w:r>
              <w:rPr>
                <w:rFonts w:cs="Times New Roman"/>
                <w:sz w:val="20"/>
                <w:szCs w:val="20"/>
                <w:lang w:val="en-GB"/>
              </w:rPr>
              <w:t>i Trade Fiance Inc.</w:t>
            </w:r>
            <w:r w:rsidR="00DD0B49" w:rsidRPr="00DD0B49">
              <w:rPr>
                <w:rFonts w:cs="Times New Roman"/>
                <w:sz w:val="20"/>
                <w:szCs w:val="20"/>
                <w:lang w:val="en-GB"/>
              </w:rPr>
              <w:t xml:space="preserve"> </w:t>
            </w:r>
            <w:r w:rsidR="00DD0B49" w:rsidRPr="00DD0B49">
              <w:rPr>
                <w:rFonts w:cs="Times New Roman"/>
                <w:i/>
                <w:iCs/>
                <w:sz w:val="20"/>
                <w:szCs w:val="20"/>
                <w:lang w:val="en-GB"/>
              </w:rPr>
              <w:t>v.</w:t>
            </w:r>
            <w:r w:rsidR="00DD0B49" w:rsidRPr="00DD0B49">
              <w:rPr>
                <w:rFonts w:cs="Times New Roman"/>
                <w:sz w:val="20"/>
                <w:szCs w:val="20"/>
                <w:lang w:val="en-GB"/>
              </w:rPr>
              <w:t xml:space="preserve"> </w:t>
            </w:r>
            <w:r>
              <w:rPr>
                <w:rFonts w:cs="Times New Roman"/>
                <w:sz w:val="20"/>
                <w:szCs w:val="20"/>
                <w:lang w:val="en-GB"/>
              </w:rPr>
              <w:t>Bank of Montr</w:t>
            </w:r>
            <w:r w:rsidR="00DD0B49" w:rsidRPr="00DD0B49">
              <w:rPr>
                <w:rFonts w:cs="Times New Roman"/>
                <w:sz w:val="20"/>
                <w:szCs w:val="20"/>
                <w:lang w:val="en-GB"/>
              </w:rPr>
              <w:t>e</w:t>
            </w:r>
            <w:r>
              <w:rPr>
                <w:rFonts w:cs="Times New Roman"/>
                <w:sz w:val="20"/>
                <w:szCs w:val="20"/>
                <w:lang w:val="en-GB"/>
              </w:rPr>
              <w:t>al</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6A7445">
              <w:rPr>
                <w:rFonts w:cs="Times New Roman"/>
                <w:sz w:val="20"/>
                <w:szCs w:val="20"/>
                <w:lang w:val="en-GB"/>
              </w:rPr>
              <w:t>1</w:t>
            </w:r>
            <w:r w:rsidRPr="00DD0B49">
              <w:rPr>
                <w:rFonts w:cs="Times New Roman"/>
                <w:sz w:val="20"/>
                <w:szCs w:val="20"/>
                <w:lang w:val="en-GB"/>
              </w:rPr>
              <w:t xml:space="preserve"> SCC 2</w:t>
            </w:r>
            <w:r w:rsidR="006A7445">
              <w:rPr>
                <w:rFonts w:cs="Times New Roman"/>
                <w:sz w:val="20"/>
                <w:szCs w:val="20"/>
                <w:lang w:val="en-GB"/>
              </w:rPr>
              <w:t>6</w:t>
            </w:r>
            <w:r w:rsidRPr="00DD0B49">
              <w:rPr>
                <w:rFonts w:cs="Times New Roman"/>
                <w:sz w:val="20"/>
                <w:szCs w:val="20"/>
                <w:lang w:val="en-GB"/>
              </w:rPr>
              <w:t>, [201</w:t>
            </w:r>
            <w:r w:rsidR="006A7445">
              <w:rPr>
                <w:rFonts w:cs="Times New Roman"/>
                <w:sz w:val="20"/>
                <w:szCs w:val="20"/>
                <w:lang w:val="en-GB"/>
              </w:rPr>
              <w:t>1</w:t>
            </w:r>
            <w:r w:rsidRPr="00DD0B49">
              <w:rPr>
                <w:rFonts w:cs="Times New Roman"/>
                <w:sz w:val="20"/>
                <w:szCs w:val="20"/>
                <w:lang w:val="en-GB"/>
              </w:rPr>
              <w:t xml:space="preserve">] </w:t>
            </w:r>
            <w:r w:rsidR="006A7445">
              <w:rPr>
                <w:rFonts w:cs="Times New Roman"/>
                <w:sz w:val="20"/>
                <w:szCs w:val="20"/>
                <w:lang w:val="en-GB"/>
              </w:rPr>
              <w:t>2</w:t>
            </w:r>
            <w:r w:rsidRPr="00DD0B49">
              <w:rPr>
                <w:rFonts w:cs="Times New Roman"/>
                <w:sz w:val="20"/>
                <w:szCs w:val="20"/>
                <w:lang w:val="en-GB"/>
              </w:rPr>
              <w:t xml:space="preserve"> S.C.R. </w:t>
            </w:r>
            <w:r w:rsidR="006A7445">
              <w:rPr>
                <w:rFonts w:cs="Times New Roman"/>
                <w:sz w:val="20"/>
                <w:szCs w:val="20"/>
                <w:lang w:val="en-GB"/>
              </w:rPr>
              <w:t>360</w:t>
            </w:r>
          </w:p>
          <w:p w:rsidR="00DD0B49" w:rsidRPr="00DD0B49" w:rsidRDefault="00DD0B49" w:rsidP="003B3977">
            <w:pPr>
              <w:rPr>
                <w:rFonts w:cs="Times New Roman"/>
                <w:sz w:val="20"/>
                <w:szCs w:val="20"/>
                <w:lang w:val="en-GB"/>
              </w:rPr>
            </w:pPr>
          </w:p>
          <w:p w:rsidR="00DD0B49" w:rsidRPr="00DD0B49" w:rsidRDefault="006A7445" w:rsidP="003B3977">
            <w:pPr>
              <w:rPr>
                <w:rFonts w:cs="Times New Roman"/>
                <w:sz w:val="20"/>
                <w:szCs w:val="20"/>
                <w:lang w:val="en-GB"/>
              </w:rPr>
            </w:pPr>
            <w:r>
              <w:rPr>
                <w:rFonts w:cs="Times New Roman"/>
                <w:sz w:val="20"/>
                <w:szCs w:val="20"/>
                <w:lang w:val="en-GB"/>
              </w:rPr>
              <w:t>Masterpiece Inc.</w:t>
            </w:r>
            <w:r w:rsidR="00DD0B49" w:rsidRPr="00DD0B49">
              <w:rPr>
                <w:rFonts w:cs="Times New Roman"/>
                <w:sz w:val="20"/>
                <w:szCs w:val="20"/>
                <w:lang w:val="en-GB"/>
              </w:rPr>
              <w:t xml:space="preserve"> </w:t>
            </w:r>
            <w:r w:rsidR="00DD0B49" w:rsidRPr="00DD0B49">
              <w:rPr>
                <w:rFonts w:cs="Times New Roman"/>
                <w:i/>
                <w:iCs/>
                <w:sz w:val="20"/>
                <w:szCs w:val="20"/>
                <w:lang w:val="en-GB"/>
              </w:rPr>
              <w:t>v</w:t>
            </w:r>
            <w:r w:rsidR="00DD0B49" w:rsidRPr="00DD0B49">
              <w:rPr>
                <w:rFonts w:cs="Times New Roman"/>
                <w:sz w:val="20"/>
                <w:szCs w:val="20"/>
                <w:lang w:val="en-GB"/>
              </w:rPr>
              <w:t xml:space="preserve">. </w:t>
            </w:r>
            <w:r>
              <w:rPr>
                <w:rFonts w:cs="Times New Roman"/>
                <w:sz w:val="20"/>
                <w:szCs w:val="20"/>
                <w:lang w:val="en-GB"/>
              </w:rPr>
              <w:t>Alavida Lifestyles Inc.</w:t>
            </w:r>
            <w:r w:rsidR="00DD0B49" w:rsidRPr="00DD0B49">
              <w:rPr>
                <w:rFonts w:cs="Times New Roman"/>
                <w:sz w:val="20"/>
                <w:szCs w:val="20"/>
                <w:lang w:val="en-GB"/>
              </w:rPr>
              <w:t>,</w:t>
            </w:r>
          </w:p>
          <w:p w:rsidR="00DD0B49" w:rsidRPr="00DD0B49" w:rsidRDefault="00DD0B49" w:rsidP="003B3977">
            <w:pPr>
              <w:rPr>
                <w:rFonts w:cs="Times New Roman"/>
                <w:sz w:val="20"/>
                <w:szCs w:val="20"/>
              </w:rPr>
            </w:pPr>
            <w:r w:rsidRPr="00DD0B49">
              <w:rPr>
                <w:rFonts w:cs="Times New Roman"/>
                <w:sz w:val="20"/>
                <w:szCs w:val="20"/>
              </w:rPr>
              <w:t>201</w:t>
            </w:r>
            <w:r w:rsidR="006A7445">
              <w:rPr>
                <w:rFonts w:cs="Times New Roman"/>
                <w:sz w:val="20"/>
                <w:szCs w:val="20"/>
              </w:rPr>
              <w:t>1</w:t>
            </w:r>
            <w:r w:rsidRPr="00DD0B49">
              <w:rPr>
                <w:rFonts w:cs="Times New Roman"/>
                <w:sz w:val="20"/>
                <w:szCs w:val="20"/>
              </w:rPr>
              <w:t xml:space="preserve"> SCC 2</w:t>
            </w:r>
            <w:r w:rsidR="006A7445">
              <w:rPr>
                <w:rFonts w:cs="Times New Roman"/>
                <w:sz w:val="20"/>
                <w:szCs w:val="20"/>
              </w:rPr>
              <w:t>7</w:t>
            </w:r>
            <w:r w:rsidRPr="00DD0B49">
              <w:rPr>
                <w:rFonts w:cs="Times New Roman"/>
                <w:sz w:val="20"/>
                <w:szCs w:val="20"/>
              </w:rPr>
              <w:t>, [201</w:t>
            </w:r>
            <w:r w:rsidR="006A7445">
              <w:rPr>
                <w:rFonts w:cs="Times New Roman"/>
                <w:sz w:val="20"/>
                <w:szCs w:val="20"/>
              </w:rPr>
              <w:t>1</w:t>
            </w:r>
            <w:r w:rsidRPr="00DD0B49">
              <w:rPr>
                <w:rFonts w:cs="Times New Roman"/>
                <w:sz w:val="20"/>
                <w:szCs w:val="20"/>
              </w:rPr>
              <w:t xml:space="preserve">] </w:t>
            </w:r>
            <w:r w:rsidR="006A7445">
              <w:rPr>
                <w:rFonts w:cs="Times New Roman"/>
                <w:sz w:val="20"/>
                <w:szCs w:val="20"/>
              </w:rPr>
              <w:t>2</w:t>
            </w:r>
            <w:r w:rsidRPr="00DD0B49">
              <w:rPr>
                <w:rFonts w:cs="Times New Roman"/>
                <w:sz w:val="20"/>
                <w:szCs w:val="20"/>
              </w:rPr>
              <w:t xml:space="preserve"> S.C.R. </w:t>
            </w:r>
            <w:r w:rsidR="006A7445">
              <w:rPr>
                <w:rFonts w:cs="Times New Roman"/>
                <w:sz w:val="20"/>
                <w:szCs w:val="20"/>
              </w:rPr>
              <w:t>3</w:t>
            </w:r>
            <w:r w:rsidRPr="00DD0B49">
              <w:rPr>
                <w:rFonts w:cs="Times New Roman"/>
                <w:sz w:val="20"/>
                <w:szCs w:val="20"/>
              </w:rPr>
              <w:t>8</w:t>
            </w:r>
            <w:r w:rsidR="006A7445">
              <w:rPr>
                <w:rFonts w:cs="Times New Roman"/>
                <w:sz w:val="20"/>
                <w:szCs w:val="20"/>
              </w:rPr>
              <w:t>7</w:t>
            </w:r>
          </w:p>
          <w:p w:rsidR="00DD0B49" w:rsidRPr="00DD0B49" w:rsidRDefault="00DD0B49" w:rsidP="003B3977">
            <w:pPr>
              <w:rPr>
                <w:rFonts w:cs="Times New Roman"/>
                <w:sz w:val="20"/>
                <w:szCs w:val="20"/>
              </w:rPr>
            </w:pPr>
          </w:p>
          <w:p w:rsidR="00DD0B49" w:rsidRPr="00DD0B49" w:rsidRDefault="006A7445" w:rsidP="003B3977">
            <w:pPr>
              <w:rPr>
                <w:rFonts w:cs="Times New Roman"/>
                <w:sz w:val="20"/>
                <w:szCs w:val="20"/>
              </w:rPr>
            </w:pPr>
            <w:r>
              <w:rPr>
                <w:rFonts w:cs="Times New Roman"/>
                <w:sz w:val="20"/>
                <w:szCs w:val="20"/>
              </w:rPr>
              <w:t>R.</w:t>
            </w:r>
            <w:r w:rsidR="00DD0B49" w:rsidRPr="00DD0B49">
              <w:rPr>
                <w:rFonts w:cs="Times New Roman"/>
                <w:sz w:val="20"/>
                <w:szCs w:val="20"/>
              </w:rPr>
              <w:t xml:space="preserve"> </w:t>
            </w:r>
            <w:r w:rsidR="00DD0B49" w:rsidRPr="00DD0B49">
              <w:rPr>
                <w:rFonts w:cs="Times New Roman"/>
                <w:i/>
                <w:iCs/>
                <w:sz w:val="20"/>
                <w:szCs w:val="20"/>
              </w:rPr>
              <w:t>v.</w:t>
            </w:r>
            <w:r w:rsidR="00DD0B49" w:rsidRPr="00DD0B49">
              <w:rPr>
                <w:rFonts w:cs="Times New Roman"/>
                <w:sz w:val="20"/>
                <w:szCs w:val="20"/>
              </w:rPr>
              <w:t xml:space="preserve"> </w:t>
            </w:r>
            <w:r>
              <w:rPr>
                <w:rFonts w:cs="Times New Roman"/>
                <w:sz w:val="20"/>
                <w:szCs w:val="20"/>
              </w:rPr>
              <w:t>E.M.W.</w:t>
            </w:r>
            <w:r w:rsidR="00DD0B49" w:rsidRPr="00DD0B49">
              <w:rPr>
                <w:rFonts w:cs="Times New Roman"/>
                <w:sz w:val="20"/>
                <w:szCs w:val="20"/>
              </w:rPr>
              <w:t>,</w:t>
            </w:r>
          </w:p>
          <w:p w:rsidR="00DD0B49" w:rsidRPr="006A7445" w:rsidRDefault="00DD0B49" w:rsidP="003B3977">
            <w:pPr>
              <w:rPr>
                <w:rFonts w:cs="Times New Roman"/>
                <w:sz w:val="20"/>
                <w:szCs w:val="20"/>
              </w:rPr>
            </w:pPr>
            <w:r w:rsidRPr="006A7445">
              <w:rPr>
                <w:rFonts w:cs="Times New Roman"/>
                <w:sz w:val="20"/>
                <w:szCs w:val="20"/>
              </w:rPr>
              <w:t>201</w:t>
            </w:r>
            <w:r w:rsidR="006A7445" w:rsidRPr="006A7445">
              <w:rPr>
                <w:rFonts w:cs="Times New Roman"/>
                <w:sz w:val="20"/>
                <w:szCs w:val="20"/>
              </w:rPr>
              <w:t>1</w:t>
            </w:r>
            <w:r w:rsidRPr="006A7445">
              <w:rPr>
                <w:rFonts w:cs="Times New Roman"/>
                <w:sz w:val="20"/>
                <w:szCs w:val="20"/>
              </w:rPr>
              <w:t xml:space="preserve"> SCC </w:t>
            </w:r>
            <w:r w:rsidR="006A7445" w:rsidRPr="006A7445">
              <w:rPr>
                <w:rFonts w:cs="Times New Roman"/>
                <w:sz w:val="20"/>
                <w:szCs w:val="20"/>
              </w:rPr>
              <w:t>3</w:t>
            </w:r>
            <w:r w:rsidRPr="006A7445">
              <w:rPr>
                <w:rFonts w:cs="Times New Roman"/>
                <w:sz w:val="20"/>
                <w:szCs w:val="20"/>
              </w:rPr>
              <w:t>1, [201</w:t>
            </w:r>
            <w:r w:rsidR="006A7445" w:rsidRPr="006A7445">
              <w:rPr>
                <w:rFonts w:cs="Times New Roman"/>
                <w:sz w:val="20"/>
                <w:szCs w:val="20"/>
              </w:rPr>
              <w:t>1</w:t>
            </w:r>
            <w:r w:rsidRPr="006A7445">
              <w:rPr>
                <w:rFonts w:cs="Times New Roman"/>
                <w:sz w:val="20"/>
                <w:szCs w:val="20"/>
              </w:rPr>
              <w:t xml:space="preserve">] </w:t>
            </w:r>
            <w:r w:rsidR="006A7445" w:rsidRPr="006A7445">
              <w:rPr>
                <w:rFonts w:cs="Times New Roman"/>
                <w:sz w:val="20"/>
                <w:szCs w:val="20"/>
              </w:rPr>
              <w:t>2</w:t>
            </w:r>
            <w:r w:rsidRPr="006A7445">
              <w:rPr>
                <w:rFonts w:cs="Times New Roman"/>
                <w:sz w:val="20"/>
                <w:szCs w:val="20"/>
              </w:rPr>
              <w:t xml:space="preserve"> S.C.R. </w:t>
            </w:r>
            <w:r w:rsidR="006A7445" w:rsidRPr="006A7445">
              <w:rPr>
                <w:rFonts w:cs="Times New Roman"/>
                <w:sz w:val="20"/>
                <w:szCs w:val="20"/>
              </w:rPr>
              <w:t>54</w:t>
            </w:r>
            <w:r w:rsidRPr="006A7445">
              <w:rPr>
                <w:rFonts w:cs="Times New Roman"/>
                <w:sz w:val="20"/>
                <w:szCs w:val="20"/>
              </w:rPr>
              <w:t>2</w:t>
            </w:r>
          </w:p>
          <w:p w:rsidR="00DD0B49" w:rsidRPr="006A7445" w:rsidRDefault="00DD0B49" w:rsidP="003B3977">
            <w:pPr>
              <w:rPr>
                <w:rFonts w:cs="Times New Roman"/>
                <w:sz w:val="20"/>
                <w:szCs w:val="20"/>
              </w:rPr>
            </w:pPr>
          </w:p>
          <w:p w:rsidR="00DD0B49" w:rsidRPr="006A7445" w:rsidRDefault="006A7445" w:rsidP="003B3977">
            <w:pPr>
              <w:rPr>
                <w:rFonts w:cs="Times New Roman"/>
                <w:sz w:val="20"/>
                <w:szCs w:val="20"/>
              </w:rPr>
            </w:pPr>
            <w:r w:rsidRPr="006A7445">
              <w:rPr>
                <w:rFonts w:cs="Times New Roman"/>
                <w:sz w:val="20"/>
                <w:szCs w:val="20"/>
              </w:rPr>
              <w:t>R.</w:t>
            </w:r>
            <w:r w:rsidR="00DD0B49" w:rsidRPr="006A7445">
              <w:rPr>
                <w:rFonts w:cs="Times New Roman"/>
                <w:sz w:val="20"/>
                <w:szCs w:val="20"/>
              </w:rPr>
              <w:t xml:space="preserve"> </w:t>
            </w:r>
            <w:r w:rsidR="00DD0B49" w:rsidRPr="006A7445">
              <w:rPr>
                <w:rFonts w:cs="Times New Roman"/>
                <w:i/>
                <w:iCs/>
                <w:sz w:val="20"/>
                <w:szCs w:val="20"/>
              </w:rPr>
              <w:t xml:space="preserve">v. </w:t>
            </w:r>
            <w:r w:rsidRPr="006A7445">
              <w:rPr>
                <w:rFonts w:cs="Times New Roman"/>
                <w:iCs/>
                <w:sz w:val="20"/>
                <w:szCs w:val="20"/>
              </w:rPr>
              <w:t xml:space="preserve">J.A. </w:t>
            </w:r>
            <w:r w:rsidR="00DD0B49" w:rsidRPr="006A7445">
              <w:rPr>
                <w:rFonts w:cs="Times New Roman"/>
                <w:iCs/>
                <w:sz w:val="20"/>
                <w:szCs w:val="20"/>
              </w:rPr>
              <w:t>,</w:t>
            </w:r>
          </w:p>
          <w:p w:rsidR="00DD0B49" w:rsidRPr="006A7445" w:rsidRDefault="00DD0B49" w:rsidP="003B3977">
            <w:pPr>
              <w:rPr>
                <w:rFonts w:cs="Times New Roman"/>
                <w:sz w:val="20"/>
                <w:szCs w:val="20"/>
              </w:rPr>
            </w:pPr>
            <w:r w:rsidRPr="006A7445">
              <w:rPr>
                <w:rFonts w:cs="Times New Roman"/>
                <w:sz w:val="20"/>
                <w:szCs w:val="20"/>
              </w:rPr>
              <w:t>201</w:t>
            </w:r>
            <w:r w:rsidR="006A7445" w:rsidRPr="006A7445">
              <w:rPr>
                <w:rFonts w:cs="Times New Roman"/>
                <w:sz w:val="20"/>
                <w:szCs w:val="20"/>
              </w:rPr>
              <w:t>1</w:t>
            </w:r>
            <w:r w:rsidRPr="006A7445">
              <w:rPr>
                <w:rFonts w:cs="Times New Roman"/>
                <w:sz w:val="20"/>
                <w:szCs w:val="20"/>
              </w:rPr>
              <w:t xml:space="preserve"> SCC </w:t>
            </w:r>
            <w:r w:rsidR="006A7445" w:rsidRPr="006A7445">
              <w:rPr>
                <w:rFonts w:cs="Times New Roman"/>
                <w:sz w:val="20"/>
                <w:szCs w:val="20"/>
              </w:rPr>
              <w:t>28</w:t>
            </w:r>
            <w:r w:rsidRPr="006A7445">
              <w:rPr>
                <w:rFonts w:cs="Times New Roman"/>
                <w:sz w:val="20"/>
                <w:szCs w:val="20"/>
              </w:rPr>
              <w:t>, [201</w:t>
            </w:r>
            <w:r w:rsidR="006A7445" w:rsidRPr="006A7445">
              <w:rPr>
                <w:rFonts w:cs="Times New Roman"/>
                <w:sz w:val="20"/>
                <w:szCs w:val="20"/>
              </w:rPr>
              <w:t>1</w:t>
            </w:r>
            <w:r w:rsidRPr="006A7445">
              <w:rPr>
                <w:rFonts w:cs="Times New Roman"/>
                <w:sz w:val="20"/>
                <w:szCs w:val="20"/>
              </w:rPr>
              <w:t xml:space="preserve">] </w:t>
            </w:r>
            <w:r w:rsidR="006A7445" w:rsidRPr="006A7445">
              <w:rPr>
                <w:rFonts w:cs="Times New Roman"/>
                <w:sz w:val="20"/>
                <w:szCs w:val="20"/>
              </w:rPr>
              <w:t>2</w:t>
            </w:r>
            <w:r w:rsidRPr="006A7445">
              <w:rPr>
                <w:rFonts w:cs="Times New Roman"/>
                <w:sz w:val="20"/>
                <w:szCs w:val="20"/>
              </w:rPr>
              <w:t xml:space="preserve"> S.C.R. 4</w:t>
            </w:r>
            <w:r w:rsidR="006A7445" w:rsidRPr="006A7445">
              <w:rPr>
                <w:rFonts w:cs="Times New Roman"/>
                <w:sz w:val="20"/>
                <w:szCs w:val="20"/>
              </w:rPr>
              <w:t>40</w:t>
            </w:r>
          </w:p>
          <w:p w:rsidR="00DD0B49" w:rsidRDefault="00DD0B49" w:rsidP="003B3977">
            <w:pPr>
              <w:keepNext/>
              <w:keepLines/>
              <w:rPr>
                <w:rFonts w:cs="Times New Roman"/>
                <w:bCs/>
                <w:sz w:val="20"/>
                <w:szCs w:val="20"/>
              </w:rPr>
            </w:pPr>
          </w:p>
          <w:p w:rsidR="006A7445" w:rsidRPr="00C11ABA" w:rsidRDefault="006A7445" w:rsidP="006A7445">
            <w:pPr>
              <w:rPr>
                <w:rFonts w:cs="Times New Roman"/>
                <w:sz w:val="20"/>
                <w:szCs w:val="20"/>
              </w:rPr>
            </w:pPr>
            <w:r w:rsidRPr="00C11ABA">
              <w:rPr>
                <w:rFonts w:cs="Times New Roman"/>
                <w:sz w:val="20"/>
                <w:szCs w:val="20"/>
              </w:rPr>
              <w:t xml:space="preserve">R. </w:t>
            </w:r>
            <w:r w:rsidRPr="00C11ABA">
              <w:rPr>
                <w:rFonts w:cs="Times New Roman"/>
                <w:i/>
                <w:iCs/>
                <w:sz w:val="20"/>
                <w:szCs w:val="20"/>
              </w:rPr>
              <w:t xml:space="preserve">v. </w:t>
            </w:r>
            <w:r w:rsidR="00BA7E05" w:rsidRPr="00C11ABA">
              <w:rPr>
                <w:rFonts w:cs="Times New Roman"/>
                <w:iCs/>
                <w:sz w:val="20"/>
                <w:szCs w:val="20"/>
              </w:rPr>
              <w:t>O’Brien</w:t>
            </w:r>
            <w:r w:rsidRPr="00C11ABA">
              <w:rPr>
                <w:rFonts w:cs="Times New Roman"/>
                <w:iCs/>
                <w:sz w:val="20"/>
                <w:szCs w:val="20"/>
              </w:rPr>
              <w:t>,</w:t>
            </w:r>
          </w:p>
          <w:p w:rsidR="006A7445" w:rsidRPr="00BA7E05" w:rsidRDefault="006A7445" w:rsidP="006A7445">
            <w:pPr>
              <w:rPr>
                <w:rFonts w:cs="Times New Roman"/>
                <w:sz w:val="20"/>
                <w:szCs w:val="20"/>
                <w:lang w:val="fr-CA"/>
              </w:rPr>
            </w:pPr>
            <w:r w:rsidRPr="00BA7E05">
              <w:rPr>
                <w:rFonts w:cs="Times New Roman"/>
                <w:sz w:val="20"/>
                <w:szCs w:val="20"/>
                <w:lang w:val="fr-CA"/>
              </w:rPr>
              <w:t>2011 SCC 2</w:t>
            </w:r>
            <w:r w:rsidR="00BA7E05">
              <w:rPr>
                <w:rFonts w:cs="Times New Roman"/>
                <w:sz w:val="20"/>
                <w:szCs w:val="20"/>
                <w:lang w:val="fr-CA"/>
              </w:rPr>
              <w:t>9</w:t>
            </w:r>
            <w:r w:rsidRPr="00BA7E05">
              <w:rPr>
                <w:rFonts w:cs="Times New Roman"/>
                <w:sz w:val="20"/>
                <w:szCs w:val="20"/>
                <w:lang w:val="fr-CA"/>
              </w:rPr>
              <w:t>, [2011] 2 S.C.R. 4</w:t>
            </w:r>
            <w:r w:rsidR="00BA7E05">
              <w:rPr>
                <w:rFonts w:cs="Times New Roman"/>
                <w:sz w:val="20"/>
                <w:szCs w:val="20"/>
                <w:lang w:val="fr-CA"/>
              </w:rPr>
              <w:t>85</w:t>
            </w:r>
          </w:p>
          <w:p w:rsidR="006A7445" w:rsidRPr="00BA7E05" w:rsidRDefault="006A7445" w:rsidP="003B3977">
            <w:pPr>
              <w:keepNext/>
              <w:keepLines/>
              <w:rPr>
                <w:rFonts w:cs="Times New Roman"/>
                <w:bCs/>
                <w:sz w:val="20"/>
                <w:szCs w:val="20"/>
                <w:lang w:val="fr-CA"/>
              </w:rPr>
            </w:pPr>
          </w:p>
          <w:p w:rsidR="00DD0B49" w:rsidRPr="00DD0B49" w:rsidRDefault="004D21E4" w:rsidP="003B3977">
            <w:pPr>
              <w:keepNext/>
              <w:keepLines/>
              <w:rPr>
                <w:rFonts w:cs="Times New Roman"/>
                <w:bCs/>
                <w:sz w:val="20"/>
                <w:szCs w:val="20"/>
                <w:lang w:val="fr-CA"/>
              </w:rPr>
            </w:pPr>
            <w:r w:rsidRPr="004D21E4">
              <w:rPr>
                <w:rFonts w:cs="Times New Roman"/>
                <w:sz w:val="20"/>
                <w:szCs w:val="20"/>
              </w:rPr>
              <w:pict>
                <v:rect id="_x0000_i1138"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c>
          <w:tcPr>
            <w:tcW w:w="840" w:type="dxa"/>
            <w:tcBorders>
              <w:top w:val="nil"/>
              <w:left w:val="nil"/>
              <w:bottom w:val="nil"/>
              <w:right w:val="nil"/>
            </w:tcBorders>
          </w:tcPr>
          <w:p w:rsidR="00DD0B49" w:rsidRPr="00DD0B49" w:rsidRDefault="00DD0B49" w:rsidP="003B3977">
            <w:pPr>
              <w:rPr>
                <w:rFonts w:cs="Times New Roman"/>
                <w:b/>
                <w:bCs/>
                <w:sz w:val="20"/>
                <w:szCs w:val="20"/>
                <w:lang w:val="fr-CA"/>
              </w:rPr>
            </w:pPr>
          </w:p>
        </w:tc>
        <w:tc>
          <w:tcPr>
            <w:tcW w:w="4320" w:type="dxa"/>
            <w:tcBorders>
              <w:top w:val="nil"/>
              <w:left w:val="nil"/>
              <w:bottom w:val="nil"/>
              <w:right w:val="nil"/>
            </w:tcBorders>
          </w:tcPr>
          <w:p w:rsidR="00DD0B49" w:rsidRPr="00DD0B49" w:rsidRDefault="00DD0B49" w:rsidP="003B3977">
            <w:pPr>
              <w:rPr>
                <w:rFonts w:cs="Times New Roman"/>
                <w:b/>
                <w:bCs/>
                <w:sz w:val="20"/>
                <w:szCs w:val="20"/>
                <w:lang w:val="fr-CA"/>
              </w:rPr>
            </w:pPr>
            <w:r w:rsidRPr="00DD0B49">
              <w:rPr>
                <w:rFonts w:cs="Times New Roman"/>
                <w:b/>
                <w:bCs/>
                <w:sz w:val="20"/>
                <w:szCs w:val="20"/>
                <w:lang w:val="fr-CA"/>
              </w:rPr>
              <w:t>Jugements publiés dans [201</w:t>
            </w:r>
            <w:r w:rsidR="006A7445">
              <w:rPr>
                <w:rFonts w:cs="Times New Roman"/>
                <w:b/>
                <w:bCs/>
                <w:sz w:val="20"/>
                <w:szCs w:val="20"/>
                <w:lang w:val="fr-CA"/>
              </w:rPr>
              <w:t>1</w:t>
            </w:r>
            <w:r w:rsidRPr="00DD0B49">
              <w:rPr>
                <w:rFonts w:cs="Times New Roman"/>
                <w:b/>
                <w:bCs/>
                <w:sz w:val="20"/>
                <w:szCs w:val="20"/>
                <w:lang w:val="fr-CA"/>
              </w:rPr>
              <w:t xml:space="preserve">] </w:t>
            </w:r>
            <w:r w:rsidR="006A7445">
              <w:rPr>
                <w:rFonts w:cs="Times New Roman"/>
                <w:b/>
                <w:bCs/>
                <w:sz w:val="20"/>
                <w:szCs w:val="20"/>
                <w:lang w:val="fr-CA"/>
              </w:rPr>
              <w:t>2</w:t>
            </w:r>
            <w:r w:rsidRPr="00DD0B49">
              <w:rPr>
                <w:rFonts w:cs="Times New Roman"/>
                <w:b/>
                <w:bCs/>
                <w:sz w:val="20"/>
                <w:szCs w:val="20"/>
                <w:lang w:val="fr-CA"/>
              </w:rPr>
              <w:t xml:space="preserve"> R.C.S. Partie </w:t>
            </w:r>
            <w:r w:rsidR="006A7445">
              <w:rPr>
                <w:rFonts w:cs="Times New Roman"/>
                <w:b/>
                <w:bCs/>
                <w:sz w:val="20"/>
                <w:szCs w:val="20"/>
                <w:lang w:val="fr-CA"/>
              </w:rPr>
              <w:t>2</w:t>
            </w:r>
          </w:p>
          <w:p w:rsidR="00DD0B49" w:rsidRPr="00DD0B49" w:rsidRDefault="00DD0B49" w:rsidP="003B3977">
            <w:pPr>
              <w:rPr>
                <w:rFonts w:cs="Times New Roman"/>
                <w:b/>
                <w:bCs/>
                <w:sz w:val="20"/>
                <w:szCs w:val="20"/>
                <w:lang w:val="fr-CA"/>
              </w:rPr>
            </w:pPr>
          </w:p>
          <w:p w:rsidR="00DD0B49" w:rsidRPr="00832284" w:rsidRDefault="00832284" w:rsidP="003B3977">
            <w:pPr>
              <w:rPr>
                <w:rFonts w:cs="Times New Roman"/>
                <w:sz w:val="20"/>
                <w:szCs w:val="20"/>
              </w:rPr>
            </w:pPr>
            <w:r w:rsidRPr="00832284">
              <w:rPr>
                <w:rFonts w:cs="Times New Roman"/>
                <w:sz w:val="20"/>
                <w:szCs w:val="20"/>
              </w:rPr>
              <w:t>Alberta</w:t>
            </w:r>
            <w:r w:rsidR="00DD0B49" w:rsidRPr="00832284">
              <w:rPr>
                <w:rFonts w:cs="Times New Roman"/>
                <w:sz w:val="20"/>
                <w:szCs w:val="20"/>
              </w:rPr>
              <w:t xml:space="preserve"> </w:t>
            </w:r>
            <w:r w:rsidR="00DD0B49" w:rsidRPr="00832284">
              <w:rPr>
                <w:rFonts w:cs="Times New Roman"/>
                <w:i/>
                <w:sz w:val="20"/>
                <w:szCs w:val="20"/>
              </w:rPr>
              <w:t>c.</w:t>
            </w:r>
            <w:r w:rsidR="00DD0B49" w:rsidRPr="00832284">
              <w:rPr>
                <w:rFonts w:cs="Times New Roman"/>
                <w:sz w:val="20"/>
                <w:szCs w:val="20"/>
              </w:rPr>
              <w:t xml:space="preserve"> </w:t>
            </w:r>
            <w:r w:rsidRPr="00832284">
              <w:rPr>
                <w:rFonts w:cs="Times New Roman"/>
                <w:sz w:val="20"/>
                <w:szCs w:val="20"/>
              </w:rPr>
              <w:t>Elde</w:t>
            </w:r>
            <w:r w:rsidR="00DD0B49" w:rsidRPr="00832284">
              <w:rPr>
                <w:rFonts w:cs="Times New Roman"/>
                <w:sz w:val="20"/>
                <w:szCs w:val="20"/>
              </w:rPr>
              <w:t>r</w:t>
            </w:r>
            <w:r w:rsidRPr="00832284">
              <w:rPr>
                <w:rFonts w:cs="Times New Roman"/>
                <w:sz w:val="20"/>
                <w:szCs w:val="20"/>
              </w:rPr>
              <w:t xml:space="preserve"> Advoc</w:t>
            </w:r>
            <w:r w:rsidR="00DD0B49" w:rsidRPr="00832284">
              <w:rPr>
                <w:rFonts w:cs="Times New Roman"/>
                <w:sz w:val="20"/>
                <w:szCs w:val="20"/>
              </w:rPr>
              <w:t>a</w:t>
            </w:r>
            <w:r w:rsidRPr="00832284">
              <w:rPr>
                <w:rFonts w:cs="Times New Roman"/>
                <w:sz w:val="20"/>
                <w:szCs w:val="20"/>
              </w:rPr>
              <w:t>t</w:t>
            </w:r>
            <w:r w:rsidR="00DD0B49" w:rsidRPr="00832284">
              <w:rPr>
                <w:rFonts w:cs="Times New Roman"/>
                <w:sz w:val="20"/>
                <w:szCs w:val="20"/>
              </w:rPr>
              <w:t>es</w:t>
            </w:r>
            <w:r w:rsidRPr="00832284">
              <w:rPr>
                <w:rFonts w:cs="Times New Roman"/>
                <w:sz w:val="20"/>
                <w:szCs w:val="20"/>
              </w:rPr>
              <w:t xml:space="preserve"> of </w:t>
            </w:r>
            <w:r w:rsidR="00DD0B49" w:rsidRPr="00832284">
              <w:rPr>
                <w:rFonts w:cs="Times New Roman"/>
                <w:sz w:val="20"/>
                <w:szCs w:val="20"/>
              </w:rPr>
              <w:t>A</w:t>
            </w:r>
            <w:r w:rsidRPr="00832284">
              <w:rPr>
                <w:rFonts w:cs="Times New Roman"/>
                <w:sz w:val="20"/>
                <w:szCs w:val="20"/>
              </w:rPr>
              <w:t>lberta S</w:t>
            </w:r>
            <w:r w:rsidR="00DD0B49" w:rsidRPr="00832284">
              <w:rPr>
                <w:rFonts w:cs="Times New Roman"/>
                <w:sz w:val="20"/>
                <w:szCs w:val="20"/>
              </w:rPr>
              <w:t>o</w:t>
            </w:r>
            <w:r w:rsidRPr="00832284">
              <w:rPr>
                <w:rFonts w:cs="Times New Roman"/>
                <w:sz w:val="20"/>
                <w:szCs w:val="20"/>
              </w:rPr>
              <w:t>ciety</w:t>
            </w:r>
            <w:r w:rsidR="00DD0B49" w:rsidRPr="00832284">
              <w:rPr>
                <w:rFonts w:cs="Times New Roman"/>
                <w:sz w:val="20"/>
                <w:szCs w:val="20"/>
              </w:rPr>
              <w:t>,</w:t>
            </w:r>
          </w:p>
          <w:p w:rsidR="00DD0B49" w:rsidRPr="00832284" w:rsidRDefault="00DD0B49" w:rsidP="003B3977">
            <w:pPr>
              <w:rPr>
                <w:rFonts w:cs="Times New Roman"/>
                <w:sz w:val="20"/>
                <w:szCs w:val="20"/>
                <w:lang w:val="fr-CA"/>
              </w:rPr>
            </w:pPr>
            <w:r w:rsidRPr="00BA7E05">
              <w:rPr>
                <w:rFonts w:cs="Times New Roman"/>
                <w:sz w:val="20"/>
                <w:szCs w:val="20"/>
                <w:lang w:val="fr-CA"/>
              </w:rPr>
              <w:t>201</w:t>
            </w:r>
            <w:r w:rsidR="00832284">
              <w:rPr>
                <w:rFonts w:cs="Times New Roman"/>
                <w:sz w:val="20"/>
                <w:szCs w:val="20"/>
                <w:lang w:val="fr-CA"/>
              </w:rPr>
              <w:t>1</w:t>
            </w:r>
            <w:r w:rsidRPr="00BA7E05">
              <w:rPr>
                <w:rFonts w:cs="Times New Roman"/>
                <w:sz w:val="20"/>
                <w:szCs w:val="20"/>
                <w:lang w:val="fr-CA"/>
              </w:rPr>
              <w:t xml:space="preserve"> </w:t>
            </w:r>
            <w:r w:rsidRPr="00832284">
              <w:rPr>
                <w:rFonts w:cs="Times New Roman"/>
                <w:sz w:val="20"/>
                <w:szCs w:val="20"/>
                <w:lang w:val="fr-CA"/>
              </w:rPr>
              <w:t>CSC 2</w:t>
            </w:r>
            <w:r w:rsidR="00832284" w:rsidRPr="00832284">
              <w:rPr>
                <w:rFonts w:cs="Times New Roman"/>
                <w:sz w:val="20"/>
                <w:szCs w:val="20"/>
                <w:lang w:val="fr-CA"/>
              </w:rPr>
              <w:t>4</w:t>
            </w:r>
            <w:r w:rsidRPr="00832284">
              <w:rPr>
                <w:rFonts w:cs="Times New Roman"/>
                <w:sz w:val="20"/>
                <w:szCs w:val="20"/>
                <w:lang w:val="fr-CA"/>
              </w:rPr>
              <w:t>, [201</w:t>
            </w:r>
            <w:r w:rsidR="00832284" w:rsidRPr="00832284">
              <w:rPr>
                <w:rFonts w:cs="Times New Roman"/>
                <w:sz w:val="20"/>
                <w:szCs w:val="20"/>
                <w:lang w:val="fr-CA"/>
              </w:rPr>
              <w:t>1</w:t>
            </w:r>
            <w:r w:rsidRPr="00832284">
              <w:rPr>
                <w:rFonts w:cs="Times New Roman"/>
                <w:sz w:val="20"/>
                <w:szCs w:val="20"/>
                <w:lang w:val="fr-CA"/>
              </w:rPr>
              <w:t xml:space="preserve">] </w:t>
            </w:r>
            <w:r w:rsidR="00832284" w:rsidRPr="00832284">
              <w:rPr>
                <w:rFonts w:cs="Times New Roman"/>
                <w:sz w:val="20"/>
                <w:szCs w:val="20"/>
                <w:lang w:val="fr-CA"/>
              </w:rPr>
              <w:t>2</w:t>
            </w:r>
            <w:r w:rsidRPr="00832284">
              <w:rPr>
                <w:rFonts w:cs="Times New Roman"/>
                <w:sz w:val="20"/>
                <w:szCs w:val="20"/>
                <w:lang w:val="fr-CA"/>
              </w:rPr>
              <w:t xml:space="preserve"> R.C.S. </w:t>
            </w:r>
            <w:r w:rsidR="00832284" w:rsidRPr="00832284">
              <w:rPr>
                <w:rFonts w:cs="Times New Roman"/>
                <w:sz w:val="20"/>
                <w:szCs w:val="20"/>
                <w:lang w:val="fr-CA"/>
              </w:rPr>
              <w:t>26</w:t>
            </w:r>
            <w:r w:rsidRPr="00832284">
              <w:rPr>
                <w:rFonts w:cs="Times New Roman"/>
                <w:sz w:val="20"/>
                <w:szCs w:val="20"/>
                <w:lang w:val="fr-CA"/>
              </w:rPr>
              <w:t>1</w:t>
            </w:r>
          </w:p>
          <w:p w:rsidR="00DD0B49" w:rsidRPr="00832284" w:rsidRDefault="00DD0B49" w:rsidP="003B3977">
            <w:pPr>
              <w:rPr>
                <w:rFonts w:cs="Times New Roman"/>
                <w:sz w:val="20"/>
                <w:szCs w:val="20"/>
                <w:lang w:val="fr-CA"/>
              </w:rPr>
            </w:pPr>
          </w:p>
          <w:p w:rsidR="00DD0B49" w:rsidRPr="00832284" w:rsidRDefault="00832284" w:rsidP="003B3977">
            <w:pPr>
              <w:rPr>
                <w:rFonts w:cs="Times New Roman"/>
                <w:sz w:val="20"/>
                <w:szCs w:val="20"/>
                <w:lang w:val="fr-CA"/>
              </w:rPr>
            </w:pPr>
            <w:r w:rsidRPr="00832284">
              <w:rPr>
                <w:rFonts w:cs="Times New Roman"/>
                <w:sz w:val="20"/>
                <w:szCs w:val="20"/>
                <w:lang w:val="fr-CA"/>
              </w:rPr>
              <w:t>Canada (Commission à l’information)</w:t>
            </w:r>
            <w:r w:rsidR="00DD0B49" w:rsidRPr="00832284">
              <w:rPr>
                <w:rFonts w:cs="Times New Roman"/>
                <w:sz w:val="20"/>
                <w:szCs w:val="20"/>
                <w:lang w:val="fr-CA"/>
              </w:rPr>
              <w:t xml:space="preserve"> </w:t>
            </w:r>
            <w:r w:rsidR="00DD0B49" w:rsidRPr="00832284">
              <w:rPr>
                <w:rFonts w:cs="Times New Roman"/>
                <w:i/>
                <w:iCs/>
                <w:sz w:val="20"/>
                <w:szCs w:val="20"/>
                <w:lang w:val="fr-CA"/>
              </w:rPr>
              <w:t>c.</w:t>
            </w:r>
            <w:r w:rsidR="00DD0B49" w:rsidRPr="00832284">
              <w:rPr>
                <w:rFonts w:cs="Times New Roman"/>
                <w:iCs/>
                <w:sz w:val="20"/>
                <w:szCs w:val="20"/>
                <w:lang w:val="fr-CA"/>
              </w:rPr>
              <w:t xml:space="preserve"> C</w:t>
            </w:r>
            <w:r>
              <w:rPr>
                <w:rFonts w:cs="Times New Roman"/>
                <w:iCs/>
                <w:sz w:val="20"/>
                <w:szCs w:val="20"/>
                <w:lang w:val="fr-CA"/>
              </w:rPr>
              <w:t>a</w:t>
            </w:r>
            <w:r w:rsidR="00DD0B49" w:rsidRPr="00832284">
              <w:rPr>
                <w:rFonts w:cs="Times New Roman"/>
                <w:iCs/>
                <w:sz w:val="20"/>
                <w:szCs w:val="20"/>
                <w:lang w:val="fr-CA"/>
              </w:rPr>
              <w:t>na</w:t>
            </w:r>
            <w:r>
              <w:rPr>
                <w:rFonts w:cs="Times New Roman"/>
                <w:iCs/>
                <w:sz w:val="20"/>
                <w:szCs w:val="20"/>
                <w:lang w:val="fr-CA"/>
              </w:rPr>
              <w:t>da (Ministre de la Défense nationale)</w:t>
            </w:r>
            <w:r w:rsidR="00DD0B49" w:rsidRPr="00832284">
              <w:rPr>
                <w:rFonts w:cs="Times New Roman"/>
                <w:sz w:val="20"/>
                <w:szCs w:val="20"/>
                <w:lang w:val="fr-CA"/>
              </w:rPr>
              <w:t>,</w:t>
            </w:r>
          </w:p>
          <w:p w:rsidR="00DD0B49" w:rsidRPr="00832284" w:rsidRDefault="00DD0B49" w:rsidP="003B3977">
            <w:pPr>
              <w:rPr>
                <w:rFonts w:cs="Times New Roman"/>
                <w:sz w:val="20"/>
                <w:szCs w:val="20"/>
                <w:lang w:val="fr-CA"/>
              </w:rPr>
            </w:pPr>
            <w:r w:rsidRPr="00832284">
              <w:rPr>
                <w:rFonts w:cs="Times New Roman"/>
                <w:sz w:val="20"/>
                <w:szCs w:val="20"/>
                <w:lang w:val="fr-CA"/>
              </w:rPr>
              <w:t>201</w:t>
            </w:r>
            <w:r w:rsidR="00832284" w:rsidRPr="00832284">
              <w:rPr>
                <w:rFonts w:cs="Times New Roman"/>
                <w:sz w:val="20"/>
                <w:szCs w:val="20"/>
                <w:lang w:val="fr-CA"/>
              </w:rPr>
              <w:t>1</w:t>
            </w:r>
            <w:r w:rsidRPr="00832284">
              <w:rPr>
                <w:rFonts w:cs="Times New Roman"/>
                <w:sz w:val="20"/>
                <w:szCs w:val="20"/>
                <w:lang w:val="fr-CA"/>
              </w:rPr>
              <w:t xml:space="preserve"> CSC 2</w:t>
            </w:r>
            <w:r w:rsidR="00832284" w:rsidRPr="00832284">
              <w:rPr>
                <w:rFonts w:cs="Times New Roman"/>
                <w:sz w:val="20"/>
                <w:szCs w:val="20"/>
                <w:lang w:val="fr-CA"/>
              </w:rPr>
              <w:t>5</w:t>
            </w:r>
            <w:r w:rsidRPr="00832284">
              <w:rPr>
                <w:rFonts w:cs="Times New Roman"/>
                <w:sz w:val="20"/>
                <w:szCs w:val="20"/>
                <w:lang w:val="fr-CA"/>
              </w:rPr>
              <w:t>, [201</w:t>
            </w:r>
            <w:r w:rsidR="00832284" w:rsidRPr="00832284">
              <w:rPr>
                <w:rFonts w:cs="Times New Roman"/>
                <w:sz w:val="20"/>
                <w:szCs w:val="20"/>
                <w:lang w:val="fr-CA"/>
              </w:rPr>
              <w:t>1</w:t>
            </w:r>
            <w:r w:rsidRPr="00832284">
              <w:rPr>
                <w:rFonts w:cs="Times New Roman"/>
                <w:sz w:val="20"/>
                <w:szCs w:val="20"/>
                <w:lang w:val="fr-CA"/>
              </w:rPr>
              <w:t xml:space="preserve">] </w:t>
            </w:r>
            <w:r w:rsidR="00832284" w:rsidRPr="00832284">
              <w:rPr>
                <w:rFonts w:cs="Times New Roman"/>
                <w:sz w:val="20"/>
                <w:szCs w:val="20"/>
                <w:lang w:val="fr-CA"/>
              </w:rPr>
              <w:t>2</w:t>
            </w:r>
            <w:r w:rsidRPr="00832284">
              <w:rPr>
                <w:rFonts w:cs="Times New Roman"/>
                <w:sz w:val="20"/>
                <w:szCs w:val="20"/>
                <w:lang w:val="fr-CA"/>
              </w:rPr>
              <w:t xml:space="preserve"> R.C.S. </w:t>
            </w:r>
            <w:r w:rsidR="00832284" w:rsidRPr="00832284">
              <w:rPr>
                <w:rFonts w:cs="Times New Roman"/>
                <w:sz w:val="20"/>
                <w:szCs w:val="20"/>
                <w:lang w:val="fr-CA"/>
              </w:rPr>
              <w:t>306</w:t>
            </w:r>
          </w:p>
          <w:p w:rsidR="00DD0B49" w:rsidRPr="00832284" w:rsidRDefault="00DD0B49" w:rsidP="003B3977">
            <w:pPr>
              <w:rPr>
                <w:rFonts w:cs="Times New Roman"/>
                <w:iCs/>
                <w:sz w:val="20"/>
                <w:szCs w:val="20"/>
                <w:lang w:val="fr-CA"/>
              </w:rPr>
            </w:pPr>
          </w:p>
          <w:p w:rsidR="00DD0B49" w:rsidRPr="00832284" w:rsidRDefault="00832284" w:rsidP="003B3977">
            <w:pPr>
              <w:rPr>
                <w:rFonts w:cs="Times New Roman"/>
                <w:iCs/>
                <w:sz w:val="20"/>
                <w:szCs w:val="20"/>
                <w:lang w:val="fr-CA"/>
              </w:rPr>
            </w:pPr>
            <w:r w:rsidRPr="00832284">
              <w:rPr>
                <w:rFonts w:cs="Times New Roman"/>
                <w:iCs/>
                <w:sz w:val="20"/>
                <w:szCs w:val="20"/>
                <w:lang w:val="fr-CA"/>
              </w:rPr>
              <w:t>Canada (Procureur général)</w:t>
            </w:r>
            <w:r w:rsidR="00DD0B49" w:rsidRPr="00832284">
              <w:rPr>
                <w:rFonts w:cs="Times New Roman"/>
                <w:iCs/>
                <w:sz w:val="20"/>
                <w:szCs w:val="20"/>
                <w:lang w:val="fr-CA"/>
              </w:rPr>
              <w:t xml:space="preserve"> </w:t>
            </w:r>
            <w:r w:rsidR="00DD0B49" w:rsidRPr="00832284">
              <w:rPr>
                <w:rFonts w:cs="Times New Roman"/>
                <w:i/>
                <w:iCs/>
                <w:sz w:val="20"/>
                <w:szCs w:val="20"/>
                <w:lang w:val="fr-CA"/>
              </w:rPr>
              <w:t>c.</w:t>
            </w:r>
            <w:r w:rsidR="00DD0B49" w:rsidRPr="00832284">
              <w:rPr>
                <w:rFonts w:cs="Times New Roman"/>
                <w:iCs/>
                <w:sz w:val="20"/>
                <w:szCs w:val="20"/>
                <w:lang w:val="fr-CA"/>
              </w:rPr>
              <w:t xml:space="preserve"> </w:t>
            </w:r>
            <w:r>
              <w:rPr>
                <w:rFonts w:cs="Times New Roman"/>
                <w:iCs/>
                <w:sz w:val="20"/>
                <w:szCs w:val="20"/>
                <w:lang w:val="fr-CA"/>
              </w:rPr>
              <w:t>Mavi</w:t>
            </w:r>
            <w:r w:rsidR="00DD0B49" w:rsidRPr="00832284">
              <w:rPr>
                <w:rFonts w:cs="Times New Roman"/>
                <w:iCs/>
                <w:sz w:val="20"/>
                <w:szCs w:val="20"/>
                <w:lang w:val="fr-CA"/>
              </w:rPr>
              <w:t>,</w:t>
            </w:r>
          </w:p>
          <w:p w:rsidR="00DD0B49" w:rsidRPr="00C11ABA" w:rsidRDefault="00DD0B49" w:rsidP="003B3977">
            <w:pPr>
              <w:rPr>
                <w:rFonts w:cs="Times New Roman"/>
                <w:sz w:val="20"/>
                <w:szCs w:val="20"/>
                <w:lang w:val="fr-CA"/>
              </w:rPr>
            </w:pPr>
            <w:r w:rsidRPr="00C11ABA">
              <w:rPr>
                <w:rFonts w:cs="Times New Roman"/>
                <w:sz w:val="20"/>
                <w:szCs w:val="20"/>
                <w:lang w:val="fr-CA"/>
              </w:rPr>
              <w:t>201</w:t>
            </w:r>
            <w:r w:rsidR="00832284" w:rsidRPr="00C11ABA">
              <w:rPr>
                <w:rFonts w:cs="Times New Roman"/>
                <w:sz w:val="20"/>
                <w:szCs w:val="20"/>
                <w:lang w:val="fr-CA"/>
              </w:rPr>
              <w:t>1</w:t>
            </w:r>
            <w:r w:rsidRPr="00C11ABA">
              <w:rPr>
                <w:rFonts w:cs="Times New Roman"/>
                <w:sz w:val="20"/>
                <w:szCs w:val="20"/>
                <w:lang w:val="fr-CA"/>
              </w:rPr>
              <w:t xml:space="preserve"> CSC </w:t>
            </w:r>
            <w:r w:rsidR="00832284" w:rsidRPr="00C11ABA">
              <w:rPr>
                <w:rFonts w:cs="Times New Roman"/>
                <w:sz w:val="20"/>
                <w:szCs w:val="20"/>
                <w:lang w:val="fr-CA"/>
              </w:rPr>
              <w:t>30</w:t>
            </w:r>
            <w:r w:rsidRPr="00C11ABA">
              <w:rPr>
                <w:rFonts w:cs="Times New Roman"/>
                <w:sz w:val="20"/>
                <w:szCs w:val="20"/>
                <w:lang w:val="fr-CA"/>
              </w:rPr>
              <w:t>, [201</w:t>
            </w:r>
            <w:r w:rsidR="00832284" w:rsidRPr="00C11ABA">
              <w:rPr>
                <w:rFonts w:cs="Times New Roman"/>
                <w:sz w:val="20"/>
                <w:szCs w:val="20"/>
                <w:lang w:val="fr-CA"/>
              </w:rPr>
              <w:t>1</w:t>
            </w:r>
            <w:r w:rsidRPr="00C11ABA">
              <w:rPr>
                <w:rFonts w:cs="Times New Roman"/>
                <w:sz w:val="20"/>
                <w:szCs w:val="20"/>
                <w:lang w:val="fr-CA"/>
              </w:rPr>
              <w:t xml:space="preserve">] </w:t>
            </w:r>
            <w:r w:rsidR="00832284" w:rsidRPr="00C11ABA">
              <w:rPr>
                <w:rFonts w:cs="Times New Roman"/>
                <w:sz w:val="20"/>
                <w:szCs w:val="20"/>
                <w:lang w:val="fr-CA"/>
              </w:rPr>
              <w:t>2</w:t>
            </w:r>
            <w:r w:rsidRPr="00C11ABA">
              <w:rPr>
                <w:rFonts w:cs="Times New Roman"/>
                <w:sz w:val="20"/>
                <w:szCs w:val="20"/>
                <w:lang w:val="fr-CA"/>
              </w:rPr>
              <w:t xml:space="preserve"> R.C.S. </w:t>
            </w:r>
            <w:r w:rsidR="00832284" w:rsidRPr="00C11ABA">
              <w:rPr>
                <w:rFonts w:cs="Times New Roman"/>
                <w:sz w:val="20"/>
                <w:szCs w:val="20"/>
                <w:lang w:val="fr-CA"/>
              </w:rPr>
              <w:t>504</w:t>
            </w:r>
          </w:p>
          <w:p w:rsidR="00DD0B49" w:rsidRPr="00C11ABA" w:rsidRDefault="00DD0B49" w:rsidP="003B3977">
            <w:pPr>
              <w:rPr>
                <w:rFonts w:cs="Times New Roman"/>
                <w:sz w:val="20"/>
                <w:szCs w:val="20"/>
                <w:lang w:val="fr-CA"/>
              </w:rPr>
            </w:pPr>
          </w:p>
          <w:p w:rsidR="00832284" w:rsidRPr="00C11ABA" w:rsidRDefault="00832284" w:rsidP="003B3977">
            <w:pPr>
              <w:rPr>
                <w:rFonts w:cs="Times New Roman"/>
                <w:sz w:val="20"/>
                <w:szCs w:val="20"/>
                <w:lang w:val="fr-CA"/>
              </w:rPr>
            </w:pPr>
          </w:p>
          <w:p w:rsidR="00DD0B49" w:rsidRPr="00832284" w:rsidRDefault="00832284" w:rsidP="003B3977">
            <w:pPr>
              <w:rPr>
                <w:rFonts w:cs="Times New Roman"/>
                <w:sz w:val="20"/>
                <w:szCs w:val="20"/>
                <w:lang w:val="fr-CA"/>
              </w:rPr>
            </w:pPr>
            <w:r w:rsidRPr="00832284">
              <w:rPr>
                <w:rFonts w:cs="Times New Roman"/>
                <w:sz w:val="20"/>
                <w:szCs w:val="20"/>
                <w:lang w:val="fr-CA"/>
              </w:rPr>
              <w:t xml:space="preserve">i Trade Finance Inc. </w:t>
            </w:r>
            <w:r w:rsidR="00DD0B49" w:rsidRPr="00832284">
              <w:rPr>
                <w:rFonts w:cs="Times New Roman"/>
                <w:i/>
                <w:iCs/>
                <w:sz w:val="20"/>
                <w:szCs w:val="20"/>
                <w:lang w:val="fr-CA"/>
              </w:rPr>
              <w:t>c.</w:t>
            </w:r>
            <w:r w:rsidR="00DD0B49" w:rsidRPr="00832284">
              <w:rPr>
                <w:rFonts w:cs="Times New Roman"/>
                <w:sz w:val="20"/>
                <w:szCs w:val="20"/>
                <w:lang w:val="fr-CA"/>
              </w:rPr>
              <w:t xml:space="preserve"> </w:t>
            </w:r>
            <w:r w:rsidRPr="00832284">
              <w:rPr>
                <w:rFonts w:cs="Times New Roman"/>
                <w:sz w:val="20"/>
                <w:szCs w:val="20"/>
                <w:lang w:val="fr-CA"/>
              </w:rPr>
              <w:t>Banque de Montréal</w:t>
            </w:r>
            <w:r w:rsidR="00DD0B49" w:rsidRPr="00832284">
              <w:rPr>
                <w:rFonts w:cs="Times New Roman"/>
                <w:sz w:val="20"/>
                <w:szCs w:val="20"/>
                <w:lang w:val="fr-CA"/>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832284">
              <w:rPr>
                <w:rFonts w:cs="Times New Roman"/>
                <w:sz w:val="20"/>
                <w:szCs w:val="20"/>
                <w:lang w:val="en-GB"/>
              </w:rPr>
              <w:t>1</w:t>
            </w:r>
            <w:r w:rsidRPr="00DD0B49">
              <w:rPr>
                <w:rFonts w:cs="Times New Roman"/>
                <w:sz w:val="20"/>
                <w:szCs w:val="20"/>
                <w:lang w:val="en-GB"/>
              </w:rPr>
              <w:t xml:space="preserve"> CSC 2</w:t>
            </w:r>
            <w:r w:rsidR="00832284">
              <w:rPr>
                <w:rFonts w:cs="Times New Roman"/>
                <w:sz w:val="20"/>
                <w:szCs w:val="20"/>
                <w:lang w:val="en-GB"/>
              </w:rPr>
              <w:t>6</w:t>
            </w:r>
            <w:r w:rsidRPr="00DD0B49">
              <w:rPr>
                <w:rFonts w:cs="Times New Roman"/>
                <w:sz w:val="20"/>
                <w:szCs w:val="20"/>
                <w:lang w:val="en-GB"/>
              </w:rPr>
              <w:t>, [201</w:t>
            </w:r>
            <w:r w:rsidR="00832284">
              <w:rPr>
                <w:rFonts w:cs="Times New Roman"/>
                <w:sz w:val="20"/>
                <w:szCs w:val="20"/>
                <w:lang w:val="en-GB"/>
              </w:rPr>
              <w:t>1</w:t>
            </w:r>
            <w:r w:rsidRPr="00DD0B49">
              <w:rPr>
                <w:rFonts w:cs="Times New Roman"/>
                <w:sz w:val="20"/>
                <w:szCs w:val="20"/>
                <w:lang w:val="en-GB"/>
              </w:rPr>
              <w:t xml:space="preserve">] </w:t>
            </w:r>
            <w:r w:rsidR="00832284">
              <w:rPr>
                <w:rFonts w:cs="Times New Roman"/>
                <w:sz w:val="20"/>
                <w:szCs w:val="20"/>
                <w:lang w:val="en-GB"/>
              </w:rPr>
              <w:t>2</w:t>
            </w:r>
            <w:r w:rsidRPr="00DD0B49">
              <w:rPr>
                <w:rFonts w:cs="Times New Roman"/>
                <w:sz w:val="20"/>
                <w:szCs w:val="20"/>
                <w:lang w:val="en-GB"/>
              </w:rPr>
              <w:t xml:space="preserve"> R.C.S. </w:t>
            </w:r>
            <w:r w:rsidR="00832284">
              <w:rPr>
                <w:rFonts w:cs="Times New Roman"/>
                <w:sz w:val="20"/>
                <w:szCs w:val="20"/>
                <w:lang w:val="en-GB"/>
              </w:rPr>
              <w:t>360</w:t>
            </w:r>
          </w:p>
          <w:p w:rsidR="00DD0B49" w:rsidRPr="00DD0B49" w:rsidRDefault="00DD0B49" w:rsidP="003B3977">
            <w:pPr>
              <w:rPr>
                <w:rFonts w:cs="Times New Roman"/>
                <w:sz w:val="20"/>
                <w:szCs w:val="20"/>
                <w:lang w:val="en-GB"/>
              </w:rPr>
            </w:pPr>
          </w:p>
          <w:p w:rsidR="00DD0B49" w:rsidRPr="00DD0B49" w:rsidRDefault="00832284" w:rsidP="003B3977">
            <w:pPr>
              <w:rPr>
                <w:rFonts w:cs="Times New Roman"/>
                <w:sz w:val="20"/>
                <w:szCs w:val="20"/>
                <w:lang w:val="en-GB"/>
              </w:rPr>
            </w:pPr>
            <w:r>
              <w:rPr>
                <w:rFonts w:cs="Times New Roman"/>
                <w:sz w:val="20"/>
                <w:szCs w:val="20"/>
                <w:lang w:val="en-GB"/>
              </w:rPr>
              <w:t>Masterpiece Inc.</w:t>
            </w:r>
            <w:r w:rsidR="00DD0B49" w:rsidRPr="00DD0B49">
              <w:rPr>
                <w:rFonts w:cs="Times New Roman"/>
                <w:sz w:val="20"/>
                <w:szCs w:val="20"/>
                <w:lang w:val="en-GB"/>
              </w:rPr>
              <w:t xml:space="preserve"> </w:t>
            </w:r>
            <w:r w:rsidR="00DD0B49" w:rsidRPr="00DD0B49">
              <w:rPr>
                <w:rFonts w:cs="Times New Roman"/>
                <w:i/>
                <w:iCs/>
                <w:sz w:val="20"/>
                <w:szCs w:val="20"/>
                <w:lang w:val="en-GB"/>
              </w:rPr>
              <w:t>c</w:t>
            </w:r>
            <w:r w:rsidR="00DD0B49" w:rsidRPr="00DD0B49">
              <w:rPr>
                <w:rFonts w:cs="Times New Roman"/>
                <w:sz w:val="20"/>
                <w:szCs w:val="20"/>
                <w:lang w:val="en-GB"/>
              </w:rPr>
              <w:t xml:space="preserve">. </w:t>
            </w:r>
            <w:r>
              <w:rPr>
                <w:rFonts w:cs="Times New Roman"/>
                <w:sz w:val="20"/>
                <w:szCs w:val="20"/>
                <w:lang w:val="en-GB"/>
              </w:rPr>
              <w:t>Alavida Lifestyles Inc.</w:t>
            </w:r>
            <w:r w:rsidR="00DD0B49" w:rsidRPr="00DD0B49">
              <w:rPr>
                <w:rFonts w:cs="Times New Roman"/>
                <w:sz w:val="20"/>
                <w:szCs w:val="20"/>
                <w:lang w:val="en-GB"/>
              </w:rPr>
              <w:t>,</w:t>
            </w:r>
          </w:p>
          <w:p w:rsidR="00DD0B49" w:rsidRPr="00DD0B49" w:rsidRDefault="00DD0B49" w:rsidP="003B3977">
            <w:pPr>
              <w:rPr>
                <w:rFonts w:cs="Times New Roman"/>
                <w:sz w:val="20"/>
                <w:szCs w:val="20"/>
              </w:rPr>
            </w:pPr>
            <w:r w:rsidRPr="00DD0B49">
              <w:rPr>
                <w:rFonts w:cs="Times New Roman"/>
                <w:sz w:val="20"/>
                <w:szCs w:val="20"/>
              </w:rPr>
              <w:t>201</w:t>
            </w:r>
            <w:r w:rsidR="00832284">
              <w:rPr>
                <w:rFonts w:cs="Times New Roman"/>
                <w:sz w:val="20"/>
                <w:szCs w:val="20"/>
              </w:rPr>
              <w:t>1</w:t>
            </w:r>
            <w:r w:rsidRPr="00DD0B49">
              <w:rPr>
                <w:rFonts w:cs="Times New Roman"/>
                <w:sz w:val="20"/>
                <w:szCs w:val="20"/>
              </w:rPr>
              <w:t xml:space="preserve"> CSC 2</w:t>
            </w:r>
            <w:r w:rsidR="00832284">
              <w:rPr>
                <w:rFonts w:cs="Times New Roman"/>
                <w:sz w:val="20"/>
                <w:szCs w:val="20"/>
              </w:rPr>
              <w:t>7</w:t>
            </w:r>
            <w:r w:rsidRPr="00DD0B49">
              <w:rPr>
                <w:rFonts w:cs="Times New Roman"/>
                <w:sz w:val="20"/>
                <w:szCs w:val="20"/>
              </w:rPr>
              <w:t>, [201</w:t>
            </w:r>
            <w:r w:rsidR="00832284">
              <w:rPr>
                <w:rFonts w:cs="Times New Roman"/>
                <w:sz w:val="20"/>
                <w:szCs w:val="20"/>
              </w:rPr>
              <w:t>1</w:t>
            </w:r>
            <w:r w:rsidRPr="00DD0B49">
              <w:rPr>
                <w:rFonts w:cs="Times New Roman"/>
                <w:sz w:val="20"/>
                <w:szCs w:val="20"/>
              </w:rPr>
              <w:t xml:space="preserve">] </w:t>
            </w:r>
            <w:r w:rsidR="00832284">
              <w:rPr>
                <w:rFonts w:cs="Times New Roman"/>
                <w:sz w:val="20"/>
                <w:szCs w:val="20"/>
              </w:rPr>
              <w:t>2</w:t>
            </w:r>
            <w:r w:rsidRPr="00DD0B49">
              <w:rPr>
                <w:rFonts w:cs="Times New Roman"/>
                <w:sz w:val="20"/>
                <w:szCs w:val="20"/>
              </w:rPr>
              <w:t xml:space="preserve"> R.C.S. </w:t>
            </w:r>
            <w:r w:rsidR="00832284">
              <w:rPr>
                <w:rFonts w:cs="Times New Roman"/>
                <w:sz w:val="20"/>
                <w:szCs w:val="20"/>
              </w:rPr>
              <w:t>3</w:t>
            </w:r>
            <w:r w:rsidRPr="00DD0B49">
              <w:rPr>
                <w:rFonts w:cs="Times New Roman"/>
                <w:sz w:val="20"/>
                <w:szCs w:val="20"/>
              </w:rPr>
              <w:t>8</w:t>
            </w:r>
            <w:r w:rsidR="00832284">
              <w:rPr>
                <w:rFonts w:cs="Times New Roman"/>
                <w:sz w:val="20"/>
                <w:szCs w:val="20"/>
              </w:rPr>
              <w:t>7</w:t>
            </w:r>
          </w:p>
          <w:p w:rsidR="00DD0B49" w:rsidRPr="00DD0B49" w:rsidRDefault="00DD0B49" w:rsidP="003B3977">
            <w:pPr>
              <w:rPr>
                <w:rFonts w:cs="Times New Roman"/>
                <w:sz w:val="20"/>
                <w:szCs w:val="20"/>
              </w:rPr>
            </w:pPr>
          </w:p>
          <w:p w:rsidR="00DD0B49" w:rsidRPr="00DD0B49" w:rsidRDefault="00832284" w:rsidP="003B3977">
            <w:pPr>
              <w:rPr>
                <w:rFonts w:cs="Times New Roman"/>
                <w:sz w:val="20"/>
                <w:szCs w:val="20"/>
              </w:rPr>
            </w:pPr>
            <w:r>
              <w:rPr>
                <w:rFonts w:cs="Times New Roman"/>
                <w:sz w:val="20"/>
                <w:szCs w:val="20"/>
              </w:rPr>
              <w:t xml:space="preserve">R. </w:t>
            </w:r>
            <w:r w:rsidR="00DD0B49" w:rsidRPr="00DD0B49">
              <w:rPr>
                <w:rFonts w:cs="Times New Roman"/>
                <w:i/>
                <w:iCs/>
                <w:sz w:val="20"/>
                <w:szCs w:val="20"/>
              </w:rPr>
              <w:t>c.</w:t>
            </w:r>
            <w:r w:rsidR="00DD0B49" w:rsidRPr="00DD0B49">
              <w:rPr>
                <w:rFonts w:cs="Times New Roman"/>
                <w:sz w:val="20"/>
                <w:szCs w:val="20"/>
              </w:rPr>
              <w:t xml:space="preserve"> </w:t>
            </w:r>
            <w:r>
              <w:rPr>
                <w:rFonts w:cs="Times New Roman"/>
                <w:sz w:val="20"/>
                <w:szCs w:val="20"/>
              </w:rPr>
              <w:t>E.M.W.</w:t>
            </w:r>
            <w:r w:rsidR="00DD0B49" w:rsidRPr="00DD0B49">
              <w:rPr>
                <w:rFonts w:cs="Times New Roman"/>
                <w:sz w:val="20"/>
                <w:szCs w:val="20"/>
              </w:rPr>
              <w:t>,</w:t>
            </w:r>
          </w:p>
          <w:p w:rsidR="00DD0B49" w:rsidRPr="00DD0B49" w:rsidRDefault="00DD0B49" w:rsidP="003B3977">
            <w:pPr>
              <w:rPr>
                <w:rFonts w:cs="Times New Roman"/>
                <w:sz w:val="20"/>
                <w:szCs w:val="20"/>
              </w:rPr>
            </w:pPr>
            <w:r w:rsidRPr="00DD0B49">
              <w:rPr>
                <w:rFonts w:cs="Times New Roman"/>
                <w:sz w:val="20"/>
                <w:szCs w:val="20"/>
              </w:rPr>
              <w:t>201</w:t>
            </w:r>
            <w:r w:rsidR="00832284">
              <w:rPr>
                <w:rFonts w:cs="Times New Roman"/>
                <w:sz w:val="20"/>
                <w:szCs w:val="20"/>
              </w:rPr>
              <w:t>1</w:t>
            </w:r>
            <w:r w:rsidRPr="00DD0B49">
              <w:rPr>
                <w:rFonts w:cs="Times New Roman"/>
                <w:sz w:val="20"/>
                <w:szCs w:val="20"/>
              </w:rPr>
              <w:t xml:space="preserve"> CSC </w:t>
            </w:r>
            <w:r w:rsidR="00832284">
              <w:rPr>
                <w:rFonts w:cs="Times New Roman"/>
                <w:sz w:val="20"/>
                <w:szCs w:val="20"/>
              </w:rPr>
              <w:t>3</w:t>
            </w:r>
            <w:r w:rsidRPr="00DD0B49">
              <w:rPr>
                <w:rFonts w:cs="Times New Roman"/>
                <w:sz w:val="20"/>
                <w:szCs w:val="20"/>
              </w:rPr>
              <w:t>1, [201</w:t>
            </w:r>
            <w:r w:rsidR="00832284">
              <w:rPr>
                <w:rFonts w:cs="Times New Roman"/>
                <w:sz w:val="20"/>
                <w:szCs w:val="20"/>
              </w:rPr>
              <w:t>1</w:t>
            </w:r>
            <w:r w:rsidRPr="00DD0B49">
              <w:rPr>
                <w:rFonts w:cs="Times New Roman"/>
                <w:sz w:val="20"/>
                <w:szCs w:val="20"/>
              </w:rPr>
              <w:t xml:space="preserve">] </w:t>
            </w:r>
            <w:r w:rsidR="00832284">
              <w:rPr>
                <w:rFonts w:cs="Times New Roman"/>
                <w:sz w:val="20"/>
                <w:szCs w:val="20"/>
              </w:rPr>
              <w:t>2</w:t>
            </w:r>
            <w:r w:rsidRPr="00DD0B49">
              <w:rPr>
                <w:rFonts w:cs="Times New Roman"/>
                <w:sz w:val="20"/>
                <w:szCs w:val="20"/>
              </w:rPr>
              <w:t xml:space="preserve"> R.C.S. </w:t>
            </w:r>
            <w:r w:rsidR="00832284">
              <w:rPr>
                <w:rFonts w:cs="Times New Roman"/>
                <w:sz w:val="20"/>
                <w:szCs w:val="20"/>
              </w:rPr>
              <w:t>54</w:t>
            </w:r>
            <w:r w:rsidRPr="00DD0B49">
              <w:rPr>
                <w:rFonts w:cs="Times New Roman"/>
                <w:sz w:val="20"/>
                <w:szCs w:val="20"/>
              </w:rPr>
              <w:t>2</w:t>
            </w:r>
          </w:p>
          <w:p w:rsidR="00DD0B49" w:rsidRPr="00DD0B49" w:rsidRDefault="00DD0B49" w:rsidP="003B3977">
            <w:pPr>
              <w:rPr>
                <w:rFonts w:cs="Times New Roman"/>
                <w:sz w:val="20"/>
                <w:szCs w:val="20"/>
              </w:rPr>
            </w:pPr>
          </w:p>
          <w:p w:rsidR="00DD0B49" w:rsidRPr="00832284" w:rsidRDefault="00832284" w:rsidP="003B3977">
            <w:pPr>
              <w:rPr>
                <w:rFonts w:cs="Times New Roman"/>
                <w:sz w:val="20"/>
                <w:szCs w:val="20"/>
              </w:rPr>
            </w:pPr>
            <w:r w:rsidRPr="00832284">
              <w:rPr>
                <w:rFonts w:cs="Times New Roman"/>
                <w:sz w:val="20"/>
                <w:szCs w:val="20"/>
              </w:rPr>
              <w:t xml:space="preserve">R. </w:t>
            </w:r>
            <w:r w:rsidR="00DD0B49" w:rsidRPr="00832284">
              <w:rPr>
                <w:rFonts w:cs="Times New Roman"/>
                <w:i/>
                <w:iCs/>
                <w:sz w:val="20"/>
                <w:szCs w:val="20"/>
              </w:rPr>
              <w:t xml:space="preserve">c. </w:t>
            </w:r>
            <w:r w:rsidRPr="00832284">
              <w:rPr>
                <w:rFonts w:cs="Times New Roman"/>
                <w:iCs/>
                <w:sz w:val="20"/>
                <w:szCs w:val="20"/>
              </w:rPr>
              <w:t>J.A.</w:t>
            </w:r>
            <w:r w:rsidR="00DD0B49" w:rsidRPr="00832284">
              <w:rPr>
                <w:rFonts w:cs="Times New Roman"/>
                <w:iCs/>
                <w:sz w:val="20"/>
                <w:szCs w:val="20"/>
              </w:rPr>
              <w:t>,</w:t>
            </w:r>
          </w:p>
          <w:p w:rsidR="00DD0B49" w:rsidRPr="00832284" w:rsidRDefault="00DD0B49" w:rsidP="003B3977">
            <w:pPr>
              <w:rPr>
                <w:rFonts w:cs="Times New Roman"/>
                <w:sz w:val="20"/>
                <w:szCs w:val="20"/>
              </w:rPr>
            </w:pPr>
            <w:r w:rsidRPr="00832284">
              <w:rPr>
                <w:rFonts w:cs="Times New Roman"/>
                <w:sz w:val="20"/>
                <w:szCs w:val="20"/>
              </w:rPr>
              <w:t>201</w:t>
            </w:r>
            <w:r w:rsidR="00832284" w:rsidRPr="00832284">
              <w:rPr>
                <w:rFonts w:cs="Times New Roman"/>
                <w:sz w:val="20"/>
                <w:szCs w:val="20"/>
              </w:rPr>
              <w:t>1</w:t>
            </w:r>
            <w:r w:rsidRPr="00832284">
              <w:rPr>
                <w:rFonts w:cs="Times New Roman"/>
                <w:sz w:val="20"/>
                <w:szCs w:val="20"/>
              </w:rPr>
              <w:t xml:space="preserve"> CSC </w:t>
            </w:r>
            <w:r w:rsidR="00832284">
              <w:rPr>
                <w:rFonts w:cs="Times New Roman"/>
                <w:sz w:val="20"/>
                <w:szCs w:val="20"/>
              </w:rPr>
              <w:t>28</w:t>
            </w:r>
            <w:r w:rsidRPr="00832284">
              <w:rPr>
                <w:rFonts w:cs="Times New Roman"/>
                <w:sz w:val="20"/>
                <w:szCs w:val="20"/>
              </w:rPr>
              <w:t>, [201</w:t>
            </w:r>
            <w:r w:rsidR="00832284" w:rsidRPr="00832284">
              <w:rPr>
                <w:rFonts w:cs="Times New Roman"/>
                <w:sz w:val="20"/>
                <w:szCs w:val="20"/>
              </w:rPr>
              <w:t>1</w:t>
            </w:r>
            <w:r w:rsidRPr="00832284">
              <w:rPr>
                <w:rFonts w:cs="Times New Roman"/>
                <w:sz w:val="20"/>
                <w:szCs w:val="20"/>
              </w:rPr>
              <w:t xml:space="preserve">] </w:t>
            </w:r>
            <w:r w:rsidR="00832284" w:rsidRPr="00832284">
              <w:rPr>
                <w:rFonts w:cs="Times New Roman"/>
                <w:sz w:val="20"/>
                <w:szCs w:val="20"/>
              </w:rPr>
              <w:t>2</w:t>
            </w:r>
            <w:r w:rsidRPr="00832284">
              <w:rPr>
                <w:rFonts w:cs="Times New Roman"/>
                <w:sz w:val="20"/>
                <w:szCs w:val="20"/>
              </w:rPr>
              <w:t xml:space="preserve"> R.C.S. 4</w:t>
            </w:r>
            <w:r w:rsidR="00832284">
              <w:rPr>
                <w:rFonts w:cs="Times New Roman"/>
                <w:sz w:val="20"/>
                <w:szCs w:val="20"/>
              </w:rPr>
              <w:t>40</w:t>
            </w:r>
          </w:p>
          <w:p w:rsidR="00DD0B49" w:rsidRDefault="00DD0B49" w:rsidP="003B3977">
            <w:pPr>
              <w:keepNext/>
              <w:keepLines/>
              <w:rPr>
                <w:rFonts w:cs="Times New Roman"/>
                <w:bCs/>
                <w:sz w:val="20"/>
                <w:szCs w:val="20"/>
              </w:rPr>
            </w:pPr>
          </w:p>
          <w:p w:rsidR="00832284" w:rsidRPr="00832284" w:rsidRDefault="00832284" w:rsidP="00832284">
            <w:pPr>
              <w:rPr>
                <w:rFonts w:cs="Times New Roman"/>
                <w:sz w:val="20"/>
                <w:szCs w:val="20"/>
              </w:rPr>
            </w:pPr>
            <w:r w:rsidRPr="00832284">
              <w:rPr>
                <w:rFonts w:cs="Times New Roman"/>
                <w:sz w:val="20"/>
                <w:szCs w:val="20"/>
              </w:rPr>
              <w:t xml:space="preserve">R. </w:t>
            </w:r>
            <w:r w:rsidRPr="00832284">
              <w:rPr>
                <w:rFonts w:cs="Times New Roman"/>
                <w:i/>
                <w:iCs/>
                <w:sz w:val="20"/>
                <w:szCs w:val="20"/>
              </w:rPr>
              <w:t xml:space="preserve">c. </w:t>
            </w:r>
            <w:r>
              <w:rPr>
                <w:rFonts w:cs="Times New Roman"/>
                <w:iCs/>
                <w:sz w:val="20"/>
                <w:szCs w:val="20"/>
              </w:rPr>
              <w:t>O’Brien</w:t>
            </w:r>
            <w:r w:rsidRPr="00832284">
              <w:rPr>
                <w:rFonts w:cs="Times New Roman"/>
                <w:iCs/>
                <w:sz w:val="20"/>
                <w:szCs w:val="20"/>
              </w:rPr>
              <w:t>,</w:t>
            </w:r>
          </w:p>
          <w:p w:rsidR="00832284" w:rsidRPr="00832284" w:rsidRDefault="00832284" w:rsidP="00832284">
            <w:pPr>
              <w:rPr>
                <w:rFonts w:cs="Times New Roman"/>
                <w:sz w:val="20"/>
                <w:szCs w:val="20"/>
              </w:rPr>
            </w:pPr>
            <w:r w:rsidRPr="00832284">
              <w:rPr>
                <w:rFonts w:cs="Times New Roman"/>
                <w:sz w:val="20"/>
                <w:szCs w:val="20"/>
              </w:rPr>
              <w:t xml:space="preserve">2011 CSC </w:t>
            </w:r>
            <w:r>
              <w:rPr>
                <w:rFonts w:cs="Times New Roman"/>
                <w:sz w:val="20"/>
                <w:szCs w:val="20"/>
              </w:rPr>
              <w:t>29</w:t>
            </w:r>
            <w:r w:rsidRPr="00832284">
              <w:rPr>
                <w:rFonts w:cs="Times New Roman"/>
                <w:sz w:val="20"/>
                <w:szCs w:val="20"/>
              </w:rPr>
              <w:t xml:space="preserve">, [2011] 2 R.C.S. </w:t>
            </w:r>
            <w:r>
              <w:rPr>
                <w:rFonts w:cs="Times New Roman"/>
                <w:sz w:val="20"/>
                <w:szCs w:val="20"/>
              </w:rPr>
              <w:t>485</w:t>
            </w:r>
          </w:p>
          <w:p w:rsidR="00832284" w:rsidRPr="00832284" w:rsidRDefault="00832284" w:rsidP="003B3977">
            <w:pPr>
              <w:keepNext/>
              <w:keepLines/>
              <w:rPr>
                <w:rFonts w:cs="Times New Roman"/>
                <w:bCs/>
                <w:sz w:val="20"/>
                <w:szCs w:val="20"/>
              </w:rPr>
            </w:pPr>
          </w:p>
          <w:p w:rsidR="00DD0B49" w:rsidRPr="00DD0B49" w:rsidRDefault="004D21E4" w:rsidP="003B3977">
            <w:pPr>
              <w:rPr>
                <w:rFonts w:cs="Times New Roman"/>
                <w:sz w:val="20"/>
                <w:szCs w:val="20"/>
              </w:rPr>
            </w:pPr>
            <w:r w:rsidRPr="004D21E4">
              <w:rPr>
                <w:rFonts w:cs="Times New Roman"/>
                <w:sz w:val="20"/>
                <w:szCs w:val="20"/>
              </w:rPr>
              <w:pict>
                <v:rect id="_x0000_i1139" style="width:129.6pt;height:1pt" o:hrpct="600" o:hralign="center" o:hrstd="t" o:hrnoshade="t" o:hr="t" fillcolor="black [3213]" stroked="f"/>
              </w:pict>
            </w:r>
          </w:p>
          <w:p w:rsidR="00DD0B49" w:rsidRPr="00832284" w:rsidRDefault="00DD0B49" w:rsidP="003B3977">
            <w:pPr>
              <w:keepNext/>
              <w:keepLines/>
              <w:rPr>
                <w:rFonts w:cs="Times New Roman"/>
                <w:bCs/>
                <w:sz w:val="20"/>
                <w:szCs w:val="20"/>
              </w:rPr>
            </w:pPr>
          </w:p>
        </w:tc>
      </w:tr>
    </w:tbl>
    <w:p w:rsidR="00DD0B49" w:rsidRPr="00832284" w:rsidRDefault="00DD0B49" w:rsidP="006B6926">
      <w:pPr>
        <w:rPr>
          <w:sz w:val="20"/>
          <w:szCs w:val="20"/>
        </w:rPr>
      </w:pPr>
    </w:p>
    <w:p w:rsidR="00DD0B49" w:rsidRPr="00832284" w:rsidRDefault="00DD0B49" w:rsidP="006B6926">
      <w:pPr>
        <w:rPr>
          <w:sz w:val="20"/>
          <w:szCs w:val="20"/>
        </w:rPr>
      </w:pPr>
    </w:p>
    <w:p w:rsidR="00DD0B49" w:rsidRPr="00832284" w:rsidRDefault="00DD0B49" w:rsidP="006B6926">
      <w:pPr>
        <w:rPr>
          <w:sz w:val="20"/>
          <w:szCs w:val="20"/>
        </w:rPr>
      </w:pPr>
    </w:p>
    <w:p w:rsidR="006B6926" w:rsidRPr="00832284" w:rsidRDefault="006B6926">
      <w:pPr>
        <w:rPr>
          <w:sz w:val="20"/>
          <w:szCs w:val="20"/>
        </w:rPr>
      </w:pPr>
    </w:p>
    <w:p w:rsidR="006B6926" w:rsidRPr="00832284" w:rsidRDefault="006B6926" w:rsidP="00782AE4">
      <w:pPr>
        <w:jc w:val="both"/>
        <w:rPr>
          <w:sz w:val="20"/>
          <w:szCs w:val="20"/>
        </w:rPr>
      </w:pPr>
    </w:p>
    <w:p w:rsidR="006B6926" w:rsidRPr="00832284" w:rsidRDefault="006B6926" w:rsidP="00782AE4">
      <w:pPr>
        <w:jc w:val="both"/>
        <w:rPr>
          <w:sz w:val="20"/>
          <w:szCs w:val="20"/>
        </w:rPr>
      </w:pPr>
    </w:p>
    <w:p w:rsidR="006B6926" w:rsidRPr="00832284" w:rsidRDefault="006B6926" w:rsidP="00782AE4">
      <w:pPr>
        <w:jc w:val="both"/>
        <w:rPr>
          <w:sz w:val="20"/>
          <w:szCs w:val="20"/>
        </w:rPr>
        <w:sectPr w:rsidR="006B6926" w:rsidRPr="00832284" w:rsidSect="006B6926">
          <w:headerReference w:type="default"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E903A1" w:rsidRPr="002E0C7E" w:rsidRDefault="004D21E4"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6856B2">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6856B2">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6856B2">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DECEMBER - DÉCEMBRE</w:t>
            </w:r>
          </w:p>
        </w:tc>
      </w:tr>
      <w:tr w:rsidR="00E903A1" w:rsidRPr="002E0C7E" w:rsidTr="006856B2">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S</w:t>
            </w:r>
          </w:p>
          <w:p w:rsidR="00E903A1" w:rsidRPr="002E0C7E" w:rsidRDefault="00E903A1" w:rsidP="006856B2">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M</w:t>
            </w:r>
          </w:p>
          <w:p w:rsidR="00E903A1" w:rsidRPr="002E0C7E" w:rsidRDefault="00E903A1" w:rsidP="006856B2">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T</w:t>
            </w:r>
          </w:p>
          <w:p w:rsidR="00E903A1" w:rsidRPr="002E0C7E" w:rsidRDefault="00E903A1" w:rsidP="006856B2">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W</w:t>
            </w:r>
          </w:p>
          <w:p w:rsidR="00E903A1" w:rsidRPr="002E0C7E" w:rsidRDefault="00E903A1" w:rsidP="006856B2">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T</w:t>
            </w:r>
          </w:p>
          <w:p w:rsidR="00E903A1" w:rsidRPr="002E0C7E" w:rsidRDefault="00E903A1" w:rsidP="006856B2">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F</w:t>
            </w:r>
          </w:p>
          <w:p w:rsidR="00E903A1" w:rsidRPr="002E0C7E" w:rsidRDefault="00E903A1" w:rsidP="006856B2">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S</w:t>
            </w:r>
          </w:p>
          <w:p w:rsidR="00E903A1" w:rsidRPr="002E0C7E" w:rsidRDefault="00E903A1" w:rsidP="006856B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S</w:t>
            </w:r>
          </w:p>
          <w:p w:rsidR="00E903A1" w:rsidRPr="002E0C7E" w:rsidRDefault="00E903A1" w:rsidP="006856B2">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M</w:t>
            </w:r>
          </w:p>
          <w:p w:rsidR="00E903A1" w:rsidRPr="002E0C7E" w:rsidRDefault="00E903A1" w:rsidP="006856B2">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T</w:t>
            </w:r>
          </w:p>
          <w:p w:rsidR="00E903A1" w:rsidRPr="002E0C7E" w:rsidRDefault="00E903A1" w:rsidP="006856B2">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W</w:t>
            </w:r>
          </w:p>
          <w:p w:rsidR="00E903A1" w:rsidRPr="002E0C7E" w:rsidRDefault="00E903A1" w:rsidP="006856B2">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T</w:t>
            </w:r>
          </w:p>
          <w:p w:rsidR="00E903A1" w:rsidRPr="002E0C7E" w:rsidRDefault="00E903A1" w:rsidP="006856B2">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F</w:t>
            </w:r>
          </w:p>
          <w:p w:rsidR="00E903A1" w:rsidRPr="002E0C7E" w:rsidRDefault="00E903A1" w:rsidP="006856B2">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S</w:t>
            </w:r>
          </w:p>
          <w:p w:rsidR="00E903A1" w:rsidRPr="002E0C7E" w:rsidRDefault="00E903A1" w:rsidP="006856B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S</w:t>
            </w:r>
          </w:p>
          <w:p w:rsidR="00E903A1" w:rsidRPr="002E0C7E" w:rsidRDefault="00E903A1" w:rsidP="006856B2">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M</w:t>
            </w:r>
          </w:p>
          <w:p w:rsidR="00E903A1" w:rsidRPr="002E0C7E" w:rsidRDefault="00E903A1" w:rsidP="006856B2">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T</w:t>
            </w:r>
          </w:p>
          <w:p w:rsidR="00E903A1" w:rsidRPr="002E0C7E" w:rsidRDefault="00E903A1" w:rsidP="006856B2">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W</w:t>
            </w:r>
          </w:p>
          <w:p w:rsidR="00E903A1" w:rsidRPr="002E0C7E" w:rsidRDefault="00E903A1" w:rsidP="006856B2">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T</w:t>
            </w:r>
          </w:p>
          <w:p w:rsidR="00E903A1" w:rsidRPr="002E0C7E" w:rsidRDefault="00E903A1" w:rsidP="006856B2">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F</w:t>
            </w:r>
          </w:p>
          <w:p w:rsidR="00E903A1" w:rsidRPr="002E0C7E" w:rsidRDefault="00E903A1" w:rsidP="006856B2">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S</w:t>
            </w:r>
          </w:p>
          <w:p w:rsidR="00E903A1" w:rsidRPr="002E0C7E" w:rsidRDefault="00E903A1" w:rsidP="006856B2">
            <w:pPr>
              <w:widowControl w:val="0"/>
              <w:jc w:val="center"/>
              <w:rPr>
                <w:rFonts w:ascii="Arial" w:hAnsi="Arial"/>
                <w:sz w:val="14"/>
              </w:rPr>
            </w:pPr>
            <w:r w:rsidRPr="002E0C7E">
              <w:rPr>
                <w:rFonts w:ascii="Arial" w:hAnsi="Arial"/>
                <w:sz w:val="14"/>
              </w:rPr>
              <w:t>S</w:t>
            </w:r>
          </w:p>
        </w:tc>
      </w:tr>
      <w:tr w:rsidR="00E903A1" w:rsidRPr="002E0C7E" w:rsidTr="006856B2">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3</w:t>
            </w:r>
          </w:p>
        </w:tc>
      </w:tr>
      <w:tr w:rsidR="00E903A1" w:rsidRPr="002E0C7E" w:rsidTr="006856B2">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M</w:t>
            </w:r>
          </w:p>
          <w:p w:rsidR="00E903A1" w:rsidRPr="002E0C7E" w:rsidRDefault="00E903A1" w:rsidP="006856B2">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H</w:t>
            </w:r>
          </w:p>
          <w:p w:rsidR="00E903A1" w:rsidRPr="002E0C7E" w:rsidRDefault="00E903A1" w:rsidP="006856B2">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M</w:t>
            </w:r>
          </w:p>
          <w:p w:rsidR="00E903A1" w:rsidRPr="002E0C7E" w:rsidRDefault="00E903A1" w:rsidP="006856B2">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10</w:t>
            </w:r>
          </w:p>
        </w:tc>
      </w:tr>
      <w:tr w:rsidR="00E903A1" w:rsidRPr="002E0C7E" w:rsidTr="006856B2">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H</w:t>
            </w:r>
          </w:p>
          <w:p w:rsidR="00E903A1" w:rsidRPr="002E0C7E" w:rsidRDefault="00E903A1" w:rsidP="006856B2">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M</w:t>
            </w:r>
          </w:p>
          <w:p w:rsidR="00E903A1" w:rsidRPr="002E0C7E" w:rsidRDefault="00E903A1" w:rsidP="006856B2">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17</w:t>
            </w:r>
          </w:p>
        </w:tc>
      </w:tr>
      <w:tr w:rsidR="00E903A1" w:rsidRPr="002E0C7E" w:rsidTr="006856B2">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24</w:t>
            </w:r>
          </w:p>
        </w:tc>
      </w:tr>
      <w:tr w:rsidR="00E903A1" w:rsidRPr="002E0C7E" w:rsidTr="006856B2">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23</w:t>
            </w:r>
          </w:p>
          <w:p w:rsidR="00E903A1" w:rsidRPr="002E0C7E" w:rsidRDefault="00E903A1" w:rsidP="006856B2">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24</w:t>
            </w:r>
          </w:p>
          <w:p w:rsidR="00E903A1" w:rsidRPr="002E0C7E" w:rsidRDefault="00E903A1" w:rsidP="006856B2">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H</w:t>
            </w:r>
          </w:p>
          <w:p w:rsidR="00E903A1" w:rsidRPr="002E0C7E" w:rsidRDefault="00E903A1" w:rsidP="006856B2">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H</w:t>
            </w:r>
          </w:p>
          <w:p w:rsidR="00E903A1" w:rsidRPr="002E0C7E" w:rsidRDefault="00E903A1" w:rsidP="006856B2">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6856B2">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6856B2">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6856B2">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MARCH - MARS</w:t>
            </w:r>
          </w:p>
        </w:tc>
      </w:tr>
      <w:tr w:rsidR="00E903A1" w:rsidRPr="002E0C7E" w:rsidTr="006856B2">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S</w:t>
            </w:r>
          </w:p>
          <w:p w:rsidR="00E903A1" w:rsidRPr="002E0C7E" w:rsidRDefault="00E903A1" w:rsidP="006856B2">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M</w:t>
            </w:r>
          </w:p>
          <w:p w:rsidR="00E903A1" w:rsidRPr="002E0C7E" w:rsidRDefault="00E903A1" w:rsidP="006856B2">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T</w:t>
            </w:r>
          </w:p>
          <w:p w:rsidR="00E903A1" w:rsidRPr="002E0C7E" w:rsidRDefault="00E903A1" w:rsidP="006856B2">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W</w:t>
            </w:r>
          </w:p>
          <w:p w:rsidR="00E903A1" w:rsidRPr="002E0C7E" w:rsidRDefault="00E903A1" w:rsidP="006856B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T</w:t>
            </w:r>
          </w:p>
          <w:p w:rsidR="00E903A1" w:rsidRPr="002E0C7E" w:rsidRDefault="00E903A1" w:rsidP="006856B2">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F</w:t>
            </w:r>
          </w:p>
          <w:p w:rsidR="00E903A1" w:rsidRPr="002E0C7E" w:rsidRDefault="00E903A1" w:rsidP="006856B2">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S</w:t>
            </w:r>
          </w:p>
          <w:p w:rsidR="00E903A1" w:rsidRPr="002E0C7E" w:rsidRDefault="00E903A1" w:rsidP="006856B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S</w:t>
            </w:r>
          </w:p>
          <w:p w:rsidR="00E903A1" w:rsidRPr="002E0C7E" w:rsidRDefault="00E903A1" w:rsidP="006856B2">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M</w:t>
            </w:r>
          </w:p>
          <w:p w:rsidR="00E903A1" w:rsidRPr="002E0C7E" w:rsidRDefault="00E903A1" w:rsidP="006856B2">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T</w:t>
            </w:r>
          </w:p>
          <w:p w:rsidR="00E903A1" w:rsidRPr="002E0C7E" w:rsidRDefault="00E903A1" w:rsidP="006856B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W</w:t>
            </w:r>
          </w:p>
          <w:p w:rsidR="00E903A1" w:rsidRPr="002E0C7E" w:rsidRDefault="00E903A1" w:rsidP="006856B2">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T</w:t>
            </w:r>
          </w:p>
          <w:p w:rsidR="00E903A1" w:rsidRPr="002E0C7E" w:rsidRDefault="00E903A1" w:rsidP="006856B2">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F</w:t>
            </w:r>
          </w:p>
          <w:p w:rsidR="00E903A1" w:rsidRPr="002E0C7E" w:rsidRDefault="00E903A1" w:rsidP="006856B2">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S</w:t>
            </w:r>
          </w:p>
          <w:p w:rsidR="00E903A1" w:rsidRPr="002E0C7E" w:rsidRDefault="00E903A1" w:rsidP="006856B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S</w:t>
            </w:r>
          </w:p>
          <w:p w:rsidR="00E903A1" w:rsidRPr="002E0C7E" w:rsidRDefault="00E903A1" w:rsidP="006856B2">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M</w:t>
            </w:r>
          </w:p>
          <w:p w:rsidR="00E903A1" w:rsidRPr="002E0C7E" w:rsidRDefault="00E903A1" w:rsidP="006856B2">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T</w:t>
            </w:r>
          </w:p>
          <w:p w:rsidR="00E903A1" w:rsidRPr="002E0C7E" w:rsidRDefault="00E903A1" w:rsidP="006856B2">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W</w:t>
            </w:r>
          </w:p>
          <w:p w:rsidR="00E903A1" w:rsidRPr="002E0C7E" w:rsidRDefault="00E903A1" w:rsidP="006856B2">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T</w:t>
            </w:r>
          </w:p>
          <w:p w:rsidR="00E903A1" w:rsidRPr="002E0C7E" w:rsidRDefault="00E903A1" w:rsidP="006856B2">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F</w:t>
            </w:r>
          </w:p>
          <w:p w:rsidR="00E903A1" w:rsidRPr="002E0C7E" w:rsidRDefault="00E903A1" w:rsidP="006856B2">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S</w:t>
            </w:r>
          </w:p>
          <w:p w:rsidR="00E903A1" w:rsidRPr="002E0C7E" w:rsidRDefault="00E903A1" w:rsidP="006856B2">
            <w:pPr>
              <w:widowControl w:val="0"/>
              <w:jc w:val="center"/>
              <w:rPr>
                <w:rFonts w:ascii="Arial" w:hAnsi="Arial"/>
                <w:sz w:val="14"/>
              </w:rPr>
            </w:pPr>
            <w:r w:rsidRPr="002E0C7E">
              <w:rPr>
                <w:rFonts w:ascii="Arial" w:hAnsi="Arial"/>
                <w:sz w:val="14"/>
              </w:rPr>
              <w:t>S</w:t>
            </w:r>
          </w:p>
        </w:tc>
      </w:tr>
      <w:tr w:rsidR="00E903A1" w:rsidRPr="002E0C7E" w:rsidTr="006856B2">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H</w:t>
            </w:r>
          </w:p>
          <w:p w:rsidR="00E903A1" w:rsidRPr="002E0C7E" w:rsidRDefault="00E903A1" w:rsidP="006856B2">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3</w:t>
            </w:r>
          </w:p>
        </w:tc>
      </w:tr>
      <w:tr w:rsidR="00E903A1" w:rsidRPr="002E0C7E" w:rsidTr="006856B2">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M</w:t>
            </w:r>
          </w:p>
          <w:p w:rsidR="00E903A1" w:rsidRPr="002E0C7E" w:rsidRDefault="00E903A1" w:rsidP="006856B2">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M</w:t>
            </w:r>
          </w:p>
          <w:p w:rsidR="00E903A1" w:rsidRPr="002E0C7E" w:rsidRDefault="00E903A1" w:rsidP="006856B2">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10</w:t>
            </w:r>
          </w:p>
        </w:tc>
      </w:tr>
      <w:tr w:rsidR="00E903A1" w:rsidRPr="002E0C7E" w:rsidTr="006856B2">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M</w:t>
            </w:r>
          </w:p>
          <w:p w:rsidR="00E903A1" w:rsidRPr="002E0C7E" w:rsidRDefault="00E903A1" w:rsidP="006856B2">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17</w:t>
            </w:r>
          </w:p>
        </w:tc>
      </w:tr>
      <w:tr w:rsidR="00E903A1" w:rsidRPr="002E0C7E" w:rsidTr="006856B2">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24</w:t>
            </w:r>
          </w:p>
        </w:tc>
      </w:tr>
      <w:tr w:rsidR="00E903A1" w:rsidRPr="002E0C7E" w:rsidTr="006856B2">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6856B2">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6856B2">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6856B2">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JUNE - JUIN</w:t>
            </w:r>
          </w:p>
        </w:tc>
      </w:tr>
      <w:tr w:rsidR="00E903A1" w:rsidRPr="002E0C7E" w:rsidTr="006856B2">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S</w:t>
            </w:r>
          </w:p>
          <w:p w:rsidR="00E903A1" w:rsidRPr="002E0C7E" w:rsidRDefault="00E903A1" w:rsidP="006856B2">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M</w:t>
            </w:r>
          </w:p>
          <w:p w:rsidR="00E903A1" w:rsidRPr="002E0C7E" w:rsidRDefault="00E903A1" w:rsidP="006856B2">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T</w:t>
            </w:r>
          </w:p>
          <w:p w:rsidR="00E903A1" w:rsidRPr="002E0C7E" w:rsidRDefault="00E903A1" w:rsidP="006856B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W</w:t>
            </w:r>
          </w:p>
          <w:p w:rsidR="00E903A1" w:rsidRPr="002E0C7E" w:rsidRDefault="00E903A1" w:rsidP="006856B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T</w:t>
            </w:r>
          </w:p>
          <w:p w:rsidR="00E903A1" w:rsidRPr="002E0C7E" w:rsidRDefault="00E903A1" w:rsidP="006856B2">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F</w:t>
            </w:r>
          </w:p>
          <w:p w:rsidR="00E903A1" w:rsidRPr="002E0C7E" w:rsidRDefault="00E903A1" w:rsidP="006856B2">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S</w:t>
            </w:r>
          </w:p>
          <w:p w:rsidR="00E903A1" w:rsidRPr="002E0C7E" w:rsidRDefault="00E903A1" w:rsidP="006856B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S</w:t>
            </w:r>
          </w:p>
          <w:p w:rsidR="00E903A1" w:rsidRPr="002E0C7E" w:rsidRDefault="00E903A1" w:rsidP="006856B2">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M</w:t>
            </w:r>
          </w:p>
          <w:p w:rsidR="00E903A1" w:rsidRPr="002E0C7E" w:rsidRDefault="00E903A1" w:rsidP="006856B2">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T</w:t>
            </w:r>
          </w:p>
          <w:p w:rsidR="00E903A1" w:rsidRPr="002E0C7E" w:rsidRDefault="00E903A1" w:rsidP="006856B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W</w:t>
            </w:r>
          </w:p>
          <w:p w:rsidR="00E903A1" w:rsidRPr="002E0C7E" w:rsidRDefault="00E903A1" w:rsidP="006856B2">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T</w:t>
            </w:r>
          </w:p>
          <w:p w:rsidR="00E903A1" w:rsidRPr="002E0C7E" w:rsidRDefault="00E903A1" w:rsidP="006856B2">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F</w:t>
            </w:r>
          </w:p>
          <w:p w:rsidR="00E903A1" w:rsidRPr="002E0C7E" w:rsidRDefault="00E903A1" w:rsidP="006856B2">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S</w:t>
            </w:r>
          </w:p>
          <w:p w:rsidR="00E903A1" w:rsidRPr="002E0C7E" w:rsidRDefault="00E903A1" w:rsidP="006856B2">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S</w:t>
            </w:r>
          </w:p>
          <w:p w:rsidR="00E903A1" w:rsidRPr="002E0C7E" w:rsidRDefault="00E903A1" w:rsidP="006856B2">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M</w:t>
            </w:r>
          </w:p>
          <w:p w:rsidR="00E903A1" w:rsidRPr="002E0C7E" w:rsidRDefault="00E903A1" w:rsidP="006856B2">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T</w:t>
            </w:r>
          </w:p>
          <w:p w:rsidR="00E903A1" w:rsidRPr="002E0C7E" w:rsidRDefault="00E903A1" w:rsidP="006856B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W</w:t>
            </w:r>
          </w:p>
          <w:p w:rsidR="00E903A1" w:rsidRPr="002E0C7E" w:rsidRDefault="00E903A1" w:rsidP="006856B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T</w:t>
            </w:r>
          </w:p>
          <w:p w:rsidR="00E903A1" w:rsidRPr="002E0C7E" w:rsidRDefault="00E903A1" w:rsidP="006856B2">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F</w:t>
            </w:r>
          </w:p>
          <w:p w:rsidR="00E903A1" w:rsidRPr="002E0C7E" w:rsidRDefault="00E903A1" w:rsidP="006856B2">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s</w:t>
            </w:r>
          </w:p>
          <w:p w:rsidR="00E903A1" w:rsidRPr="002E0C7E" w:rsidRDefault="00E903A1" w:rsidP="006856B2">
            <w:pPr>
              <w:widowControl w:val="0"/>
              <w:jc w:val="center"/>
              <w:rPr>
                <w:rFonts w:ascii="Arial" w:hAnsi="Arial"/>
                <w:sz w:val="14"/>
              </w:rPr>
            </w:pPr>
            <w:r w:rsidRPr="002E0C7E">
              <w:rPr>
                <w:rFonts w:ascii="Arial" w:hAnsi="Arial"/>
                <w:sz w:val="14"/>
              </w:rPr>
              <w:t>s</w:t>
            </w:r>
          </w:p>
        </w:tc>
      </w:tr>
      <w:tr w:rsidR="00E903A1" w:rsidRPr="002E0C7E" w:rsidTr="006856B2">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H</w:t>
            </w:r>
          </w:p>
          <w:p w:rsidR="00E903A1" w:rsidRPr="002E0C7E" w:rsidRDefault="00E903A1" w:rsidP="006856B2">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b/>
                <w:sz w:val="14"/>
              </w:rPr>
            </w:pPr>
          </w:p>
          <w:p w:rsidR="00E903A1" w:rsidRPr="002E0C7E" w:rsidRDefault="00E903A1" w:rsidP="006856B2">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w:t>
            </w:r>
          </w:p>
        </w:tc>
      </w:tr>
      <w:tr w:rsidR="00E903A1" w:rsidRPr="002E0C7E" w:rsidTr="006856B2">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H</w:t>
            </w:r>
          </w:p>
          <w:p w:rsidR="00E903A1" w:rsidRPr="002E0C7E" w:rsidRDefault="00E903A1" w:rsidP="006856B2">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M</w:t>
            </w:r>
          </w:p>
          <w:p w:rsidR="00E903A1" w:rsidRPr="002E0C7E" w:rsidRDefault="00E903A1" w:rsidP="006856B2">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M</w:t>
            </w:r>
          </w:p>
          <w:p w:rsidR="00E903A1" w:rsidRPr="002E0C7E" w:rsidRDefault="00E903A1" w:rsidP="006856B2">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M</w:t>
            </w:r>
          </w:p>
          <w:p w:rsidR="00E903A1" w:rsidRPr="002E0C7E" w:rsidRDefault="00E903A1" w:rsidP="006856B2">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9</w:t>
            </w:r>
          </w:p>
        </w:tc>
      </w:tr>
      <w:tr w:rsidR="00E903A1" w:rsidRPr="002E0C7E" w:rsidTr="006856B2">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16</w:t>
            </w:r>
          </w:p>
        </w:tc>
      </w:tr>
      <w:tr w:rsidR="00E903A1" w:rsidRPr="002E0C7E" w:rsidTr="006856B2">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b/>
                <w:sz w:val="14"/>
              </w:rPr>
              <w:t>H</w:t>
            </w:r>
          </w:p>
          <w:p w:rsidR="00E903A1" w:rsidRPr="002E0C7E" w:rsidRDefault="00E903A1" w:rsidP="006856B2">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23</w:t>
            </w:r>
          </w:p>
        </w:tc>
      </w:tr>
      <w:tr w:rsidR="00E903A1" w:rsidRPr="002E0C7E" w:rsidTr="006856B2">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r w:rsidRPr="002E0C7E">
              <w:rPr>
                <w:rFonts w:ascii="Arial" w:hAnsi="Arial"/>
                <w:sz w:val="14"/>
              </w:rPr>
              <w:t xml:space="preserve">    </w:t>
            </w:r>
          </w:p>
          <w:p w:rsidR="00E903A1" w:rsidRPr="002E0C7E" w:rsidRDefault="00E903A1" w:rsidP="006856B2">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856B2">
            <w:pPr>
              <w:widowControl w:val="0"/>
              <w:jc w:val="center"/>
              <w:rPr>
                <w:rFonts w:ascii="Arial" w:hAnsi="Arial"/>
                <w:sz w:val="14"/>
              </w:rPr>
            </w:pPr>
          </w:p>
          <w:p w:rsidR="00E903A1" w:rsidRPr="002E0C7E" w:rsidRDefault="00E903A1" w:rsidP="006856B2">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6856B2">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6856B2">
            <w:pPr>
              <w:widowControl w:val="0"/>
              <w:rPr>
                <w:rFonts w:ascii="Arial" w:hAnsi="Arial"/>
                <w:sz w:val="16"/>
              </w:rPr>
            </w:pPr>
            <w:r w:rsidRPr="002E0C7E">
              <w:rPr>
                <w:rFonts w:ascii="Arial" w:hAnsi="Arial"/>
                <w:sz w:val="16"/>
              </w:rPr>
              <w:t>Sittings of the court:</w:t>
            </w:r>
          </w:p>
          <w:p w:rsidR="00E903A1" w:rsidRPr="002E0C7E" w:rsidRDefault="00E903A1" w:rsidP="006856B2">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6856B2">
            <w:pPr>
              <w:widowControl w:val="0"/>
              <w:rPr>
                <w:rFonts w:ascii="Arial" w:hAnsi="Arial"/>
                <w:sz w:val="16"/>
              </w:rPr>
            </w:pPr>
          </w:p>
          <w:p w:rsidR="00E903A1" w:rsidRPr="002E0C7E" w:rsidRDefault="00E903A1" w:rsidP="006856B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685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685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685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685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685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6856B2">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685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685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685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685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6856B2">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685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685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6856B2">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685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3"/>
      <w:footerReference w:type="default" r:id="rId64"/>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40F" w:rsidRDefault="0097440F" w:rsidP="00A87207">
      <w:r>
        <w:separator/>
      </w:r>
    </w:p>
  </w:endnote>
  <w:endnote w:type="continuationSeparator" w:id="0">
    <w:p w:rsidR="0097440F" w:rsidRDefault="0097440F"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4D21E4">
    <w:pPr>
      <w:pStyle w:val="Footer"/>
      <w:rPr>
        <w:lang w:val="fr-CA"/>
      </w:rPr>
    </w:pPr>
    <w:r w:rsidRPr="004D21E4">
      <w:rPr>
        <w:lang w:val="fr-CA"/>
      </w:rPr>
      <w:pict>
        <v:rect id="_x0000_i1110" style="width:480.95pt;height:1pt" o:hralign="center" o:hrstd="t" o:hrnoshade="t" o:hr="t" fillcolor="black [3213]" stroked="f"/>
      </w:pict>
    </w:r>
  </w:p>
  <w:p w:rsidR="0097440F" w:rsidRDefault="0097440F" w:rsidP="00245129">
    <w:pPr>
      <w:tabs>
        <w:tab w:val="center" w:pos="4680"/>
      </w:tabs>
    </w:pPr>
    <w:r>
      <w:tab/>
    </w:r>
    <w:r w:rsidRPr="0009648D">
      <w:t xml:space="preserve">- </w:t>
    </w:r>
    <w:fldSimple w:instr=" PAGE   \* MERGEFORMAT ">
      <w:r w:rsidR="00FC7FF3">
        <w:rPr>
          <w:noProof/>
        </w:rPr>
        <w:t>1470</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7440F"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7440F" w:rsidRDefault="0097440F">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4D21E4" w:rsidP="00755F22">
    <w:pPr>
      <w:tabs>
        <w:tab w:val="left" w:pos="-1440"/>
        <w:tab w:val="left" w:pos="-720"/>
      </w:tabs>
    </w:pPr>
    <w:r>
      <w:pict>
        <v:rect id="_x0000_i1114" style="width:480.95pt;height:1pt" o:hralign="center" o:hrstd="t" o:hrnoshade="t" o:hr="t" fillcolor="black [3213]" stroked="f"/>
      </w:pict>
    </w:r>
  </w:p>
  <w:p w:rsidR="0097440F" w:rsidRDefault="0097440F" w:rsidP="00EB2B90">
    <w:pPr>
      <w:tabs>
        <w:tab w:val="center" w:pos="4680"/>
      </w:tabs>
    </w:pPr>
    <w:r>
      <w:tab/>
      <w:t xml:space="preserve">- </w:t>
    </w:r>
    <w:fldSimple w:instr=" PAGE   \* MERGEFORMAT ">
      <w:r w:rsidR="00FC7FF3">
        <w:rPr>
          <w:noProof/>
        </w:rPr>
        <w:t>1525</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4D21E4" w:rsidP="00EB2B90">
    <w:pPr>
      <w:tabs>
        <w:tab w:val="center" w:pos="4680"/>
      </w:tabs>
    </w:pPr>
    <w:r>
      <w:pict>
        <v:rect id="_x0000_i1115" style="width:480.95pt;height:1pt" o:hralign="center" o:hrstd="t" o:hrnoshade="t" o:hr="t" fillcolor="black [3213]" stroked="f"/>
      </w:pict>
    </w:r>
  </w:p>
  <w:p w:rsidR="0097440F" w:rsidRPr="0031432F" w:rsidRDefault="0097440F" w:rsidP="00EB2B90">
    <w:pPr>
      <w:tabs>
        <w:tab w:val="center" w:pos="4680"/>
      </w:tabs>
    </w:pPr>
    <w:r>
      <w:tab/>
      <w:t xml:space="preserve">- </w:t>
    </w:r>
    <w:fldSimple w:instr=" PAGE   \* MERGEFORMAT ">
      <w:r w:rsidR="00FC7FF3">
        <w:rPr>
          <w:noProof/>
        </w:rPr>
        <w:t>1523</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7440F"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7440F" w:rsidRDefault="0097440F">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4D21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D21E4">
      <w:rPr>
        <w:lang w:val="fr-CA"/>
      </w:rPr>
      <w:pict>
        <v:rect id="_x0000_i1117" style="width:480.95pt;height:1pt" o:hralign="center" o:hrstd="t" o:hrnoshade="t" o:hr="t" fillcolor="black [3213]" stroked="f"/>
      </w:pict>
    </w:r>
  </w:p>
  <w:p w:rsidR="0097440F" w:rsidRDefault="0097440F"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4D21E4">
    <w:pPr>
      <w:pStyle w:val="Footer"/>
      <w:rPr>
        <w:lang w:val="fr-CA"/>
      </w:rPr>
    </w:pPr>
    <w:r w:rsidRPr="004D21E4">
      <w:rPr>
        <w:lang w:val="fr-CA"/>
      </w:rPr>
      <w:pict>
        <v:rect id="_x0000_i1118" style="width:480.95pt;height:1pt" o:hralign="center" o:hrstd="t" o:hrnoshade="t" o:hr="t" fillcolor="black [3213]" stroked="f"/>
      </w:pict>
    </w:r>
  </w:p>
  <w:p w:rsidR="0097440F" w:rsidRDefault="0097440F" w:rsidP="00EB2B90">
    <w:pPr>
      <w:tabs>
        <w:tab w:val="center" w:pos="4680"/>
      </w:tabs>
    </w:pPr>
    <w:r>
      <w:tab/>
      <w:t xml:space="preserve">- </w:t>
    </w:r>
    <w:fldSimple w:instr=" PAGE   \* MERGEFORMAT ">
      <w:r w:rsidR="00FC7FF3">
        <w:rPr>
          <w:noProof/>
        </w:rPr>
        <w:t>1526</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7440F"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7440F" w:rsidRDefault="0097440F">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4D21E4" w:rsidP="00732DB7">
    <w:r>
      <w:pict>
        <v:rect id="_x0000_i1126" style="width:480.95pt;height:1pt" o:hralign="center" o:hrstd="t" o:hrnoshade="t" o:hr="t" fillcolor="black" stroked="f"/>
      </w:pict>
    </w:r>
  </w:p>
  <w:p w:rsidR="0097440F" w:rsidRDefault="0097440F">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4D21E4">
    <w:pPr>
      <w:pStyle w:val="Footer"/>
    </w:pPr>
    <w:r>
      <w:pict>
        <v:rect id="_x0000_i1127" style="width:480.95pt;height:1pt" o:hralign="center" o:hrstd="t" o:hrnoshade="t" o:hr="t" fillcolor="black" stroked="f"/>
      </w:pict>
    </w:r>
  </w:p>
  <w:p w:rsidR="0097440F" w:rsidRPr="00283C52" w:rsidRDefault="0097440F">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7440F"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7440F" w:rsidRDefault="0097440F">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4D21E4" w:rsidP="00732DB7">
    <w:r>
      <w:pict>
        <v:rect id="_x0000_i1130" style="width:480.95pt;height:1pt" o:hralign="center" o:hrstd="t" o:hrnoshade="t" o:hr="t" fillcolor="black" stroked="f"/>
      </w:pict>
    </w:r>
  </w:p>
  <w:p w:rsidR="0097440F" w:rsidRDefault="0097440F">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4D21E4">
    <w:pPr>
      <w:pStyle w:val="Footer"/>
    </w:pPr>
    <w:r>
      <w:pict>
        <v:rect id="_x0000_i1131" style="width:480.95pt;height:1pt" o:hralign="center" o:hrstd="t" o:hrnoshade="t" o:hr="t" fillcolor="black [3213]" stroked="f"/>
      </w:pict>
    </w:r>
  </w:p>
  <w:p w:rsidR="0097440F" w:rsidRPr="003C2C0F" w:rsidRDefault="0097440F" w:rsidP="00697C62">
    <w:pPr>
      <w:tabs>
        <w:tab w:val="center" w:pos="4680"/>
      </w:tabs>
    </w:pPr>
    <w:r>
      <w:tab/>
      <w:t xml:space="preserve">- </w:t>
    </w:r>
    <w:fldSimple w:instr=" PAGE   \* MERGEFORMAT ">
      <w:r w:rsidR="00FC7FF3">
        <w:rPr>
          <w:noProof/>
        </w:rPr>
        <w:t>1533</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7440F"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7440F" w:rsidRDefault="0097440F">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7440F" w:rsidRDefault="004D21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36" style="width:480.95pt;height:1pt" o:hralign="center" o:hrstd="t" o:hrnoshade="t" o:hr="t" fillcolor="black [3213]" stroked="f"/>
      </w:pict>
    </w:r>
  </w:p>
  <w:p w:rsidR="0097440F" w:rsidRDefault="0097440F" w:rsidP="00782AE4">
    <w:pPr>
      <w:tabs>
        <w:tab w:val="center" w:pos="4680"/>
      </w:tabs>
    </w:pPr>
    <w:r>
      <w:tab/>
      <w:t xml:space="preserve">- </w:t>
    </w:r>
    <w:r w:rsidR="004D21E4" w:rsidRPr="001775C1">
      <w:rPr>
        <w:szCs w:val="24"/>
      </w:rPr>
      <w:fldChar w:fldCharType="begin"/>
    </w:r>
    <w:r w:rsidRPr="001775C1">
      <w:rPr>
        <w:szCs w:val="24"/>
      </w:rPr>
      <w:instrText xml:space="preserve"> PAGE   \* MERGEFORMAT </w:instrText>
    </w:r>
    <w:r w:rsidR="004D21E4" w:rsidRPr="001775C1">
      <w:rPr>
        <w:szCs w:val="24"/>
      </w:rPr>
      <w:fldChar w:fldCharType="separate"/>
    </w:r>
    <w:r w:rsidR="00FC7FF3">
      <w:rPr>
        <w:noProof/>
        <w:szCs w:val="24"/>
      </w:rPr>
      <w:t>1544</w:t>
    </w:r>
    <w:r w:rsidR="004D21E4"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4D21E4" w:rsidP="00782AE4">
    <w:pPr>
      <w:tabs>
        <w:tab w:val="center" w:pos="4680"/>
      </w:tabs>
    </w:pPr>
    <w:r>
      <w:pict>
        <v:rect id="_x0000_i1137" style="width:480.95pt;height:1pt" o:hralign="center" o:hrstd="t" o:hrnoshade="t" o:hr="t" fillcolor="black [3213]" stroked="f"/>
      </w:pict>
    </w:r>
  </w:p>
  <w:p w:rsidR="0097440F" w:rsidRDefault="0097440F" w:rsidP="00782AE4">
    <w:pPr>
      <w:tabs>
        <w:tab w:val="center" w:pos="4680"/>
      </w:tabs>
    </w:pPr>
    <w:r>
      <w:tab/>
      <w:t xml:space="preserve">- </w:t>
    </w:r>
    <w:r w:rsidR="004D21E4" w:rsidRPr="001775C1">
      <w:rPr>
        <w:szCs w:val="24"/>
      </w:rPr>
      <w:fldChar w:fldCharType="begin"/>
    </w:r>
    <w:r w:rsidRPr="001775C1">
      <w:rPr>
        <w:szCs w:val="24"/>
      </w:rPr>
      <w:instrText xml:space="preserve"> PAGE   \* MERGEFORMAT </w:instrText>
    </w:r>
    <w:r w:rsidR="004D21E4" w:rsidRPr="001775C1">
      <w:rPr>
        <w:szCs w:val="24"/>
      </w:rPr>
      <w:fldChar w:fldCharType="separate"/>
    </w:r>
    <w:r w:rsidR="00FC7FF3">
      <w:rPr>
        <w:noProof/>
        <w:szCs w:val="24"/>
      </w:rPr>
      <w:t>1534</w:t>
    </w:r>
    <w:r w:rsidR="004D21E4"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4D21E4">
    <w:r w:rsidRPr="004D21E4">
      <w:rPr>
        <w:lang w:val="fr-CA"/>
      </w:rPr>
      <w:pict>
        <v:rect id="_x0000_i1140" style="width:480.95pt;height:1pt" o:hralign="center" o:hrstd="t" o:hrnoshade="t" o:hr="t" fillcolor="black [3213]" stroked="f"/>
      </w:pict>
    </w:r>
  </w:p>
  <w:p w:rsidR="0097440F" w:rsidRDefault="0097440F" w:rsidP="006B6926">
    <w:pPr>
      <w:tabs>
        <w:tab w:val="center" w:pos="4680"/>
      </w:tabs>
    </w:pPr>
    <w:r>
      <w:tab/>
      <w:t xml:space="preserve">- </w:t>
    </w:r>
    <w:fldSimple w:instr="PAGE ">
      <w:r>
        <w:rPr>
          <w:noProof/>
        </w:rPr>
        <w:t>540</w:t>
      </w:r>
    </w:fldSimple>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4D21E4" w:rsidP="006B6926">
    <w:pPr>
      <w:tabs>
        <w:tab w:val="center" w:pos="4680"/>
      </w:tabs>
      <w:rPr>
        <w:lang w:val="fr-CA"/>
      </w:rPr>
    </w:pPr>
    <w:r w:rsidRPr="004D21E4">
      <w:rPr>
        <w:lang w:val="fr-CA"/>
      </w:rPr>
      <w:pict>
        <v:rect id="_x0000_i1141" style="width:480.95pt;height:1pt" o:hralign="center" o:hrstd="t" o:hrnoshade="t" o:hr="t" fillcolor="black [3213]" stroked="f"/>
      </w:pict>
    </w:r>
  </w:p>
  <w:p w:rsidR="0097440F" w:rsidRDefault="0097440F" w:rsidP="006B6926">
    <w:pPr>
      <w:tabs>
        <w:tab w:val="center" w:pos="4680"/>
      </w:tabs>
    </w:pPr>
    <w:r>
      <w:tab/>
      <w:t xml:space="preserve">- </w:t>
    </w:r>
    <w:fldSimple w:instr="PAGE ">
      <w:r w:rsidR="00FC7FF3">
        <w:rPr>
          <w:noProof/>
        </w:rPr>
        <w:t>1545</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Pr="00924065" w:rsidRDefault="0097440F"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4D21E4" w:rsidP="00A87207">
    <w:pPr>
      <w:pStyle w:val="Footer"/>
    </w:pPr>
    <w:r>
      <w:pict>
        <v:rect id="_x0000_i1039" style="width:480.95pt;height:1pt" o:hralign="center" o:hrstd="t" o:hrnoshade="t" o:hr="t" fillcolor="black [3213]" stroked="f"/>
      </w:pict>
    </w:r>
  </w:p>
  <w:p w:rsidR="0097440F" w:rsidRPr="00B7374B" w:rsidRDefault="0097440F" w:rsidP="00B7374B">
    <w:pPr>
      <w:tabs>
        <w:tab w:val="center" w:pos="4680"/>
      </w:tabs>
      <w:rPr>
        <w:szCs w:val="24"/>
      </w:rPr>
    </w:pPr>
    <w:r w:rsidRPr="00954D22">
      <w:rPr>
        <w:szCs w:val="24"/>
      </w:rPr>
      <w:tab/>
      <w:t xml:space="preserve">- </w:t>
    </w:r>
    <w:r w:rsidR="004D21E4" w:rsidRPr="00954D22">
      <w:rPr>
        <w:szCs w:val="24"/>
      </w:rPr>
      <w:fldChar w:fldCharType="begin"/>
    </w:r>
    <w:r w:rsidRPr="00954D22">
      <w:rPr>
        <w:szCs w:val="24"/>
      </w:rPr>
      <w:instrText xml:space="preserve"> PAGE   \* MERGEFORMAT </w:instrText>
    </w:r>
    <w:r w:rsidR="004D21E4" w:rsidRPr="00954D22">
      <w:rPr>
        <w:szCs w:val="24"/>
      </w:rPr>
      <w:fldChar w:fldCharType="separate"/>
    </w:r>
    <w:r w:rsidR="00FC7FF3">
      <w:rPr>
        <w:noProof/>
        <w:szCs w:val="24"/>
      </w:rPr>
      <w:t>1468</w:t>
    </w:r>
    <w:r w:rsidR="004D21E4"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4D21E4" w:rsidP="00755F22">
    <w:pPr>
      <w:tabs>
        <w:tab w:val="left" w:pos="-1440"/>
        <w:tab w:val="left" w:pos="-720"/>
      </w:tabs>
    </w:pPr>
    <w:r>
      <w:pict>
        <v:rect id="_x0000_i1040" style="width:480.95pt;height:1pt" o:hralign="center" o:hrstd="t" o:hrnoshade="t" o:hr="t" fillcolor="black [3213]" stroked="f"/>
      </w:pict>
    </w:r>
  </w:p>
  <w:p w:rsidR="0097440F" w:rsidRPr="00954D22" w:rsidRDefault="0097440F" w:rsidP="00B7374B">
    <w:pPr>
      <w:tabs>
        <w:tab w:val="center" w:pos="4680"/>
      </w:tabs>
      <w:rPr>
        <w:szCs w:val="24"/>
      </w:rPr>
    </w:pPr>
    <w:r w:rsidRPr="00954D22">
      <w:rPr>
        <w:szCs w:val="24"/>
      </w:rPr>
      <w:tab/>
      <w:t xml:space="preserve">- </w:t>
    </w:r>
    <w:r w:rsidR="004D21E4">
      <w:rPr>
        <w:szCs w:val="24"/>
      </w:rPr>
      <w:fldChar w:fldCharType="begin"/>
    </w:r>
    <w:r>
      <w:rPr>
        <w:szCs w:val="24"/>
      </w:rPr>
      <w:instrText xml:space="preserve"> PAGE   \* MERGEFORMAT </w:instrText>
    </w:r>
    <w:r w:rsidR="004D21E4">
      <w:rPr>
        <w:szCs w:val="24"/>
      </w:rPr>
      <w:fldChar w:fldCharType="separate"/>
    </w:r>
    <w:r w:rsidR="00FC7FF3">
      <w:rPr>
        <w:noProof/>
        <w:szCs w:val="24"/>
      </w:rPr>
      <w:t>1467</w:t>
    </w:r>
    <w:r w:rsidR="004D21E4">
      <w:rPr>
        <w:szCs w:val="24"/>
      </w:rPr>
      <w:fldChar w:fldCharType="end"/>
    </w:r>
    <w:r w:rsidRPr="00954D22">
      <w:rPr>
        <w:szCs w:val="24"/>
      </w:rPr>
      <w:t xml:space="preserve"> -</w:t>
    </w:r>
  </w:p>
  <w:p w:rsidR="0097440F" w:rsidRDefault="0097440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4D21E4" w:rsidP="00A87207">
    <w:pPr>
      <w:pStyle w:val="Footer"/>
    </w:pPr>
    <w:r>
      <w:pict>
        <v:rect id="_x0000_i1043" style="width:480.95pt;height:1pt" o:hralign="center" o:hrstd="t" o:hrnoshade="t" o:hr="t" fillcolor="black [3213]" stroked="f"/>
      </w:pict>
    </w:r>
  </w:p>
  <w:p w:rsidR="0097440F" w:rsidRPr="00B7374B" w:rsidRDefault="0097440F" w:rsidP="00B7374B">
    <w:pPr>
      <w:tabs>
        <w:tab w:val="center" w:pos="4680"/>
      </w:tabs>
      <w:rPr>
        <w:szCs w:val="24"/>
      </w:rPr>
    </w:pPr>
    <w:r w:rsidRPr="00954D22">
      <w:rPr>
        <w:szCs w:val="24"/>
      </w:rPr>
      <w:tab/>
      <w:t xml:space="preserve">- </w:t>
    </w:r>
    <w:r w:rsidR="004D21E4" w:rsidRPr="00954D22">
      <w:rPr>
        <w:szCs w:val="24"/>
      </w:rPr>
      <w:fldChar w:fldCharType="begin"/>
    </w:r>
    <w:r w:rsidRPr="00954D22">
      <w:rPr>
        <w:szCs w:val="24"/>
      </w:rPr>
      <w:instrText xml:space="preserve"> PAGE   \* MERGEFORMAT </w:instrText>
    </w:r>
    <w:r w:rsidR="004D21E4" w:rsidRPr="00954D22">
      <w:rPr>
        <w:szCs w:val="24"/>
      </w:rPr>
      <w:fldChar w:fldCharType="separate"/>
    </w:r>
    <w:r>
      <w:rPr>
        <w:noProof/>
        <w:szCs w:val="24"/>
      </w:rPr>
      <w:t>1470</w:t>
    </w:r>
    <w:r w:rsidR="004D21E4"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4D21E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4" style="width:480.95pt;height:1pt" o:hralign="center" o:hrstd="t" o:hrnoshade="t" o:hr="t" fillcolor="black [3213]" stroked="f"/>
      </w:pict>
    </w:r>
  </w:p>
  <w:p w:rsidR="0097440F" w:rsidRPr="00954D22" w:rsidRDefault="0097440F" w:rsidP="00B7374B">
    <w:pPr>
      <w:tabs>
        <w:tab w:val="center" w:pos="4680"/>
      </w:tabs>
      <w:rPr>
        <w:szCs w:val="24"/>
      </w:rPr>
    </w:pPr>
    <w:r w:rsidRPr="00954D22">
      <w:rPr>
        <w:szCs w:val="24"/>
      </w:rPr>
      <w:tab/>
      <w:t xml:space="preserve">- </w:t>
    </w:r>
    <w:r w:rsidR="004D21E4" w:rsidRPr="00954D22">
      <w:rPr>
        <w:szCs w:val="24"/>
      </w:rPr>
      <w:fldChar w:fldCharType="begin"/>
    </w:r>
    <w:r w:rsidRPr="00954D22">
      <w:rPr>
        <w:szCs w:val="24"/>
      </w:rPr>
      <w:instrText xml:space="preserve"> PAGE   \* MERGEFORMAT </w:instrText>
    </w:r>
    <w:r w:rsidR="004D21E4" w:rsidRPr="00954D22">
      <w:rPr>
        <w:szCs w:val="24"/>
      </w:rPr>
      <w:fldChar w:fldCharType="separate"/>
    </w:r>
    <w:r w:rsidR="00FC7FF3">
      <w:rPr>
        <w:noProof/>
        <w:szCs w:val="24"/>
      </w:rPr>
      <w:t>1469</w:t>
    </w:r>
    <w:r w:rsidR="004D21E4"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7440F"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7440F" w:rsidRDefault="0097440F">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4D21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D21E4">
      <w:rPr>
        <w:lang w:val="fr-CA"/>
      </w:rPr>
      <w:pict>
        <v:rect id="_x0000_i1109" style="width:480.95pt;height:1pt" o:hralign="center" o:hrstd="t" o:hrnoshade="t" o:hr="t" fillcolor="black [3213]" stroked="f"/>
      </w:pict>
    </w:r>
  </w:p>
  <w:p w:rsidR="0097440F" w:rsidRPr="0009648D" w:rsidRDefault="0097440F" w:rsidP="00ED7E83">
    <w:pPr>
      <w:tabs>
        <w:tab w:val="center" w:pos="4680"/>
      </w:tabs>
    </w:pPr>
    <w:r>
      <w:tab/>
    </w:r>
    <w:r w:rsidRPr="0009648D">
      <w:t xml:space="preserve">- </w:t>
    </w:r>
    <w:fldSimple w:instr=" PAGE   \* MERGEFORMAT ">
      <w:r w:rsidR="00FC7FF3">
        <w:rPr>
          <w:noProof/>
        </w:rPr>
        <w:t>1522</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40F" w:rsidRDefault="0097440F" w:rsidP="00A87207">
      <w:r>
        <w:separator/>
      </w:r>
    </w:p>
  </w:footnote>
  <w:footnote w:type="continuationSeparator" w:id="0">
    <w:p w:rsidR="0097440F" w:rsidRDefault="0097440F"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7440F">
      <w:tc>
        <w:tcPr>
          <w:tcW w:w="4230" w:type="dxa"/>
          <w:tcMar>
            <w:left w:w="0" w:type="dxa"/>
            <w:right w:w="0" w:type="dxa"/>
          </w:tcMar>
        </w:tcPr>
        <w:p w:rsidR="0097440F" w:rsidRDefault="009744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7440F" w:rsidRDefault="0097440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7440F" w:rsidRDefault="0097440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7440F">
      <w:trPr>
        <w:gridAfter w:val="2"/>
        <w:wAfter w:w="5250" w:type="dxa"/>
      </w:trPr>
      <w:tc>
        <w:tcPr>
          <w:tcW w:w="4230" w:type="dxa"/>
          <w:tcMar>
            <w:left w:w="0" w:type="dxa"/>
            <w:right w:w="0" w:type="dxa"/>
          </w:tcMar>
        </w:tcPr>
        <w:p w:rsidR="0097440F"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7440F"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7440F" w:rsidRPr="00755F22" w:rsidTr="00245129">
      <w:tc>
        <w:tcPr>
          <w:tcW w:w="4230" w:type="dxa"/>
          <w:tcMar>
            <w:left w:w="0" w:type="dxa"/>
            <w:right w:w="0" w:type="dxa"/>
          </w:tcMar>
        </w:tcPr>
        <w:p w:rsidR="0097440F" w:rsidRPr="00755F22" w:rsidRDefault="0097440F" w:rsidP="00831CA9">
          <w:pPr>
            <w:keepNext/>
            <w:keepLines/>
            <w:rPr>
              <w:sz w:val="20"/>
              <w:szCs w:val="20"/>
            </w:rPr>
          </w:pPr>
          <w:r w:rsidRPr="00755F22">
            <w:rPr>
              <w:sz w:val="20"/>
              <w:szCs w:val="20"/>
            </w:rPr>
            <w:t>MOTIONS</w:t>
          </w:r>
        </w:p>
      </w:tc>
      <w:tc>
        <w:tcPr>
          <w:tcW w:w="1170" w:type="dxa"/>
          <w:tcMar>
            <w:left w:w="0" w:type="dxa"/>
            <w:right w:w="0" w:type="dxa"/>
          </w:tcMar>
        </w:tcPr>
        <w:p w:rsidR="0097440F" w:rsidRPr="00755F22" w:rsidRDefault="0097440F" w:rsidP="00831CA9">
          <w:pPr>
            <w:keepLines/>
            <w:jc w:val="center"/>
            <w:rPr>
              <w:sz w:val="20"/>
              <w:szCs w:val="20"/>
            </w:rPr>
          </w:pPr>
        </w:p>
        <w:p w:rsidR="0097440F" w:rsidRPr="00755F22" w:rsidRDefault="0097440F" w:rsidP="00831CA9">
          <w:pPr>
            <w:keepLines/>
            <w:tabs>
              <w:tab w:val="left" w:pos="-1440"/>
              <w:tab w:val="left" w:pos="-720"/>
            </w:tabs>
            <w:jc w:val="center"/>
            <w:rPr>
              <w:sz w:val="20"/>
              <w:szCs w:val="20"/>
            </w:rPr>
          </w:pPr>
        </w:p>
      </w:tc>
      <w:tc>
        <w:tcPr>
          <w:tcW w:w="4080" w:type="dxa"/>
          <w:tcMar>
            <w:left w:w="0" w:type="dxa"/>
            <w:right w:w="0" w:type="dxa"/>
          </w:tcMar>
        </w:tcPr>
        <w:p w:rsidR="0097440F" w:rsidRPr="00BA6468" w:rsidRDefault="0097440F" w:rsidP="00BA6468">
          <w:pPr>
            <w:keepLines/>
            <w:rPr>
              <w:sz w:val="20"/>
              <w:szCs w:val="20"/>
              <w:lang w:val="fr-CA"/>
            </w:rPr>
          </w:pPr>
          <w:r w:rsidRPr="00BA6468">
            <w:rPr>
              <w:sz w:val="20"/>
              <w:szCs w:val="20"/>
              <w:lang w:val="fr-CA"/>
            </w:rPr>
            <w:t>REQUÊTES</w:t>
          </w:r>
        </w:p>
      </w:tc>
    </w:tr>
  </w:tbl>
  <w:p w:rsidR="0097440F" w:rsidRDefault="0097440F"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7440F" w:rsidRPr="00F80A49">
      <w:tc>
        <w:tcPr>
          <w:tcW w:w="4200" w:type="dxa"/>
          <w:tcMar>
            <w:left w:w="0" w:type="dxa"/>
            <w:right w:w="0" w:type="dxa"/>
          </w:tcMar>
        </w:tcPr>
        <w:p w:rsidR="0097440F" w:rsidRDefault="009744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7440F" w:rsidRDefault="009744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7440F" w:rsidRPr="00B01A03" w:rsidRDefault="0097440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7440F" w:rsidRPr="00B01A03"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7440F" w:rsidRPr="00B01A03"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97440F" w:rsidRPr="00F80A49" w:rsidTr="00245129">
      <w:tc>
        <w:tcPr>
          <w:tcW w:w="4200" w:type="dxa"/>
          <w:tcMar>
            <w:left w:w="0" w:type="dxa"/>
            <w:right w:w="0" w:type="dxa"/>
          </w:tcMar>
        </w:tcPr>
        <w:p w:rsidR="0097440F" w:rsidRPr="00F40249" w:rsidRDefault="0097440F"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7440F" w:rsidRDefault="0097440F" w:rsidP="00102926">
          <w:pPr>
            <w:keepNext/>
            <w:keepLines/>
            <w:tabs>
              <w:tab w:val="left" w:pos="-1440"/>
              <w:tab w:val="left" w:pos="-720"/>
            </w:tabs>
            <w:jc w:val="center"/>
            <w:rPr>
              <w:sz w:val="20"/>
              <w:szCs w:val="20"/>
            </w:rPr>
          </w:pPr>
        </w:p>
        <w:p w:rsidR="0097440F" w:rsidRDefault="0097440F" w:rsidP="00102926">
          <w:pPr>
            <w:keepNext/>
            <w:keepLines/>
            <w:tabs>
              <w:tab w:val="left" w:pos="-1440"/>
              <w:tab w:val="left" w:pos="-720"/>
            </w:tabs>
            <w:jc w:val="center"/>
            <w:rPr>
              <w:sz w:val="20"/>
              <w:szCs w:val="20"/>
            </w:rPr>
          </w:pPr>
        </w:p>
        <w:p w:rsidR="0097440F" w:rsidRPr="00F40249" w:rsidRDefault="0097440F" w:rsidP="00102926">
          <w:pPr>
            <w:keepNext/>
            <w:keepLines/>
            <w:tabs>
              <w:tab w:val="left" w:pos="-1440"/>
              <w:tab w:val="left" w:pos="-720"/>
            </w:tabs>
            <w:jc w:val="center"/>
            <w:rPr>
              <w:sz w:val="20"/>
              <w:szCs w:val="20"/>
            </w:rPr>
          </w:pPr>
        </w:p>
      </w:tc>
      <w:tc>
        <w:tcPr>
          <w:tcW w:w="4230" w:type="dxa"/>
          <w:tcMar>
            <w:left w:w="0" w:type="dxa"/>
            <w:right w:w="0" w:type="dxa"/>
          </w:tcMar>
        </w:tcPr>
        <w:p w:rsidR="0097440F" w:rsidRPr="00F40249" w:rsidRDefault="0097440F"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7440F" w:rsidRPr="00B01A03" w:rsidRDefault="0097440F"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7440F" w:rsidRPr="00F80A49">
      <w:tc>
        <w:tcPr>
          <w:tcW w:w="4200" w:type="dxa"/>
          <w:tcMar>
            <w:left w:w="0" w:type="dxa"/>
            <w:right w:w="0" w:type="dxa"/>
          </w:tcMar>
        </w:tcPr>
        <w:p w:rsidR="0097440F" w:rsidRDefault="009744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97440F" w:rsidRDefault="009744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7440F" w:rsidRPr="00283C52" w:rsidRDefault="0097440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97440F" w:rsidRPr="00283C52"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7440F" w:rsidRPr="00283C52"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7440F" w:rsidRPr="00F80A49" w:rsidTr="00245129">
      <w:tc>
        <w:tcPr>
          <w:tcW w:w="4200" w:type="dxa"/>
          <w:tcMar>
            <w:left w:w="0" w:type="dxa"/>
            <w:right w:w="0" w:type="dxa"/>
          </w:tcMar>
        </w:tcPr>
        <w:p w:rsidR="0097440F" w:rsidRPr="00732DB7" w:rsidRDefault="0097440F"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97440F" w:rsidRPr="00732DB7" w:rsidRDefault="0097440F" w:rsidP="00732DB7">
          <w:pPr>
            <w:keepNext/>
            <w:keepLines/>
            <w:tabs>
              <w:tab w:val="left" w:pos="-1440"/>
              <w:tab w:val="left" w:pos="-720"/>
            </w:tabs>
            <w:jc w:val="center"/>
            <w:rPr>
              <w:sz w:val="20"/>
              <w:szCs w:val="20"/>
            </w:rPr>
          </w:pPr>
        </w:p>
        <w:p w:rsidR="0097440F" w:rsidRPr="00732DB7" w:rsidRDefault="0097440F" w:rsidP="00732DB7">
          <w:pPr>
            <w:keepNext/>
            <w:keepLines/>
            <w:tabs>
              <w:tab w:val="left" w:pos="-1440"/>
              <w:tab w:val="left" w:pos="-720"/>
            </w:tabs>
            <w:jc w:val="center"/>
            <w:rPr>
              <w:sz w:val="20"/>
              <w:szCs w:val="20"/>
            </w:rPr>
          </w:pPr>
        </w:p>
        <w:p w:rsidR="0097440F" w:rsidRPr="00732DB7" w:rsidRDefault="0097440F" w:rsidP="00732DB7">
          <w:pPr>
            <w:keepNext/>
            <w:keepLines/>
            <w:tabs>
              <w:tab w:val="left" w:pos="-1440"/>
              <w:tab w:val="left" w:pos="-720"/>
            </w:tabs>
            <w:jc w:val="center"/>
            <w:rPr>
              <w:sz w:val="20"/>
              <w:szCs w:val="20"/>
            </w:rPr>
          </w:pPr>
        </w:p>
      </w:tc>
      <w:tc>
        <w:tcPr>
          <w:tcW w:w="4080" w:type="dxa"/>
          <w:tcMar>
            <w:left w:w="0" w:type="dxa"/>
            <w:right w:w="0" w:type="dxa"/>
          </w:tcMar>
        </w:tcPr>
        <w:p w:rsidR="0097440F" w:rsidRPr="00732DB7" w:rsidRDefault="0097440F"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97440F" w:rsidRPr="00283C52" w:rsidRDefault="0097440F"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7440F" w:rsidRPr="00F80A49">
      <w:tc>
        <w:tcPr>
          <w:tcW w:w="4200" w:type="dxa"/>
          <w:tcMar>
            <w:left w:w="0" w:type="dxa"/>
            <w:right w:w="0" w:type="dxa"/>
          </w:tcMar>
        </w:tcPr>
        <w:p w:rsidR="0097440F" w:rsidRDefault="009744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97440F" w:rsidRDefault="009744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97440F" w:rsidRDefault="009744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97440F" w:rsidRPr="003C2C0F" w:rsidRDefault="0097440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97440F" w:rsidRPr="003C2C0F"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97440F" w:rsidRPr="003C2C0F"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7440F" w:rsidRPr="00F80A49" w:rsidTr="00245129">
      <w:tc>
        <w:tcPr>
          <w:tcW w:w="4200" w:type="dxa"/>
          <w:tcMar>
            <w:left w:w="0" w:type="dxa"/>
            <w:right w:w="0" w:type="dxa"/>
          </w:tcMar>
        </w:tcPr>
        <w:p w:rsidR="0097440F" w:rsidRPr="00FF6EEC" w:rsidRDefault="0097440F" w:rsidP="00FF6EEC">
          <w:pPr>
            <w:rPr>
              <w:sz w:val="20"/>
              <w:szCs w:val="20"/>
            </w:rPr>
          </w:pPr>
          <w:r w:rsidRPr="00FF6EEC">
            <w:rPr>
              <w:sz w:val="20"/>
              <w:szCs w:val="20"/>
            </w:rPr>
            <w:t>PRONOUNCEMENTS OF APPEALS RESERVED</w:t>
          </w:r>
        </w:p>
      </w:tc>
      <w:tc>
        <w:tcPr>
          <w:tcW w:w="1200" w:type="dxa"/>
          <w:tcMar>
            <w:left w:w="0" w:type="dxa"/>
            <w:right w:w="0" w:type="dxa"/>
          </w:tcMar>
        </w:tcPr>
        <w:p w:rsidR="0097440F" w:rsidRPr="00FF6EEC" w:rsidRDefault="0097440F" w:rsidP="00FF6EEC">
          <w:pPr>
            <w:jc w:val="center"/>
            <w:rPr>
              <w:sz w:val="20"/>
              <w:szCs w:val="20"/>
            </w:rPr>
          </w:pPr>
        </w:p>
        <w:p w:rsidR="0097440F" w:rsidRPr="00FF6EEC" w:rsidRDefault="0097440F" w:rsidP="00FF6EEC">
          <w:pPr>
            <w:jc w:val="center"/>
            <w:rPr>
              <w:sz w:val="20"/>
              <w:szCs w:val="20"/>
            </w:rPr>
          </w:pPr>
        </w:p>
        <w:p w:rsidR="0097440F" w:rsidRPr="00FF6EEC" w:rsidRDefault="0097440F" w:rsidP="00FF6EEC">
          <w:pPr>
            <w:jc w:val="center"/>
            <w:rPr>
              <w:sz w:val="20"/>
              <w:szCs w:val="20"/>
            </w:rPr>
          </w:pPr>
        </w:p>
      </w:tc>
      <w:tc>
        <w:tcPr>
          <w:tcW w:w="4080" w:type="dxa"/>
          <w:tcMar>
            <w:left w:w="0" w:type="dxa"/>
            <w:right w:w="0" w:type="dxa"/>
          </w:tcMar>
        </w:tcPr>
        <w:p w:rsidR="0097440F" w:rsidRPr="00FF6EEC" w:rsidRDefault="0097440F" w:rsidP="00FF6EEC">
          <w:pPr>
            <w:rPr>
              <w:sz w:val="20"/>
              <w:szCs w:val="20"/>
              <w:lang w:val="fr-CA"/>
            </w:rPr>
          </w:pPr>
          <w:r w:rsidRPr="00FF6EEC">
            <w:rPr>
              <w:sz w:val="20"/>
              <w:szCs w:val="20"/>
              <w:lang w:val="fr-CA"/>
            </w:rPr>
            <w:t>JUGEMENTS RENDUS SUR LES APPELS EN DÉLIBÉRÉ</w:t>
          </w:r>
        </w:p>
      </w:tc>
    </w:tr>
  </w:tbl>
  <w:p w:rsidR="0097440F" w:rsidRPr="003C2C0F" w:rsidRDefault="0097440F"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7440F">
      <w:tc>
        <w:tcPr>
          <w:tcW w:w="4230" w:type="dxa"/>
          <w:tcMar>
            <w:left w:w="0" w:type="dxa"/>
            <w:right w:w="0" w:type="dxa"/>
          </w:tcMar>
        </w:tcPr>
        <w:p w:rsidR="0097440F" w:rsidRDefault="009744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7440F" w:rsidRDefault="009744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7440F" w:rsidRDefault="009744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7440F" w:rsidRDefault="009744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7440F" w:rsidRDefault="009744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7440F" w:rsidRDefault="0097440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7440F"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7440F"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7440F" w:rsidRPr="00782AE4" w:rsidTr="00245129">
      <w:tc>
        <w:tcPr>
          <w:tcW w:w="4230" w:type="dxa"/>
          <w:tcMar>
            <w:left w:w="0" w:type="dxa"/>
            <w:right w:w="0" w:type="dxa"/>
          </w:tcMar>
        </w:tcPr>
        <w:p w:rsidR="0097440F" w:rsidRPr="00782AE4" w:rsidRDefault="0097440F" w:rsidP="00102926">
          <w:pPr>
            <w:keepNext/>
            <w:keepLines/>
            <w:tabs>
              <w:tab w:val="left" w:pos="-1440"/>
              <w:tab w:val="left" w:pos="-720"/>
            </w:tabs>
            <w:rPr>
              <w:sz w:val="20"/>
              <w:szCs w:val="20"/>
            </w:rPr>
          </w:pPr>
          <w:r w:rsidRPr="00782AE4">
            <w:rPr>
              <w:sz w:val="20"/>
              <w:szCs w:val="20"/>
            </w:rPr>
            <w:t xml:space="preserve">HEADNOTES OF RECENT </w:t>
          </w:r>
        </w:p>
        <w:p w:rsidR="0097440F" w:rsidRPr="00782AE4" w:rsidRDefault="009744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7440F" w:rsidRDefault="0097440F" w:rsidP="00102926">
          <w:pPr>
            <w:keepNext/>
            <w:keepLines/>
            <w:tabs>
              <w:tab w:val="left" w:pos="-1440"/>
              <w:tab w:val="left" w:pos="-720"/>
            </w:tabs>
            <w:jc w:val="center"/>
            <w:rPr>
              <w:sz w:val="20"/>
              <w:szCs w:val="20"/>
            </w:rPr>
          </w:pPr>
        </w:p>
        <w:p w:rsidR="0097440F" w:rsidRDefault="0097440F" w:rsidP="00102926">
          <w:pPr>
            <w:keepNext/>
            <w:keepLines/>
            <w:tabs>
              <w:tab w:val="left" w:pos="-1440"/>
              <w:tab w:val="left" w:pos="-720"/>
            </w:tabs>
            <w:jc w:val="center"/>
            <w:rPr>
              <w:sz w:val="20"/>
              <w:szCs w:val="20"/>
            </w:rPr>
          </w:pPr>
        </w:p>
        <w:p w:rsidR="0097440F" w:rsidRPr="00782AE4" w:rsidRDefault="0097440F" w:rsidP="00102926">
          <w:pPr>
            <w:keepNext/>
            <w:keepLines/>
            <w:tabs>
              <w:tab w:val="left" w:pos="-1440"/>
              <w:tab w:val="left" w:pos="-720"/>
            </w:tabs>
            <w:jc w:val="center"/>
            <w:rPr>
              <w:sz w:val="20"/>
              <w:szCs w:val="20"/>
            </w:rPr>
          </w:pPr>
        </w:p>
      </w:tc>
      <w:tc>
        <w:tcPr>
          <w:tcW w:w="4080" w:type="dxa"/>
          <w:tcMar>
            <w:left w:w="0" w:type="dxa"/>
            <w:right w:w="0" w:type="dxa"/>
          </w:tcMar>
        </w:tcPr>
        <w:p w:rsidR="0097440F" w:rsidRPr="00102926" w:rsidRDefault="009744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7440F" w:rsidRPr="00782AE4" w:rsidRDefault="0097440F" w:rsidP="00102926">
          <w:pPr>
            <w:keepLines/>
            <w:tabs>
              <w:tab w:val="left" w:pos="-1440"/>
              <w:tab w:val="left" w:pos="-720"/>
            </w:tabs>
            <w:rPr>
              <w:sz w:val="20"/>
              <w:szCs w:val="20"/>
            </w:rPr>
          </w:pPr>
          <w:r w:rsidRPr="00102926">
            <w:rPr>
              <w:sz w:val="20"/>
              <w:szCs w:val="20"/>
              <w:lang w:val="fr-CA"/>
            </w:rPr>
            <w:t>RÉCENTS</w:t>
          </w:r>
        </w:p>
      </w:tc>
    </w:tr>
  </w:tbl>
  <w:p w:rsidR="0097440F" w:rsidRDefault="0097440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97440F" w:rsidRPr="00F80A49" w:rsidTr="00245129">
      <w:tc>
        <w:tcPr>
          <w:tcW w:w="4320" w:type="dxa"/>
        </w:tcPr>
        <w:p w:rsidR="0097440F" w:rsidRPr="006B6926" w:rsidRDefault="0097440F" w:rsidP="006B6926">
          <w:pPr>
            <w:keepNext/>
            <w:keepLines/>
            <w:rPr>
              <w:bCs/>
              <w:sz w:val="20"/>
              <w:szCs w:val="20"/>
              <w:lang w:val="en-GB"/>
            </w:rPr>
          </w:pPr>
          <w:r w:rsidRPr="006B6926">
            <w:rPr>
              <w:bCs/>
              <w:sz w:val="20"/>
              <w:szCs w:val="20"/>
              <w:lang w:val="en-GB"/>
            </w:rPr>
            <w:t>SUPREME COURT REPORTS</w:t>
          </w:r>
        </w:p>
      </w:tc>
      <w:tc>
        <w:tcPr>
          <w:tcW w:w="840" w:type="dxa"/>
        </w:tcPr>
        <w:p w:rsidR="0097440F" w:rsidRDefault="0097440F" w:rsidP="006B6926">
          <w:pPr>
            <w:jc w:val="center"/>
            <w:rPr>
              <w:bCs/>
              <w:sz w:val="20"/>
              <w:szCs w:val="20"/>
              <w:lang w:val="en-GB"/>
            </w:rPr>
          </w:pPr>
        </w:p>
        <w:p w:rsidR="0097440F" w:rsidRPr="006B6926" w:rsidRDefault="0097440F" w:rsidP="006B6926">
          <w:pPr>
            <w:jc w:val="center"/>
            <w:rPr>
              <w:bCs/>
              <w:sz w:val="20"/>
              <w:szCs w:val="20"/>
              <w:lang w:val="en-GB"/>
            </w:rPr>
          </w:pPr>
        </w:p>
      </w:tc>
      <w:tc>
        <w:tcPr>
          <w:tcW w:w="4320" w:type="dxa"/>
        </w:tcPr>
        <w:p w:rsidR="0097440F" w:rsidRPr="006B6926" w:rsidRDefault="0097440F" w:rsidP="006B6926">
          <w:pPr>
            <w:keepNext/>
            <w:keepLines/>
            <w:rPr>
              <w:bCs/>
              <w:sz w:val="20"/>
              <w:szCs w:val="20"/>
              <w:lang w:val="fr-CA"/>
            </w:rPr>
          </w:pPr>
          <w:r w:rsidRPr="006B6926">
            <w:rPr>
              <w:bCs/>
              <w:sz w:val="20"/>
              <w:szCs w:val="20"/>
              <w:lang w:val="fr-CA"/>
            </w:rPr>
            <w:t>RECUEIL DES ARRÊTS DE LA COUR SUPRÊME</w:t>
          </w:r>
        </w:p>
      </w:tc>
    </w:tr>
  </w:tbl>
  <w:p w:rsidR="0097440F" w:rsidRPr="000924F7" w:rsidRDefault="0097440F">
    <w:pPr>
      <w:pStyle w:val="Header"/>
      <w:rPr>
        <w:lang w:val="fr-CA"/>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97440F" w:rsidRPr="0044776A" w:rsidTr="00245129">
      <w:tc>
        <w:tcPr>
          <w:tcW w:w="4290" w:type="dxa"/>
          <w:tcMar>
            <w:left w:w="0" w:type="dxa"/>
            <w:right w:w="0" w:type="dxa"/>
          </w:tcMar>
        </w:tcPr>
        <w:p w:rsidR="0097440F" w:rsidRPr="0044776A" w:rsidRDefault="0097440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7440F" w:rsidRPr="0044776A" w:rsidRDefault="0097440F" w:rsidP="002E2327">
          <w:pPr>
            <w:keepNext/>
            <w:keepLines/>
            <w:tabs>
              <w:tab w:val="left" w:pos="-1440"/>
              <w:tab w:val="left" w:pos="-720"/>
            </w:tabs>
            <w:jc w:val="center"/>
            <w:rPr>
              <w:sz w:val="20"/>
              <w:szCs w:val="20"/>
            </w:rPr>
          </w:pPr>
        </w:p>
        <w:p w:rsidR="0097440F" w:rsidRPr="0044776A" w:rsidRDefault="0097440F" w:rsidP="002E2327">
          <w:pPr>
            <w:keepNext/>
            <w:keepLines/>
            <w:tabs>
              <w:tab w:val="left" w:pos="-1440"/>
              <w:tab w:val="left" w:pos="-720"/>
            </w:tabs>
            <w:jc w:val="center"/>
            <w:rPr>
              <w:sz w:val="20"/>
              <w:szCs w:val="20"/>
            </w:rPr>
          </w:pPr>
        </w:p>
        <w:p w:rsidR="0097440F" w:rsidRPr="0044776A" w:rsidRDefault="0097440F" w:rsidP="002E2327">
          <w:pPr>
            <w:keepNext/>
            <w:keepLines/>
            <w:tabs>
              <w:tab w:val="left" w:pos="-1440"/>
              <w:tab w:val="left" w:pos="-720"/>
            </w:tabs>
            <w:jc w:val="center"/>
            <w:rPr>
              <w:sz w:val="20"/>
              <w:szCs w:val="20"/>
            </w:rPr>
          </w:pPr>
        </w:p>
      </w:tc>
      <w:tc>
        <w:tcPr>
          <w:tcW w:w="4320" w:type="dxa"/>
          <w:tcMar>
            <w:left w:w="0" w:type="dxa"/>
            <w:right w:w="0" w:type="dxa"/>
          </w:tcMar>
        </w:tcPr>
        <w:p w:rsidR="0097440F" w:rsidRPr="0044776A" w:rsidRDefault="0097440F" w:rsidP="002E2327">
          <w:pPr>
            <w:keepLines/>
            <w:rPr>
              <w:sz w:val="20"/>
              <w:szCs w:val="20"/>
              <w:lang w:val="fr-CA"/>
            </w:rPr>
          </w:pPr>
          <w:r w:rsidRPr="0044776A">
            <w:rPr>
              <w:sz w:val="20"/>
              <w:szCs w:val="20"/>
              <w:lang w:val="fr-CA"/>
            </w:rPr>
            <w:t>DEMANDES D'AUTORISATION D'APPEL DÉPOSÉES</w:t>
          </w:r>
        </w:p>
      </w:tc>
    </w:tr>
  </w:tbl>
  <w:p w:rsidR="0097440F" w:rsidRDefault="0097440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7440F" w:rsidRPr="00F80A49" w:rsidTr="00245129">
      <w:tc>
        <w:tcPr>
          <w:tcW w:w="4200" w:type="dxa"/>
          <w:tcMar>
            <w:left w:w="0" w:type="dxa"/>
            <w:right w:w="0" w:type="dxa"/>
          </w:tcMar>
        </w:tcPr>
        <w:p w:rsidR="0097440F" w:rsidRPr="0044776A" w:rsidRDefault="0097440F" w:rsidP="0044776A">
          <w:pPr>
            <w:keepNext/>
            <w:keepLines/>
            <w:widowControl w:val="0"/>
            <w:rPr>
              <w:sz w:val="20"/>
              <w:szCs w:val="20"/>
            </w:rPr>
          </w:pPr>
          <w:r>
            <w:rPr>
              <w:sz w:val="20"/>
              <w:szCs w:val="20"/>
            </w:rPr>
            <w:t>APPLICATIONS FOR LEAVE</w:t>
          </w:r>
        </w:p>
        <w:p w:rsidR="0097440F" w:rsidRPr="0044776A" w:rsidRDefault="0097440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7440F" w:rsidRPr="0044776A" w:rsidRDefault="0097440F" w:rsidP="0044776A">
          <w:pPr>
            <w:keepNext/>
            <w:keepLines/>
            <w:widowControl w:val="0"/>
            <w:jc w:val="center"/>
            <w:rPr>
              <w:sz w:val="20"/>
              <w:szCs w:val="20"/>
            </w:rPr>
          </w:pPr>
        </w:p>
        <w:p w:rsidR="0097440F" w:rsidRPr="0044776A" w:rsidRDefault="0097440F" w:rsidP="0044776A">
          <w:pPr>
            <w:keepNext/>
            <w:keepLines/>
            <w:widowControl w:val="0"/>
            <w:jc w:val="center"/>
            <w:rPr>
              <w:sz w:val="20"/>
              <w:szCs w:val="20"/>
            </w:rPr>
          </w:pPr>
        </w:p>
        <w:p w:rsidR="0097440F" w:rsidRPr="0044776A" w:rsidRDefault="0097440F" w:rsidP="0044776A">
          <w:pPr>
            <w:keepNext/>
            <w:keepLines/>
            <w:widowControl w:val="0"/>
            <w:jc w:val="center"/>
            <w:rPr>
              <w:sz w:val="20"/>
              <w:szCs w:val="20"/>
            </w:rPr>
          </w:pPr>
        </w:p>
      </w:tc>
      <w:tc>
        <w:tcPr>
          <w:tcW w:w="4080" w:type="dxa"/>
          <w:tcMar>
            <w:left w:w="0" w:type="dxa"/>
            <w:right w:w="0" w:type="dxa"/>
          </w:tcMar>
        </w:tcPr>
        <w:p w:rsidR="0097440F" w:rsidRPr="0044776A" w:rsidRDefault="0097440F" w:rsidP="0044776A">
          <w:pPr>
            <w:keepLines/>
            <w:widowControl w:val="0"/>
            <w:rPr>
              <w:sz w:val="20"/>
              <w:szCs w:val="20"/>
              <w:lang w:val="fr-CA"/>
            </w:rPr>
          </w:pPr>
          <w:r w:rsidRPr="0044776A">
            <w:rPr>
              <w:sz w:val="20"/>
              <w:szCs w:val="20"/>
              <w:lang w:val="fr-CA"/>
            </w:rPr>
            <w:t>DEMANDES SOUMISES À LA COUR DEPUIS LA DERNIÈRE PARUTION</w:t>
          </w:r>
        </w:p>
        <w:p w:rsidR="0097440F" w:rsidRPr="0044776A" w:rsidRDefault="0097440F" w:rsidP="0044776A">
          <w:pPr>
            <w:widowControl w:val="0"/>
            <w:rPr>
              <w:sz w:val="20"/>
              <w:szCs w:val="20"/>
              <w:lang w:val="fr-CA"/>
            </w:rPr>
          </w:pPr>
        </w:p>
      </w:tc>
    </w:tr>
  </w:tbl>
  <w:p w:rsidR="0097440F" w:rsidRPr="002E2327" w:rsidRDefault="0097440F">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F" w:rsidRDefault="0097440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7440F" w:rsidRPr="00F80A49">
      <w:tc>
        <w:tcPr>
          <w:tcW w:w="4200" w:type="dxa"/>
          <w:tcMar>
            <w:left w:w="0" w:type="dxa"/>
            <w:right w:w="0" w:type="dxa"/>
          </w:tcMar>
        </w:tcPr>
        <w:p w:rsidR="0097440F" w:rsidRDefault="009744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7440F" w:rsidRDefault="009744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7440F" w:rsidRDefault="0097440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7440F" w:rsidRPr="00FF6BA5" w:rsidRDefault="0097440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7440F" w:rsidRPr="00FF6BA5"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7440F" w:rsidRPr="00FF6BA5"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7440F" w:rsidRPr="00FF6BA5" w:rsidRDefault="0097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7440F" w:rsidRPr="00F80A49" w:rsidTr="00245129">
      <w:tc>
        <w:tcPr>
          <w:tcW w:w="4200" w:type="dxa"/>
          <w:tcMar>
            <w:left w:w="0" w:type="dxa"/>
            <w:right w:w="0" w:type="dxa"/>
          </w:tcMar>
        </w:tcPr>
        <w:p w:rsidR="0097440F" w:rsidRPr="00755F22" w:rsidRDefault="009744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7440F" w:rsidRPr="00755F22" w:rsidRDefault="0097440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7440F" w:rsidRPr="00755F22" w:rsidRDefault="0097440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7440F" w:rsidRPr="00755F22" w:rsidRDefault="0097440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7440F" w:rsidRPr="00755F22" w:rsidRDefault="0097440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7440F" w:rsidRPr="00755F22" w:rsidRDefault="0097440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7440F" w:rsidRPr="00FF6BA5" w:rsidRDefault="0097440F"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97067"/>
    <w:multiLevelType w:val="hybridMultilevel"/>
    <w:tmpl w:val="F702C6EE"/>
    <w:lvl w:ilvl="0" w:tplc="E8F22BAA">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grammar="clean"/>
  <w:defaultTabStop w:val="720"/>
  <w:drawingGridHorizontalSpacing w:val="120"/>
  <w:displayHorizontalDrawingGridEvery w:val="2"/>
  <w:characterSpacingControl w:val="doNotCompress"/>
  <w:hdrShapeDefaults>
    <o:shapedefaults v:ext="edit" spidmax="37907"/>
  </w:hdrShapeDefaults>
  <w:footnotePr>
    <w:footnote w:id="-1"/>
    <w:footnote w:id="0"/>
  </w:footnotePr>
  <w:endnotePr>
    <w:endnote w:id="-1"/>
    <w:endnote w:id="0"/>
  </w:endnotePr>
  <w:compat/>
  <w:rsids>
    <w:rsidRoot w:val="00900D0B"/>
    <w:rsid w:val="00013BBA"/>
    <w:rsid w:val="00027E51"/>
    <w:rsid w:val="0003223B"/>
    <w:rsid w:val="000327B2"/>
    <w:rsid w:val="00066C30"/>
    <w:rsid w:val="000731C5"/>
    <w:rsid w:val="00096BD9"/>
    <w:rsid w:val="000B3C9A"/>
    <w:rsid w:val="000B40A2"/>
    <w:rsid w:val="000C0ACD"/>
    <w:rsid w:val="000D38AD"/>
    <w:rsid w:val="00102926"/>
    <w:rsid w:val="0010587F"/>
    <w:rsid w:val="00111AD6"/>
    <w:rsid w:val="00111C6B"/>
    <w:rsid w:val="00123F1F"/>
    <w:rsid w:val="0013369E"/>
    <w:rsid w:val="001513D6"/>
    <w:rsid w:val="00163B5F"/>
    <w:rsid w:val="00164E6D"/>
    <w:rsid w:val="00171E41"/>
    <w:rsid w:val="001762AB"/>
    <w:rsid w:val="00182B2D"/>
    <w:rsid w:val="0018376F"/>
    <w:rsid w:val="001A2818"/>
    <w:rsid w:val="001B5C23"/>
    <w:rsid w:val="001B62C5"/>
    <w:rsid w:val="001D0D5F"/>
    <w:rsid w:val="001D5372"/>
    <w:rsid w:val="001D6B8C"/>
    <w:rsid w:val="001E4240"/>
    <w:rsid w:val="001F1F83"/>
    <w:rsid w:val="002021A9"/>
    <w:rsid w:val="002139A7"/>
    <w:rsid w:val="00215F7C"/>
    <w:rsid w:val="00220E03"/>
    <w:rsid w:val="00221B35"/>
    <w:rsid w:val="0022323B"/>
    <w:rsid w:val="002410B8"/>
    <w:rsid w:val="00242AEE"/>
    <w:rsid w:val="00245129"/>
    <w:rsid w:val="00245879"/>
    <w:rsid w:val="0025198A"/>
    <w:rsid w:val="00267FD5"/>
    <w:rsid w:val="002714AB"/>
    <w:rsid w:val="002868D0"/>
    <w:rsid w:val="00295824"/>
    <w:rsid w:val="00297F14"/>
    <w:rsid w:val="002B516C"/>
    <w:rsid w:val="002D72EB"/>
    <w:rsid w:val="002E2327"/>
    <w:rsid w:val="002E3508"/>
    <w:rsid w:val="002E3583"/>
    <w:rsid w:val="002E4E63"/>
    <w:rsid w:val="002E5576"/>
    <w:rsid w:val="002E78C6"/>
    <w:rsid w:val="002F4B35"/>
    <w:rsid w:val="00331B52"/>
    <w:rsid w:val="003321AB"/>
    <w:rsid w:val="003359D3"/>
    <w:rsid w:val="00337AF9"/>
    <w:rsid w:val="00337F71"/>
    <w:rsid w:val="003520A7"/>
    <w:rsid w:val="00355967"/>
    <w:rsid w:val="00380C89"/>
    <w:rsid w:val="0038295F"/>
    <w:rsid w:val="00382C47"/>
    <w:rsid w:val="00384384"/>
    <w:rsid w:val="0039411B"/>
    <w:rsid w:val="003B3977"/>
    <w:rsid w:val="003B5725"/>
    <w:rsid w:val="003D0848"/>
    <w:rsid w:val="003D3B78"/>
    <w:rsid w:val="00432989"/>
    <w:rsid w:val="00435A9E"/>
    <w:rsid w:val="00440E24"/>
    <w:rsid w:val="0044776A"/>
    <w:rsid w:val="0045028E"/>
    <w:rsid w:val="00452C70"/>
    <w:rsid w:val="00460AFC"/>
    <w:rsid w:val="00463AB3"/>
    <w:rsid w:val="0047471F"/>
    <w:rsid w:val="00492F21"/>
    <w:rsid w:val="004A75E4"/>
    <w:rsid w:val="004B66B4"/>
    <w:rsid w:val="004C1AAC"/>
    <w:rsid w:val="004D0CEC"/>
    <w:rsid w:val="004D21E4"/>
    <w:rsid w:val="004F054E"/>
    <w:rsid w:val="004F090E"/>
    <w:rsid w:val="0051524F"/>
    <w:rsid w:val="00527CC7"/>
    <w:rsid w:val="00545D96"/>
    <w:rsid w:val="00546B31"/>
    <w:rsid w:val="005566FF"/>
    <w:rsid w:val="00571CA4"/>
    <w:rsid w:val="00582136"/>
    <w:rsid w:val="005C6840"/>
    <w:rsid w:val="005F263E"/>
    <w:rsid w:val="00600252"/>
    <w:rsid w:val="00600830"/>
    <w:rsid w:val="00612A40"/>
    <w:rsid w:val="00614819"/>
    <w:rsid w:val="006523EC"/>
    <w:rsid w:val="00652918"/>
    <w:rsid w:val="0065293A"/>
    <w:rsid w:val="006708E1"/>
    <w:rsid w:val="0067163F"/>
    <w:rsid w:val="00675479"/>
    <w:rsid w:val="00675804"/>
    <w:rsid w:val="00682661"/>
    <w:rsid w:val="006856B2"/>
    <w:rsid w:val="00685976"/>
    <w:rsid w:val="00697C62"/>
    <w:rsid w:val="006A329B"/>
    <w:rsid w:val="006A7445"/>
    <w:rsid w:val="006A7EB8"/>
    <w:rsid w:val="006B174D"/>
    <w:rsid w:val="006B6926"/>
    <w:rsid w:val="006C3F47"/>
    <w:rsid w:val="006C5F7A"/>
    <w:rsid w:val="006D1413"/>
    <w:rsid w:val="006E06AF"/>
    <w:rsid w:val="006F350F"/>
    <w:rsid w:val="006F482D"/>
    <w:rsid w:val="007010F9"/>
    <w:rsid w:val="007133B0"/>
    <w:rsid w:val="007313A7"/>
    <w:rsid w:val="00732DB7"/>
    <w:rsid w:val="0074238B"/>
    <w:rsid w:val="00755F22"/>
    <w:rsid w:val="007654AC"/>
    <w:rsid w:val="00766E4A"/>
    <w:rsid w:val="00772879"/>
    <w:rsid w:val="007820CE"/>
    <w:rsid w:val="00782AE4"/>
    <w:rsid w:val="0079724F"/>
    <w:rsid w:val="007A3EAE"/>
    <w:rsid w:val="007B50F9"/>
    <w:rsid w:val="007C04FC"/>
    <w:rsid w:val="007D3E0F"/>
    <w:rsid w:val="007F359F"/>
    <w:rsid w:val="007F387B"/>
    <w:rsid w:val="007F5F8F"/>
    <w:rsid w:val="00802863"/>
    <w:rsid w:val="00815B3C"/>
    <w:rsid w:val="0082783A"/>
    <w:rsid w:val="00831CA9"/>
    <w:rsid w:val="00832284"/>
    <w:rsid w:val="00850E1F"/>
    <w:rsid w:val="0085476B"/>
    <w:rsid w:val="008621BF"/>
    <w:rsid w:val="008627E7"/>
    <w:rsid w:val="0087234F"/>
    <w:rsid w:val="0087505F"/>
    <w:rsid w:val="008903D0"/>
    <w:rsid w:val="00890FEB"/>
    <w:rsid w:val="008A7A29"/>
    <w:rsid w:val="008B30ED"/>
    <w:rsid w:val="008B74F0"/>
    <w:rsid w:val="008C5809"/>
    <w:rsid w:val="008D292F"/>
    <w:rsid w:val="008E03DC"/>
    <w:rsid w:val="008F309C"/>
    <w:rsid w:val="00900D0B"/>
    <w:rsid w:val="00924065"/>
    <w:rsid w:val="00930D68"/>
    <w:rsid w:val="00932DB4"/>
    <w:rsid w:val="00941A4B"/>
    <w:rsid w:val="00946242"/>
    <w:rsid w:val="0095096B"/>
    <w:rsid w:val="00970B83"/>
    <w:rsid w:val="00970CD3"/>
    <w:rsid w:val="009723FA"/>
    <w:rsid w:val="0097440F"/>
    <w:rsid w:val="00984546"/>
    <w:rsid w:val="0099184B"/>
    <w:rsid w:val="00993696"/>
    <w:rsid w:val="00996510"/>
    <w:rsid w:val="009A09C6"/>
    <w:rsid w:val="009B0DA3"/>
    <w:rsid w:val="009B3FFD"/>
    <w:rsid w:val="009D1F15"/>
    <w:rsid w:val="009D555E"/>
    <w:rsid w:val="009D7C3A"/>
    <w:rsid w:val="00A0355E"/>
    <w:rsid w:val="00A20F5E"/>
    <w:rsid w:val="00A375D1"/>
    <w:rsid w:val="00A44026"/>
    <w:rsid w:val="00A44175"/>
    <w:rsid w:val="00A518DE"/>
    <w:rsid w:val="00A51D10"/>
    <w:rsid w:val="00A52A83"/>
    <w:rsid w:val="00A6552C"/>
    <w:rsid w:val="00A67BBB"/>
    <w:rsid w:val="00A71F32"/>
    <w:rsid w:val="00A843DF"/>
    <w:rsid w:val="00A85D85"/>
    <w:rsid w:val="00A87207"/>
    <w:rsid w:val="00A87AAC"/>
    <w:rsid w:val="00A91E44"/>
    <w:rsid w:val="00A935AA"/>
    <w:rsid w:val="00A93F58"/>
    <w:rsid w:val="00A95AED"/>
    <w:rsid w:val="00AB2201"/>
    <w:rsid w:val="00AF1715"/>
    <w:rsid w:val="00AF3904"/>
    <w:rsid w:val="00B010C0"/>
    <w:rsid w:val="00B0302A"/>
    <w:rsid w:val="00B07BF0"/>
    <w:rsid w:val="00B251E1"/>
    <w:rsid w:val="00B366BF"/>
    <w:rsid w:val="00B4740D"/>
    <w:rsid w:val="00B61629"/>
    <w:rsid w:val="00B7374B"/>
    <w:rsid w:val="00B84801"/>
    <w:rsid w:val="00B90105"/>
    <w:rsid w:val="00B90DC0"/>
    <w:rsid w:val="00B96E1B"/>
    <w:rsid w:val="00BA116A"/>
    <w:rsid w:val="00BA5582"/>
    <w:rsid w:val="00BA6468"/>
    <w:rsid w:val="00BA7E05"/>
    <w:rsid w:val="00BD00D1"/>
    <w:rsid w:val="00BD06DA"/>
    <w:rsid w:val="00BD3D2B"/>
    <w:rsid w:val="00BD4217"/>
    <w:rsid w:val="00BF25F3"/>
    <w:rsid w:val="00C06700"/>
    <w:rsid w:val="00C11ABA"/>
    <w:rsid w:val="00C12118"/>
    <w:rsid w:val="00C1697B"/>
    <w:rsid w:val="00C23C85"/>
    <w:rsid w:val="00C447A5"/>
    <w:rsid w:val="00C47482"/>
    <w:rsid w:val="00C50A5C"/>
    <w:rsid w:val="00C50FDF"/>
    <w:rsid w:val="00C67842"/>
    <w:rsid w:val="00C73BED"/>
    <w:rsid w:val="00C73E1B"/>
    <w:rsid w:val="00C759B4"/>
    <w:rsid w:val="00C77713"/>
    <w:rsid w:val="00C85EEF"/>
    <w:rsid w:val="00C92EFF"/>
    <w:rsid w:val="00CA5290"/>
    <w:rsid w:val="00CB43D5"/>
    <w:rsid w:val="00CC4D84"/>
    <w:rsid w:val="00CD4FED"/>
    <w:rsid w:val="00CE2776"/>
    <w:rsid w:val="00D51469"/>
    <w:rsid w:val="00D64901"/>
    <w:rsid w:val="00D67938"/>
    <w:rsid w:val="00D76BDF"/>
    <w:rsid w:val="00D86051"/>
    <w:rsid w:val="00D862C1"/>
    <w:rsid w:val="00D93B50"/>
    <w:rsid w:val="00D94670"/>
    <w:rsid w:val="00DA46F6"/>
    <w:rsid w:val="00DB2B0E"/>
    <w:rsid w:val="00DC042B"/>
    <w:rsid w:val="00DC7264"/>
    <w:rsid w:val="00DD0B49"/>
    <w:rsid w:val="00DD6E75"/>
    <w:rsid w:val="00DE0259"/>
    <w:rsid w:val="00DF0F65"/>
    <w:rsid w:val="00DF1031"/>
    <w:rsid w:val="00E06DFA"/>
    <w:rsid w:val="00E07C5C"/>
    <w:rsid w:val="00E124B8"/>
    <w:rsid w:val="00E12606"/>
    <w:rsid w:val="00E12E48"/>
    <w:rsid w:val="00E16FC5"/>
    <w:rsid w:val="00E20A0A"/>
    <w:rsid w:val="00E32C12"/>
    <w:rsid w:val="00E356C7"/>
    <w:rsid w:val="00E473B4"/>
    <w:rsid w:val="00E64FA7"/>
    <w:rsid w:val="00E770CB"/>
    <w:rsid w:val="00E84FCC"/>
    <w:rsid w:val="00E903A1"/>
    <w:rsid w:val="00E940EB"/>
    <w:rsid w:val="00E960A7"/>
    <w:rsid w:val="00E978B8"/>
    <w:rsid w:val="00EA0A4B"/>
    <w:rsid w:val="00EA25D4"/>
    <w:rsid w:val="00EA3735"/>
    <w:rsid w:val="00EA79B0"/>
    <w:rsid w:val="00EB2B90"/>
    <w:rsid w:val="00EB42FB"/>
    <w:rsid w:val="00ED7E83"/>
    <w:rsid w:val="00EE529E"/>
    <w:rsid w:val="00EF4B63"/>
    <w:rsid w:val="00F0068D"/>
    <w:rsid w:val="00F0576D"/>
    <w:rsid w:val="00F13FBF"/>
    <w:rsid w:val="00F14E6D"/>
    <w:rsid w:val="00F15EA8"/>
    <w:rsid w:val="00F16C8D"/>
    <w:rsid w:val="00F16CEE"/>
    <w:rsid w:val="00F26C61"/>
    <w:rsid w:val="00F33CCE"/>
    <w:rsid w:val="00F40249"/>
    <w:rsid w:val="00F526C8"/>
    <w:rsid w:val="00F73561"/>
    <w:rsid w:val="00F80A49"/>
    <w:rsid w:val="00F817E3"/>
    <w:rsid w:val="00F87D43"/>
    <w:rsid w:val="00F9518C"/>
    <w:rsid w:val="00FA316E"/>
    <w:rsid w:val="00FA372C"/>
    <w:rsid w:val="00FA59EF"/>
    <w:rsid w:val="00FB19A2"/>
    <w:rsid w:val="00FC7FF3"/>
    <w:rsid w:val="00FD13F0"/>
    <w:rsid w:val="00FE0153"/>
    <w:rsid w:val="00FE4E64"/>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79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styleId="Quote">
    <w:name w:val="Quote"/>
    <w:basedOn w:val="Normal"/>
    <w:next w:val="Normal"/>
    <w:link w:val="QuoteChar"/>
    <w:uiPriority w:val="29"/>
    <w:qFormat/>
    <w:rsid w:val="00C11ABA"/>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C11ABA"/>
    <w:rPr>
      <w:rFonts w:eastAsia="Times New Roman" w:cs="Times New Roman"/>
      <w:i/>
      <w:iCs/>
      <w:color w:val="000000" w:themeColor="text1"/>
      <w:szCs w:val="20"/>
      <w:lang w:val="en-CA" w:eastAsia="en-CA"/>
    </w:rPr>
  </w:style>
  <w:style w:type="paragraph" w:customStyle="1" w:styleId="SCCLowerCourtNameLowercase">
    <w:name w:val="SCC.LowerCourtNameLowercase"/>
    <w:basedOn w:val="SCCNormalDoubleSpacing"/>
    <w:next w:val="SCCNormalDoubleSpacing"/>
    <w:rsid w:val="00C11ABA"/>
    <w:pPr>
      <w:tabs>
        <w:tab w:val="left" w:pos="1168"/>
      </w:tabs>
    </w:pPr>
    <w:rPr>
      <w:smallCaps/>
    </w:rPr>
  </w:style>
  <w:style w:type="paragraph" w:customStyle="1" w:styleId="SCCCoram">
    <w:name w:val="SCC.Coram"/>
    <w:basedOn w:val="Normal"/>
    <w:next w:val="Normal"/>
    <w:link w:val="SCCCoramChar"/>
    <w:rsid w:val="001D5372"/>
    <w:pPr>
      <w:pBdr>
        <w:bottom w:val="single" w:sz="4" w:space="1" w:color="auto"/>
      </w:pBdr>
    </w:pPr>
  </w:style>
  <w:style w:type="character" w:customStyle="1" w:styleId="SCCCoramChar">
    <w:name w:val="SCC.Coram Char"/>
    <w:basedOn w:val="DefaultParagraphFont"/>
    <w:link w:val="SCCCoram"/>
    <w:rsid w:val="001D5372"/>
    <w:rPr>
      <w:lang w:val="en-CA"/>
    </w:rPr>
  </w:style>
  <w:style w:type="paragraph" w:customStyle="1" w:styleId="SCCLsocParty">
    <w:name w:val="SCC.Lsoc.Party"/>
    <w:basedOn w:val="Normal"/>
    <w:next w:val="Normal"/>
    <w:link w:val="SCCLsocPartyChar"/>
    <w:uiPriority w:val="99"/>
    <w:rsid w:val="00FE4E64"/>
    <w:pPr>
      <w:jc w:val="center"/>
    </w:pPr>
    <w:rPr>
      <w:rFonts w:eastAsia="Calibri" w:cs="Times New Roman"/>
      <w:lang w:val="fr-CA"/>
    </w:rPr>
  </w:style>
  <w:style w:type="character" w:customStyle="1" w:styleId="SCCLsocPartyChar">
    <w:name w:val="SCC.Lsoc.Party Char"/>
    <w:basedOn w:val="DefaultParagraphFont"/>
    <w:link w:val="SCCLsocParty"/>
    <w:uiPriority w:val="99"/>
    <w:rsid w:val="00FE4E64"/>
    <w:rPr>
      <w:rFonts w:eastAsia="Calibri" w:cs="Times New Roman"/>
      <w:lang w:val="fr-CA"/>
    </w:rPr>
  </w:style>
  <w:style w:type="paragraph" w:customStyle="1" w:styleId="SCCFileNumber">
    <w:name w:val="SCC.FileNumber"/>
    <w:basedOn w:val="Normal"/>
    <w:next w:val="Normal"/>
    <w:link w:val="SCCFileNumberChar"/>
    <w:rsid w:val="00FE4E64"/>
    <w:pPr>
      <w:jc w:val="both"/>
    </w:pPr>
    <w:rPr>
      <w:rFonts w:eastAsia="Calibri" w:cs="Times New Roman"/>
      <w:b/>
    </w:rPr>
  </w:style>
  <w:style w:type="character" w:customStyle="1" w:styleId="SCCFileNumberChar">
    <w:name w:val="SCC.FileNumber Char"/>
    <w:basedOn w:val="DefaultParagraphFont"/>
    <w:link w:val="SCCFileNumber"/>
    <w:rsid w:val="00FE4E64"/>
    <w:rPr>
      <w:rFonts w:eastAsia="Calibri" w:cs="Times New Roman"/>
      <w:b/>
      <w:lang w:val="en-CA"/>
    </w:rPr>
  </w:style>
  <w:style w:type="paragraph" w:customStyle="1" w:styleId="SCCBanSummary">
    <w:name w:val="SCC.BanSummary"/>
    <w:basedOn w:val="Normal"/>
    <w:next w:val="Normal"/>
    <w:link w:val="SCCBanSummaryChar"/>
    <w:rsid w:val="00FE4E64"/>
    <w:pPr>
      <w:jc w:val="both"/>
    </w:pPr>
    <w:rPr>
      <w:rFonts w:eastAsia="Calibri" w:cs="Times New Roman"/>
      <w:smallCaps/>
    </w:rPr>
  </w:style>
  <w:style w:type="character" w:customStyle="1" w:styleId="SCCBanSummaryChar">
    <w:name w:val="SCC.BanSummary Char"/>
    <w:basedOn w:val="DefaultParagraphFont"/>
    <w:link w:val="SCCBanSummary"/>
    <w:rsid w:val="00FE4E64"/>
    <w:rPr>
      <w:rFonts w:eastAsia="Calibri" w:cs="Times New Roman"/>
      <w:smallCaps/>
      <w:lang w:val="en-CA"/>
    </w:rPr>
  </w:style>
  <w:style w:type="paragraph" w:customStyle="1" w:styleId="SCCLsoc">
    <w:name w:val="SCC.Lsoc"/>
    <w:basedOn w:val="Normal"/>
    <w:next w:val="Normal"/>
    <w:link w:val="SCCLsocChar"/>
    <w:rsid w:val="0025198A"/>
    <w:pPr>
      <w:jc w:val="center"/>
    </w:pPr>
    <w:rPr>
      <w:b/>
      <w:szCs w:val="24"/>
      <w:u w:val="single"/>
      <w:lang w:val="fr-CA"/>
    </w:rPr>
  </w:style>
  <w:style w:type="character" w:customStyle="1" w:styleId="SCCLsocChar">
    <w:name w:val="SCC.Lsoc Char"/>
    <w:basedOn w:val="DefaultParagraphFont"/>
    <w:link w:val="SCCLsoc"/>
    <w:rsid w:val="0025198A"/>
    <w:rPr>
      <w:b/>
      <w:szCs w:val="24"/>
      <w:u w:val="single"/>
      <w:lang w:val="fr-CA"/>
    </w:rPr>
  </w:style>
  <w:style w:type="paragraph" w:customStyle="1" w:styleId="SCCShortJudgment">
    <w:name w:val="SCC.ShortJudgment"/>
    <w:basedOn w:val="Normal"/>
    <w:qFormat/>
    <w:rsid w:val="0025198A"/>
    <w:pPr>
      <w:ind w:firstLine="720"/>
      <w:jc w:val="both"/>
    </w:pPr>
    <w:rPr>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oter" Target="footer23.xml"/><Relationship Id="rId63"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footer" Target="footer24.xml"/><Relationship Id="rId64" Type="http://schemas.openxmlformats.org/officeDocument/2006/relationships/footer" Target="footer28.xml"/><Relationship Id="rId8" Type="http://schemas.openxmlformats.org/officeDocument/2006/relationships/image" Target="media/image1.wmf"/><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3E9F-0E8E-445C-A349-B9C876EC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33804</Words>
  <Characters>192683</Characters>
  <Application>Microsoft Office Word</Application>
  <DocSecurity>0</DocSecurity>
  <Lines>1605</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2011-10-21T19:07:00Z</dcterms:created>
  <dcterms:modified xsi:type="dcterms:W3CDTF">2011-10-26T12:50:00Z</dcterms:modified>
</cp:coreProperties>
</file>