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D753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D753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D753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FD753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D7538" w:rsidTr="002E5576">
        <w:tc>
          <w:tcPr>
            <w:tcW w:w="4518" w:type="dxa"/>
          </w:tcPr>
          <w:p w:rsidR="00BF25F3" w:rsidRPr="002E2327" w:rsidRDefault="004D631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D631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E51CF8" w:rsidP="00F0068D">
      <w:pPr>
        <w:pBdr>
          <w:bottom w:val="single" w:sz="6" w:space="1" w:color="auto"/>
        </w:pBdr>
        <w:tabs>
          <w:tab w:val="center" w:pos="4680"/>
          <w:tab w:val="right" w:pos="9360"/>
        </w:tabs>
        <w:rPr>
          <w:lang w:val="fr-CA"/>
        </w:rPr>
      </w:pPr>
      <w:proofErr w:type="spellStart"/>
      <w:r>
        <w:rPr>
          <w:lang w:val="fr-CA"/>
        </w:rPr>
        <w:t>November</w:t>
      </w:r>
      <w:proofErr w:type="spellEnd"/>
      <w:r>
        <w:rPr>
          <w:lang w:val="fr-CA"/>
        </w:rPr>
        <w:t xml:space="preserve"> 10</w:t>
      </w:r>
      <w:r w:rsidR="00440E24" w:rsidRPr="00675479">
        <w:rPr>
          <w:lang w:val="fr-CA"/>
        </w:rPr>
        <w:t>, 201</w:t>
      </w:r>
      <w:r w:rsidR="003359D3">
        <w:rPr>
          <w:lang w:val="fr-CA"/>
        </w:rPr>
        <w:t>1</w:t>
      </w:r>
      <w:r w:rsidR="00F0068D" w:rsidRPr="00675479">
        <w:rPr>
          <w:lang w:val="fr-CA"/>
        </w:rPr>
        <w:tab/>
        <w:t>1</w:t>
      </w:r>
      <w:r>
        <w:rPr>
          <w:lang w:val="fr-CA"/>
        </w:rPr>
        <w:t>642</w:t>
      </w:r>
      <w:r w:rsidR="00F0068D" w:rsidRPr="00675479">
        <w:rPr>
          <w:lang w:val="fr-CA"/>
        </w:rPr>
        <w:t xml:space="preserve"> - </w:t>
      </w:r>
      <w:r w:rsidR="00A356C0">
        <w:rPr>
          <w:lang w:val="fr-CA"/>
        </w:rPr>
        <w:t>1662</w:t>
      </w:r>
      <w:r w:rsidR="00440E24" w:rsidRPr="00675479">
        <w:rPr>
          <w:lang w:val="fr-CA"/>
        </w:rPr>
        <w:tab/>
      </w:r>
      <w:r w:rsidR="00440E24" w:rsidRPr="002E2327">
        <w:rPr>
          <w:lang w:val="fr-CA"/>
        </w:rPr>
        <w:t xml:space="preserve">Le </w:t>
      </w:r>
      <w:r w:rsidR="003359D3">
        <w:rPr>
          <w:lang w:val="fr-CA"/>
        </w:rPr>
        <w:t>1</w:t>
      </w:r>
      <w:r>
        <w:rPr>
          <w:lang w:val="fr-CA"/>
        </w:rPr>
        <w:t>0 no</w:t>
      </w:r>
      <w:r w:rsidR="00440E24" w:rsidRPr="002E2327">
        <w:rPr>
          <w:lang w:val="fr-CA"/>
        </w:rPr>
        <w:t>v</w:t>
      </w:r>
      <w:r>
        <w:rPr>
          <w:lang w:val="fr-CA"/>
        </w:rPr>
        <w:t>emb</w:t>
      </w:r>
      <w:r w:rsidR="00440E24" w:rsidRPr="002E2327">
        <w:rPr>
          <w:lang w:val="fr-CA"/>
        </w:rPr>
        <w:t>r</w:t>
      </w:r>
      <w:r>
        <w:rPr>
          <w:lang w:val="fr-CA"/>
        </w:rPr>
        <w:t>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CD106E"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940CAD">
            <w:pPr>
              <w:tabs>
                <w:tab w:val="right" w:pos="9360"/>
              </w:tabs>
              <w:rPr>
                <w:rFonts w:cs="Times New Roman"/>
                <w:sz w:val="20"/>
                <w:szCs w:val="20"/>
              </w:rPr>
            </w:pPr>
          </w:p>
        </w:tc>
        <w:tc>
          <w:tcPr>
            <w:tcW w:w="1980" w:type="dxa"/>
          </w:tcPr>
          <w:p w:rsidR="0095096B" w:rsidRPr="002E2327" w:rsidRDefault="0063016C" w:rsidP="0095096B">
            <w:pPr>
              <w:jc w:val="center"/>
              <w:rPr>
                <w:rFonts w:cs="Times New Roman"/>
                <w:sz w:val="20"/>
                <w:szCs w:val="20"/>
              </w:rPr>
            </w:pPr>
            <w:r>
              <w:rPr>
                <w:rFonts w:cs="Times New Roman"/>
                <w:sz w:val="20"/>
                <w:szCs w:val="20"/>
              </w:rPr>
              <w:t xml:space="preserve">1642 </w:t>
            </w:r>
            <w:r w:rsidR="004D631F" w:rsidRPr="002E2327">
              <w:rPr>
                <w:rFonts w:cs="Times New Roman"/>
                <w:sz w:val="20"/>
                <w:szCs w:val="20"/>
              </w:rPr>
              <w:fldChar w:fldCharType="begin"/>
            </w:r>
            <w:r w:rsidR="0095096B" w:rsidRPr="002E2327">
              <w:rPr>
                <w:rFonts w:cs="Times New Roman"/>
                <w:sz w:val="20"/>
                <w:szCs w:val="20"/>
              </w:rPr>
              <w:instrText xml:space="preserve"> SEQ CHAPTER \h \r 1</w:instrText>
            </w:r>
            <w:r w:rsidR="004D631F"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1643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3016C" w:rsidP="0095096B">
            <w:pPr>
              <w:jc w:val="center"/>
              <w:rPr>
                <w:rFonts w:cs="Times New Roman"/>
                <w:sz w:val="20"/>
                <w:szCs w:val="20"/>
              </w:rPr>
            </w:pPr>
            <w:r>
              <w:rPr>
                <w:rFonts w:cs="Times New Roman"/>
                <w:sz w:val="20"/>
                <w:szCs w:val="20"/>
              </w:rPr>
              <w:t>1644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83EA3" w:rsidP="0095096B">
            <w:pPr>
              <w:jc w:val="center"/>
              <w:rPr>
                <w:rFonts w:cs="Times New Roman"/>
                <w:sz w:val="20"/>
                <w:szCs w:val="20"/>
              </w:rPr>
            </w:pPr>
            <w:r>
              <w:rPr>
                <w:rFonts w:cs="Times New Roman"/>
                <w:sz w:val="20"/>
                <w:szCs w:val="20"/>
              </w:rPr>
              <w:t xml:space="preserve">1645 </w:t>
            </w:r>
            <w:r w:rsidR="0095096B" w:rsidRPr="002E2327">
              <w:rPr>
                <w:rFonts w:cs="Times New Roman"/>
                <w:sz w:val="20"/>
                <w:szCs w:val="20"/>
              </w:rPr>
              <w:t>-</w:t>
            </w:r>
            <w:r w:rsidR="00231761">
              <w:rPr>
                <w:rFonts w:cs="Times New Roman"/>
                <w:sz w:val="20"/>
                <w:szCs w:val="20"/>
              </w:rPr>
              <w:t xml:space="preserve"> 1648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31761" w:rsidP="0095096B">
            <w:pPr>
              <w:jc w:val="center"/>
              <w:rPr>
                <w:rFonts w:cs="Times New Roman"/>
                <w:sz w:val="20"/>
                <w:szCs w:val="20"/>
              </w:rPr>
            </w:pPr>
            <w:r>
              <w:rPr>
                <w:rFonts w:cs="Times New Roman"/>
                <w:sz w:val="20"/>
                <w:szCs w:val="20"/>
              </w:rPr>
              <w:t>1649 - 1650</w:t>
            </w:r>
          </w:p>
          <w:p w:rsidR="0095096B" w:rsidRPr="002E2327" w:rsidRDefault="0095096B" w:rsidP="0095096B">
            <w:pPr>
              <w:jc w:val="center"/>
              <w:rPr>
                <w:rFonts w:cs="Times New Roman"/>
                <w:sz w:val="20"/>
                <w:szCs w:val="20"/>
              </w:rPr>
            </w:pPr>
          </w:p>
          <w:p w:rsidR="0095096B" w:rsidRPr="002E2327" w:rsidRDefault="00231761" w:rsidP="0095096B">
            <w:pPr>
              <w:jc w:val="center"/>
              <w:rPr>
                <w:rFonts w:cs="Times New Roman"/>
                <w:sz w:val="20"/>
                <w:szCs w:val="20"/>
              </w:rPr>
            </w:pPr>
            <w:r>
              <w:rPr>
                <w:rFonts w:cs="Times New Roman"/>
                <w:sz w:val="20"/>
                <w:szCs w:val="20"/>
              </w:rPr>
              <w:t>1651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31761" w:rsidP="0095096B">
            <w:pPr>
              <w:jc w:val="center"/>
              <w:rPr>
                <w:rFonts w:cs="Times New Roman"/>
                <w:sz w:val="20"/>
                <w:szCs w:val="20"/>
              </w:rPr>
            </w:pPr>
            <w:r>
              <w:rPr>
                <w:rFonts w:cs="Times New Roman"/>
                <w:sz w:val="20"/>
                <w:szCs w:val="20"/>
              </w:rPr>
              <w:t>1652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Default="00231761" w:rsidP="0095096B">
            <w:pPr>
              <w:jc w:val="center"/>
              <w:rPr>
                <w:rFonts w:cs="Times New Roman"/>
                <w:sz w:val="20"/>
                <w:szCs w:val="20"/>
              </w:rPr>
            </w:pPr>
            <w:r>
              <w:rPr>
                <w:rFonts w:cs="Times New Roman"/>
                <w:sz w:val="20"/>
                <w:szCs w:val="20"/>
              </w:rPr>
              <w:t xml:space="preserve">1653 </w:t>
            </w:r>
            <w:r w:rsidR="00FD7538">
              <w:rPr>
                <w:rFonts w:cs="Times New Roman"/>
                <w:sz w:val="20"/>
                <w:szCs w:val="20"/>
              </w:rPr>
              <w:t>- 1655</w:t>
            </w:r>
          </w:p>
          <w:p w:rsidR="00FD7538" w:rsidRPr="002E2327" w:rsidRDefault="00FD7538"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31761" w:rsidP="0095096B">
            <w:pPr>
              <w:jc w:val="center"/>
              <w:rPr>
                <w:rFonts w:cs="Times New Roman"/>
                <w:sz w:val="20"/>
                <w:szCs w:val="20"/>
              </w:rPr>
            </w:pPr>
            <w:r>
              <w:rPr>
                <w:rFonts w:cs="Times New Roman"/>
                <w:sz w:val="20"/>
                <w:szCs w:val="20"/>
              </w:rPr>
              <w:t>1656</w:t>
            </w:r>
          </w:p>
          <w:p w:rsidR="0095096B" w:rsidRPr="002E2327" w:rsidRDefault="0095096B" w:rsidP="0095096B">
            <w:pPr>
              <w:jc w:val="center"/>
              <w:rPr>
                <w:rFonts w:cs="Times New Roman"/>
                <w:sz w:val="20"/>
                <w:szCs w:val="20"/>
              </w:rPr>
            </w:pPr>
          </w:p>
          <w:p w:rsidR="00231761" w:rsidRDefault="00231761" w:rsidP="0095096B">
            <w:pPr>
              <w:jc w:val="center"/>
              <w:rPr>
                <w:rFonts w:cs="Times New Roman"/>
                <w:sz w:val="20"/>
                <w:szCs w:val="20"/>
              </w:rPr>
            </w:pPr>
          </w:p>
          <w:p w:rsidR="0095096B" w:rsidRPr="002E2327" w:rsidRDefault="00231761" w:rsidP="0095096B">
            <w:pPr>
              <w:jc w:val="center"/>
              <w:rPr>
                <w:rFonts w:cs="Times New Roman"/>
                <w:sz w:val="20"/>
                <w:szCs w:val="20"/>
              </w:rPr>
            </w:pPr>
            <w:r>
              <w:rPr>
                <w:rFonts w:cs="Times New Roman"/>
                <w:sz w:val="20"/>
                <w:szCs w:val="20"/>
              </w:rPr>
              <w:t xml:space="preserve">1657 </w:t>
            </w:r>
            <w:r w:rsidR="0095096B" w:rsidRPr="002E2327">
              <w:rPr>
                <w:rFonts w:cs="Times New Roman"/>
                <w:sz w:val="20"/>
                <w:szCs w:val="20"/>
              </w:rPr>
              <w:t>-</w:t>
            </w:r>
            <w:r>
              <w:rPr>
                <w:rFonts w:cs="Times New Roman"/>
                <w:sz w:val="20"/>
                <w:szCs w:val="20"/>
              </w:rPr>
              <w:t xml:space="preserve"> 1662</w:t>
            </w:r>
          </w:p>
          <w:p w:rsidR="00A87207" w:rsidRPr="002E2327" w:rsidRDefault="00A87207" w:rsidP="00B83EA3">
            <w:pPr>
              <w:jc w:val="center"/>
              <w:rPr>
                <w:rFonts w:cs="Times New Roman"/>
                <w:sz w:val="20"/>
                <w:szCs w:val="20"/>
              </w:rPr>
            </w:pPr>
          </w:p>
        </w:tc>
        <w:tc>
          <w:tcPr>
            <w:tcW w:w="3888" w:type="dxa"/>
          </w:tcPr>
          <w:p w:rsidR="0095096B" w:rsidRPr="002E2327" w:rsidRDefault="004D631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40CAD">
            <w:pPr>
              <w:rPr>
                <w:rFonts w:cs="Times New Roman"/>
                <w:sz w:val="20"/>
                <w:szCs w:val="20"/>
                <w:lang w:val="fr-CA"/>
              </w:rPr>
            </w:pPr>
          </w:p>
        </w:tc>
      </w:tr>
    </w:tbl>
    <w:p w:rsidR="0095096B" w:rsidRPr="00CD106E" w:rsidRDefault="0095096B" w:rsidP="0095096B">
      <w:pPr>
        <w:tabs>
          <w:tab w:val="right" w:pos="9360"/>
        </w:tabs>
        <w:rPr>
          <w:lang w:val="fr-CA"/>
        </w:rPr>
      </w:pPr>
    </w:p>
    <w:p w:rsidR="00940CAD" w:rsidRPr="00CD106E" w:rsidRDefault="00940CAD" w:rsidP="0095096B">
      <w:pPr>
        <w:tabs>
          <w:tab w:val="right" w:pos="9360"/>
        </w:tabs>
        <w:rPr>
          <w:lang w:val="fr-CA"/>
        </w:rPr>
      </w:pPr>
    </w:p>
    <w:p w:rsidR="00940CAD" w:rsidRPr="00CD106E" w:rsidRDefault="00940CAD" w:rsidP="0095096B">
      <w:pPr>
        <w:tabs>
          <w:tab w:val="right" w:pos="9360"/>
        </w:tabs>
        <w:rPr>
          <w:lang w:val="fr-CA"/>
        </w:rPr>
      </w:pPr>
    </w:p>
    <w:p w:rsidR="00940CAD" w:rsidRPr="00CD106E" w:rsidRDefault="00940CAD" w:rsidP="0095096B">
      <w:pPr>
        <w:tabs>
          <w:tab w:val="right" w:pos="9360"/>
        </w:tabs>
        <w:rPr>
          <w:lang w:val="fr-CA"/>
        </w:rPr>
      </w:pPr>
    </w:p>
    <w:p w:rsidR="00940CAD" w:rsidRPr="00CD106E" w:rsidRDefault="00940CAD" w:rsidP="0095096B">
      <w:pPr>
        <w:tabs>
          <w:tab w:val="right" w:pos="9360"/>
        </w:tabs>
        <w:rPr>
          <w:lang w:val="fr-CA"/>
        </w:rPr>
      </w:pPr>
    </w:p>
    <w:p w:rsidR="00940CAD" w:rsidRPr="00CD106E" w:rsidRDefault="00940CAD" w:rsidP="0095096B">
      <w:pPr>
        <w:tabs>
          <w:tab w:val="right" w:pos="9360"/>
        </w:tabs>
        <w:rPr>
          <w:lang w:val="fr-CA"/>
        </w:rPr>
      </w:pPr>
    </w:p>
    <w:tbl>
      <w:tblPr>
        <w:tblStyle w:val="TableGrid"/>
        <w:tblW w:w="0" w:type="auto"/>
        <w:tblLook w:val="04A0"/>
      </w:tblPr>
      <w:tblGrid>
        <w:gridCol w:w="9576"/>
      </w:tblGrid>
      <w:tr w:rsidR="0079724F" w:rsidRPr="00FD753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4946FB" w:rsidRDefault="004946FB" w:rsidP="003B3977">
            <w:pPr>
              <w:rPr>
                <w:b/>
                <w:sz w:val="20"/>
                <w:szCs w:val="20"/>
                <w:lang w:val="fr-CA"/>
              </w:rPr>
            </w:pPr>
            <w:r w:rsidRPr="004946FB">
              <w:rPr>
                <w:b/>
                <w:sz w:val="20"/>
                <w:szCs w:val="20"/>
                <w:lang w:val="fr-CA"/>
              </w:rPr>
              <w:t xml:space="preserve">V.I. </w:t>
            </w:r>
            <w:proofErr w:type="spellStart"/>
            <w:r w:rsidRPr="004946FB">
              <w:rPr>
                <w:b/>
                <w:sz w:val="20"/>
                <w:szCs w:val="20"/>
                <w:lang w:val="fr-CA"/>
              </w:rPr>
              <w:t>Fabrikant</w:t>
            </w:r>
            <w:proofErr w:type="spellEnd"/>
          </w:p>
          <w:p w:rsidR="00242AEE" w:rsidRPr="004946FB" w:rsidRDefault="00242AEE" w:rsidP="003B3977">
            <w:pPr>
              <w:tabs>
                <w:tab w:val="left" w:pos="-1440"/>
                <w:tab w:val="left" w:pos="-720"/>
              </w:tabs>
              <w:rPr>
                <w:sz w:val="20"/>
                <w:szCs w:val="20"/>
                <w:lang w:val="fr-CA"/>
              </w:rPr>
            </w:pPr>
            <w:r w:rsidRPr="004946FB">
              <w:rPr>
                <w:sz w:val="20"/>
                <w:szCs w:val="20"/>
                <w:lang w:val="fr-CA"/>
              </w:rPr>
              <w:tab/>
            </w:r>
            <w:r w:rsidR="004946FB" w:rsidRPr="004946FB">
              <w:rPr>
                <w:sz w:val="20"/>
                <w:szCs w:val="20"/>
                <w:lang w:val="fr-CA"/>
              </w:rPr>
              <w:t xml:space="preserve">V.I. </w:t>
            </w:r>
            <w:proofErr w:type="spellStart"/>
            <w:r w:rsidR="004946FB" w:rsidRPr="004946FB">
              <w:rPr>
                <w:sz w:val="20"/>
                <w:szCs w:val="20"/>
                <w:lang w:val="fr-CA"/>
              </w:rPr>
              <w:t>Fabrikant</w:t>
            </w:r>
            <w:proofErr w:type="spellEnd"/>
          </w:p>
          <w:p w:rsidR="00242AEE" w:rsidRPr="004946FB" w:rsidRDefault="00242AEE" w:rsidP="003B3977">
            <w:pPr>
              <w:tabs>
                <w:tab w:val="left" w:pos="-1440"/>
                <w:tab w:val="left" w:pos="-720"/>
              </w:tabs>
              <w:rPr>
                <w:sz w:val="20"/>
                <w:szCs w:val="20"/>
                <w:lang w:val="fr-CA"/>
              </w:rPr>
            </w:pPr>
          </w:p>
          <w:p w:rsidR="00242AEE" w:rsidRPr="0087440A" w:rsidRDefault="00242AEE" w:rsidP="003B3977">
            <w:pPr>
              <w:tabs>
                <w:tab w:val="left" w:pos="-1440"/>
                <w:tab w:val="left" w:pos="-720"/>
              </w:tabs>
              <w:rPr>
                <w:sz w:val="20"/>
                <w:szCs w:val="20"/>
                <w:lang w:val="fr-CA"/>
              </w:rPr>
            </w:pPr>
            <w:r w:rsidRPr="004946FB">
              <w:rPr>
                <w:sz w:val="20"/>
                <w:szCs w:val="20"/>
                <w:lang w:val="fr-CA"/>
              </w:rPr>
              <w:tab/>
            </w:r>
            <w:r w:rsidR="004946FB" w:rsidRPr="0087440A">
              <w:rPr>
                <w:sz w:val="20"/>
                <w:szCs w:val="20"/>
                <w:lang w:val="fr-CA"/>
              </w:rPr>
              <w:t>v</w:t>
            </w:r>
            <w:r w:rsidRPr="0087440A">
              <w:rPr>
                <w:sz w:val="20"/>
                <w:szCs w:val="20"/>
                <w:lang w:val="fr-CA"/>
              </w:rPr>
              <w:t>. (3</w:t>
            </w:r>
            <w:r w:rsidR="00E51CF8" w:rsidRPr="0087440A">
              <w:rPr>
                <w:sz w:val="20"/>
                <w:szCs w:val="20"/>
                <w:lang w:val="fr-CA"/>
              </w:rPr>
              <w:t>4</w:t>
            </w:r>
            <w:r w:rsidR="004946FB" w:rsidRPr="0087440A">
              <w:rPr>
                <w:sz w:val="20"/>
                <w:szCs w:val="20"/>
                <w:lang w:val="fr-CA"/>
              </w:rPr>
              <w:t>488</w:t>
            </w:r>
            <w:r w:rsidRPr="0087440A">
              <w:rPr>
                <w:sz w:val="20"/>
                <w:szCs w:val="20"/>
                <w:lang w:val="fr-CA"/>
              </w:rPr>
              <w:t>)</w:t>
            </w:r>
          </w:p>
          <w:p w:rsidR="00242AEE" w:rsidRPr="0087440A" w:rsidRDefault="00242AEE" w:rsidP="003B3977">
            <w:pPr>
              <w:tabs>
                <w:tab w:val="left" w:pos="-1440"/>
                <w:tab w:val="left" w:pos="-720"/>
              </w:tabs>
              <w:rPr>
                <w:sz w:val="20"/>
                <w:szCs w:val="20"/>
                <w:lang w:val="fr-CA"/>
              </w:rPr>
            </w:pPr>
          </w:p>
          <w:p w:rsidR="00242AEE" w:rsidRPr="0087440A" w:rsidRDefault="004946FB" w:rsidP="003B3977">
            <w:pPr>
              <w:tabs>
                <w:tab w:val="left" w:pos="-1440"/>
                <w:tab w:val="left" w:pos="-720"/>
              </w:tabs>
              <w:rPr>
                <w:b/>
                <w:sz w:val="20"/>
                <w:szCs w:val="20"/>
              </w:rPr>
            </w:pPr>
            <w:r w:rsidRPr="004946FB">
              <w:rPr>
                <w:b/>
                <w:sz w:val="20"/>
                <w:szCs w:val="20"/>
                <w:lang w:val="fr-CA"/>
              </w:rPr>
              <w:t xml:space="preserve">M. </w:t>
            </w:r>
            <w:proofErr w:type="spellStart"/>
            <w:r w:rsidRPr="004946FB">
              <w:rPr>
                <w:b/>
                <w:sz w:val="20"/>
                <w:szCs w:val="20"/>
                <w:lang w:val="fr-CA"/>
              </w:rPr>
              <w:t>Eisenberg</w:t>
            </w:r>
            <w:proofErr w:type="spellEnd"/>
            <w:r w:rsidRPr="004946FB">
              <w:rPr>
                <w:b/>
                <w:sz w:val="20"/>
                <w:szCs w:val="20"/>
                <w:lang w:val="fr-CA"/>
              </w:rPr>
              <w:t xml:space="preserve"> et al. </w:t>
            </w:r>
            <w:r w:rsidR="00242AEE" w:rsidRPr="0087440A">
              <w:rPr>
                <w:b/>
                <w:sz w:val="20"/>
                <w:szCs w:val="20"/>
              </w:rPr>
              <w:t>(</w:t>
            </w:r>
            <w:r w:rsidRPr="0087440A">
              <w:rPr>
                <w:b/>
                <w:sz w:val="20"/>
                <w:szCs w:val="20"/>
              </w:rPr>
              <w:t>Que</w:t>
            </w:r>
            <w:r w:rsidR="00242AEE" w:rsidRPr="0087440A">
              <w:rPr>
                <w:b/>
                <w:sz w:val="20"/>
                <w:szCs w:val="20"/>
              </w:rPr>
              <w:t>.)</w:t>
            </w:r>
          </w:p>
          <w:p w:rsidR="00242AEE" w:rsidRPr="004946FB" w:rsidRDefault="00242AEE" w:rsidP="003B3977">
            <w:pPr>
              <w:tabs>
                <w:tab w:val="left" w:pos="-1440"/>
                <w:tab w:val="left" w:pos="-720"/>
              </w:tabs>
              <w:rPr>
                <w:sz w:val="20"/>
                <w:szCs w:val="20"/>
              </w:rPr>
            </w:pPr>
            <w:r w:rsidRPr="0087440A">
              <w:rPr>
                <w:sz w:val="20"/>
                <w:szCs w:val="20"/>
              </w:rPr>
              <w:tab/>
            </w:r>
            <w:r w:rsidR="004946FB" w:rsidRPr="004946FB">
              <w:rPr>
                <w:sz w:val="20"/>
                <w:szCs w:val="20"/>
              </w:rPr>
              <w:t xml:space="preserve">J.R. </w:t>
            </w:r>
            <w:proofErr w:type="spellStart"/>
            <w:r w:rsidR="004946FB" w:rsidRPr="004946FB">
              <w:rPr>
                <w:sz w:val="20"/>
                <w:szCs w:val="20"/>
              </w:rPr>
              <w:t>Kristian</w:t>
            </w:r>
            <w:proofErr w:type="spellEnd"/>
            <w:r w:rsidR="004946FB" w:rsidRPr="004946FB">
              <w:rPr>
                <w:sz w:val="20"/>
                <w:szCs w:val="20"/>
              </w:rPr>
              <w:t xml:space="preserve"> </w:t>
            </w:r>
            <w:proofErr w:type="spellStart"/>
            <w:r w:rsidR="004946FB" w:rsidRPr="004946FB">
              <w:rPr>
                <w:sz w:val="20"/>
                <w:szCs w:val="20"/>
              </w:rPr>
              <w:t>Brabander</w:t>
            </w:r>
            <w:proofErr w:type="spellEnd"/>
          </w:p>
          <w:p w:rsidR="00242AEE" w:rsidRPr="004946FB" w:rsidRDefault="00242AEE" w:rsidP="003B3977">
            <w:pPr>
              <w:tabs>
                <w:tab w:val="left" w:pos="-1440"/>
                <w:tab w:val="left" w:pos="-720"/>
              </w:tabs>
              <w:rPr>
                <w:sz w:val="20"/>
                <w:szCs w:val="20"/>
              </w:rPr>
            </w:pPr>
            <w:r w:rsidRPr="004946FB">
              <w:rPr>
                <w:sz w:val="20"/>
                <w:szCs w:val="20"/>
              </w:rPr>
              <w:tab/>
            </w:r>
            <w:r w:rsidR="00403FC5">
              <w:rPr>
                <w:sz w:val="20"/>
                <w:szCs w:val="20"/>
              </w:rPr>
              <w:t xml:space="preserve">McCarthy </w:t>
            </w:r>
            <w:proofErr w:type="spellStart"/>
            <w:r w:rsidR="00403FC5">
              <w:rPr>
                <w:sz w:val="20"/>
                <w:szCs w:val="20"/>
              </w:rPr>
              <w:t>Té</w:t>
            </w:r>
            <w:r w:rsidR="004946FB" w:rsidRPr="004946FB">
              <w:rPr>
                <w:sz w:val="20"/>
                <w:szCs w:val="20"/>
              </w:rPr>
              <w:t>trault</w:t>
            </w:r>
            <w:proofErr w:type="spellEnd"/>
            <w:r w:rsidR="004946FB" w:rsidRPr="004946FB">
              <w:rPr>
                <w:sz w:val="20"/>
                <w:szCs w:val="20"/>
              </w:rPr>
              <w:t xml:space="preserve"> LLP</w:t>
            </w:r>
          </w:p>
          <w:p w:rsidR="00242AEE" w:rsidRPr="004946FB"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4946FB">
              <w:rPr>
                <w:sz w:val="20"/>
                <w:szCs w:val="20"/>
              </w:rPr>
              <w:t>16</w:t>
            </w:r>
            <w:r w:rsidRPr="00A935AA">
              <w:rPr>
                <w:sz w:val="20"/>
                <w:szCs w:val="20"/>
              </w:rPr>
              <w:t>.0</w:t>
            </w:r>
            <w:r w:rsidR="004946FB">
              <w:rPr>
                <w:sz w:val="20"/>
                <w:szCs w:val="20"/>
              </w:rPr>
              <w:t>9</w:t>
            </w:r>
            <w:r w:rsidRPr="00A935AA">
              <w:rPr>
                <w:sz w:val="20"/>
                <w:szCs w:val="20"/>
              </w:rPr>
              <w:t>.201</w:t>
            </w:r>
            <w:r w:rsidR="00E51CF8">
              <w:rPr>
                <w:sz w:val="20"/>
                <w:szCs w:val="20"/>
              </w:rPr>
              <w:t>1</w:t>
            </w:r>
          </w:p>
          <w:p w:rsidR="00242AEE" w:rsidRPr="00A935AA" w:rsidRDefault="004D631F" w:rsidP="003B3977">
            <w:pPr>
              <w:rPr>
                <w:sz w:val="20"/>
                <w:szCs w:val="20"/>
              </w:rPr>
            </w:pPr>
            <w:r w:rsidRPr="004D631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242AEE" w:rsidP="004946FB">
            <w:pPr>
              <w:rPr>
                <w:sz w:val="20"/>
                <w:szCs w:val="20"/>
              </w:rPr>
            </w:pPr>
          </w:p>
        </w:tc>
      </w:tr>
      <w:tr w:rsidR="002F799C" w:rsidRPr="00A935AA" w:rsidTr="003B3977">
        <w:tc>
          <w:tcPr>
            <w:tcW w:w="4320" w:type="dxa"/>
            <w:shd w:val="clear" w:color="auto" w:fill="auto"/>
          </w:tcPr>
          <w:p w:rsidR="002F799C" w:rsidRPr="00A935AA" w:rsidRDefault="004946FB" w:rsidP="0093057E">
            <w:pPr>
              <w:rPr>
                <w:b/>
                <w:sz w:val="20"/>
                <w:szCs w:val="20"/>
              </w:rPr>
            </w:pPr>
            <w:r>
              <w:rPr>
                <w:b/>
                <w:sz w:val="20"/>
                <w:szCs w:val="20"/>
              </w:rPr>
              <w:t>Elva Bottineau</w:t>
            </w:r>
          </w:p>
          <w:p w:rsidR="002F799C" w:rsidRPr="00A935AA" w:rsidRDefault="002F799C" w:rsidP="0093057E">
            <w:pPr>
              <w:tabs>
                <w:tab w:val="left" w:pos="-1440"/>
                <w:tab w:val="left" w:pos="-720"/>
              </w:tabs>
              <w:rPr>
                <w:sz w:val="20"/>
                <w:szCs w:val="20"/>
              </w:rPr>
            </w:pPr>
            <w:r w:rsidRPr="00A935AA">
              <w:rPr>
                <w:sz w:val="20"/>
                <w:szCs w:val="20"/>
              </w:rPr>
              <w:tab/>
            </w:r>
            <w:r w:rsidR="004946FB">
              <w:rPr>
                <w:sz w:val="20"/>
                <w:szCs w:val="20"/>
              </w:rPr>
              <w:t xml:space="preserve">Anil K. </w:t>
            </w:r>
            <w:proofErr w:type="spellStart"/>
            <w:r w:rsidR="004946FB">
              <w:rPr>
                <w:sz w:val="20"/>
                <w:szCs w:val="20"/>
              </w:rPr>
              <w:t>Kapoor</w:t>
            </w:r>
            <w:proofErr w:type="spellEnd"/>
          </w:p>
          <w:p w:rsidR="002F799C" w:rsidRPr="00A935AA" w:rsidRDefault="002F799C" w:rsidP="0093057E">
            <w:pPr>
              <w:tabs>
                <w:tab w:val="left" w:pos="-1440"/>
                <w:tab w:val="left" w:pos="-720"/>
              </w:tabs>
              <w:rPr>
                <w:sz w:val="20"/>
                <w:szCs w:val="20"/>
              </w:rPr>
            </w:pPr>
            <w:r w:rsidRPr="00A935AA">
              <w:rPr>
                <w:sz w:val="20"/>
                <w:szCs w:val="20"/>
              </w:rPr>
              <w:tab/>
            </w:r>
            <w:proofErr w:type="spellStart"/>
            <w:r w:rsidR="004946FB">
              <w:rPr>
                <w:sz w:val="20"/>
                <w:szCs w:val="20"/>
              </w:rPr>
              <w:t>Kapoor</w:t>
            </w:r>
            <w:proofErr w:type="spellEnd"/>
            <w:r w:rsidR="004946FB">
              <w:rPr>
                <w:sz w:val="20"/>
                <w:szCs w:val="20"/>
              </w:rPr>
              <w:t xml:space="preserve"> Barristers</w:t>
            </w:r>
          </w:p>
          <w:p w:rsidR="002F799C" w:rsidRPr="00A935AA" w:rsidRDefault="002F799C" w:rsidP="0093057E">
            <w:pPr>
              <w:tabs>
                <w:tab w:val="left" w:pos="-1440"/>
                <w:tab w:val="left" w:pos="-720"/>
              </w:tabs>
              <w:rPr>
                <w:sz w:val="20"/>
                <w:szCs w:val="20"/>
              </w:rPr>
            </w:pPr>
          </w:p>
          <w:p w:rsidR="002F799C" w:rsidRPr="00A935AA" w:rsidRDefault="002F799C" w:rsidP="0093057E">
            <w:pPr>
              <w:tabs>
                <w:tab w:val="left" w:pos="-1440"/>
                <w:tab w:val="left" w:pos="-720"/>
              </w:tabs>
              <w:rPr>
                <w:sz w:val="20"/>
                <w:szCs w:val="20"/>
              </w:rPr>
            </w:pPr>
            <w:r w:rsidRPr="00A935AA">
              <w:rPr>
                <w:sz w:val="20"/>
                <w:szCs w:val="20"/>
              </w:rPr>
              <w:tab/>
              <w:t>v. (3</w:t>
            </w:r>
            <w:r>
              <w:rPr>
                <w:sz w:val="20"/>
                <w:szCs w:val="20"/>
              </w:rPr>
              <w:t>4</w:t>
            </w:r>
            <w:r w:rsidR="004946FB">
              <w:rPr>
                <w:sz w:val="20"/>
                <w:szCs w:val="20"/>
              </w:rPr>
              <w:t>491</w:t>
            </w:r>
            <w:r w:rsidRPr="00A935AA">
              <w:rPr>
                <w:sz w:val="20"/>
                <w:szCs w:val="20"/>
              </w:rPr>
              <w:t>)</w:t>
            </w:r>
          </w:p>
          <w:p w:rsidR="002F799C" w:rsidRPr="00A935AA" w:rsidRDefault="002F799C" w:rsidP="0093057E">
            <w:pPr>
              <w:tabs>
                <w:tab w:val="left" w:pos="-1440"/>
                <w:tab w:val="left" w:pos="-720"/>
              </w:tabs>
              <w:rPr>
                <w:sz w:val="20"/>
                <w:szCs w:val="20"/>
              </w:rPr>
            </w:pPr>
          </w:p>
          <w:p w:rsidR="002F799C" w:rsidRPr="00A935AA" w:rsidRDefault="004946FB" w:rsidP="0093057E">
            <w:pPr>
              <w:tabs>
                <w:tab w:val="left" w:pos="-1440"/>
                <w:tab w:val="left" w:pos="-720"/>
              </w:tabs>
              <w:rPr>
                <w:b/>
                <w:sz w:val="20"/>
                <w:szCs w:val="20"/>
              </w:rPr>
            </w:pPr>
            <w:r>
              <w:rPr>
                <w:b/>
                <w:sz w:val="20"/>
                <w:szCs w:val="20"/>
              </w:rPr>
              <w:t xml:space="preserve">Her Majesty the Queen </w:t>
            </w:r>
            <w:r w:rsidR="002F799C" w:rsidRPr="00A935AA">
              <w:rPr>
                <w:b/>
                <w:sz w:val="20"/>
                <w:szCs w:val="20"/>
              </w:rPr>
              <w:t>(</w:t>
            </w:r>
            <w:r>
              <w:rPr>
                <w:b/>
                <w:sz w:val="20"/>
                <w:szCs w:val="20"/>
              </w:rPr>
              <w:t>Ont</w:t>
            </w:r>
            <w:r w:rsidR="002F799C" w:rsidRPr="00A935AA">
              <w:rPr>
                <w:b/>
                <w:sz w:val="20"/>
                <w:szCs w:val="20"/>
              </w:rPr>
              <w:t>.)</w:t>
            </w:r>
          </w:p>
          <w:p w:rsidR="002F799C" w:rsidRPr="00A935AA" w:rsidRDefault="002F799C" w:rsidP="0093057E">
            <w:pPr>
              <w:tabs>
                <w:tab w:val="left" w:pos="-1440"/>
                <w:tab w:val="left" w:pos="-720"/>
              </w:tabs>
              <w:rPr>
                <w:sz w:val="20"/>
                <w:szCs w:val="20"/>
              </w:rPr>
            </w:pPr>
            <w:r w:rsidRPr="00A935AA">
              <w:rPr>
                <w:sz w:val="20"/>
                <w:szCs w:val="20"/>
              </w:rPr>
              <w:tab/>
            </w:r>
            <w:r w:rsidR="004946FB">
              <w:rPr>
                <w:sz w:val="20"/>
                <w:szCs w:val="20"/>
              </w:rPr>
              <w:t xml:space="preserve">Rosella M. </w:t>
            </w:r>
            <w:proofErr w:type="spellStart"/>
            <w:r w:rsidR="004946FB">
              <w:rPr>
                <w:sz w:val="20"/>
                <w:szCs w:val="20"/>
              </w:rPr>
              <w:t>Cornaviera</w:t>
            </w:r>
            <w:proofErr w:type="spellEnd"/>
          </w:p>
          <w:p w:rsidR="002F799C" w:rsidRPr="00A935AA" w:rsidRDefault="002F799C" w:rsidP="0093057E">
            <w:pPr>
              <w:tabs>
                <w:tab w:val="left" w:pos="-1440"/>
                <w:tab w:val="left" w:pos="-720"/>
              </w:tabs>
              <w:rPr>
                <w:sz w:val="20"/>
                <w:szCs w:val="20"/>
              </w:rPr>
            </w:pPr>
            <w:r w:rsidRPr="00A935AA">
              <w:rPr>
                <w:sz w:val="20"/>
                <w:szCs w:val="20"/>
              </w:rPr>
              <w:tab/>
            </w:r>
            <w:r w:rsidR="004946FB">
              <w:rPr>
                <w:sz w:val="20"/>
                <w:szCs w:val="20"/>
              </w:rPr>
              <w:t>A.G. of Ontario</w:t>
            </w:r>
          </w:p>
          <w:p w:rsidR="002F799C" w:rsidRPr="00A935AA" w:rsidRDefault="002F799C" w:rsidP="0093057E">
            <w:pPr>
              <w:tabs>
                <w:tab w:val="left" w:pos="-1440"/>
                <w:tab w:val="left" w:pos="-720"/>
              </w:tabs>
              <w:rPr>
                <w:sz w:val="20"/>
                <w:szCs w:val="20"/>
              </w:rPr>
            </w:pPr>
          </w:p>
          <w:p w:rsidR="002F799C" w:rsidRPr="00A935AA" w:rsidRDefault="002F799C" w:rsidP="0093057E">
            <w:pPr>
              <w:rPr>
                <w:sz w:val="20"/>
                <w:szCs w:val="20"/>
              </w:rPr>
            </w:pPr>
            <w:r w:rsidRPr="00A935AA">
              <w:rPr>
                <w:sz w:val="20"/>
                <w:szCs w:val="20"/>
              </w:rPr>
              <w:t xml:space="preserve">FILING DATE: </w:t>
            </w:r>
            <w:r w:rsidR="004946FB">
              <w:rPr>
                <w:sz w:val="20"/>
                <w:szCs w:val="20"/>
              </w:rPr>
              <w:t>14</w:t>
            </w:r>
            <w:r w:rsidRPr="00A935AA">
              <w:rPr>
                <w:sz w:val="20"/>
                <w:szCs w:val="20"/>
              </w:rPr>
              <w:t>.</w:t>
            </w:r>
            <w:r>
              <w:rPr>
                <w:sz w:val="20"/>
                <w:szCs w:val="20"/>
              </w:rPr>
              <w:t>1</w:t>
            </w:r>
            <w:r w:rsidRPr="00A935AA">
              <w:rPr>
                <w:sz w:val="20"/>
                <w:szCs w:val="20"/>
              </w:rPr>
              <w:t>0.201</w:t>
            </w:r>
            <w:r>
              <w:rPr>
                <w:sz w:val="20"/>
                <w:szCs w:val="20"/>
              </w:rPr>
              <w:t>1</w:t>
            </w:r>
          </w:p>
          <w:p w:rsidR="002F799C" w:rsidRPr="00A935AA" w:rsidRDefault="004D631F" w:rsidP="0093057E">
            <w:pPr>
              <w:rPr>
                <w:sz w:val="20"/>
                <w:szCs w:val="20"/>
              </w:rPr>
            </w:pPr>
            <w:r w:rsidRPr="004D631F">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tc>
        <w:tc>
          <w:tcPr>
            <w:tcW w:w="4320" w:type="dxa"/>
            <w:shd w:val="clear" w:color="auto" w:fill="auto"/>
          </w:tcPr>
          <w:p w:rsidR="002F799C" w:rsidRDefault="002F799C" w:rsidP="0093057E">
            <w:pPr>
              <w:keepNext/>
              <w:keepLines/>
              <w:tabs>
                <w:tab w:val="left" w:pos="-1440"/>
                <w:tab w:val="left" w:pos="-720"/>
              </w:tabs>
              <w:rPr>
                <w:b/>
                <w:sz w:val="20"/>
                <w:szCs w:val="20"/>
              </w:rPr>
            </w:pPr>
          </w:p>
          <w:p w:rsidR="004946FB" w:rsidRPr="004946FB" w:rsidRDefault="004946FB" w:rsidP="0093057E">
            <w:pPr>
              <w:keepNext/>
              <w:keepLines/>
              <w:tabs>
                <w:tab w:val="left" w:pos="-1440"/>
                <w:tab w:val="left" w:pos="-720"/>
              </w:tabs>
              <w:rPr>
                <w:b/>
                <w:sz w:val="20"/>
                <w:szCs w:val="20"/>
                <w:lang w:val="fr-CA"/>
              </w:rPr>
            </w:pPr>
            <w:r w:rsidRPr="004946FB">
              <w:rPr>
                <w:b/>
                <w:sz w:val="20"/>
                <w:szCs w:val="20"/>
                <w:lang w:val="fr-CA"/>
              </w:rPr>
              <w:t>Barreau du Québec</w:t>
            </w:r>
          </w:p>
          <w:p w:rsidR="002F799C" w:rsidRPr="004946FB" w:rsidRDefault="002F799C" w:rsidP="0093057E">
            <w:pPr>
              <w:keepNext/>
              <w:keepLines/>
              <w:tabs>
                <w:tab w:val="left" w:pos="-1440"/>
                <w:tab w:val="left" w:pos="-720"/>
              </w:tabs>
              <w:rPr>
                <w:sz w:val="20"/>
                <w:szCs w:val="20"/>
                <w:lang w:val="fr-CA"/>
              </w:rPr>
            </w:pPr>
            <w:r w:rsidRPr="004946FB">
              <w:rPr>
                <w:sz w:val="20"/>
                <w:szCs w:val="20"/>
                <w:lang w:val="fr-CA"/>
              </w:rPr>
              <w:tab/>
            </w:r>
            <w:r w:rsidR="00F373F1">
              <w:rPr>
                <w:sz w:val="20"/>
                <w:szCs w:val="20"/>
                <w:lang w:val="fr-CA"/>
              </w:rPr>
              <w:t xml:space="preserve">Daniel </w:t>
            </w:r>
            <w:proofErr w:type="spellStart"/>
            <w:r w:rsidR="00F373F1">
              <w:rPr>
                <w:sz w:val="20"/>
                <w:szCs w:val="20"/>
                <w:lang w:val="fr-CA"/>
              </w:rPr>
              <w:t>Chénard</w:t>
            </w:r>
            <w:proofErr w:type="spellEnd"/>
          </w:p>
          <w:p w:rsidR="002F799C" w:rsidRPr="004946FB" w:rsidRDefault="002F799C" w:rsidP="0093057E">
            <w:pPr>
              <w:keepNext/>
              <w:keepLines/>
              <w:tabs>
                <w:tab w:val="left" w:pos="-1440"/>
                <w:tab w:val="left" w:pos="-720"/>
              </w:tabs>
              <w:rPr>
                <w:sz w:val="20"/>
                <w:szCs w:val="20"/>
                <w:lang w:val="fr-CA"/>
              </w:rPr>
            </w:pPr>
          </w:p>
          <w:p w:rsidR="002F799C" w:rsidRPr="004946FB" w:rsidRDefault="002F799C" w:rsidP="0093057E">
            <w:pPr>
              <w:keepNext/>
              <w:keepLines/>
              <w:tabs>
                <w:tab w:val="left" w:pos="-1440"/>
                <w:tab w:val="left" w:pos="-720"/>
              </w:tabs>
              <w:rPr>
                <w:sz w:val="20"/>
                <w:szCs w:val="20"/>
                <w:lang w:val="fr-CA"/>
              </w:rPr>
            </w:pPr>
            <w:r w:rsidRPr="004946FB">
              <w:rPr>
                <w:sz w:val="20"/>
                <w:szCs w:val="20"/>
                <w:lang w:val="fr-CA"/>
              </w:rPr>
              <w:tab/>
            </w:r>
            <w:r w:rsidR="004946FB" w:rsidRPr="004946FB">
              <w:rPr>
                <w:sz w:val="20"/>
                <w:szCs w:val="20"/>
                <w:lang w:val="fr-CA"/>
              </w:rPr>
              <w:t>c</w:t>
            </w:r>
            <w:r w:rsidRPr="004946FB">
              <w:rPr>
                <w:sz w:val="20"/>
                <w:szCs w:val="20"/>
                <w:lang w:val="fr-CA"/>
              </w:rPr>
              <w:t>. (34</w:t>
            </w:r>
            <w:r w:rsidR="004946FB" w:rsidRPr="004946FB">
              <w:rPr>
                <w:sz w:val="20"/>
                <w:szCs w:val="20"/>
                <w:lang w:val="fr-CA"/>
              </w:rPr>
              <w:t>495</w:t>
            </w:r>
            <w:r w:rsidRPr="004946FB">
              <w:rPr>
                <w:sz w:val="20"/>
                <w:szCs w:val="20"/>
                <w:lang w:val="fr-CA"/>
              </w:rPr>
              <w:t>)</w:t>
            </w:r>
          </w:p>
          <w:p w:rsidR="002F799C" w:rsidRPr="004946FB" w:rsidRDefault="002F799C" w:rsidP="0093057E">
            <w:pPr>
              <w:keepNext/>
              <w:keepLines/>
              <w:tabs>
                <w:tab w:val="left" w:pos="-1440"/>
                <w:tab w:val="left" w:pos="-720"/>
              </w:tabs>
              <w:rPr>
                <w:sz w:val="20"/>
                <w:szCs w:val="20"/>
                <w:lang w:val="fr-CA"/>
              </w:rPr>
            </w:pPr>
          </w:p>
          <w:p w:rsidR="002F799C" w:rsidRPr="0087440A" w:rsidRDefault="004946FB" w:rsidP="0093057E">
            <w:pPr>
              <w:keepNext/>
              <w:keepLines/>
              <w:tabs>
                <w:tab w:val="left" w:pos="-1440"/>
                <w:tab w:val="left" w:pos="-720"/>
              </w:tabs>
              <w:rPr>
                <w:b/>
                <w:sz w:val="20"/>
                <w:szCs w:val="20"/>
              </w:rPr>
            </w:pPr>
            <w:r w:rsidRPr="0087440A">
              <w:rPr>
                <w:b/>
                <w:sz w:val="20"/>
                <w:szCs w:val="20"/>
              </w:rPr>
              <w:t xml:space="preserve">Micheline Parizeau </w:t>
            </w:r>
            <w:r w:rsidR="002F799C" w:rsidRPr="0087440A">
              <w:rPr>
                <w:b/>
                <w:sz w:val="20"/>
                <w:szCs w:val="20"/>
              </w:rPr>
              <w:t>(</w:t>
            </w:r>
            <w:r w:rsidRPr="0087440A">
              <w:rPr>
                <w:b/>
                <w:sz w:val="20"/>
                <w:szCs w:val="20"/>
              </w:rPr>
              <w:t>Qc</w:t>
            </w:r>
            <w:r w:rsidR="002F799C" w:rsidRPr="0087440A">
              <w:rPr>
                <w:b/>
                <w:sz w:val="20"/>
                <w:szCs w:val="20"/>
              </w:rPr>
              <w:t>)</w:t>
            </w:r>
          </w:p>
          <w:p w:rsidR="002F799C" w:rsidRPr="00F373F1" w:rsidRDefault="002F799C" w:rsidP="0093057E">
            <w:pPr>
              <w:keepNext/>
              <w:keepLines/>
              <w:tabs>
                <w:tab w:val="left" w:pos="-1440"/>
                <w:tab w:val="left" w:pos="-720"/>
              </w:tabs>
              <w:rPr>
                <w:sz w:val="20"/>
                <w:szCs w:val="20"/>
              </w:rPr>
            </w:pPr>
            <w:r w:rsidRPr="0087440A">
              <w:rPr>
                <w:sz w:val="20"/>
                <w:szCs w:val="20"/>
              </w:rPr>
              <w:tab/>
            </w:r>
            <w:r w:rsidR="00F373F1" w:rsidRPr="00F373F1">
              <w:rPr>
                <w:sz w:val="20"/>
                <w:szCs w:val="20"/>
              </w:rPr>
              <w:t>James Woods</w:t>
            </w:r>
          </w:p>
          <w:p w:rsidR="002F799C" w:rsidRPr="00F373F1" w:rsidRDefault="002F799C" w:rsidP="0093057E">
            <w:pPr>
              <w:keepNext/>
              <w:keepLines/>
              <w:tabs>
                <w:tab w:val="left" w:pos="-1440"/>
                <w:tab w:val="left" w:pos="-720"/>
              </w:tabs>
              <w:rPr>
                <w:sz w:val="20"/>
                <w:szCs w:val="20"/>
              </w:rPr>
            </w:pPr>
            <w:r w:rsidRPr="00F373F1">
              <w:rPr>
                <w:sz w:val="20"/>
                <w:szCs w:val="20"/>
              </w:rPr>
              <w:tab/>
            </w:r>
            <w:r w:rsidR="00F373F1" w:rsidRPr="00F373F1">
              <w:rPr>
                <w:sz w:val="20"/>
                <w:szCs w:val="20"/>
              </w:rPr>
              <w:t xml:space="preserve">Woods </w:t>
            </w:r>
            <w:proofErr w:type="spellStart"/>
            <w:r w:rsidR="00F373F1" w:rsidRPr="00F373F1">
              <w:rPr>
                <w:sz w:val="20"/>
                <w:szCs w:val="20"/>
              </w:rPr>
              <w:t>s.e.n.c.r.l</w:t>
            </w:r>
            <w:proofErr w:type="spellEnd"/>
            <w:r w:rsidR="00F373F1" w:rsidRPr="00F373F1">
              <w:rPr>
                <w:sz w:val="20"/>
                <w:szCs w:val="20"/>
              </w:rPr>
              <w:t>.</w:t>
            </w:r>
          </w:p>
          <w:p w:rsidR="002F799C" w:rsidRPr="00F373F1" w:rsidRDefault="002F799C" w:rsidP="0093057E">
            <w:pPr>
              <w:keepNext/>
              <w:keepLines/>
              <w:tabs>
                <w:tab w:val="left" w:pos="-1440"/>
                <w:tab w:val="left" w:pos="-720"/>
              </w:tabs>
              <w:rPr>
                <w:sz w:val="20"/>
                <w:szCs w:val="20"/>
              </w:rPr>
            </w:pPr>
          </w:p>
          <w:p w:rsidR="002F799C" w:rsidRPr="00A935AA" w:rsidRDefault="002F799C" w:rsidP="00F373F1">
            <w:pPr>
              <w:rPr>
                <w:sz w:val="20"/>
                <w:szCs w:val="20"/>
              </w:rPr>
            </w:pPr>
            <w:r w:rsidRPr="00A935AA">
              <w:rPr>
                <w:sz w:val="20"/>
                <w:szCs w:val="20"/>
              </w:rPr>
              <w:t>DATE</w:t>
            </w:r>
            <w:r w:rsidR="00F373F1">
              <w:rPr>
                <w:sz w:val="20"/>
                <w:szCs w:val="20"/>
              </w:rPr>
              <w:t xml:space="preserve"> DE PRODUCTION </w:t>
            </w:r>
            <w:r w:rsidRPr="00A935AA">
              <w:rPr>
                <w:sz w:val="20"/>
                <w:szCs w:val="20"/>
              </w:rPr>
              <w:t xml:space="preserve">: </w:t>
            </w:r>
            <w:r w:rsidR="00F373F1">
              <w:rPr>
                <w:sz w:val="20"/>
                <w:szCs w:val="20"/>
              </w:rPr>
              <w:t>14</w:t>
            </w:r>
            <w:r w:rsidRPr="00A935AA">
              <w:rPr>
                <w:sz w:val="20"/>
                <w:szCs w:val="20"/>
              </w:rPr>
              <w:t>.</w:t>
            </w:r>
            <w:r>
              <w:rPr>
                <w:sz w:val="20"/>
                <w:szCs w:val="20"/>
              </w:rPr>
              <w:t>10</w:t>
            </w:r>
            <w:r w:rsidRPr="00A935AA">
              <w:rPr>
                <w:sz w:val="20"/>
                <w:szCs w:val="20"/>
              </w:rPr>
              <w:t>.201</w:t>
            </w:r>
            <w:r>
              <w:rPr>
                <w:sz w:val="20"/>
                <w:szCs w:val="20"/>
              </w:rPr>
              <w:t>1</w:t>
            </w:r>
            <w:r w:rsidR="004D631F" w:rsidRPr="004D631F">
              <w:rPr>
                <w:sz w:val="20"/>
                <w:szCs w:val="20"/>
                <w:lang w:val="fr-CA"/>
              </w:rPr>
              <w:pict>
                <v:rect id="_x0000_i1028" style="width:108pt;height:1pt" o:hrpct="0" o:hralign="center" o:hrstd="t" o:hrnoshade="t" o:hr="t" fillcolor="black [3213]" stroked="f"/>
              </w:pict>
            </w:r>
          </w:p>
        </w:tc>
      </w:tr>
      <w:tr w:rsidR="002F799C" w:rsidRPr="00A935AA" w:rsidTr="003B3977">
        <w:tc>
          <w:tcPr>
            <w:tcW w:w="4320" w:type="dxa"/>
            <w:shd w:val="clear" w:color="auto" w:fill="auto"/>
          </w:tcPr>
          <w:p w:rsidR="002F799C" w:rsidRPr="00A935AA" w:rsidRDefault="00F373F1" w:rsidP="0093057E">
            <w:pPr>
              <w:rPr>
                <w:b/>
                <w:sz w:val="20"/>
                <w:szCs w:val="20"/>
              </w:rPr>
            </w:pPr>
            <w:r>
              <w:rPr>
                <w:b/>
                <w:sz w:val="20"/>
                <w:szCs w:val="20"/>
              </w:rPr>
              <w:t>United Nurses of Alberta, Local 85</w:t>
            </w:r>
          </w:p>
          <w:p w:rsidR="002F799C" w:rsidRPr="00A935AA" w:rsidRDefault="002F799C" w:rsidP="0093057E">
            <w:pPr>
              <w:tabs>
                <w:tab w:val="left" w:pos="-1440"/>
                <w:tab w:val="left" w:pos="-720"/>
              </w:tabs>
              <w:rPr>
                <w:sz w:val="20"/>
                <w:szCs w:val="20"/>
              </w:rPr>
            </w:pPr>
            <w:r w:rsidRPr="00A935AA">
              <w:rPr>
                <w:sz w:val="20"/>
                <w:szCs w:val="20"/>
              </w:rPr>
              <w:tab/>
            </w:r>
            <w:proofErr w:type="spellStart"/>
            <w:r w:rsidR="00F373F1">
              <w:rPr>
                <w:sz w:val="20"/>
                <w:szCs w:val="20"/>
              </w:rPr>
              <w:t>Ritu</w:t>
            </w:r>
            <w:proofErr w:type="spellEnd"/>
            <w:r w:rsidR="00F373F1">
              <w:rPr>
                <w:sz w:val="20"/>
                <w:szCs w:val="20"/>
              </w:rPr>
              <w:t xml:space="preserve"> </w:t>
            </w:r>
            <w:proofErr w:type="spellStart"/>
            <w:r w:rsidR="00F373F1">
              <w:rPr>
                <w:sz w:val="20"/>
                <w:szCs w:val="20"/>
              </w:rPr>
              <w:t>Khullar</w:t>
            </w:r>
            <w:proofErr w:type="spellEnd"/>
          </w:p>
          <w:p w:rsidR="002F799C" w:rsidRPr="00A935AA" w:rsidRDefault="002F799C" w:rsidP="0093057E">
            <w:pPr>
              <w:tabs>
                <w:tab w:val="left" w:pos="-1440"/>
                <w:tab w:val="left" w:pos="-720"/>
              </w:tabs>
              <w:rPr>
                <w:sz w:val="20"/>
                <w:szCs w:val="20"/>
              </w:rPr>
            </w:pPr>
            <w:r w:rsidRPr="00A935AA">
              <w:rPr>
                <w:sz w:val="20"/>
                <w:szCs w:val="20"/>
              </w:rPr>
              <w:tab/>
            </w:r>
            <w:proofErr w:type="spellStart"/>
            <w:r w:rsidR="00F373F1">
              <w:rPr>
                <w:sz w:val="20"/>
                <w:szCs w:val="20"/>
              </w:rPr>
              <w:t>Chivers</w:t>
            </w:r>
            <w:proofErr w:type="spellEnd"/>
            <w:r w:rsidR="00F373F1">
              <w:rPr>
                <w:sz w:val="20"/>
                <w:szCs w:val="20"/>
              </w:rPr>
              <w:t xml:space="preserve"> Carpenter</w:t>
            </w:r>
          </w:p>
          <w:p w:rsidR="002F799C" w:rsidRPr="00A935AA" w:rsidRDefault="002F799C" w:rsidP="0093057E">
            <w:pPr>
              <w:tabs>
                <w:tab w:val="left" w:pos="-1440"/>
                <w:tab w:val="left" w:pos="-720"/>
              </w:tabs>
              <w:rPr>
                <w:sz w:val="20"/>
                <w:szCs w:val="20"/>
              </w:rPr>
            </w:pPr>
          </w:p>
          <w:p w:rsidR="002F799C" w:rsidRPr="00A935AA" w:rsidRDefault="002F799C" w:rsidP="0093057E">
            <w:pPr>
              <w:tabs>
                <w:tab w:val="left" w:pos="-1440"/>
                <w:tab w:val="left" w:pos="-720"/>
              </w:tabs>
              <w:rPr>
                <w:sz w:val="20"/>
                <w:szCs w:val="20"/>
              </w:rPr>
            </w:pPr>
            <w:r w:rsidRPr="00A935AA">
              <w:rPr>
                <w:sz w:val="20"/>
                <w:szCs w:val="20"/>
              </w:rPr>
              <w:tab/>
              <w:t>v. (3</w:t>
            </w:r>
            <w:r>
              <w:rPr>
                <w:sz w:val="20"/>
                <w:szCs w:val="20"/>
              </w:rPr>
              <w:t>4</w:t>
            </w:r>
            <w:r w:rsidR="00F373F1">
              <w:rPr>
                <w:sz w:val="20"/>
                <w:szCs w:val="20"/>
              </w:rPr>
              <w:t>498</w:t>
            </w:r>
            <w:r w:rsidRPr="00A935AA">
              <w:rPr>
                <w:sz w:val="20"/>
                <w:szCs w:val="20"/>
              </w:rPr>
              <w:t>)</w:t>
            </w:r>
          </w:p>
          <w:p w:rsidR="002F799C" w:rsidRPr="00A935AA" w:rsidRDefault="002F799C" w:rsidP="0093057E">
            <w:pPr>
              <w:tabs>
                <w:tab w:val="left" w:pos="-1440"/>
                <w:tab w:val="left" w:pos="-720"/>
              </w:tabs>
              <w:rPr>
                <w:sz w:val="20"/>
                <w:szCs w:val="20"/>
              </w:rPr>
            </w:pPr>
          </w:p>
          <w:p w:rsidR="002F799C" w:rsidRPr="00A935AA" w:rsidRDefault="00F373F1" w:rsidP="0093057E">
            <w:pPr>
              <w:tabs>
                <w:tab w:val="left" w:pos="-1440"/>
                <w:tab w:val="left" w:pos="-720"/>
              </w:tabs>
              <w:rPr>
                <w:b/>
                <w:sz w:val="20"/>
                <w:szCs w:val="20"/>
              </w:rPr>
            </w:pPr>
            <w:r>
              <w:rPr>
                <w:b/>
                <w:sz w:val="20"/>
                <w:szCs w:val="20"/>
              </w:rPr>
              <w:t xml:space="preserve">Capital Health Authority (Sturgeon Community Hospital) </w:t>
            </w:r>
            <w:r w:rsidR="002F799C" w:rsidRPr="00A935AA">
              <w:rPr>
                <w:b/>
                <w:sz w:val="20"/>
                <w:szCs w:val="20"/>
              </w:rPr>
              <w:t>(</w:t>
            </w:r>
            <w:r>
              <w:rPr>
                <w:b/>
                <w:sz w:val="20"/>
                <w:szCs w:val="20"/>
              </w:rPr>
              <w:t>Alta</w:t>
            </w:r>
            <w:r w:rsidR="002F799C" w:rsidRPr="00A935AA">
              <w:rPr>
                <w:b/>
                <w:sz w:val="20"/>
                <w:szCs w:val="20"/>
              </w:rPr>
              <w:t>.)</w:t>
            </w:r>
          </w:p>
          <w:p w:rsidR="002F799C" w:rsidRPr="00A935AA" w:rsidRDefault="002F799C" w:rsidP="0093057E">
            <w:pPr>
              <w:tabs>
                <w:tab w:val="left" w:pos="-1440"/>
                <w:tab w:val="left" w:pos="-720"/>
              </w:tabs>
              <w:rPr>
                <w:sz w:val="20"/>
                <w:szCs w:val="20"/>
              </w:rPr>
            </w:pPr>
            <w:r w:rsidRPr="00A935AA">
              <w:rPr>
                <w:sz w:val="20"/>
                <w:szCs w:val="20"/>
              </w:rPr>
              <w:tab/>
            </w:r>
            <w:r w:rsidR="00F373F1">
              <w:rPr>
                <w:sz w:val="20"/>
                <w:szCs w:val="20"/>
              </w:rPr>
              <w:t xml:space="preserve">Anna Maria </w:t>
            </w:r>
            <w:proofErr w:type="spellStart"/>
            <w:r w:rsidR="00F373F1">
              <w:rPr>
                <w:sz w:val="20"/>
                <w:szCs w:val="20"/>
              </w:rPr>
              <w:t>Moscardelli</w:t>
            </w:r>
            <w:proofErr w:type="spellEnd"/>
          </w:p>
          <w:p w:rsidR="002F799C" w:rsidRPr="00A935AA" w:rsidRDefault="002F799C" w:rsidP="0093057E">
            <w:pPr>
              <w:tabs>
                <w:tab w:val="left" w:pos="-1440"/>
                <w:tab w:val="left" w:pos="-720"/>
              </w:tabs>
              <w:rPr>
                <w:sz w:val="20"/>
                <w:szCs w:val="20"/>
              </w:rPr>
            </w:pPr>
            <w:r w:rsidRPr="00A935AA">
              <w:rPr>
                <w:sz w:val="20"/>
                <w:szCs w:val="20"/>
              </w:rPr>
              <w:tab/>
            </w:r>
            <w:proofErr w:type="spellStart"/>
            <w:r w:rsidR="00F373F1">
              <w:rPr>
                <w:sz w:val="20"/>
                <w:szCs w:val="20"/>
              </w:rPr>
              <w:t>Neuman</w:t>
            </w:r>
            <w:proofErr w:type="spellEnd"/>
            <w:r w:rsidR="00F373F1">
              <w:rPr>
                <w:sz w:val="20"/>
                <w:szCs w:val="20"/>
              </w:rPr>
              <w:t xml:space="preserve"> Thompson</w:t>
            </w:r>
          </w:p>
          <w:p w:rsidR="002F799C" w:rsidRPr="00A935AA" w:rsidRDefault="002F799C" w:rsidP="0093057E">
            <w:pPr>
              <w:tabs>
                <w:tab w:val="left" w:pos="-1440"/>
                <w:tab w:val="left" w:pos="-720"/>
              </w:tabs>
              <w:rPr>
                <w:sz w:val="20"/>
                <w:szCs w:val="20"/>
              </w:rPr>
            </w:pPr>
          </w:p>
          <w:p w:rsidR="002F799C" w:rsidRPr="00A935AA" w:rsidRDefault="002F799C" w:rsidP="0093057E">
            <w:pPr>
              <w:rPr>
                <w:sz w:val="20"/>
                <w:szCs w:val="20"/>
              </w:rPr>
            </w:pPr>
            <w:r w:rsidRPr="00A935AA">
              <w:rPr>
                <w:sz w:val="20"/>
                <w:szCs w:val="20"/>
              </w:rPr>
              <w:t xml:space="preserve">FILING DATE: </w:t>
            </w:r>
            <w:r w:rsidR="00F373F1">
              <w:rPr>
                <w:sz w:val="20"/>
                <w:szCs w:val="20"/>
              </w:rPr>
              <w:t>14</w:t>
            </w:r>
            <w:r w:rsidRPr="00A935AA">
              <w:rPr>
                <w:sz w:val="20"/>
                <w:szCs w:val="20"/>
              </w:rPr>
              <w:t>.</w:t>
            </w:r>
            <w:r>
              <w:rPr>
                <w:sz w:val="20"/>
                <w:szCs w:val="20"/>
              </w:rPr>
              <w:t>1</w:t>
            </w:r>
            <w:r w:rsidRPr="00A935AA">
              <w:rPr>
                <w:sz w:val="20"/>
                <w:szCs w:val="20"/>
              </w:rPr>
              <w:t>0.201</w:t>
            </w:r>
            <w:r>
              <w:rPr>
                <w:sz w:val="20"/>
                <w:szCs w:val="20"/>
              </w:rPr>
              <w:t>1</w:t>
            </w:r>
          </w:p>
          <w:p w:rsidR="002F799C" w:rsidRPr="00A935AA" w:rsidRDefault="004D631F" w:rsidP="0093057E">
            <w:pPr>
              <w:rPr>
                <w:sz w:val="20"/>
                <w:szCs w:val="20"/>
              </w:rPr>
            </w:pPr>
            <w:r w:rsidRPr="004D631F">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Default="002F799C" w:rsidP="00242AEE">
            <w:pPr>
              <w:jc w:val="center"/>
              <w:rPr>
                <w:sz w:val="20"/>
                <w:szCs w:val="20"/>
              </w:rPr>
            </w:pPr>
          </w:p>
          <w:p w:rsidR="002F799C" w:rsidRDefault="002F799C" w:rsidP="00242AEE">
            <w:pPr>
              <w:jc w:val="center"/>
              <w:rPr>
                <w:sz w:val="20"/>
                <w:szCs w:val="20"/>
              </w:rPr>
            </w:pPr>
          </w:p>
          <w:p w:rsidR="002F799C" w:rsidRPr="00A935AA" w:rsidRDefault="002F799C" w:rsidP="00242AEE">
            <w:pPr>
              <w:jc w:val="center"/>
              <w:rPr>
                <w:sz w:val="20"/>
                <w:szCs w:val="20"/>
              </w:rPr>
            </w:pPr>
          </w:p>
        </w:tc>
        <w:tc>
          <w:tcPr>
            <w:tcW w:w="4320" w:type="dxa"/>
            <w:shd w:val="clear" w:color="auto" w:fill="auto"/>
          </w:tcPr>
          <w:p w:rsidR="002F799C" w:rsidRPr="00F373F1" w:rsidRDefault="00F373F1" w:rsidP="0093057E">
            <w:pPr>
              <w:keepNext/>
              <w:keepLines/>
              <w:tabs>
                <w:tab w:val="left" w:pos="-1440"/>
                <w:tab w:val="left" w:pos="-720"/>
              </w:tabs>
              <w:rPr>
                <w:b/>
                <w:sz w:val="20"/>
                <w:szCs w:val="20"/>
                <w:lang w:val="fr-CA"/>
              </w:rPr>
            </w:pPr>
            <w:r w:rsidRPr="00F373F1">
              <w:rPr>
                <w:b/>
                <w:sz w:val="20"/>
                <w:szCs w:val="20"/>
                <w:lang w:val="fr-CA"/>
              </w:rPr>
              <w:t>Pfizer Canada Inc. et al.</w:t>
            </w:r>
          </w:p>
          <w:p w:rsidR="002F799C" w:rsidRPr="00F373F1" w:rsidRDefault="002F799C" w:rsidP="0093057E">
            <w:pPr>
              <w:keepNext/>
              <w:keepLines/>
              <w:tabs>
                <w:tab w:val="left" w:pos="-1440"/>
                <w:tab w:val="left" w:pos="-720"/>
              </w:tabs>
              <w:rPr>
                <w:sz w:val="20"/>
                <w:szCs w:val="20"/>
              </w:rPr>
            </w:pPr>
            <w:r w:rsidRPr="00F373F1">
              <w:rPr>
                <w:sz w:val="20"/>
                <w:szCs w:val="20"/>
                <w:lang w:val="fr-CA"/>
              </w:rPr>
              <w:tab/>
            </w:r>
            <w:r w:rsidR="00F373F1" w:rsidRPr="00F373F1">
              <w:rPr>
                <w:sz w:val="20"/>
                <w:szCs w:val="20"/>
              </w:rPr>
              <w:t>Judith Robinson</w:t>
            </w:r>
          </w:p>
          <w:p w:rsidR="002F799C" w:rsidRPr="00F373F1" w:rsidRDefault="002F799C" w:rsidP="0093057E">
            <w:pPr>
              <w:keepNext/>
              <w:keepLines/>
              <w:tabs>
                <w:tab w:val="left" w:pos="-1440"/>
                <w:tab w:val="left" w:pos="-720"/>
              </w:tabs>
              <w:rPr>
                <w:sz w:val="20"/>
                <w:szCs w:val="20"/>
              </w:rPr>
            </w:pPr>
            <w:r w:rsidRPr="00F373F1">
              <w:rPr>
                <w:sz w:val="20"/>
                <w:szCs w:val="20"/>
              </w:rPr>
              <w:tab/>
            </w:r>
            <w:r w:rsidR="00F373F1" w:rsidRPr="00F373F1">
              <w:rPr>
                <w:sz w:val="20"/>
                <w:szCs w:val="20"/>
              </w:rPr>
              <w:t>Norton Rose OR LLP</w:t>
            </w:r>
          </w:p>
          <w:p w:rsidR="002F799C" w:rsidRPr="00F373F1" w:rsidRDefault="002F799C" w:rsidP="0093057E">
            <w:pPr>
              <w:keepNext/>
              <w:keepLines/>
              <w:tabs>
                <w:tab w:val="left" w:pos="-1440"/>
                <w:tab w:val="left" w:pos="-720"/>
              </w:tabs>
              <w:rPr>
                <w:sz w:val="20"/>
                <w:szCs w:val="20"/>
              </w:rPr>
            </w:pPr>
          </w:p>
          <w:p w:rsidR="002F799C" w:rsidRPr="0087440A" w:rsidRDefault="002F799C" w:rsidP="0093057E">
            <w:pPr>
              <w:keepNext/>
              <w:keepLines/>
              <w:tabs>
                <w:tab w:val="left" w:pos="-1440"/>
                <w:tab w:val="left" w:pos="-720"/>
              </w:tabs>
              <w:rPr>
                <w:sz w:val="20"/>
                <w:szCs w:val="20"/>
                <w:lang w:val="fr-CA"/>
              </w:rPr>
            </w:pPr>
            <w:r w:rsidRPr="00F373F1">
              <w:rPr>
                <w:sz w:val="20"/>
                <w:szCs w:val="20"/>
              </w:rPr>
              <w:tab/>
            </w:r>
            <w:r w:rsidRPr="0087440A">
              <w:rPr>
                <w:sz w:val="20"/>
                <w:szCs w:val="20"/>
                <w:lang w:val="fr-CA"/>
              </w:rPr>
              <w:t>v. (34</w:t>
            </w:r>
            <w:r w:rsidR="00F373F1" w:rsidRPr="0087440A">
              <w:rPr>
                <w:sz w:val="20"/>
                <w:szCs w:val="20"/>
                <w:lang w:val="fr-CA"/>
              </w:rPr>
              <w:t>497</w:t>
            </w:r>
            <w:r w:rsidRPr="0087440A">
              <w:rPr>
                <w:sz w:val="20"/>
                <w:szCs w:val="20"/>
                <w:lang w:val="fr-CA"/>
              </w:rPr>
              <w:t>)</w:t>
            </w:r>
          </w:p>
          <w:p w:rsidR="002F799C" w:rsidRPr="0087440A" w:rsidRDefault="002F799C" w:rsidP="0093057E">
            <w:pPr>
              <w:keepNext/>
              <w:keepLines/>
              <w:tabs>
                <w:tab w:val="left" w:pos="-1440"/>
                <w:tab w:val="left" w:pos="-720"/>
              </w:tabs>
              <w:rPr>
                <w:sz w:val="20"/>
                <w:szCs w:val="20"/>
                <w:lang w:val="fr-CA"/>
              </w:rPr>
            </w:pPr>
          </w:p>
          <w:p w:rsidR="002F799C" w:rsidRPr="0087440A" w:rsidRDefault="00F373F1" w:rsidP="0093057E">
            <w:pPr>
              <w:keepNext/>
              <w:keepLines/>
              <w:tabs>
                <w:tab w:val="left" w:pos="-1440"/>
                <w:tab w:val="left" w:pos="-720"/>
              </w:tabs>
              <w:rPr>
                <w:b/>
                <w:sz w:val="20"/>
                <w:szCs w:val="20"/>
                <w:lang w:val="fr-CA"/>
              </w:rPr>
            </w:pPr>
            <w:proofErr w:type="spellStart"/>
            <w:r w:rsidRPr="0087440A">
              <w:rPr>
                <w:b/>
                <w:sz w:val="20"/>
                <w:szCs w:val="20"/>
                <w:lang w:val="fr-CA"/>
              </w:rPr>
              <w:t>Apotex</w:t>
            </w:r>
            <w:proofErr w:type="spellEnd"/>
            <w:r w:rsidRPr="0087440A">
              <w:rPr>
                <w:b/>
                <w:sz w:val="20"/>
                <w:szCs w:val="20"/>
                <w:lang w:val="fr-CA"/>
              </w:rPr>
              <w:t xml:space="preserve"> Inc. </w:t>
            </w:r>
            <w:r w:rsidR="002F799C" w:rsidRPr="0087440A">
              <w:rPr>
                <w:b/>
                <w:sz w:val="20"/>
                <w:szCs w:val="20"/>
                <w:lang w:val="fr-CA"/>
              </w:rPr>
              <w:t>(</w:t>
            </w:r>
            <w:r w:rsidRPr="0087440A">
              <w:rPr>
                <w:b/>
                <w:sz w:val="20"/>
                <w:szCs w:val="20"/>
                <w:lang w:val="fr-CA"/>
              </w:rPr>
              <w:t>F</w:t>
            </w:r>
            <w:r w:rsidR="002F799C" w:rsidRPr="0087440A">
              <w:rPr>
                <w:b/>
                <w:sz w:val="20"/>
                <w:szCs w:val="20"/>
                <w:lang w:val="fr-CA"/>
              </w:rPr>
              <w:t>.</w:t>
            </w:r>
            <w:r w:rsidRPr="0087440A">
              <w:rPr>
                <w:b/>
                <w:sz w:val="20"/>
                <w:szCs w:val="20"/>
                <w:lang w:val="fr-CA"/>
              </w:rPr>
              <w:t>C.</w:t>
            </w:r>
            <w:r w:rsidR="002F799C" w:rsidRPr="0087440A">
              <w:rPr>
                <w:b/>
                <w:sz w:val="20"/>
                <w:szCs w:val="20"/>
                <w:lang w:val="fr-CA"/>
              </w:rPr>
              <w:t>)</w:t>
            </w:r>
          </w:p>
          <w:p w:rsidR="002F799C" w:rsidRPr="00F373F1" w:rsidRDefault="002F799C" w:rsidP="0093057E">
            <w:pPr>
              <w:keepNext/>
              <w:keepLines/>
              <w:tabs>
                <w:tab w:val="left" w:pos="-1440"/>
                <w:tab w:val="left" w:pos="-720"/>
              </w:tabs>
              <w:rPr>
                <w:sz w:val="20"/>
                <w:szCs w:val="20"/>
              </w:rPr>
            </w:pPr>
            <w:r w:rsidRPr="0087440A">
              <w:rPr>
                <w:sz w:val="20"/>
                <w:szCs w:val="20"/>
                <w:lang w:val="fr-CA"/>
              </w:rPr>
              <w:tab/>
            </w:r>
            <w:r w:rsidR="00F373F1">
              <w:rPr>
                <w:sz w:val="20"/>
                <w:szCs w:val="20"/>
              </w:rPr>
              <w:t xml:space="preserve">Andrew R. </w:t>
            </w:r>
            <w:proofErr w:type="spellStart"/>
            <w:r w:rsidR="00F373F1">
              <w:rPr>
                <w:sz w:val="20"/>
                <w:szCs w:val="20"/>
              </w:rPr>
              <w:t>Brodkin</w:t>
            </w:r>
            <w:proofErr w:type="spellEnd"/>
          </w:p>
          <w:p w:rsidR="002F799C" w:rsidRPr="00F373F1" w:rsidRDefault="002F799C" w:rsidP="0093057E">
            <w:pPr>
              <w:keepNext/>
              <w:keepLines/>
              <w:tabs>
                <w:tab w:val="left" w:pos="-1440"/>
                <w:tab w:val="left" w:pos="-720"/>
              </w:tabs>
              <w:rPr>
                <w:sz w:val="20"/>
                <w:szCs w:val="20"/>
              </w:rPr>
            </w:pPr>
            <w:r w:rsidRPr="00F373F1">
              <w:rPr>
                <w:sz w:val="20"/>
                <w:szCs w:val="20"/>
              </w:rPr>
              <w:tab/>
            </w:r>
            <w:proofErr w:type="spellStart"/>
            <w:r w:rsidR="00F373F1">
              <w:rPr>
                <w:sz w:val="20"/>
                <w:szCs w:val="20"/>
              </w:rPr>
              <w:t>Goodmans</w:t>
            </w:r>
            <w:proofErr w:type="spellEnd"/>
            <w:r w:rsidR="00F373F1">
              <w:rPr>
                <w:sz w:val="20"/>
                <w:szCs w:val="20"/>
              </w:rPr>
              <w:t xml:space="preserve"> LLP</w:t>
            </w:r>
          </w:p>
          <w:p w:rsidR="002F799C" w:rsidRPr="00F373F1" w:rsidRDefault="002F799C" w:rsidP="0093057E">
            <w:pPr>
              <w:keepNext/>
              <w:keepLines/>
              <w:tabs>
                <w:tab w:val="left" w:pos="-1440"/>
                <w:tab w:val="left" w:pos="-720"/>
              </w:tabs>
              <w:rPr>
                <w:sz w:val="20"/>
                <w:szCs w:val="20"/>
              </w:rPr>
            </w:pPr>
          </w:p>
          <w:p w:rsidR="002F799C" w:rsidRPr="00A935AA" w:rsidRDefault="002F799C" w:rsidP="00F373F1">
            <w:pPr>
              <w:rPr>
                <w:sz w:val="20"/>
                <w:szCs w:val="20"/>
              </w:rPr>
            </w:pPr>
            <w:r w:rsidRPr="00A935AA">
              <w:rPr>
                <w:sz w:val="20"/>
                <w:szCs w:val="20"/>
              </w:rPr>
              <w:t xml:space="preserve">FILING DATE: </w:t>
            </w:r>
            <w:r w:rsidR="00F373F1">
              <w:rPr>
                <w:sz w:val="20"/>
                <w:szCs w:val="20"/>
              </w:rPr>
              <w:t>17</w:t>
            </w:r>
            <w:r w:rsidRPr="00A935AA">
              <w:rPr>
                <w:sz w:val="20"/>
                <w:szCs w:val="20"/>
              </w:rPr>
              <w:t>.</w:t>
            </w:r>
            <w:r>
              <w:rPr>
                <w:sz w:val="20"/>
                <w:szCs w:val="20"/>
              </w:rPr>
              <w:t>10</w:t>
            </w:r>
            <w:r w:rsidRPr="00A935AA">
              <w:rPr>
                <w:sz w:val="20"/>
                <w:szCs w:val="20"/>
              </w:rPr>
              <w:t>.201</w:t>
            </w:r>
            <w:r>
              <w:rPr>
                <w:sz w:val="20"/>
                <w:szCs w:val="20"/>
              </w:rPr>
              <w:t>1</w:t>
            </w:r>
            <w:r w:rsidR="004D631F" w:rsidRPr="004D631F">
              <w:rPr>
                <w:sz w:val="20"/>
                <w:szCs w:val="20"/>
                <w:lang w:val="fr-CA"/>
              </w:rPr>
              <w:pict>
                <v:rect id="_x0000_i1030" style="width:108pt;height:1pt" o:hrpct="0" o:hralign="center" o:hrstd="t" o:hrnoshade="t" o:hr="t" fillcolor="black [3213]" stroked="f"/>
              </w:pict>
            </w:r>
          </w:p>
        </w:tc>
      </w:tr>
      <w:tr w:rsidR="002F799C" w:rsidRPr="00A935AA" w:rsidTr="003B3977">
        <w:trPr>
          <w:cantSplit/>
        </w:trPr>
        <w:tc>
          <w:tcPr>
            <w:tcW w:w="4320" w:type="dxa"/>
            <w:shd w:val="clear" w:color="auto" w:fill="auto"/>
          </w:tcPr>
          <w:p w:rsidR="002F799C" w:rsidRDefault="002F799C" w:rsidP="0093057E">
            <w:pPr>
              <w:rPr>
                <w:b/>
                <w:sz w:val="20"/>
                <w:szCs w:val="20"/>
              </w:rPr>
            </w:pPr>
          </w:p>
          <w:p w:rsidR="00F373F1" w:rsidRPr="00A935AA" w:rsidRDefault="00F373F1" w:rsidP="0093057E">
            <w:pPr>
              <w:rPr>
                <w:b/>
                <w:sz w:val="20"/>
                <w:szCs w:val="20"/>
              </w:rPr>
            </w:pPr>
            <w:r>
              <w:rPr>
                <w:b/>
                <w:sz w:val="20"/>
                <w:szCs w:val="20"/>
              </w:rPr>
              <w:t>City of Calgary</w:t>
            </w:r>
          </w:p>
          <w:p w:rsidR="002F799C" w:rsidRPr="00A935AA" w:rsidRDefault="002F799C" w:rsidP="0093057E">
            <w:pPr>
              <w:tabs>
                <w:tab w:val="left" w:pos="-1440"/>
                <w:tab w:val="left" w:pos="-720"/>
              </w:tabs>
              <w:rPr>
                <w:sz w:val="20"/>
                <w:szCs w:val="20"/>
              </w:rPr>
            </w:pPr>
            <w:r w:rsidRPr="00A935AA">
              <w:rPr>
                <w:sz w:val="20"/>
                <w:szCs w:val="20"/>
              </w:rPr>
              <w:tab/>
            </w:r>
            <w:r w:rsidR="00F373F1">
              <w:rPr>
                <w:sz w:val="20"/>
                <w:szCs w:val="20"/>
              </w:rPr>
              <w:t>Colleen Sinclair</w:t>
            </w:r>
          </w:p>
          <w:p w:rsidR="002F799C" w:rsidRPr="00A935AA" w:rsidRDefault="002F799C" w:rsidP="0093057E">
            <w:pPr>
              <w:tabs>
                <w:tab w:val="left" w:pos="-1440"/>
                <w:tab w:val="left" w:pos="-720"/>
              </w:tabs>
              <w:rPr>
                <w:sz w:val="20"/>
                <w:szCs w:val="20"/>
              </w:rPr>
            </w:pPr>
            <w:r w:rsidRPr="00A935AA">
              <w:rPr>
                <w:sz w:val="20"/>
                <w:szCs w:val="20"/>
              </w:rPr>
              <w:tab/>
            </w:r>
            <w:r w:rsidR="00F373F1">
              <w:rPr>
                <w:sz w:val="20"/>
                <w:szCs w:val="20"/>
              </w:rPr>
              <w:t>The City of Calgary</w:t>
            </w:r>
          </w:p>
          <w:p w:rsidR="002F799C" w:rsidRPr="00A935AA" w:rsidRDefault="002F799C" w:rsidP="0093057E">
            <w:pPr>
              <w:tabs>
                <w:tab w:val="left" w:pos="-1440"/>
                <w:tab w:val="left" w:pos="-720"/>
              </w:tabs>
              <w:rPr>
                <w:sz w:val="20"/>
                <w:szCs w:val="20"/>
              </w:rPr>
            </w:pPr>
          </w:p>
          <w:p w:rsidR="002F799C" w:rsidRPr="0087440A" w:rsidRDefault="002F799C" w:rsidP="0093057E">
            <w:pPr>
              <w:tabs>
                <w:tab w:val="left" w:pos="-1440"/>
                <w:tab w:val="left" w:pos="-720"/>
              </w:tabs>
              <w:rPr>
                <w:sz w:val="20"/>
                <w:szCs w:val="20"/>
                <w:lang w:val="fr-CA"/>
              </w:rPr>
            </w:pPr>
            <w:r w:rsidRPr="00A935AA">
              <w:rPr>
                <w:sz w:val="20"/>
                <w:szCs w:val="20"/>
              </w:rPr>
              <w:tab/>
            </w:r>
            <w:r w:rsidRPr="0087440A">
              <w:rPr>
                <w:sz w:val="20"/>
                <w:szCs w:val="20"/>
                <w:lang w:val="fr-CA"/>
              </w:rPr>
              <w:t>v. (34</w:t>
            </w:r>
            <w:r w:rsidR="00F373F1" w:rsidRPr="0087440A">
              <w:rPr>
                <w:sz w:val="20"/>
                <w:szCs w:val="20"/>
                <w:lang w:val="fr-CA"/>
              </w:rPr>
              <w:t>494</w:t>
            </w:r>
            <w:r w:rsidRPr="0087440A">
              <w:rPr>
                <w:sz w:val="20"/>
                <w:szCs w:val="20"/>
                <w:lang w:val="fr-CA"/>
              </w:rPr>
              <w:t>)</w:t>
            </w:r>
          </w:p>
          <w:p w:rsidR="002F799C" w:rsidRPr="0087440A" w:rsidRDefault="002F799C" w:rsidP="0093057E">
            <w:pPr>
              <w:tabs>
                <w:tab w:val="left" w:pos="-1440"/>
                <w:tab w:val="left" w:pos="-720"/>
              </w:tabs>
              <w:rPr>
                <w:sz w:val="20"/>
                <w:szCs w:val="20"/>
                <w:lang w:val="fr-CA"/>
              </w:rPr>
            </w:pPr>
          </w:p>
          <w:p w:rsidR="002F799C" w:rsidRPr="0087440A" w:rsidRDefault="00F373F1" w:rsidP="0093057E">
            <w:pPr>
              <w:tabs>
                <w:tab w:val="left" w:pos="-1440"/>
                <w:tab w:val="left" w:pos="-720"/>
              </w:tabs>
              <w:rPr>
                <w:b/>
                <w:sz w:val="20"/>
                <w:szCs w:val="20"/>
              </w:rPr>
            </w:pPr>
            <w:r w:rsidRPr="00F373F1">
              <w:rPr>
                <w:b/>
                <w:sz w:val="20"/>
                <w:szCs w:val="20"/>
                <w:lang w:val="fr-CA"/>
              </w:rPr>
              <w:t>Jim Christensen et al.</w:t>
            </w:r>
            <w:r>
              <w:rPr>
                <w:b/>
                <w:sz w:val="20"/>
                <w:szCs w:val="20"/>
                <w:lang w:val="fr-CA"/>
              </w:rPr>
              <w:t xml:space="preserve"> </w:t>
            </w:r>
            <w:r w:rsidR="002F799C" w:rsidRPr="0087440A">
              <w:rPr>
                <w:b/>
                <w:sz w:val="20"/>
                <w:szCs w:val="20"/>
              </w:rPr>
              <w:t>(</w:t>
            </w:r>
            <w:r w:rsidRPr="0087440A">
              <w:rPr>
                <w:b/>
                <w:sz w:val="20"/>
                <w:szCs w:val="20"/>
              </w:rPr>
              <w:t>Alta</w:t>
            </w:r>
            <w:r w:rsidR="002F799C" w:rsidRPr="0087440A">
              <w:rPr>
                <w:b/>
                <w:sz w:val="20"/>
                <w:szCs w:val="20"/>
              </w:rPr>
              <w:t>.)</w:t>
            </w:r>
          </w:p>
          <w:p w:rsidR="002F799C" w:rsidRPr="00F373F1" w:rsidRDefault="002F799C" w:rsidP="0093057E">
            <w:pPr>
              <w:tabs>
                <w:tab w:val="left" w:pos="-1440"/>
                <w:tab w:val="left" w:pos="-720"/>
              </w:tabs>
              <w:rPr>
                <w:sz w:val="20"/>
                <w:szCs w:val="20"/>
              </w:rPr>
            </w:pPr>
            <w:r w:rsidRPr="0087440A">
              <w:rPr>
                <w:sz w:val="20"/>
                <w:szCs w:val="20"/>
              </w:rPr>
              <w:tab/>
            </w:r>
            <w:r w:rsidR="00F373F1" w:rsidRPr="00F373F1">
              <w:rPr>
                <w:sz w:val="20"/>
                <w:szCs w:val="20"/>
              </w:rPr>
              <w:t>Richard J. McRae</w:t>
            </w:r>
          </w:p>
          <w:p w:rsidR="002F799C" w:rsidRPr="00F373F1" w:rsidRDefault="002F799C" w:rsidP="0093057E">
            <w:pPr>
              <w:tabs>
                <w:tab w:val="left" w:pos="-1440"/>
                <w:tab w:val="left" w:pos="-720"/>
              </w:tabs>
              <w:rPr>
                <w:sz w:val="20"/>
                <w:szCs w:val="20"/>
              </w:rPr>
            </w:pPr>
            <w:r w:rsidRPr="00F373F1">
              <w:rPr>
                <w:sz w:val="20"/>
                <w:szCs w:val="20"/>
              </w:rPr>
              <w:tab/>
            </w:r>
            <w:r w:rsidR="00F373F1" w:rsidRPr="00F373F1">
              <w:rPr>
                <w:sz w:val="20"/>
                <w:szCs w:val="20"/>
              </w:rPr>
              <w:t>Rodin Law Firm</w:t>
            </w:r>
          </w:p>
          <w:p w:rsidR="002F799C" w:rsidRPr="00F373F1" w:rsidRDefault="002F799C" w:rsidP="0093057E">
            <w:pPr>
              <w:tabs>
                <w:tab w:val="left" w:pos="-1440"/>
                <w:tab w:val="left" w:pos="-720"/>
              </w:tabs>
              <w:rPr>
                <w:sz w:val="20"/>
                <w:szCs w:val="20"/>
              </w:rPr>
            </w:pPr>
          </w:p>
          <w:p w:rsidR="002F799C" w:rsidRPr="00A935AA" w:rsidRDefault="002F799C" w:rsidP="0093057E">
            <w:pPr>
              <w:rPr>
                <w:sz w:val="20"/>
                <w:szCs w:val="20"/>
              </w:rPr>
            </w:pPr>
            <w:r w:rsidRPr="00A935AA">
              <w:rPr>
                <w:sz w:val="20"/>
                <w:szCs w:val="20"/>
              </w:rPr>
              <w:t xml:space="preserve">FILING DATE: </w:t>
            </w:r>
            <w:r w:rsidR="00F373F1">
              <w:rPr>
                <w:sz w:val="20"/>
                <w:szCs w:val="20"/>
              </w:rPr>
              <w:t>18</w:t>
            </w:r>
            <w:r w:rsidRPr="00A935AA">
              <w:rPr>
                <w:sz w:val="20"/>
                <w:szCs w:val="20"/>
              </w:rPr>
              <w:t>.</w:t>
            </w:r>
            <w:r>
              <w:rPr>
                <w:sz w:val="20"/>
                <w:szCs w:val="20"/>
              </w:rPr>
              <w:t>1</w:t>
            </w:r>
            <w:r w:rsidRPr="00A935AA">
              <w:rPr>
                <w:sz w:val="20"/>
                <w:szCs w:val="20"/>
              </w:rPr>
              <w:t>0.201</w:t>
            </w:r>
            <w:r>
              <w:rPr>
                <w:sz w:val="20"/>
                <w:szCs w:val="20"/>
              </w:rPr>
              <w:t>1</w:t>
            </w:r>
          </w:p>
          <w:p w:rsidR="002F799C" w:rsidRPr="00A935AA" w:rsidRDefault="004D631F" w:rsidP="0093057E">
            <w:pPr>
              <w:rPr>
                <w:sz w:val="20"/>
                <w:szCs w:val="20"/>
              </w:rPr>
            </w:pPr>
            <w:r w:rsidRPr="004D631F">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Default="002F799C" w:rsidP="00242AEE">
            <w:pPr>
              <w:jc w:val="center"/>
              <w:rPr>
                <w:sz w:val="20"/>
                <w:szCs w:val="20"/>
              </w:rPr>
            </w:pPr>
          </w:p>
          <w:p w:rsidR="0063016C" w:rsidRDefault="0063016C" w:rsidP="00242AEE">
            <w:pPr>
              <w:jc w:val="center"/>
              <w:rPr>
                <w:sz w:val="20"/>
                <w:szCs w:val="20"/>
              </w:rPr>
            </w:pPr>
          </w:p>
          <w:p w:rsidR="0063016C" w:rsidRPr="00A935AA" w:rsidRDefault="0063016C" w:rsidP="00242AEE">
            <w:pPr>
              <w:jc w:val="center"/>
              <w:rPr>
                <w:sz w:val="20"/>
                <w:szCs w:val="20"/>
              </w:rPr>
            </w:pPr>
          </w:p>
          <w:p w:rsidR="002F799C" w:rsidRPr="00A935AA" w:rsidRDefault="002F799C" w:rsidP="00242AEE">
            <w:pPr>
              <w:jc w:val="center"/>
              <w:rPr>
                <w:sz w:val="20"/>
                <w:szCs w:val="20"/>
              </w:rPr>
            </w:pPr>
          </w:p>
        </w:tc>
        <w:tc>
          <w:tcPr>
            <w:tcW w:w="4320" w:type="dxa"/>
            <w:shd w:val="clear" w:color="auto" w:fill="auto"/>
          </w:tcPr>
          <w:p w:rsidR="002F799C" w:rsidRPr="00F373F1" w:rsidRDefault="00F373F1" w:rsidP="0093057E">
            <w:pPr>
              <w:keepNext/>
              <w:keepLines/>
              <w:tabs>
                <w:tab w:val="left" w:pos="-1440"/>
                <w:tab w:val="left" w:pos="-720"/>
              </w:tabs>
              <w:rPr>
                <w:b/>
                <w:sz w:val="20"/>
                <w:szCs w:val="20"/>
                <w:lang w:val="fr-CA"/>
              </w:rPr>
            </w:pPr>
            <w:r w:rsidRPr="00F373F1">
              <w:rPr>
                <w:b/>
                <w:sz w:val="20"/>
                <w:szCs w:val="20"/>
                <w:lang w:val="fr-CA"/>
              </w:rPr>
              <w:t>Laurent Laroche</w:t>
            </w:r>
          </w:p>
          <w:p w:rsidR="002F799C" w:rsidRPr="00F373F1" w:rsidRDefault="002F799C" w:rsidP="0093057E">
            <w:pPr>
              <w:keepNext/>
              <w:keepLines/>
              <w:tabs>
                <w:tab w:val="left" w:pos="-1440"/>
                <w:tab w:val="left" w:pos="-720"/>
              </w:tabs>
              <w:rPr>
                <w:sz w:val="20"/>
                <w:szCs w:val="20"/>
                <w:lang w:val="fr-CA"/>
              </w:rPr>
            </w:pPr>
            <w:r w:rsidRPr="00F373F1">
              <w:rPr>
                <w:sz w:val="20"/>
                <w:szCs w:val="20"/>
                <w:lang w:val="fr-CA"/>
              </w:rPr>
              <w:tab/>
            </w:r>
            <w:r w:rsidR="00F373F1" w:rsidRPr="00F373F1">
              <w:rPr>
                <w:sz w:val="20"/>
                <w:szCs w:val="20"/>
                <w:lang w:val="fr-CA"/>
              </w:rPr>
              <w:t>Christian Desrosiers</w:t>
            </w:r>
          </w:p>
          <w:p w:rsidR="002F799C" w:rsidRPr="00F373F1" w:rsidRDefault="002F799C" w:rsidP="0093057E">
            <w:pPr>
              <w:keepNext/>
              <w:keepLines/>
              <w:tabs>
                <w:tab w:val="left" w:pos="-1440"/>
                <w:tab w:val="left" w:pos="-720"/>
              </w:tabs>
              <w:rPr>
                <w:sz w:val="20"/>
                <w:szCs w:val="20"/>
                <w:lang w:val="fr-CA"/>
              </w:rPr>
            </w:pPr>
            <w:r w:rsidRPr="00F373F1">
              <w:rPr>
                <w:sz w:val="20"/>
                <w:szCs w:val="20"/>
                <w:lang w:val="fr-CA"/>
              </w:rPr>
              <w:tab/>
            </w:r>
            <w:r w:rsidR="00F373F1" w:rsidRPr="00F373F1">
              <w:rPr>
                <w:sz w:val="20"/>
                <w:szCs w:val="20"/>
                <w:lang w:val="fr-CA"/>
              </w:rPr>
              <w:t xml:space="preserve">Desrosiers, </w:t>
            </w:r>
            <w:proofErr w:type="spellStart"/>
            <w:r w:rsidR="00F373F1" w:rsidRPr="00F373F1">
              <w:rPr>
                <w:sz w:val="20"/>
                <w:szCs w:val="20"/>
                <w:lang w:val="fr-CA"/>
              </w:rPr>
              <w:t>Joncas</w:t>
            </w:r>
            <w:proofErr w:type="spellEnd"/>
            <w:r w:rsidR="00F373F1" w:rsidRPr="00F373F1">
              <w:rPr>
                <w:sz w:val="20"/>
                <w:szCs w:val="20"/>
                <w:lang w:val="fr-CA"/>
              </w:rPr>
              <w:t xml:space="preserve">, </w:t>
            </w:r>
            <w:proofErr w:type="spellStart"/>
            <w:r w:rsidR="00F373F1" w:rsidRPr="00F373F1">
              <w:rPr>
                <w:sz w:val="20"/>
                <w:szCs w:val="20"/>
                <w:lang w:val="fr-CA"/>
              </w:rPr>
              <w:t>Massicotte</w:t>
            </w:r>
            <w:proofErr w:type="spellEnd"/>
          </w:p>
          <w:p w:rsidR="002F799C" w:rsidRPr="00F373F1" w:rsidRDefault="002F799C" w:rsidP="0093057E">
            <w:pPr>
              <w:keepNext/>
              <w:keepLines/>
              <w:tabs>
                <w:tab w:val="left" w:pos="-1440"/>
                <w:tab w:val="left" w:pos="-720"/>
              </w:tabs>
              <w:rPr>
                <w:sz w:val="20"/>
                <w:szCs w:val="20"/>
                <w:lang w:val="fr-CA"/>
              </w:rPr>
            </w:pPr>
          </w:p>
          <w:p w:rsidR="002F799C" w:rsidRPr="00F373F1" w:rsidRDefault="002F799C" w:rsidP="0093057E">
            <w:pPr>
              <w:keepNext/>
              <w:keepLines/>
              <w:tabs>
                <w:tab w:val="left" w:pos="-1440"/>
                <w:tab w:val="left" w:pos="-720"/>
              </w:tabs>
              <w:rPr>
                <w:sz w:val="20"/>
                <w:szCs w:val="20"/>
                <w:lang w:val="fr-CA"/>
              </w:rPr>
            </w:pPr>
            <w:r w:rsidRPr="00F373F1">
              <w:rPr>
                <w:sz w:val="20"/>
                <w:szCs w:val="20"/>
                <w:lang w:val="fr-CA"/>
              </w:rPr>
              <w:tab/>
            </w:r>
            <w:r w:rsidR="00F373F1" w:rsidRPr="00F373F1">
              <w:rPr>
                <w:sz w:val="20"/>
                <w:szCs w:val="20"/>
                <w:lang w:val="fr-CA"/>
              </w:rPr>
              <w:t>c.</w:t>
            </w:r>
            <w:r w:rsidRPr="00F373F1">
              <w:rPr>
                <w:sz w:val="20"/>
                <w:szCs w:val="20"/>
                <w:lang w:val="fr-CA"/>
              </w:rPr>
              <w:t xml:space="preserve"> (34</w:t>
            </w:r>
            <w:r w:rsidR="00F373F1" w:rsidRPr="00F373F1">
              <w:rPr>
                <w:sz w:val="20"/>
                <w:szCs w:val="20"/>
                <w:lang w:val="fr-CA"/>
              </w:rPr>
              <w:t>493</w:t>
            </w:r>
            <w:r w:rsidRPr="00F373F1">
              <w:rPr>
                <w:sz w:val="20"/>
                <w:szCs w:val="20"/>
                <w:lang w:val="fr-CA"/>
              </w:rPr>
              <w:t>)</w:t>
            </w:r>
          </w:p>
          <w:p w:rsidR="002F799C" w:rsidRPr="00F373F1" w:rsidRDefault="002F799C" w:rsidP="0093057E">
            <w:pPr>
              <w:keepNext/>
              <w:keepLines/>
              <w:tabs>
                <w:tab w:val="left" w:pos="-1440"/>
                <w:tab w:val="left" w:pos="-720"/>
              </w:tabs>
              <w:rPr>
                <w:sz w:val="20"/>
                <w:szCs w:val="20"/>
                <w:lang w:val="fr-CA"/>
              </w:rPr>
            </w:pPr>
          </w:p>
          <w:p w:rsidR="002F799C" w:rsidRPr="00F373F1" w:rsidRDefault="00F373F1" w:rsidP="0093057E">
            <w:pPr>
              <w:keepNext/>
              <w:keepLines/>
              <w:tabs>
                <w:tab w:val="left" w:pos="-1440"/>
                <w:tab w:val="left" w:pos="-720"/>
              </w:tabs>
              <w:rPr>
                <w:b/>
                <w:sz w:val="20"/>
                <w:szCs w:val="20"/>
                <w:lang w:val="fr-CA"/>
              </w:rPr>
            </w:pPr>
            <w:r w:rsidRPr="00F373F1">
              <w:rPr>
                <w:b/>
                <w:sz w:val="20"/>
                <w:szCs w:val="20"/>
                <w:lang w:val="fr-CA"/>
              </w:rPr>
              <w:t xml:space="preserve">Sa Majesté la Reine </w:t>
            </w:r>
            <w:r w:rsidR="002F799C" w:rsidRPr="00F373F1">
              <w:rPr>
                <w:b/>
                <w:sz w:val="20"/>
                <w:szCs w:val="20"/>
                <w:lang w:val="fr-CA"/>
              </w:rPr>
              <w:t>(</w:t>
            </w:r>
            <w:proofErr w:type="spellStart"/>
            <w:r w:rsidRPr="00F373F1">
              <w:rPr>
                <w:b/>
                <w:sz w:val="20"/>
                <w:szCs w:val="20"/>
                <w:lang w:val="fr-CA"/>
              </w:rPr>
              <w:t>Qc</w:t>
            </w:r>
            <w:proofErr w:type="spellEnd"/>
            <w:r w:rsidR="002F799C" w:rsidRPr="00F373F1">
              <w:rPr>
                <w:b/>
                <w:sz w:val="20"/>
                <w:szCs w:val="20"/>
                <w:lang w:val="fr-CA"/>
              </w:rPr>
              <w:t>)</w:t>
            </w:r>
          </w:p>
          <w:p w:rsidR="002F799C" w:rsidRPr="00F373F1" w:rsidRDefault="002F799C" w:rsidP="0093057E">
            <w:pPr>
              <w:keepNext/>
              <w:keepLines/>
              <w:tabs>
                <w:tab w:val="left" w:pos="-1440"/>
                <w:tab w:val="left" w:pos="-720"/>
              </w:tabs>
              <w:rPr>
                <w:sz w:val="20"/>
                <w:szCs w:val="20"/>
                <w:lang w:val="fr-CA"/>
              </w:rPr>
            </w:pPr>
            <w:r w:rsidRPr="00F373F1">
              <w:rPr>
                <w:sz w:val="20"/>
                <w:szCs w:val="20"/>
                <w:lang w:val="fr-CA"/>
              </w:rPr>
              <w:tab/>
            </w:r>
            <w:r w:rsidR="00F373F1">
              <w:rPr>
                <w:sz w:val="20"/>
                <w:szCs w:val="20"/>
                <w:lang w:val="fr-CA"/>
              </w:rPr>
              <w:t>Christian Fournier</w:t>
            </w:r>
          </w:p>
          <w:p w:rsidR="002F799C" w:rsidRPr="00F373F1" w:rsidRDefault="002F799C" w:rsidP="0093057E">
            <w:pPr>
              <w:keepNext/>
              <w:keepLines/>
              <w:tabs>
                <w:tab w:val="left" w:pos="-1440"/>
                <w:tab w:val="left" w:pos="-720"/>
              </w:tabs>
              <w:rPr>
                <w:sz w:val="20"/>
                <w:szCs w:val="20"/>
                <w:lang w:val="fr-CA"/>
              </w:rPr>
            </w:pPr>
            <w:r w:rsidRPr="00F373F1">
              <w:rPr>
                <w:sz w:val="20"/>
                <w:szCs w:val="20"/>
                <w:lang w:val="fr-CA"/>
              </w:rPr>
              <w:tab/>
            </w:r>
            <w:r w:rsidR="00F373F1">
              <w:rPr>
                <w:sz w:val="20"/>
                <w:szCs w:val="20"/>
                <w:lang w:val="fr-CA"/>
              </w:rPr>
              <w:t>P.G. du Québec</w:t>
            </w:r>
          </w:p>
          <w:p w:rsidR="002F799C" w:rsidRPr="00F373F1" w:rsidRDefault="002F799C" w:rsidP="0093057E">
            <w:pPr>
              <w:keepNext/>
              <w:keepLines/>
              <w:tabs>
                <w:tab w:val="left" w:pos="-1440"/>
                <w:tab w:val="left" w:pos="-720"/>
              </w:tabs>
              <w:rPr>
                <w:sz w:val="20"/>
                <w:szCs w:val="20"/>
                <w:lang w:val="fr-CA"/>
              </w:rPr>
            </w:pPr>
          </w:p>
          <w:p w:rsidR="002F799C" w:rsidRPr="00A935AA" w:rsidRDefault="002F799C" w:rsidP="00F373F1">
            <w:pPr>
              <w:rPr>
                <w:sz w:val="20"/>
                <w:szCs w:val="20"/>
              </w:rPr>
            </w:pPr>
            <w:r w:rsidRPr="00A935AA">
              <w:rPr>
                <w:sz w:val="20"/>
                <w:szCs w:val="20"/>
              </w:rPr>
              <w:t>DATE</w:t>
            </w:r>
            <w:r w:rsidR="00F373F1">
              <w:rPr>
                <w:sz w:val="20"/>
                <w:szCs w:val="20"/>
              </w:rPr>
              <w:t xml:space="preserve"> DE PRODUCTION </w:t>
            </w:r>
            <w:r w:rsidRPr="00A935AA">
              <w:rPr>
                <w:sz w:val="20"/>
                <w:szCs w:val="20"/>
              </w:rPr>
              <w:t xml:space="preserve">: </w:t>
            </w:r>
            <w:r w:rsidR="00F373F1">
              <w:rPr>
                <w:sz w:val="20"/>
                <w:szCs w:val="20"/>
              </w:rPr>
              <w:t>1</w:t>
            </w:r>
            <w:r w:rsidRPr="00A935AA">
              <w:rPr>
                <w:sz w:val="20"/>
                <w:szCs w:val="20"/>
              </w:rPr>
              <w:t>8.</w:t>
            </w:r>
            <w:r>
              <w:rPr>
                <w:sz w:val="20"/>
                <w:szCs w:val="20"/>
              </w:rPr>
              <w:t>10</w:t>
            </w:r>
            <w:r w:rsidRPr="00A935AA">
              <w:rPr>
                <w:sz w:val="20"/>
                <w:szCs w:val="20"/>
              </w:rPr>
              <w:t>.201</w:t>
            </w:r>
            <w:r>
              <w:rPr>
                <w:sz w:val="20"/>
                <w:szCs w:val="20"/>
              </w:rPr>
              <w:t>1</w:t>
            </w:r>
            <w:r w:rsidR="004D631F" w:rsidRPr="004D631F">
              <w:rPr>
                <w:sz w:val="20"/>
                <w:szCs w:val="20"/>
                <w:lang w:val="fr-CA"/>
              </w:rPr>
              <w:pict>
                <v:rect id="_x0000_i1032" style="width:108pt;height:1pt" o:hrpct="0" o:hralign="center" o:hrstd="t" o:hrnoshade="t" o:hr="t" fillcolor="black [3213]" stroked="f"/>
              </w:pict>
            </w:r>
          </w:p>
        </w:tc>
      </w:tr>
      <w:tr w:rsidR="002F799C" w:rsidRPr="00A935AA" w:rsidTr="003B3977">
        <w:trPr>
          <w:cantSplit/>
        </w:trPr>
        <w:tc>
          <w:tcPr>
            <w:tcW w:w="4320" w:type="dxa"/>
            <w:shd w:val="clear" w:color="auto" w:fill="auto"/>
          </w:tcPr>
          <w:p w:rsidR="002F799C" w:rsidRPr="0063016C" w:rsidRDefault="0063016C" w:rsidP="0093057E">
            <w:pPr>
              <w:rPr>
                <w:b/>
                <w:sz w:val="20"/>
                <w:szCs w:val="20"/>
                <w:lang w:val="fr-CA"/>
              </w:rPr>
            </w:pPr>
            <w:r w:rsidRPr="0063016C">
              <w:rPr>
                <w:b/>
                <w:sz w:val="20"/>
                <w:szCs w:val="20"/>
                <w:lang w:val="fr-CA"/>
              </w:rPr>
              <w:lastRenderedPageBreak/>
              <w:t>Régie des rentes du Québec</w:t>
            </w:r>
          </w:p>
          <w:p w:rsidR="002F799C" w:rsidRPr="0063016C" w:rsidRDefault="002F799C" w:rsidP="0093057E">
            <w:pPr>
              <w:tabs>
                <w:tab w:val="left" w:pos="-1440"/>
                <w:tab w:val="left" w:pos="-720"/>
              </w:tabs>
              <w:rPr>
                <w:sz w:val="20"/>
                <w:szCs w:val="20"/>
                <w:lang w:val="fr-CA"/>
              </w:rPr>
            </w:pPr>
            <w:r w:rsidRPr="0063016C">
              <w:rPr>
                <w:sz w:val="20"/>
                <w:szCs w:val="20"/>
                <w:lang w:val="fr-CA"/>
              </w:rPr>
              <w:tab/>
            </w:r>
            <w:r w:rsidR="0063016C">
              <w:rPr>
                <w:sz w:val="20"/>
                <w:szCs w:val="20"/>
                <w:lang w:val="fr-CA"/>
              </w:rPr>
              <w:t>Sheila York</w:t>
            </w:r>
          </w:p>
          <w:p w:rsidR="002F799C" w:rsidRPr="0063016C" w:rsidRDefault="002F799C" w:rsidP="0093057E">
            <w:pPr>
              <w:tabs>
                <w:tab w:val="left" w:pos="-1440"/>
                <w:tab w:val="left" w:pos="-720"/>
              </w:tabs>
              <w:rPr>
                <w:sz w:val="20"/>
                <w:szCs w:val="20"/>
                <w:lang w:val="fr-CA"/>
              </w:rPr>
            </w:pPr>
            <w:r w:rsidRPr="0063016C">
              <w:rPr>
                <w:sz w:val="20"/>
                <w:szCs w:val="20"/>
                <w:lang w:val="fr-CA"/>
              </w:rPr>
              <w:tab/>
            </w:r>
            <w:r w:rsidR="0063016C">
              <w:rPr>
                <w:sz w:val="20"/>
                <w:szCs w:val="20"/>
                <w:lang w:val="fr-CA"/>
              </w:rPr>
              <w:t>Régie des rentes du Québec</w:t>
            </w:r>
          </w:p>
          <w:p w:rsidR="002F799C" w:rsidRPr="0063016C" w:rsidRDefault="002F799C" w:rsidP="0093057E">
            <w:pPr>
              <w:tabs>
                <w:tab w:val="left" w:pos="-1440"/>
                <w:tab w:val="left" w:pos="-720"/>
              </w:tabs>
              <w:rPr>
                <w:sz w:val="20"/>
                <w:szCs w:val="20"/>
                <w:lang w:val="fr-CA"/>
              </w:rPr>
            </w:pPr>
          </w:p>
          <w:p w:rsidR="002F799C" w:rsidRPr="0087440A" w:rsidRDefault="002F799C" w:rsidP="0093057E">
            <w:pPr>
              <w:tabs>
                <w:tab w:val="left" w:pos="-1440"/>
                <w:tab w:val="left" w:pos="-720"/>
              </w:tabs>
              <w:rPr>
                <w:sz w:val="20"/>
                <w:szCs w:val="20"/>
                <w:lang w:val="fr-CA"/>
              </w:rPr>
            </w:pPr>
            <w:r w:rsidRPr="0063016C">
              <w:rPr>
                <w:sz w:val="20"/>
                <w:szCs w:val="20"/>
                <w:lang w:val="fr-CA"/>
              </w:rPr>
              <w:tab/>
            </w:r>
            <w:r w:rsidR="0063016C" w:rsidRPr="0087440A">
              <w:rPr>
                <w:sz w:val="20"/>
                <w:szCs w:val="20"/>
                <w:lang w:val="fr-CA"/>
              </w:rPr>
              <w:t>c</w:t>
            </w:r>
            <w:r w:rsidR="00664BB0" w:rsidRPr="0087440A">
              <w:rPr>
                <w:sz w:val="20"/>
                <w:szCs w:val="20"/>
                <w:lang w:val="fr-CA"/>
              </w:rPr>
              <w:t>.</w:t>
            </w:r>
            <w:r w:rsidRPr="0087440A">
              <w:rPr>
                <w:sz w:val="20"/>
                <w:szCs w:val="20"/>
                <w:lang w:val="fr-CA"/>
              </w:rPr>
              <w:t xml:space="preserve"> (34</w:t>
            </w:r>
            <w:r w:rsidR="0063016C" w:rsidRPr="0087440A">
              <w:rPr>
                <w:sz w:val="20"/>
                <w:szCs w:val="20"/>
                <w:lang w:val="fr-CA"/>
              </w:rPr>
              <w:t>505</w:t>
            </w:r>
            <w:r w:rsidRPr="0087440A">
              <w:rPr>
                <w:sz w:val="20"/>
                <w:szCs w:val="20"/>
                <w:lang w:val="fr-CA"/>
              </w:rPr>
              <w:t>)</w:t>
            </w:r>
          </w:p>
          <w:p w:rsidR="002F799C" w:rsidRPr="0087440A" w:rsidRDefault="002F799C" w:rsidP="0093057E">
            <w:pPr>
              <w:tabs>
                <w:tab w:val="left" w:pos="-1440"/>
                <w:tab w:val="left" w:pos="-720"/>
              </w:tabs>
              <w:rPr>
                <w:sz w:val="20"/>
                <w:szCs w:val="20"/>
                <w:lang w:val="fr-CA"/>
              </w:rPr>
            </w:pPr>
          </w:p>
          <w:p w:rsidR="002F799C" w:rsidRPr="0087440A" w:rsidRDefault="0063016C" w:rsidP="0093057E">
            <w:pPr>
              <w:tabs>
                <w:tab w:val="left" w:pos="-1440"/>
                <w:tab w:val="left" w:pos="-720"/>
              </w:tabs>
              <w:rPr>
                <w:b/>
                <w:sz w:val="20"/>
                <w:szCs w:val="20"/>
                <w:lang w:val="fr-CA"/>
              </w:rPr>
            </w:pPr>
            <w:r w:rsidRPr="0087440A">
              <w:rPr>
                <w:b/>
                <w:sz w:val="20"/>
                <w:szCs w:val="20"/>
                <w:lang w:val="fr-CA"/>
              </w:rPr>
              <w:t xml:space="preserve">Canada </w:t>
            </w:r>
            <w:proofErr w:type="spellStart"/>
            <w:r w:rsidRPr="0087440A">
              <w:rPr>
                <w:b/>
                <w:sz w:val="20"/>
                <w:szCs w:val="20"/>
                <w:lang w:val="fr-CA"/>
              </w:rPr>
              <w:t>Bread</w:t>
            </w:r>
            <w:proofErr w:type="spellEnd"/>
            <w:r w:rsidRPr="0087440A">
              <w:rPr>
                <w:b/>
                <w:sz w:val="20"/>
                <w:szCs w:val="20"/>
                <w:lang w:val="fr-CA"/>
              </w:rPr>
              <w:t xml:space="preserve"> </w:t>
            </w:r>
            <w:proofErr w:type="spellStart"/>
            <w:r w:rsidRPr="0087440A">
              <w:rPr>
                <w:b/>
                <w:sz w:val="20"/>
                <w:szCs w:val="20"/>
                <w:lang w:val="fr-CA"/>
              </w:rPr>
              <w:t>Company</w:t>
            </w:r>
            <w:proofErr w:type="spellEnd"/>
            <w:r w:rsidRPr="0087440A">
              <w:rPr>
                <w:b/>
                <w:sz w:val="20"/>
                <w:szCs w:val="20"/>
                <w:lang w:val="fr-CA"/>
              </w:rPr>
              <w:t xml:space="preserve"> Ltd. et autres </w:t>
            </w:r>
            <w:r w:rsidR="002F799C" w:rsidRPr="0087440A">
              <w:rPr>
                <w:b/>
                <w:sz w:val="20"/>
                <w:szCs w:val="20"/>
                <w:lang w:val="fr-CA"/>
              </w:rPr>
              <w:t>(</w:t>
            </w:r>
            <w:proofErr w:type="spellStart"/>
            <w:r w:rsidRPr="0087440A">
              <w:rPr>
                <w:b/>
                <w:sz w:val="20"/>
                <w:szCs w:val="20"/>
                <w:lang w:val="fr-CA"/>
              </w:rPr>
              <w:t>Qc</w:t>
            </w:r>
            <w:proofErr w:type="spellEnd"/>
            <w:r w:rsidR="002F799C" w:rsidRPr="0087440A">
              <w:rPr>
                <w:b/>
                <w:sz w:val="20"/>
                <w:szCs w:val="20"/>
                <w:lang w:val="fr-CA"/>
              </w:rPr>
              <w:t>)</w:t>
            </w:r>
          </w:p>
          <w:p w:rsidR="002F799C" w:rsidRPr="0087440A" w:rsidRDefault="002F799C" w:rsidP="0093057E">
            <w:pPr>
              <w:tabs>
                <w:tab w:val="left" w:pos="-1440"/>
                <w:tab w:val="left" w:pos="-720"/>
              </w:tabs>
              <w:rPr>
                <w:sz w:val="20"/>
                <w:szCs w:val="20"/>
                <w:lang w:val="fr-CA"/>
              </w:rPr>
            </w:pPr>
            <w:r w:rsidRPr="0087440A">
              <w:rPr>
                <w:sz w:val="20"/>
                <w:szCs w:val="20"/>
                <w:lang w:val="fr-CA"/>
              </w:rPr>
              <w:tab/>
            </w:r>
            <w:r w:rsidR="0063016C" w:rsidRPr="0087440A">
              <w:rPr>
                <w:sz w:val="20"/>
                <w:szCs w:val="20"/>
                <w:lang w:val="fr-CA"/>
              </w:rPr>
              <w:t xml:space="preserve">Éric </w:t>
            </w:r>
            <w:proofErr w:type="spellStart"/>
            <w:r w:rsidR="0063016C" w:rsidRPr="0087440A">
              <w:rPr>
                <w:sz w:val="20"/>
                <w:szCs w:val="20"/>
                <w:lang w:val="fr-CA"/>
              </w:rPr>
              <w:t>Mongeau</w:t>
            </w:r>
            <w:proofErr w:type="spellEnd"/>
          </w:p>
          <w:p w:rsidR="002F799C" w:rsidRPr="0087440A" w:rsidRDefault="002F799C" w:rsidP="0093057E">
            <w:pPr>
              <w:tabs>
                <w:tab w:val="left" w:pos="-1440"/>
                <w:tab w:val="left" w:pos="-720"/>
              </w:tabs>
              <w:rPr>
                <w:sz w:val="20"/>
                <w:szCs w:val="20"/>
                <w:lang w:val="fr-CA"/>
              </w:rPr>
            </w:pPr>
            <w:r w:rsidRPr="0087440A">
              <w:rPr>
                <w:sz w:val="20"/>
                <w:szCs w:val="20"/>
                <w:lang w:val="fr-CA"/>
              </w:rPr>
              <w:tab/>
            </w:r>
            <w:proofErr w:type="spellStart"/>
            <w:r w:rsidR="0063016C" w:rsidRPr="0087440A">
              <w:rPr>
                <w:sz w:val="20"/>
                <w:szCs w:val="20"/>
                <w:lang w:val="fr-CA"/>
              </w:rPr>
              <w:t>Stikeman</w:t>
            </w:r>
            <w:proofErr w:type="spellEnd"/>
            <w:r w:rsidR="0063016C" w:rsidRPr="0087440A">
              <w:rPr>
                <w:sz w:val="20"/>
                <w:szCs w:val="20"/>
                <w:lang w:val="fr-CA"/>
              </w:rPr>
              <w:t xml:space="preserve"> Elliott </w:t>
            </w:r>
            <w:proofErr w:type="spellStart"/>
            <w:r w:rsidR="0063016C" w:rsidRPr="0087440A">
              <w:rPr>
                <w:sz w:val="20"/>
                <w:szCs w:val="20"/>
                <w:lang w:val="fr-CA"/>
              </w:rPr>
              <w:t>s.e.n.c.r.l</w:t>
            </w:r>
            <w:proofErr w:type="spellEnd"/>
            <w:r w:rsidR="0063016C" w:rsidRPr="0087440A">
              <w:rPr>
                <w:sz w:val="20"/>
                <w:szCs w:val="20"/>
                <w:lang w:val="fr-CA"/>
              </w:rPr>
              <w:t xml:space="preserve">, </w:t>
            </w:r>
            <w:proofErr w:type="spellStart"/>
            <w:r w:rsidR="0063016C" w:rsidRPr="0087440A">
              <w:rPr>
                <w:sz w:val="20"/>
                <w:szCs w:val="20"/>
                <w:lang w:val="fr-CA"/>
              </w:rPr>
              <w:t>s.r.l</w:t>
            </w:r>
            <w:proofErr w:type="spellEnd"/>
            <w:r w:rsidR="0063016C" w:rsidRPr="0087440A">
              <w:rPr>
                <w:sz w:val="20"/>
                <w:szCs w:val="20"/>
                <w:lang w:val="fr-CA"/>
              </w:rPr>
              <w:t>.</w:t>
            </w:r>
          </w:p>
          <w:p w:rsidR="002F799C" w:rsidRPr="0087440A" w:rsidRDefault="002F799C" w:rsidP="0093057E">
            <w:pPr>
              <w:tabs>
                <w:tab w:val="left" w:pos="-1440"/>
                <w:tab w:val="left" w:pos="-720"/>
              </w:tabs>
              <w:rPr>
                <w:sz w:val="20"/>
                <w:szCs w:val="20"/>
                <w:lang w:val="fr-CA"/>
              </w:rPr>
            </w:pPr>
          </w:p>
          <w:p w:rsidR="002F799C" w:rsidRPr="00A935AA" w:rsidRDefault="002F799C" w:rsidP="0093057E">
            <w:pPr>
              <w:rPr>
                <w:sz w:val="20"/>
                <w:szCs w:val="20"/>
              </w:rPr>
            </w:pPr>
            <w:r w:rsidRPr="00A935AA">
              <w:rPr>
                <w:sz w:val="20"/>
                <w:szCs w:val="20"/>
              </w:rPr>
              <w:t>DATE</w:t>
            </w:r>
            <w:r w:rsidR="0063016C">
              <w:rPr>
                <w:sz w:val="20"/>
                <w:szCs w:val="20"/>
              </w:rPr>
              <w:t xml:space="preserve"> DE PRODUCTION </w:t>
            </w:r>
            <w:r w:rsidRPr="00A935AA">
              <w:rPr>
                <w:sz w:val="20"/>
                <w:szCs w:val="20"/>
              </w:rPr>
              <w:t>: 2</w:t>
            </w:r>
            <w:r w:rsidR="0063016C">
              <w:rPr>
                <w:sz w:val="20"/>
                <w:szCs w:val="20"/>
              </w:rPr>
              <w:t>0</w:t>
            </w:r>
            <w:r w:rsidRPr="00A935AA">
              <w:rPr>
                <w:sz w:val="20"/>
                <w:szCs w:val="20"/>
              </w:rPr>
              <w:t>.</w:t>
            </w:r>
            <w:r>
              <w:rPr>
                <w:sz w:val="20"/>
                <w:szCs w:val="20"/>
              </w:rPr>
              <w:t>1</w:t>
            </w:r>
            <w:r w:rsidRPr="00A935AA">
              <w:rPr>
                <w:sz w:val="20"/>
                <w:szCs w:val="20"/>
              </w:rPr>
              <w:t>0.201</w:t>
            </w:r>
            <w:r>
              <w:rPr>
                <w:sz w:val="20"/>
                <w:szCs w:val="20"/>
              </w:rPr>
              <w:t>1</w:t>
            </w:r>
          </w:p>
          <w:p w:rsidR="002F799C" w:rsidRPr="00A935AA" w:rsidRDefault="004D631F" w:rsidP="0093057E">
            <w:pPr>
              <w:rPr>
                <w:sz w:val="20"/>
                <w:szCs w:val="20"/>
              </w:rPr>
            </w:pPr>
            <w:r w:rsidRPr="004D631F">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p w:rsidR="002F799C" w:rsidRPr="00A935AA" w:rsidRDefault="002F799C" w:rsidP="00242AEE">
            <w:pPr>
              <w:jc w:val="center"/>
              <w:rPr>
                <w:sz w:val="20"/>
                <w:szCs w:val="20"/>
              </w:rPr>
            </w:pPr>
          </w:p>
        </w:tc>
        <w:tc>
          <w:tcPr>
            <w:tcW w:w="4320" w:type="dxa"/>
            <w:shd w:val="clear" w:color="auto" w:fill="auto"/>
          </w:tcPr>
          <w:p w:rsidR="002F799C" w:rsidRPr="00A935AA" w:rsidRDefault="002F799C" w:rsidP="0093057E">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51CF8">
          <w:headerReference w:type="default" r:id="rId14"/>
          <w:footerReference w:type="default" r:id="rId15"/>
          <w:headerReference w:type="first" r:id="rId16"/>
          <w:footerReference w:type="first" r:id="rId17"/>
          <w:pgSz w:w="12240" w:h="15840"/>
          <w:pgMar w:top="720" w:right="965" w:bottom="1080" w:left="1656" w:header="706" w:footer="706" w:gutter="0"/>
          <w:pgNumType w:start="164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FD753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93057E" w:rsidP="003359D3">
      <w:pPr>
        <w:widowControl w:val="0"/>
        <w:rPr>
          <w:b/>
          <w:sz w:val="20"/>
          <w:szCs w:val="20"/>
        </w:rPr>
      </w:pPr>
      <w:r>
        <w:rPr>
          <w:b/>
          <w:sz w:val="20"/>
          <w:szCs w:val="20"/>
        </w:rPr>
        <w:t>NOVEMBE</w:t>
      </w:r>
      <w:r w:rsidR="003359D3">
        <w:rPr>
          <w:b/>
          <w:sz w:val="20"/>
          <w:szCs w:val="20"/>
        </w:rPr>
        <w:t>R</w:t>
      </w:r>
      <w:r w:rsidR="003359D3" w:rsidRPr="00C50A5C">
        <w:rPr>
          <w:b/>
          <w:sz w:val="20"/>
          <w:szCs w:val="20"/>
        </w:rPr>
        <w:t xml:space="preserve"> </w:t>
      </w:r>
      <w:r>
        <w:rPr>
          <w:b/>
          <w:sz w:val="20"/>
          <w:szCs w:val="20"/>
        </w:rPr>
        <w:t>7</w:t>
      </w:r>
      <w:r w:rsidR="003359D3" w:rsidRPr="00C50A5C">
        <w:rPr>
          <w:b/>
          <w:sz w:val="20"/>
          <w:szCs w:val="20"/>
        </w:rPr>
        <w:t>, 201</w:t>
      </w:r>
      <w:r w:rsidR="003359D3">
        <w:rPr>
          <w:b/>
          <w:sz w:val="20"/>
          <w:szCs w:val="20"/>
        </w:rPr>
        <w:t>1</w:t>
      </w:r>
      <w:r w:rsidR="003359D3" w:rsidRPr="00C50A5C">
        <w:rPr>
          <w:b/>
          <w:sz w:val="20"/>
          <w:szCs w:val="20"/>
        </w:rPr>
        <w:t xml:space="preserve"> / LE </w:t>
      </w:r>
      <w:r>
        <w:rPr>
          <w:b/>
          <w:sz w:val="20"/>
          <w:szCs w:val="20"/>
        </w:rPr>
        <w:t>7 NO</w:t>
      </w:r>
      <w:r w:rsidR="003359D3">
        <w:rPr>
          <w:b/>
          <w:sz w:val="20"/>
          <w:szCs w:val="20"/>
        </w:rPr>
        <w:t>V</w:t>
      </w:r>
      <w:r>
        <w:rPr>
          <w:b/>
          <w:sz w:val="20"/>
          <w:szCs w:val="20"/>
        </w:rPr>
        <w:t>EMB</w:t>
      </w:r>
      <w:r w:rsidR="003359D3">
        <w:rPr>
          <w:b/>
          <w:sz w:val="20"/>
          <w:szCs w:val="20"/>
        </w:rPr>
        <w:t>R</w:t>
      </w:r>
      <w:r>
        <w:rPr>
          <w:b/>
          <w:sz w:val="20"/>
          <w:szCs w:val="20"/>
        </w:rPr>
        <w:t>E</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sidR="002607EA">
        <w:rPr>
          <w:b/>
          <w:sz w:val="20"/>
          <w:szCs w:val="20"/>
        </w:rPr>
        <w:t>Rothstein</w:t>
      </w:r>
      <w:r w:rsidRPr="00C50A5C">
        <w:rPr>
          <w:b/>
          <w:sz w:val="20"/>
          <w:szCs w:val="20"/>
        </w:rPr>
        <w:t xml:space="preserve"> and </w:t>
      </w:r>
      <w:proofErr w:type="spellStart"/>
      <w:r w:rsidR="002607EA">
        <w:rPr>
          <w:b/>
          <w:sz w:val="20"/>
          <w:szCs w:val="20"/>
        </w:rPr>
        <w:t>Moldaver</w:t>
      </w:r>
      <w:proofErr w:type="spellEnd"/>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sidR="002607EA">
        <w:rPr>
          <w:b/>
          <w:sz w:val="20"/>
          <w:szCs w:val="20"/>
          <w:lang w:val="fr-CA"/>
        </w:rPr>
        <w:t>Rothstein</w:t>
      </w:r>
      <w:proofErr w:type="spellEnd"/>
      <w:r w:rsidRPr="00C50A5C">
        <w:rPr>
          <w:b/>
          <w:sz w:val="20"/>
          <w:szCs w:val="20"/>
          <w:lang w:val="fr-CA"/>
        </w:rPr>
        <w:t xml:space="preserve"> et </w:t>
      </w:r>
      <w:proofErr w:type="spellStart"/>
      <w:r w:rsidR="002607EA">
        <w:rPr>
          <w:b/>
          <w:sz w:val="20"/>
          <w:szCs w:val="20"/>
          <w:lang w:val="fr-CA"/>
        </w:rPr>
        <w:t>Moldaver</w:t>
      </w:r>
      <w:proofErr w:type="spellEnd"/>
    </w:p>
    <w:p w:rsidR="003359D3" w:rsidRPr="00C50A5C" w:rsidRDefault="003359D3" w:rsidP="003359D3">
      <w:pPr>
        <w:widowControl w:val="0"/>
        <w:rPr>
          <w:sz w:val="20"/>
          <w:szCs w:val="20"/>
          <w:lang w:val="fr-CA"/>
        </w:rPr>
      </w:pPr>
    </w:p>
    <w:p w:rsidR="003359D3" w:rsidRPr="00C50A5C" w:rsidRDefault="00C612D0" w:rsidP="003359D3">
      <w:pPr>
        <w:pStyle w:val="ListParagraph"/>
        <w:widowControl w:val="0"/>
        <w:numPr>
          <w:ilvl w:val="0"/>
          <w:numId w:val="1"/>
        </w:numPr>
        <w:ind w:hanging="720"/>
        <w:jc w:val="both"/>
        <w:rPr>
          <w:sz w:val="20"/>
          <w:szCs w:val="20"/>
        </w:rPr>
      </w:pPr>
      <w:r w:rsidRPr="00C612D0">
        <w:rPr>
          <w:i/>
          <w:sz w:val="20"/>
          <w:szCs w:val="20"/>
        </w:rPr>
        <w:t>Her Majesty the Queen v. Andrew James Bernard</w:t>
      </w:r>
      <w:r w:rsidRPr="002607EA">
        <w:rPr>
          <w:sz w:val="20"/>
          <w:szCs w:val="20"/>
        </w:rPr>
        <w:t xml:space="preserve"> (N.S.) (Crim</w:t>
      </w:r>
      <w:r>
        <w:rPr>
          <w:sz w:val="20"/>
          <w:szCs w:val="20"/>
        </w:rPr>
        <w:t>.</w:t>
      </w:r>
      <w:r w:rsidRPr="002607EA">
        <w:rPr>
          <w:sz w:val="20"/>
          <w:szCs w:val="20"/>
        </w:rPr>
        <w:t>) (By Leave)</w:t>
      </w:r>
      <w:r w:rsidR="003359D3" w:rsidRPr="00C50A5C">
        <w:rPr>
          <w:sz w:val="20"/>
          <w:szCs w:val="20"/>
        </w:rPr>
        <w:t xml:space="preserve"> (3</w:t>
      </w:r>
      <w:r w:rsidR="003359D3">
        <w:rPr>
          <w:sz w:val="20"/>
          <w:szCs w:val="20"/>
        </w:rPr>
        <w:t>4</w:t>
      </w:r>
      <w:r>
        <w:rPr>
          <w:sz w:val="20"/>
          <w:szCs w:val="20"/>
        </w:rPr>
        <w:t>421</w:t>
      </w:r>
      <w:r w:rsidR="003359D3" w:rsidRPr="00C50A5C">
        <w:rPr>
          <w:sz w:val="20"/>
          <w:szCs w:val="20"/>
        </w:rPr>
        <w:t>)</w:t>
      </w:r>
    </w:p>
    <w:p w:rsidR="003359D3" w:rsidRPr="00C50A5C" w:rsidRDefault="003359D3" w:rsidP="003359D3">
      <w:pPr>
        <w:widowControl w:val="0"/>
        <w:jc w:val="both"/>
        <w:rPr>
          <w:sz w:val="20"/>
          <w:szCs w:val="20"/>
        </w:rPr>
      </w:pPr>
    </w:p>
    <w:p w:rsidR="003359D3" w:rsidRPr="00C612D0" w:rsidRDefault="00C612D0" w:rsidP="003359D3">
      <w:pPr>
        <w:pStyle w:val="ListParagraph"/>
        <w:widowControl w:val="0"/>
        <w:numPr>
          <w:ilvl w:val="0"/>
          <w:numId w:val="1"/>
        </w:numPr>
        <w:ind w:hanging="720"/>
        <w:jc w:val="both"/>
        <w:rPr>
          <w:sz w:val="20"/>
          <w:szCs w:val="20"/>
        </w:rPr>
      </w:pPr>
      <w:r w:rsidRPr="00C612D0">
        <w:rPr>
          <w:i/>
          <w:sz w:val="20"/>
          <w:szCs w:val="20"/>
        </w:rPr>
        <w:t>Children's Aid Society of the Regional Municipality of Waterloo v. Child and Family Services Review Board et</w:t>
      </w:r>
      <w:r>
        <w:rPr>
          <w:i/>
          <w:sz w:val="20"/>
          <w:szCs w:val="20"/>
        </w:rPr>
        <w:t> </w:t>
      </w:r>
      <w:r w:rsidRPr="00C612D0">
        <w:rPr>
          <w:i/>
          <w:sz w:val="20"/>
          <w:szCs w:val="20"/>
        </w:rPr>
        <w:t>al.</w:t>
      </w:r>
      <w:r w:rsidRPr="002607EA">
        <w:rPr>
          <w:sz w:val="20"/>
          <w:szCs w:val="20"/>
        </w:rPr>
        <w:t xml:space="preserve"> (Ont.) (Civil) (By Leave)</w:t>
      </w:r>
      <w:r w:rsidRPr="00C612D0">
        <w:rPr>
          <w:sz w:val="20"/>
          <w:szCs w:val="20"/>
        </w:rPr>
        <w:t xml:space="preserve"> </w:t>
      </w:r>
      <w:r w:rsidR="003359D3" w:rsidRPr="00C612D0">
        <w:rPr>
          <w:sz w:val="20"/>
          <w:szCs w:val="20"/>
        </w:rPr>
        <w:t>(34</w:t>
      </w:r>
      <w:r w:rsidRPr="00C612D0">
        <w:rPr>
          <w:sz w:val="20"/>
          <w:szCs w:val="20"/>
        </w:rPr>
        <w:t>432</w:t>
      </w:r>
      <w:r w:rsidR="003359D3" w:rsidRPr="00C612D0">
        <w:rPr>
          <w:sz w:val="20"/>
          <w:szCs w:val="20"/>
        </w:rPr>
        <w:t>)</w:t>
      </w:r>
    </w:p>
    <w:p w:rsidR="003359D3" w:rsidRPr="00C612D0" w:rsidRDefault="003359D3" w:rsidP="003359D3">
      <w:pPr>
        <w:widowControl w:val="0"/>
        <w:jc w:val="both"/>
        <w:rPr>
          <w:sz w:val="20"/>
          <w:szCs w:val="20"/>
        </w:rPr>
      </w:pPr>
    </w:p>
    <w:p w:rsidR="003359D3" w:rsidRPr="00C50A5C" w:rsidRDefault="00940CAD" w:rsidP="003359D3">
      <w:pPr>
        <w:pStyle w:val="ListParagraph"/>
        <w:widowControl w:val="0"/>
        <w:numPr>
          <w:ilvl w:val="0"/>
          <w:numId w:val="1"/>
        </w:numPr>
        <w:ind w:hanging="720"/>
        <w:jc w:val="both"/>
        <w:rPr>
          <w:sz w:val="20"/>
          <w:szCs w:val="20"/>
        </w:rPr>
      </w:pPr>
      <w:r w:rsidRPr="00115C9E">
        <w:rPr>
          <w:i/>
          <w:sz w:val="20"/>
          <w:szCs w:val="20"/>
        </w:rPr>
        <w:t xml:space="preserve">Eli Lilly and Company v. </w:t>
      </w:r>
      <w:proofErr w:type="spellStart"/>
      <w:r w:rsidRPr="00115C9E">
        <w:rPr>
          <w:i/>
          <w:sz w:val="20"/>
          <w:szCs w:val="20"/>
        </w:rPr>
        <w:t>Teva</w:t>
      </w:r>
      <w:proofErr w:type="spellEnd"/>
      <w:r w:rsidRPr="00115C9E">
        <w:rPr>
          <w:i/>
          <w:sz w:val="20"/>
          <w:szCs w:val="20"/>
        </w:rPr>
        <w:t xml:space="preserve"> Canada Limited</w:t>
      </w:r>
      <w:r w:rsidRPr="002607EA">
        <w:rPr>
          <w:sz w:val="20"/>
          <w:szCs w:val="20"/>
        </w:rPr>
        <w:t xml:space="preserve"> (F</w:t>
      </w:r>
      <w:r>
        <w:rPr>
          <w:sz w:val="20"/>
          <w:szCs w:val="20"/>
        </w:rPr>
        <w:t>.</w:t>
      </w:r>
      <w:r w:rsidRPr="002607EA">
        <w:rPr>
          <w:sz w:val="20"/>
          <w:szCs w:val="20"/>
        </w:rPr>
        <w:t>C</w:t>
      </w:r>
      <w:r>
        <w:rPr>
          <w:sz w:val="20"/>
          <w:szCs w:val="20"/>
        </w:rPr>
        <w:t>.</w:t>
      </w:r>
      <w:r w:rsidRPr="002607EA">
        <w:rPr>
          <w:sz w:val="20"/>
          <w:szCs w:val="20"/>
        </w:rPr>
        <w:t>) (Civil) (By Leave)</w:t>
      </w:r>
      <w:r w:rsidRPr="00940CAD">
        <w:rPr>
          <w:sz w:val="20"/>
          <w:szCs w:val="20"/>
        </w:rPr>
        <w:t xml:space="preserve"> (34396)</w:t>
      </w:r>
    </w:p>
    <w:p w:rsidR="003359D3" w:rsidRPr="00C50A5C" w:rsidRDefault="003359D3" w:rsidP="003359D3">
      <w:pPr>
        <w:widowControl w:val="0"/>
        <w:rPr>
          <w:sz w:val="20"/>
          <w:szCs w:val="20"/>
        </w:rPr>
      </w:pPr>
    </w:p>
    <w:p w:rsidR="003359D3" w:rsidRPr="00C50A5C" w:rsidRDefault="00C612D0" w:rsidP="003359D3">
      <w:pPr>
        <w:pStyle w:val="ListParagraph"/>
        <w:widowControl w:val="0"/>
        <w:numPr>
          <w:ilvl w:val="0"/>
          <w:numId w:val="1"/>
        </w:numPr>
        <w:ind w:hanging="720"/>
        <w:jc w:val="both"/>
        <w:rPr>
          <w:sz w:val="20"/>
          <w:szCs w:val="20"/>
        </w:rPr>
      </w:pPr>
      <w:r w:rsidRPr="00C612D0">
        <w:rPr>
          <w:i/>
          <w:sz w:val="20"/>
          <w:szCs w:val="20"/>
        </w:rPr>
        <w:t xml:space="preserve">Ivan </w:t>
      </w:r>
      <w:proofErr w:type="spellStart"/>
      <w:r w:rsidRPr="00C612D0">
        <w:rPr>
          <w:i/>
          <w:sz w:val="20"/>
          <w:szCs w:val="20"/>
        </w:rPr>
        <w:t>Valovic</w:t>
      </w:r>
      <w:proofErr w:type="spellEnd"/>
      <w:r w:rsidRPr="00C612D0">
        <w:rPr>
          <w:i/>
          <w:sz w:val="20"/>
          <w:szCs w:val="20"/>
        </w:rPr>
        <w:t xml:space="preserve"> et al. v. Her Majesty the Queen</w:t>
      </w:r>
      <w:r w:rsidRPr="002607EA">
        <w:rPr>
          <w:sz w:val="20"/>
          <w:szCs w:val="20"/>
        </w:rPr>
        <w:t xml:space="preserve"> (Ont.) (Civil) (By Leave)</w:t>
      </w:r>
      <w:r>
        <w:rPr>
          <w:sz w:val="20"/>
          <w:szCs w:val="20"/>
        </w:rPr>
        <w:t xml:space="preserve"> </w:t>
      </w:r>
      <w:r w:rsidR="003359D3" w:rsidRPr="00C50A5C">
        <w:rPr>
          <w:sz w:val="20"/>
          <w:szCs w:val="20"/>
        </w:rPr>
        <w:t>(3</w:t>
      </w:r>
      <w:r w:rsidR="003359D3">
        <w:rPr>
          <w:sz w:val="20"/>
          <w:szCs w:val="20"/>
        </w:rPr>
        <w:t>4</w:t>
      </w:r>
      <w:r>
        <w:rPr>
          <w:sz w:val="20"/>
          <w:szCs w:val="20"/>
        </w:rPr>
        <w:t>326</w:t>
      </w:r>
      <w:r w:rsidR="003359D3" w:rsidRPr="00C50A5C">
        <w:rPr>
          <w:sz w:val="20"/>
          <w:szCs w:val="20"/>
        </w:rPr>
        <w:t>)</w:t>
      </w:r>
    </w:p>
    <w:p w:rsidR="003359D3" w:rsidRDefault="003359D3" w:rsidP="003359D3">
      <w:pPr>
        <w:widowControl w:val="0"/>
        <w:jc w:val="both"/>
        <w:rPr>
          <w:sz w:val="20"/>
          <w:szCs w:val="20"/>
        </w:rPr>
      </w:pPr>
    </w:p>
    <w:p w:rsidR="00C16CB3" w:rsidRDefault="00C16CB3" w:rsidP="003359D3">
      <w:pPr>
        <w:widowControl w:val="0"/>
        <w:jc w:val="both"/>
        <w:rPr>
          <w:sz w:val="20"/>
          <w:szCs w:val="20"/>
        </w:rPr>
      </w:pPr>
    </w:p>
    <w:p w:rsidR="00C16CB3" w:rsidRPr="00C50A5C" w:rsidRDefault="00C16CB3" w:rsidP="00C16CB3">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C16CB3" w:rsidRPr="00C50A5C" w:rsidRDefault="00C16CB3" w:rsidP="00C16CB3">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C16CB3" w:rsidRPr="00C16CB3" w:rsidRDefault="00C16CB3" w:rsidP="003359D3">
      <w:pPr>
        <w:widowControl w:val="0"/>
        <w:jc w:val="both"/>
        <w:rPr>
          <w:sz w:val="20"/>
          <w:szCs w:val="20"/>
          <w:lang w:val="fr-CA"/>
        </w:rPr>
      </w:pPr>
    </w:p>
    <w:p w:rsidR="003359D3" w:rsidRPr="00C612D0" w:rsidRDefault="00C612D0" w:rsidP="003359D3">
      <w:pPr>
        <w:pStyle w:val="ListParagraph"/>
        <w:widowControl w:val="0"/>
        <w:numPr>
          <w:ilvl w:val="0"/>
          <w:numId w:val="1"/>
        </w:numPr>
        <w:ind w:hanging="720"/>
        <w:jc w:val="both"/>
        <w:rPr>
          <w:sz w:val="20"/>
          <w:szCs w:val="20"/>
          <w:lang w:val="fr-CA"/>
        </w:rPr>
      </w:pPr>
      <w:r w:rsidRPr="00C612D0">
        <w:rPr>
          <w:i/>
          <w:sz w:val="20"/>
          <w:szCs w:val="20"/>
          <w:lang w:val="fr-CA"/>
        </w:rPr>
        <w:t xml:space="preserve">Toyota Canada Inc. et autres c. Michael </w:t>
      </w:r>
      <w:proofErr w:type="spellStart"/>
      <w:r w:rsidRPr="00C612D0">
        <w:rPr>
          <w:i/>
          <w:sz w:val="20"/>
          <w:szCs w:val="20"/>
          <w:lang w:val="fr-CA"/>
        </w:rPr>
        <w:t>Melley</w:t>
      </w:r>
      <w:proofErr w:type="spellEnd"/>
      <w:r w:rsidRPr="002607EA">
        <w:rPr>
          <w:sz w:val="20"/>
          <w:szCs w:val="20"/>
          <w:lang w:val="fr-CA"/>
        </w:rPr>
        <w:t xml:space="preserve"> (</w:t>
      </w:r>
      <w:proofErr w:type="spellStart"/>
      <w:r w:rsidRPr="002607EA">
        <w:rPr>
          <w:sz w:val="20"/>
          <w:szCs w:val="20"/>
          <w:lang w:val="fr-CA"/>
        </w:rPr>
        <w:t>Qc</w:t>
      </w:r>
      <w:proofErr w:type="spellEnd"/>
      <w:r w:rsidRPr="002607EA">
        <w:rPr>
          <w:sz w:val="20"/>
          <w:szCs w:val="20"/>
          <w:lang w:val="fr-CA"/>
        </w:rPr>
        <w:t>) (Civile) (Autorisation)</w:t>
      </w:r>
      <w:r w:rsidRPr="00C612D0">
        <w:rPr>
          <w:sz w:val="20"/>
          <w:szCs w:val="20"/>
          <w:lang w:val="fr-CA"/>
        </w:rPr>
        <w:t xml:space="preserve"> </w:t>
      </w:r>
      <w:r w:rsidR="003359D3" w:rsidRPr="00C612D0">
        <w:rPr>
          <w:sz w:val="20"/>
          <w:szCs w:val="20"/>
          <w:lang w:val="fr-CA"/>
        </w:rPr>
        <w:t>(34</w:t>
      </w:r>
      <w:r w:rsidRPr="00C612D0">
        <w:rPr>
          <w:sz w:val="20"/>
          <w:szCs w:val="20"/>
          <w:lang w:val="fr-CA"/>
        </w:rPr>
        <w:t>364</w:t>
      </w:r>
      <w:r w:rsidR="003359D3" w:rsidRPr="00C612D0">
        <w:rPr>
          <w:sz w:val="20"/>
          <w:szCs w:val="20"/>
          <w:lang w:val="fr-CA"/>
        </w:rPr>
        <w:t>)</w:t>
      </w:r>
    </w:p>
    <w:p w:rsidR="00C16CB3" w:rsidRPr="00C612D0" w:rsidRDefault="00C16CB3" w:rsidP="003359D3">
      <w:pPr>
        <w:widowControl w:val="0"/>
        <w:rPr>
          <w:sz w:val="20"/>
          <w:szCs w:val="20"/>
          <w:lang w:val="fr-CA"/>
        </w:rPr>
      </w:pPr>
    </w:p>
    <w:p w:rsidR="003359D3" w:rsidRPr="00115C9E" w:rsidRDefault="00115C9E" w:rsidP="003359D3">
      <w:pPr>
        <w:pStyle w:val="ListParagraph"/>
        <w:widowControl w:val="0"/>
        <w:numPr>
          <w:ilvl w:val="0"/>
          <w:numId w:val="1"/>
        </w:numPr>
        <w:ind w:hanging="720"/>
        <w:jc w:val="both"/>
        <w:rPr>
          <w:sz w:val="20"/>
          <w:szCs w:val="20"/>
          <w:lang w:val="fr-CA"/>
        </w:rPr>
      </w:pPr>
      <w:r w:rsidRPr="00115C9E">
        <w:rPr>
          <w:i/>
          <w:sz w:val="20"/>
          <w:szCs w:val="20"/>
          <w:lang w:val="fr-CA"/>
        </w:rPr>
        <w:t xml:space="preserve">David </w:t>
      </w:r>
      <w:proofErr w:type="spellStart"/>
      <w:r w:rsidRPr="00115C9E">
        <w:rPr>
          <w:i/>
          <w:sz w:val="20"/>
          <w:szCs w:val="20"/>
          <w:lang w:val="fr-CA"/>
        </w:rPr>
        <w:t>Zinga</w:t>
      </w:r>
      <w:proofErr w:type="spellEnd"/>
      <w:r w:rsidRPr="00115C9E">
        <w:rPr>
          <w:i/>
          <w:sz w:val="20"/>
          <w:szCs w:val="20"/>
          <w:lang w:val="fr-CA"/>
        </w:rPr>
        <w:t xml:space="preserve"> </w:t>
      </w:r>
      <w:proofErr w:type="spellStart"/>
      <w:r w:rsidRPr="00115C9E">
        <w:rPr>
          <w:i/>
          <w:sz w:val="20"/>
          <w:szCs w:val="20"/>
          <w:lang w:val="fr-CA"/>
        </w:rPr>
        <w:t>Ditomene</w:t>
      </w:r>
      <w:proofErr w:type="spellEnd"/>
      <w:r w:rsidRPr="00115C9E">
        <w:rPr>
          <w:i/>
          <w:sz w:val="20"/>
          <w:szCs w:val="20"/>
          <w:lang w:val="fr-CA"/>
        </w:rPr>
        <w:t xml:space="preserve"> c. Syndicat du personnel enseignant du Cégep de Sherbrooke et autres</w:t>
      </w:r>
      <w:r w:rsidRPr="002607EA">
        <w:rPr>
          <w:sz w:val="20"/>
          <w:szCs w:val="20"/>
          <w:lang w:val="fr-CA"/>
        </w:rPr>
        <w:t xml:space="preserve"> (</w:t>
      </w:r>
      <w:proofErr w:type="spellStart"/>
      <w:r w:rsidRPr="002607EA">
        <w:rPr>
          <w:sz w:val="20"/>
          <w:szCs w:val="20"/>
          <w:lang w:val="fr-CA"/>
        </w:rPr>
        <w:t>Qc</w:t>
      </w:r>
      <w:proofErr w:type="spellEnd"/>
      <w:r w:rsidRPr="002607EA">
        <w:rPr>
          <w:sz w:val="20"/>
          <w:szCs w:val="20"/>
          <w:lang w:val="fr-CA"/>
        </w:rPr>
        <w:t>) (Civile) (Autorisation)</w:t>
      </w:r>
      <w:r w:rsidRPr="00115C9E">
        <w:rPr>
          <w:sz w:val="20"/>
          <w:szCs w:val="20"/>
          <w:lang w:val="fr-CA"/>
        </w:rPr>
        <w:t xml:space="preserve"> </w:t>
      </w:r>
      <w:r w:rsidR="003359D3" w:rsidRPr="00115C9E">
        <w:rPr>
          <w:sz w:val="20"/>
          <w:szCs w:val="20"/>
          <w:lang w:val="fr-CA"/>
        </w:rPr>
        <w:t>(34</w:t>
      </w:r>
      <w:r w:rsidR="00C612D0" w:rsidRPr="00115C9E">
        <w:rPr>
          <w:sz w:val="20"/>
          <w:szCs w:val="20"/>
          <w:lang w:val="fr-CA"/>
        </w:rPr>
        <w:t>385</w:t>
      </w:r>
      <w:r w:rsidR="003359D3" w:rsidRPr="00115C9E">
        <w:rPr>
          <w:sz w:val="20"/>
          <w:szCs w:val="20"/>
          <w:lang w:val="fr-CA"/>
        </w:rPr>
        <w:t>)</w:t>
      </w:r>
    </w:p>
    <w:p w:rsidR="003359D3" w:rsidRPr="00115C9E" w:rsidRDefault="003359D3" w:rsidP="003359D3">
      <w:pPr>
        <w:widowControl w:val="0"/>
        <w:jc w:val="both"/>
        <w:rPr>
          <w:sz w:val="20"/>
          <w:szCs w:val="20"/>
          <w:lang w:val="fr-CA"/>
        </w:rPr>
      </w:pPr>
    </w:p>
    <w:p w:rsidR="003359D3" w:rsidRPr="00115C9E" w:rsidRDefault="00115C9E" w:rsidP="003359D3">
      <w:pPr>
        <w:pStyle w:val="ListParagraph"/>
        <w:widowControl w:val="0"/>
        <w:numPr>
          <w:ilvl w:val="0"/>
          <w:numId w:val="1"/>
        </w:numPr>
        <w:ind w:hanging="720"/>
        <w:jc w:val="both"/>
        <w:rPr>
          <w:sz w:val="20"/>
          <w:szCs w:val="20"/>
          <w:lang w:val="fr-CA"/>
        </w:rPr>
      </w:pPr>
      <w:r w:rsidRPr="00115C9E">
        <w:rPr>
          <w:i/>
          <w:sz w:val="20"/>
          <w:szCs w:val="20"/>
          <w:lang w:val="fr-CA"/>
        </w:rPr>
        <w:t>Erwin Gordon c. Pierre Mailloux et autres</w:t>
      </w:r>
      <w:r w:rsidRPr="002607EA">
        <w:rPr>
          <w:sz w:val="20"/>
          <w:szCs w:val="20"/>
          <w:lang w:val="fr-CA"/>
        </w:rPr>
        <w:t xml:space="preserve"> (</w:t>
      </w:r>
      <w:proofErr w:type="spellStart"/>
      <w:r w:rsidRPr="002607EA">
        <w:rPr>
          <w:sz w:val="20"/>
          <w:szCs w:val="20"/>
          <w:lang w:val="fr-CA"/>
        </w:rPr>
        <w:t>Qc</w:t>
      </w:r>
      <w:proofErr w:type="spellEnd"/>
      <w:r w:rsidRPr="002607EA">
        <w:rPr>
          <w:sz w:val="20"/>
          <w:szCs w:val="20"/>
          <w:lang w:val="fr-CA"/>
        </w:rPr>
        <w:t>) (Civile) (Autorisation)</w:t>
      </w:r>
      <w:r>
        <w:rPr>
          <w:sz w:val="20"/>
          <w:szCs w:val="20"/>
          <w:lang w:val="fr-CA"/>
        </w:rPr>
        <w:t xml:space="preserve"> </w:t>
      </w:r>
      <w:r w:rsidR="003359D3" w:rsidRPr="00115C9E">
        <w:rPr>
          <w:sz w:val="20"/>
          <w:szCs w:val="20"/>
          <w:lang w:val="fr-CA"/>
        </w:rPr>
        <w:t>(34</w:t>
      </w:r>
      <w:r w:rsidR="00C612D0" w:rsidRPr="00115C9E">
        <w:rPr>
          <w:sz w:val="20"/>
          <w:szCs w:val="20"/>
          <w:lang w:val="fr-CA"/>
        </w:rPr>
        <w:t>354</w:t>
      </w:r>
      <w:r w:rsidR="003359D3" w:rsidRPr="00115C9E">
        <w:rPr>
          <w:sz w:val="20"/>
          <w:szCs w:val="20"/>
          <w:lang w:val="fr-CA"/>
        </w:rPr>
        <w:t>)</w:t>
      </w:r>
    </w:p>
    <w:p w:rsidR="003359D3" w:rsidRPr="00115C9E" w:rsidRDefault="003359D3" w:rsidP="003359D3">
      <w:pPr>
        <w:widowControl w:val="0"/>
        <w:jc w:val="both"/>
        <w:rPr>
          <w:sz w:val="20"/>
          <w:szCs w:val="20"/>
          <w:lang w:val="fr-CA"/>
        </w:rPr>
      </w:pPr>
    </w:p>
    <w:p w:rsidR="003359D3" w:rsidRPr="00C50A5C" w:rsidRDefault="00115C9E" w:rsidP="003359D3">
      <w:pPr>
        <w:pStyle w:val="ListParagraph"/>
        <w:widowControl w:val="0"/>
        <w:numPr>
          <w:ilvl w:val="0"/>
          <w:numId w:val="1"/>
        </w:numPr>
        <w:ind w:hanging="720"/>
        <w:jc w:val="both"/>
        <w:rPr>
          <w:sz w:val="20"/>
          <w:szCs w:val="20"/>
          <w:lang w:val="fr-CA"/>
        </w:rPr>
      </w:pPr>
      <w:r w:rsidRPr="00115C9E">
        <w:rPr>
          <w:i/>
          <w:sz w:val="20"/>
          <w:szCs w:val="20"/>
          <w:lang w:val="fr-CA"/>
        </w:rPr>
        <w:t xml:space="preserve">La Presse, </w:t>
      </w:r>
      <w:proofErr w:type="spellStart"/>
      <w:r w:rsidRPr="00115C9E">
        <w:rPr>
          <w:i/>
          <w:sz w:val="20"/>
          <w:szCs w:val="20"/>
          <w:lang w:val="fr-CA"/>
        </w:rPr>
        <w:t>ltée</w:t>
      </w:r>
      <w:proofErr w:type="spellEnd"/>
      <w:r w:rsidRPr="00115C9E">
        <w:rPr>
          <w:i/>
          <w:sz w:val="20"/>
          <w:szCs w:val="20"/>
          <w:lang w:val="fr-CA"/>
        </w:rPr>
        <w:t xml:space="preserve"> et autres c. Bernard Poulin</w:t>
      </w:r>
      <w:r w:rsidRPr="002607EA">
        <w:rPr>
          <w:sz w:val="20"/>
          <w:szCs w:val="20"/>
          <w:lang w:val="fr-CA"/>
        </w:rPr>
        <w:t xml:space="preserve"> (</w:t>
      </w:r>
      <w:proofErr w:type="spellStart"/>
      <w:r w:rsidRPr="002607EA">
        <w:rPr>
          <w:sz w:val="20"/>
          <w:szCs w:val="20"/>
          <w:lang w:val="fr-CA"/>
        </w:rPr>
        <w:t>Qc</w:t>
      </w:r>
      <w:proofErr w:type="spellEnd"/>
      <w:r w:rsidRPr="002607EA">
        <w:rPr>
          <w:sz w:val="20"/>
          <w:szCs w:val="20"/>
          <w:lang w:val="fr-CA"/>
        </w:rPr>
        <w:t>) (Civile) (Autorisation)</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C612D0">
        <w:rPr>
          <w:sz w:val="20"/>
          <w:szCs w:val="20"/>
          <w:lang w:val="fr-CA"/>
        </w:rPr>
        <w:t>371</w:t>
      </w:r>
      <w:r w:rsidR="003359D3" w:rsidRPr="00C50A5C">
        <w:rPr>
          <w:sz w:val="20"/>
          <w:szCs w:val="20"/>
          <w:lang w:val="fr-CA"/>
        </w:rPr>
        <w:t>)</w:t>
      </w:r>
    </w:p>
    <w:p w:rsidR="003359D3" w:rsidRDefault="003359D3" w:rsidP="003359D3">
      <w:pPr>
        <w:widowControl w:val="0"/>
        <w:rPr>
          <w:sz w:val="20"/>
          <w:szCs w:val="20"/>
          <w:lang w:val="fr-CA"/>
        </w:rPr>
      </w:pPr>
    </w:p>
    <w:p w:rsidR="00C16CB3" w:rsidRDefault="00C16CB3" w:rsidP="003359D3">
      <w:pPr>
        <w:widowControl w:val="0"/>
        <w:rPr>
          <w:sz w:val="20"/>
          <w:szCs w:val="20"/>
          <w:lang w:val="fr-CA"/>
        </w:rPr>
      </w:pPr>
    </w:p>
    <w:p w:rsidR="00C16CB3" w:rsidRPr="00C50A5C" w:rsidRDefault="00C16CB3" w:rsidP="00C16CB3">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C16CB3" w:rsidRPr="00C50A5C" w:rsidRDefault="00C16CB3" w:rsidP="00C16CB3">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C16CB3" w:rsidRPr="00C50A5C" w:rsidRDefault="00C16CB3" w:rsidP="003359D3">
      <w:pPr>
        <w:widowControl w:val="0"/>
        <w:rPr>
          <w:sz w:val="20"/>
          <w:szCs w:val="20"/>
          <w:lang w:val="fr-CA"/>
        </w:rPr>
      </w:pPr>
    </w:p>
    <w:p w:rsidR="003359D3" w:rsidRPr="00C50A5C" w:rsidRDefault="00115C9E" w:rsidP="003359D3">
      <w:pPr>
        <w:pStyle w:val="ListParagraph"/>
        <w:widowControl w:val="0"/>
        <w:numPr>
          <w:ilvl w:val="0"/>
          <w:numId w:val="1"/>
        </w:numPr>
        <w:ind w:hanging="720"/>
        <w:jc w:val="both"/>
        <w:rPr>
          <w:sz w:val="20"/>
          <w:szCs w:val="20"/>
          <w:lang w:val="fr-CA"/>
        </w:rPr>
      </w:pPr>
      <w:r w:rsidRPr="00115C9E">
        <w:rPr>
          <w:i/>
          <w:sz w:val="20"/>
          <w:szCs w:val="20"/>
        </w:rPr>
        <w:t xml:space="preserve">Donald Charles </w:t>
      </w:r>
      <w:proofErr w:type="spellStart"/>
      <w:r w:rsidRPr="00115C9E">
        <w:rPr>
          <w:i/>
          <w:sz w:val="20"/>
          <w:szCs w:val="20"/>
        </w:rPr>
        <w:t>Spindler</w:t>
      </w:r>
      <w:proofErr w:type="spellEnd"/>
      <w:r w:rsidRPr="00115C9E">
        <w:rPr>
          <w:i/>
          <w:sz w:val="20"/>
          <w:szCs w:val="20"/>
        </w:rPr>
        <w:t xml:space="preserve"> v. Her Majesty the Queen</w:t>
      </w:r>
      <w:r w:rsidRPr="00115C9E">
        <w:rPr>
          <w:sz w:val="20"/>
          <w:szCs w:val="20"/>
        </w:rPr>
        <w:t xml:space="preserve"> (Ont.) </w:t>
      </w:r>
      <w:r w:rsidRPr="00C612D0">
        <w:rPr>
          <w:sz w:val="20"/>
          <w:szCs w:val="20"/>
          <w:lang w:val="fr-CA"/>
        </w:rPr>
        <w:t>(</w:t>
      </w:r>
      <w:proofErr w:type="spellStart"/>
      <w:r w:rsidRPr="00C612D0">
        <w:rPr>
          <w:sz w:val="20"/>
          <w:szCs w:val="20"/>
          <w:lang w:val="fr-CA"/>
        </w:rPr>
        <w:t>Crim</w:t>
      </w:r>
      <w:proofErr w:type="spellEnd"/>
      <w:r w:rsidRPr="00C612D0">
        <w:rPr>
          <w:sz w:val="20"/>
          <w:szCs w:val="20"/>
          <w:lang w:val="fr-CA"/>
        </w:rPr>
        <w:t xml:space="preserve">.) </w:t>
      </w:r>
      <w:r w:rsidRPr="002607EA">
        <w:rPr>
          <w:sz w:val="20"/>
          <w:szCs w:val="20"/>
        </w:rPr>
        <w:t>(By Leave)</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C612D0">
        <w:rPr>
          <w:sz w:val="20"/>
          <w:szCs w:val="20"/>
          <w:lang w:val="fr-CA"/>
        </w:rPr>
        <w:t>384</w:t>
      </w:r>
      <w:r w:rsidR="003359D3" w:rsidRPr="00C50A5C">
        <w:rPr>
          <w:sz w:val="20"/>
          <w:szCs w:val="20"/>
          <w:lang w:val="fr-CA"/>
        </w:rPr>
        <w:t>)</w:t>
      </w:r>
    </w:p>
    <w:p w:rsidR="003359D3" w:rsidRDefault="003359D3" w:rsidP="003359D3">
      <w:pPr>
        <w:widowControl w:val="0"/>
        <w:jc w:val="both"/>
        <w:rPr>
          <w:sz w:val="20"/>
          <w:szCs w:val="20"/>
          <w:lang w:val="fr-CA"/>
        </w:rPr>
      </w:pPr>
    </w:p>
    <w:p w:rsidR="003359D3" w:rsidRPr="00115C9E" w:rsidRDefault="00115C9E" w:rsidP="003359D3">
      <w:pPr>
        <w:pStyle w:val="ListParagraph"/>
        <w:widowControl w:val="0"/>
        <w:numPr>
          <w:ilvl w:val="0"/>
          <w:numId w:val="1"/>
        </w:numPr>
        <w:ind w:hanging="720"/>
        <w:jc w:val="both"/>
        <w:rPr>
          <w:sz w:val="20"/>
          <w:szCs w:val="20"/>
        </w:rPr>
      </w:pPr>
      <w:proofErr w:type="spellStart"/>
      <w:r w:rsidRPr="00115C9E">
        <w:rPr>
          <w:i/>
          <w:sz w:val="20"/>
          <w:szCs w:val="20"/>
        </w:rPr>
        <w:t>Tarion</w:t>
      </w:r>
      <w:proofErr w:type="spellEnd"/>
      <w:r w:rsidRPr="00115C9E">
        <w:rPr>
          <w:i/>
          <w:sz w:val="20"/>
          <w:szCs w:val="20"/>
        </w:rPr>
        <w:t xml:space="preserve"> Warranty Corporation v. Alexander </w:t>
      </w:r>
      <w:proofErr w:type="spellStart"/>
      <w:r w:rsidRPr="00115C9E">
        <w:rPr>
          <w:i/>
          <w:sz w:val="20"/>
          <w:szCs w:val="20"/>
        </w:rPr>
        <w:t>Boros</w:t>
      </w:r>
      <w:proofErr w:type="spellEnd"/>
      <w:r w:rsidRPr="00115C9E">
        <w:rPr>
          <w:i/>
          <w:sz w:val="20"/>
          <w:szCs w:val="20"/>
        </w:rPr>
        <w:t xml:space="preserve"> </w:t>
      </w:r>
      <w:r w:rsidRPr="002607EA">
        <w:rPr>
          <w:sz w:val="20"/>
          <w:szCs w:val="20"/>
        </w:rPr>
        <w:t>(Ont.) (Civil) (By Leave)</w:t>
      </w:r>
      <w:r w:rsidRPr="00115C9E">
        <w:rPr>
          <w:sz w:val="20"/>
          <w:szCs w:val="20"/>
        </w:rPr>
        <w:t xml:space="preserve"> </w:t>
      </w:r>
      <w:r w:rsidR="003359D3" w:rsidRPr="00115C9E">
        <w:rPr>
          <w:sz w:val="20"/>
          <w:szCs w:val="20"/>
        </w:rPr>
        <w:t>(34</w:t>
      </w:r>
      <w:r w:rsidR="00C612D0" w:rsidRPr="00115C9E">
        <w:rPr>
          <w:sz w:val="20"/>
          <w:szCs w:val="20"/>
        </w:rPr>
        <w:t>380</w:t>
      </w:r>
      <w:r w:rsidR="003359D3" w:rsidRPr="00115C9E">
        <w:rPr>
          <w:sz w:val="20"/>
          <w:szCs w:val="20"/>
        </w:rPr>
        <w:t>)</w:t>
      </w:r>
    </w:p>
    <w:p w:rsidR="003359D3" w:rsidRPr="00115C9E" w:rsidRDefault="003359D3" w:rsidP="003359D3">
      <w:pPr>
        <w:widowControl w:val="0"/>
        <w:jc w:val="both"/>
        <w:rPr>
          <w:sz w:val="20"/>
          <w:szCs w:val="20"/>
        </w:rPr>
      </w:pPr>
    </w:p>
    <w:p w:rsidR="003359D3" w:rsidRPr="00115C9E" w:rsidRDefault="00115C9E" w:rsidP="003359D3">
      <w:pPr>
        <w:pStyle w:val="ListParagraph"/>
        <w:widowControl w:val="0"/>
        <w:numPr>
          <w:ilvl w:val="0"/>
          <w:numId w:val="1"/>
        </w:numPr>
        <w:ind w:hanging="720"/>
        <w:jc w:val="both"/>
        <w:rPr>
          <w:sz w:val="20"/>
          <w:szCs w:val="20"/>
        </w:rPr>
      </w:pPr>
      <w:r w:rsidRPr="00115C9E">
        <w:rPr>
          <w:i/>
          <w:sz w:val="20"/>
          <w:szCs w:val="20"/>
        </w:rPr>
        <w:t>Serena Oh v. City of Burnaby</w:t>
      </w:r>
      <w:r w:rsidRPr="002607EA">
        <w:rPr>
          <w:sz w:val="20"/>
          <w:szCs w:val="20"/>
        </w:rPr>
        <w:t xml:space="preserve"> (B.C.) (Civil) (By Leave)</w:t>
      </w:r>
      <w:r>
        <w:rPr>
          <w:sz w:val="20"/>
          <w:szCs w:val="20"/>
        </w:rPr>
        <w:t xml:space="preserve"> </w:t>
      </w:r>
      <w:r w:rsidR="003359D3" w:rsidRPr="00115C9E">
        <w:rPr>
          <w:sz w:val="20"/>
          <w:szCs w:val="20"/>
        </w:rPr>
        <w:t>(34</w:t>
      </w:r>
      <w:r w:rsidR="00C612D0" w:rsidRPr="00115C9E">
        <w:rPr>
          <w:sz w:val="20"/>
          <w:szCs w:val="20"/>
        </w:rPr>
        <w:t>373</w:t>
      </w:r>
      <w:r w:rsidR="003359D3" w:rsidRPr="00115C9E">
        <w:rPr>
          <w:sz w:val="20"/>
          <w:szCs w:val="20"/>
        </w:rPr>
        <w:t>)</w:t>
      </w:r>
    </w:p>
    <w:p w:rsidR="003359D3" w:rsidRPr="00115C9E" w:rsidRDefault="003359D3" w:rsidP="003359D3">
      <w:pPr>
        <w:widowControl w:val="0"/>
        <w:jc w:val="both"/>
        <w:rPr>
          <w:sz w:val="20"/>
          <w:szCs w:val="20"/>
        </w:rPr>
      </w:pPr>
    </w:p>
    <w:p w:rsidR="00940CAD" w:rsidRDefault="00940CAD" w:rsidP="00940CAD">
      <w:pPr>
        <w:pStyle w:val="ListParagraph"/>
        <w:widowControl w:val="0"/>
        <w:numPr>
          <w:ilvl w:val="0"/>
          <w:numId w:val="1"/>
        </w:numPr>
        <w:ind w:hanging="720"/>
        <w:jc w:val="both"/>
        <w:rPr>
          <w:sz w:val="20"/>
          <w:szCs w:val="20"/>
        </w:rPr>
      </w:pPr>
      <w:r w:rsidRPr="00C612D0">
        <w:rPr>
          <w:i/>
          <w:sz w:val="20"/>
          <w:szCs w:val="20"/>
        </w:rPr>
        <w:t xml:space="preserve">John C. </w:t>
      </w:r>
      <w:proofErr w:type="spellStart"/>
      <w:r w:rsidRPr="00C612D0">
        <w:rPr>
          <w:i/>
          <w:sz w:val="20"/>
          <w:szCs w:val="20"/>
        </w:rPr>
        <w:t>Turmel</w:t>
      </w:r>
      <w:proofErr w:type="spellEnd"/>
      <w:r w:rsidRPr="00C612D0">
        <w:rPr>
          <w:i/>
          <w:sz w:val="20"/>
          <w:szCs w:val="20"/>
        </w:rPr>
        <w:t xml:space="preserve"> v. CBC (Dragons' Den)</w:t>
      </w:r>
      <w:r w:rsidRPr="002607EA">
        <w:rPr>
          <w:sz w:val="20"/>
          <w:szCs w:val="20"/>
        </w:rPr>
        <w:t xml:space="preserve"> (Ont.) (Civil) (By Leave)</w:t>
      </w:r>
      <w:r w:rsidRPr="00C50A5C">
        <w:rPr>
          <w:sz w:val="20"/>
          <w:szCs w:val="20"/>
        </w:rPr>
        <w:t xml:space="preserve"> (3</w:t>
      </w:r>
      <w:r>
        <w:rPr>
          <w:sz w:val="20"/>
          <w:szCs w:val="20"/>
        </w:rPr>
        <w:t>4482</w:t>
      </w:r>
      <w:r w:rsidRPr="00C50A5C">
        <w:rPr>
          <w:sz w:val="20"/>
          <w:szCs w:val="20"/>
        </w:rPr>
        <w:t>)</w:t>
      </w:r>
    </w:p>
    <w:p w:rsidR="00940CAD" w:rsidRDefault="00940CAD" w:rsidP="002E2327">
      <w:pPr>
        <w:widowControl w:val="0"/>
        <w:rPr>
          <w:sz w:val="20"/>
          <w:szCs w:val="20"/>
        </w:rPr>
      </w:pPr>
    </w:p>
    <w:p w:rsidR="002E2327" w:rsidRDefault="004D631F" w:rsidP="002E2327">
      <w:pPr>
        <w:widowControl w:val="0"/>
        <w:rPr>
          <w:sz w:val="20"/>
          <w:szCs w:val="20"/>
        </w:rPr>
      </w:pPr>
      <w:r w:rsidRPr="004D631F">
        <w:rPr>
          <w:sz w:val="20"/>
          <w:szCs w:val="20"/>
        </w:rPr>
        <w:pict>
          <v:rect id="_x0000_i1036" style="width:2in;height:1pt" o:hrpct="0" o:hralign="center" o:hrstd="t" o:hrnoshade="t" o:hr="t" fillcolor="black [3213]" stroked="f"/>
        </w:pict>
      </w:r>
    </w:p>
    <w:p w:rsidR="00115C9E" w:rsidRDefault="00115C9E" w:rsidP="002E2327">
      <w:pPr>
        <w:widowControl w:val="0"/>
        <w:rPr>
          <w:sz w:val="20"/>
          <w:szCs w:val="20"/>
        </w:rPr>
      </w:pPr>
    </w:p>
    <w:p w:rsidR="00115C9E" w:rsidRDefault="00115C9E" w:rsidP="002E2327">
      <w:pPr>
        <w:widowControl w:val="0"/>
        <w:rPr>
          <w:sz w:val="20"/>
          <w:szCs w:val="20"/>
        </w:rPr>
      </w:pPr>
    </w:p>
    <w:p w:rsidR="00115C9E" w:rsidRPr="00C50A5C" w:rsidRDefault="00115C9E"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FD753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93057E" w:rsidP="008D292F">
      <w:pPr>
        <w:rPr>
          <w:b/>
          <w:sz w:val="20"/>
          <w:szCs w:val="20"/>
        </w:rPr>
      </w:pPr>
      <w:r>
        <w:rPr>
          <w:b/>
          <w:sz w:val="20"/>
          <w:szCs w:val="20"/>
        </w:rPr>
        <w:t>NOVEMBE</w:t>
      </w:r>
      <w:r w:rsidR="008D292F" w:rsidRPr="00C50A5C">
        <w:rPr>
          <w:b/>
          <w:sz w:val="20"/>
          <w:szCs w:val="20"/>
        </w:rPr>
        <w:t xml:space="preserve">R </w:t>
      </w:r>
      <w:r>
        <w:rPr>
          <w:b/>
          <w:sz w:val="20"/>
          <w:szCs w:val="20"/>
        </w:rPr>
        <w:t>10</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10</w:t>
      </w:r>
      <w:r w:rsidR="008D292F" w:rsidRPr="00C50A5C">
        <w:rPr>
          <w:b/>
          <w:sz w:val="20"/>
          <w:szCs w:val="20"/>
        </w:rPr>
        <w:t xml:space="preserve"> </w:t>
      </w:r>
      <w:r>
        <w:rPr>
          <w:b/>
          <w:sz w:val="20"/>
          <w:szCs w:val="20"/>
        </w:rPr>
        <w:t>NO</w:t>
      </w:r>
      <w:r w:rsidR="008D292F" w:rsidRPr="00C50A5C">
        <w:rPr>
          <w:b/>
          <w:sz w:val="20"/>
          <w:szCs w:val="20"/>
        </w:rPr>
        <w:t>V</w:t>
      </w:r>
      <w:r>
        <w:rPr>
          <w:b/>
          <w:sz w:val="20"/>
          <w:szCs w:val="20"/>
        </w:rPr>
        <w:t>EMB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435FE" w:rsidRPr="008435FE" w:rsidTr="008435FE">
        <w:trPr>
          <w:cantSplit/>
        </w:trPr>
        <w:tc>
          <w:tcPr>
            <w:tcW w:w="1458" w:type="dxa"/>
          </w:tcPr>
          <w:p w:rsidR="008435FE" w:rsidRPr="008435FE" w:rsidRDefault="008435FE" w:rsidP="008435FE">
            <w:pPr>
              <w:rPr>
                <w:sz w:val="20"/>
                <w:szCs w:val="20"/>
              </w:rPr>
            </w:pPr>
            <w:r w:rsidRPr="008435FE">
              <w:rPr>
                <w:rStyle w:val="SCCFileNumberChar"/>
                <w:sz w:val="20"/>
                <w:szCs w:val="20"/>
              </w:rPr>
              <w:t>342</w:t>
            </w:r>
            <w:r>
              <w:rPr>
                <w:rStyle w:val="SCCFileNumberChar"/>
                <w:sz w:val="20"/>
                <w:szCs w:val="20"/>
              </w:rPr>
              <w:t>91</w:t>
            </w:r>
          </w:p>
          <w:p w:rsidR="008435FE" w:rsidRPr="008435FE" w:rsidRDefault="008435FE" w:rsidP="008435FE">
            <w:pPr>
              <w:rPr>
                <w:b/>
                <w:sz w:val="20"/>
                <w:szCs w:val="20"/>
                <w:lang w:val="fr-CA"/>
              </w:rPr>
            </w:pPr>
          </w:p>
        </w:tc>
        <w:tc>
          <w:tcPr>
            <w:tcW w:w="8118" w:type="dxa"/>
          </w:tcPr>
          <w:p w:rsidR="008435FE" w:rsidRPr="00C50A5C" w:rsidRDefault="008435FE" w:rsidP="008435FE">
            <w:pPr>
              <w:jc w:val="both"/>
              <w:rPr>
                <w:sz w:val="20"/>
                <w:szCs w:val="20"/>
              </w:rPr>
            </w:pPr>
            <w:r w:rsidRPr="008435FE">
              <w:rPr>
                <w:rFonts w:eastAsia="Calibri"/>
                <w:b/>
                <w:sz w:val="20"/>
                <w:szCs w:val="20"/>
                <w:u w:val="single"/>
              </w:rPr>
              <w:t xml:space="preserve">Eugene J. Howard, </w:t>
            </w:r>
            <w:proofErr w:type="spellStart"/>
            <w:r w:rsidRPr="008435FE">
              <w:rPr>
                <w:rFonts w:eastAsia="Calibri"/>
                <w:b/>
                <w:sz w:val="20"/>
                <w:szCs w:val="20"/>
                <w:u w:val="single"/>
              </w:rPr>
              <w:t>Juergen</w:t>
            </w:r>
            <w:proofErr w:type="spellEnd"/>
            <w:r w:rsidRPr="008435FE">
              <w:rPr>
                <w:rFonts w:eastAsia="Calibri"/>
                <w:b/>
                <w:sz w:val="20"/>
                <w:szCs w:val="20"/>
                <w:u w:val="single"/>
              </w:rPr>
              <w:t xml:space="preserve"> </w:t>
            </w:r>
            <w:proofErr w:type="spellStart"/>
            <w:r w:rsidRPr="008435FE">
              <w:rPr>
                <w:rFonts w:eastAsia="Calibri"/>
                <w:b/>
                <w:sz w:val="20"/>
                <w:szCs w:val="20"/>
                <w:u w:val="single"/>
              </w:rPr>
              <w:t>Eisermann</w:t>
            </w:r>
            <w:proofErr w:type="spellEnd"/>
            <w:r>
              <w:rPr>
                <w:rFonts w:eastAsia="Calibri"/>
                <w:b/>
                <w:sz w:val="20"/>
                <w:szCs w:val="20"/>
                <w:u w:val="single"/>
              </w:rPr>
              <w:t xml:space="preserve"> and</w:t>
            </w:r>
            <w:r w:rsidRPr="008435FE">
              <w:rPr>
                <w:rFonts w:eastAsia="Calibri"/>
                <w:b/>
                <w:sz w:val="20"/>
                <w:szCs w:val="20"/>
                <w:u w:val="single"/>
              </w:rPr>
              <w:t xml:space="preserve"> </w:t>
            </w:r>
            <w:proofErr w:type="spellStart"/>
            <w:r w:rsidRPr="008435FE">
              <w:rPr>
                <w:rFonts w:eastAsia="Calibri"/>
                <w:b/>
                <w:sz w:val="20"/>
                <w:szCs w:val="20"/>
                <w:u w:val="single"/>
              </w:rPr>
              <w:t>Stonehaven</w:t>
            </w:r>
            <w:proofErr w:type="spellEnd"/>
            <w:r w:rsidRPr="008435FE">
              <w:rPr>
                <w:rFonts w:eastAsia="Calibri"/>
                <w:b/>
                <w:sz w:val="20"/>
                <w:szCs w:val="20"/>
                <w:u w:val="single"/>
              </w:rPr>
              <w:t xml:space="preserve"> Country Club inc. v. </w:t>
            </w:r>
            <w:proofErr w:type="spellStart"/>
            <w:r w:rsidRPr="008435FE">
              <w:rPr>
                <w:rFonts w:eastAsia="Calibri"/>
                <w:b/>
                <w:sz w:val="20"/>
                <w:szCs w:val="20"/>
                <w:u w:val="single"/>
              </w:rPr>
              <w:t>Investissement</w:t>
            </w:r>
            <w:proofErr w:type="spellEnd"/>
            <w:r w:rsidRPr="008435FE">
              <w:rPr>
                <w:rFonts w:eastAsia="Calibri"/>
                <w:b/>
                <w:sz w:val="20"/>
                <w:szCs w:val="20"/>
                <w:u w:val="single"/>
              </w:rPr>
              <w:t xml:space="preserve"> Québec</w:t>
            </w:r>
            <w:r>
              <w:rPr>
                <w:rFonts w:eastAsia="Calibri"/>
                <w:b/>
                <w:sz w:val="20"/>
                <w:szCs w:val="20"/>
              </w:rPr>
              <w:t xml:space="preserve"> </w:t>
            </w:r>
            <w:r w:rsidRPr="00996EED">
              <w:rPr>
                <w:rFonts w:eastAsia="Calibri"/>
                <w:sz w:val="20"/>
                <w:szCs w:val="20"/>
              </w:rPr>
              <w:t>(Que.) (Civil) (By Leave)</w:t>
            </w:r>
            <w:r>
              <w:rPr>
                <w:sz w:val="20"/>
                <w:szCs w:val="20"/>
              </w:rPr>
              <w:t xml:space="preserve"> </w:t>
            </w:r>
          </w:p>
          <w:p w:rsidR="008435FE" w:rsidRPr="008435FE" w:rsidRDefault="008435FE" w:rsidP="008435FE">
            <w:pPr>
              <w:rPr>
                <w:sz w:val="20"/>
                <w:szCs w:val="20"/>
              </w:rPr>
            </w:pPr>
          </w:p>
        </w:tc>
      </w:tr>
      <w:tr w:rsidR="008435FE" w:rsidRPr="008435FE" w:rsidTr="008435FE">
        <w:trPr>
          <w:cantSplit/>
        </w:trPr>
        <w:tc>
          <w:tcPr>
            <w:tcW w:w="1458" w:type="dxa"/>
          </w:tcPr>
          <w:p w:rsidR="008435FE" w:rsidRPr="008435FE" w:rsidRDefault="008435FE" w:rsidP="008435FE">
            <w:pPr>
              <w:rPr>
                <w:sz w:val="20"/>
                <w:szCs w:val="20"/>
              </w:rPr>
            </w:pPr>
            <w:r w:rsidRPr="008435FE">
              <w:rPr>
                <w:sz w:val="20"/>
                <w:szCs w:val="20"/>
              </w:rPr>
              <w:t>Coram :</w:t>
            </w:r>
          </w:p>
        </w:tc>
        <w:tc>
          <w:tcPr>
            <w:tcW w:w="8118" w:type="dxa"/>
          </w:tcPr>
          <w:p w:rsidR="008435FE" w:rsidRPr="008435FE" w:rsidRDefault="008435FE" w:rsidP="008435FE">
            <w:pPr>
              <w:rPr>
                <w:sz w:val="20"/>
                <w:szCs w:val="20"/>
              </w:rPr>
            </w:pPr>
            <w:proofErr w:type="spellStart"/>
            <w:r>
              <w:rPr>
                <w:rStyle w:val="SCCCoramChar"/>
                <w:sz w:val="20"/>
                <w:szCs w:val="20"/>
                <w:lang w:val="en-CA"/>
              </w:rPr>
              <w:t>Le</w:t>
            </w:r>
            <w:r w:rsidRPr="008435FE">
              <w:rPr>
                <w:rStyle w:val="SCCCoramChar"/>
                <w:sz w:val="20"/>
                <w:szCs w:val="20"/>
                <w:lang w:val="en-CA"/>
              </w:rPr>
              <w:t>Be</w:t>
            </w:r>
            <w:r>
              <w:rPr>
                <w:rStyle w:val="SCCCoramChar"/>
                <w:sz w:val="20"/>
                <w:szCs w:val="20"/>
                <w:lang w:val="en-CA"/>
              </w:rPr>
              <w:t>l</w:t>
            </w:r>
            <w:proofErr w:type="spellEnd"/>
            <w:r w:rsidRPr="008435FE">
              <w:rPr>
                <w:rStyle w:val="SCCCoramChar"/>
                <w:sz w:val="20"/>
                <w:szCs w:val="20"/>
                <w:lang w:val="en-CA"/>
              </w:rPr>
              <w:t xml:space="preserve">, </w:t>
            </w:r>
            <w:r>
              <w:rPr>
                <w:rStyle w:val="SCCCoramChar"/>
                <w:sz w:val="20"/>
                <w:szCs w:val="20"/>
                <w:lang w:val="en-CA"/>
              </w:rPr>
              <w:t>Fish</w:t>
            </w:r>
            <w:r w:rsidRPr="008435FE">
              <w:rPr>
                <w:rStyle w:val="SCCCoramChar"/>
                <w:sz w:val="20"/>
                <w:szCs w:val="20"/>
                <w:lang w:val="en-CA"/>
              </w:rPr>
              <w:t xml:space="preserve"> and </w:t>
            </w:r>
            <w:r>
              <w:rPr>
                <w:rStyle w:val="SCCCoramChar"/>
                <w:sz w:val="20"/>
                <w:szCs w:val="20"/>
                <w:lang w:val="en-CA"/>
              </w:rPr>
              <w:t>Cromwell</w:t>
            </w:r>
            <w:r w:rsidRPr="008435FE">
              <w:rPr>
                <w:rStyle w:val="SCCCoramChar"/>
                <w:sz w:val="20"/>
                <w:szCs w:val="20"/>
                <w:lang w:val="en-CA"/>
              </w:rPr>
              <w:t> JJ.</w:t>
            </w:r>
          </w:p>
          <w:p w:rsidR="008435FE" w:rsidRPr="008435FE" w:rsidRDefault="008435FE" w:rsidP="008435FE">
            <w:pPr>
              <w:rPr>
                <w:sz w:val="20"/>
                <w:szCs w:val="20"/>
                <w:u w:val="single"/>
              </w:rPr>
            </w:pPr>
          </w:p>
        </w:tc>
      </w:tr>
      <w:tr w:rsidR="008435FE" w:rsidRPr="00FD7538" w:rsidTr="008435FE">
        <w:trPr>
          <w:cantSplit/>
        </w:trPr>
        <w:tc>
          <w:tcPr>
            <w:tcW w:w="9576" w:type="dxa"/>
            <w:gridSpan w:val="2"/>
          </w:tcPr>
          <w:p w:rsidR="008435FE" w:rsidRDefault="008435FE" w:rsidP="008435FE">
            <w:pPr>
              <w:rPr>
                <w:sz w:val="20"/>
                <w:szCs w:val="20"/>
              </w:rPr>
            </w:pPr>
            <w:r>
              <w:rPr>
                <w:sz w:val="20"/>
                <w:szCs w:val="20"/>
              </w:rPr>
              <w:tab/>
            </w:r>
            <w:r w:rsidRPr="006E7AD5">
              <w:rPr>
                <w:sz w:val="20"/>
                <w:szCs w:val="20"/>
              </w:rPr>
              <w:t>The application for leave to appeal from the judgment of the Court of Appeal of Quebec (Montréal), Number 500-09-019650-092, 2011 QCCA 718, dated April 4, 2011, is dismissed with costs.</w:t>
            </w:r>
          </w:p>
          <w:p w:rsidR="008435FE" w:rsidRDefault="008435FE" w:rsidP="008435FE">
            <w:pPr>
              <w:rPr>
                <w:sz w:val="20"/>
                <w:szCs w:val="20"/>
              </w:rPr>
            </w:pPr>
          </w:p>
          <w:p w:rsidR="008435FE" w:rsidRPr="008435FE" w:rsidRDefault="008435FE" w:rsidP="008435FE">
            <w:pPr>
              <w:pStyle w:val="SCCShortJudgment"/>
              <w:ind w:firstLine="0"/>
              <w:rPr>
                <w:szCs w:val="20"/>
                <w:lang w:val="fr-CA"/>
              </w:rPr>
            </w:pPr>
            <w:r w:rsidRPr="008435FE">
              <w:rPr>
                <w:szCs w:val="20"/>
              </w:rPr>
              <w:tab/>
            </w:r>
            <w:r w:rsidRPr="006E7AD5">
              <w:rPr>
                <w:szCs w:val="20"/>
                <w:lang w:val="fr-CA"/>
              </w:rPr>
              <w:t>La demande d’autorisation d’appel de l’arrêt de la Cour d’appel du Québec (Montréal), numéro 500-09-019650-092, 2011 QCCA 718, daté du 4 avril 2011, est rejetée avec dépens.</w:t>
            </w:r>
          </w:p>
        </w:tc>
      </w:tr>
    </w:tbl>
    <w:p w:rsidR="008435FE" w:rsidRPr="008435FE" w:rsidRDefault="008435FE" w:rsidP="008D292F">
      <w:pPr>
        <w:rPr>
          <w:sz w:val="20"/>
          <w:szCs w:val="20"/>
          <w:lang w:val="fr-CA"/>
        </w:rPr>
      </w:pPr>
    </w:p>
    <w:p w:rsidR="0093057E" w:rsidRPr="0093057E" w:rsidRDefault="0093057E" w:rsidP="008D292F">
      <w:pPr>
        <w:rPr>
          <w:sz w:val="20"/>
          <w:szCs w:val="20"/>
        </w:rPr>
      </w:pPr>
      <w:r>
        <w:rPr>
          <w:sz w:val="20"/>
          <w:szCs w:val="20"/>
          <w:u w:val="single"/>
        </w:rPr>
        <w:t>CASE SUMMARY</w:t>
      </w:r>
    </w:p>
    <w:p w:rsidR="0093057E" w:rsidRDefault="0093057E"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001A" w:rsidRPr="00996EED" w:rsidTr="002607EA">
        <w:tc>
          <w:tcPr>
            <w:tcW w:w="5000" w:type="pct"/>
            <w:gridSpan w:val="3"/>
          </w:tcPr>
          <w:p w:rsidR="00C3001A" w:rsidRPr="00996EED" w:rsidRDefault="00C3001A" w:rsidP="002607EA">
            <w:pPr>
              <w:jc w:val="both"/>
              <w:rPr>
                <w:rFonts w:eastAsia="Calibri"/>
                <w:sz w:val="20"/>
                <w:szCs w:val="20"/>
              </w:rPr>
            </w:pPr>
            <w:r w:rsidRPr="00996EED">
              <w:rPr>
                <w:rFonts w:eastAsia="Calibri"/>
                <w:sz w:val="20"/>
                <w:szCs w:val="20"/>
              </w:rPr>
              <w:t xml:space="preserve">Bankruptcy and insolvency — Priority — Loan contract with business secured by hypothec and providing for profit sharing — Whether s. 139 of </w:t>
            </w:r>
            <w:r w:rsidRPr="00996EED">
              <w:rPr>
                <w:rFonts w:eastAsia="Calibri"/>
                <w:i/>
                <w:sz w:val="20"/>
                <w:szCs w:val="20"/>
              </w:rPr>
              <w:t>Bankruptcy and Insolvency Act</w:t>
            </w:r>
            <w:r w:rsidRPr="00996EED">
              <w:rPr>
                <w:rFonts w:eastAsia="Calibri"/>
                <w:sz w:val="20"/>
                <w:szCs w:val="20"/>
              </w:rPr>
              <w:t>, R.S.C. 1985, c. B</w:t>
            </w:r>
            <w:r w:rsidRPr="00996EED">
              <w:rPr>
                <w:rFonts w:eastAsia="Calibri"/>
                <w:sz w:val="20"/>
                <w:szCs w:val="20"/>
              </w:rPr>
              <w:noBreakHyphen/>
              <w:t xml:space="preserve">3, which states that lender’s claim resulting from advances made in consideration of percentage of profits must be paid last, applies — Whether </w:t>
            </w:r>
            <w:proofErr w:type="spellStart"/>
            <w:r w:rsidRPr="00996EED">
              <w:rPr>
                <w:rFonts w:eastAsia="Calibri"/>
                <w:i/>
                <w:sz w:val="20"/>
                <w:szCs w:val="20"/>
              </w:rPr>
              <w:t>Sukloff</w:t>
            </w:r>
            <w:proofErr w:type="spellEnd"/>
            <w:r w:rsidRPr="00996EED">
              <w:rPr>
                <w:rFonts w:eastAsia="Calibri"/>
                <w:i/>
                <w:sz w:val="20"/>
                <w:szCs w:val="20"/>
              </w:rPr>
              <w:t xml:space="preserve"> v. A.H. </w:t>
            </w:r>
            <w:proofErr w:type="spellStart"/>
            <w:r w:rsidRPr="00996EED">
              <w:rPr>
                <w:rFonts w:eastAsia="Calibri"/>
                <w:i/>
                <w:sz w:val="20"/>
                <w:szCs w:val="20"/>
              </w:rPr>
              <w:t>Rushforth</w:t>
            </w:r>
            <w:proofErr w:type="spellEnd"/>
            <w:r w:rsidRPr="00996EED">
              <w:rPr>
                <w:rFonts w:eastAsia="Calibri"/>
                <w:i/>
                <w:sz w:val="20"/>
                <w:szCs w:val="20"/>
              </w:rPr>
              <w:t xml:space="preserve"> &amp; Co.</w:t>
            </w:r>
            <w:r w:rsidRPr="00996EED">
              <w:rPr>
                <w:rFonts w:eastAsia="Calibri"/>
                <w:sz w:val="20"/>
                <w:szCs w:val="20"/>
              </w:rPr>
              <w:t>, [1964] S.C.R. 459, must be reviewed in light of Court’s more recent decisions on provinces’ constitutional jurisdiction having regard to scheme of distribution established by Act.</w:t>
            </w:r>
          </w:p>
        </w:tc>
      </w:tr>
      <w:tr w:rsidR="00C3001A" w:rsidRPr="00996EED" w:rsidTr="002607EA">
        <w:tc>
          <w:tcPr>
            <w:tcW w:w="5000" w:type="pct"/>
            <w:gridSpan w:val="3"/>
          </w:tcPr>
          <w:p w:rsidR="00C3001A" w:rsidRPr="00996EED" w:rsidRDefault="00C3001A" w:rsidP="002607EA">
            <w:pPr>
              <w:jc w:val="both"/>
              <w:rPr>
                <w:rFonts w:eastAsia="Calibri"/>
                <w:sz w:val="20"/>
                <w:szCs w:val="20"/>
              </w:rPr>
            </w:pPr>
          </w:p>
        </w:tc>
      </w:tr>
      <w:tr w:rsidR="00C3001A" w:rsidRPr="00996EED" w:rsidTr="002607EA">
        <w:tc>
          <w:tcPr>
            <w:tcW w:w="5000" w:type="pct"/>
            <w:gridSpan w:val="3"/>
          </w:tcPr>
          <w:p w:rsidR="00C3001A" w:rsidRPr="00996EED" w:rsidRDefault="00C3001A" w:rsidP="002607EA">
            <w:pPr>
              <w:jc w:val="both"/>
              <w:rPr>
                <w:rFonts w:eastAsia="Calibri"/>
                <w:sz w:val="20"/>
                <w:szCs w:val="20"/>
              </w:rPr>
            </w:pPr>
            <w:r w:rsidRPr="00996EED">
              <w:rPr>
                <w:rFonts w:eastAsia="Calibri"/>
                <w:sz w:val="20"/>
                <w:szCs w:val="20"/>
              </w:rPr>
              <w:t xml:space="preserve">The respondent </w:t>
            </w:r>
            <w:proofErr w:type="spellStart"/>
            <w:r w:rsidRPr="00996EED">
              <w:rPr>
                <w:rFonts w:eastAsia="Calibri"/>
                <w:sz w:val="20"/>
                <w:szCs w:val="20"/>
              </w:rPr>
              <w:t>Investissement</w:t>
            </w:r>
            <w:proofErr w:type="spellEnd"/>
            <w:r w:rsidRPr="00996EED">
              <w:rPr>
                <w:rFonts w:eastAsia="Calibri"/>
                <w:sz w:val="20"/>
                <w:szCs w:val="20"/>
              </w:rPr>
              <w:t xml:space="preserve"> Québec advanced $2.5 million to </w:t>
            </w:r>
            <w:proofErr w:type="spellStart"/>
            <w:r w:rsidRPr="00996EED">
              <w:rPr>
                <w:rFonts w:eastAsia="Calibri"/>
                <w:sz w:val="20"/>
                <w:szCs w:val="20"/>
              </w:rPr>
              <w:t>Stonehaven</w:t>
            </w:r>
            <w:proofErr w:type="spellEnd"/>
            <w:r w:rsidRPr="00996EED">
              <w:rPr>
                <w:rFonts w:eastAsia="Calibri"/>
                <w:sz w:val="20"/>
                <w:szCs w:val="20"/>
              </w:rPr>
              <w:t xml:space="preserve"> Country Club Resort &amp; Spa L.P., which later became bankrupt.  The loan instrument provided for the creation of a hypothec in favour of </w:t>
            </w:r>
            <w:proofErr w:type="spellStart"/>
            <w:r w:rsidRPr="00996EED">
              <w:rPr>
                <w:rFonts w:eastAsia="Calibri"/>
                <w:sz w:val="20"/>
                <w:szCs w:val="20"/>
              </w:rPr>
              <w:t>Investissement</w:t>
            </w:r>
            <w:proofErr w:type="spellEnd"/>
            <w:r w:rsidRPr="00996EED">
              <w:rPr>
                <w:rFonts w:eastAsia="Calibri"/>
                <w:sz w:val="20"/>
                <w:szCs w:val="20"/>
              </w:rPr>
              <w:t xml:space="preserve"> Québec on all of the debtor’s movable and immovable property.  It also provided that an annual premium equal to 4.7619% of the debtor’s profits would be payable to </w:t>
            </w:r>
            <w:proofErr w:type="spellStart"/>
            <w:r w:rsidRPr="00996EED">
              <w:rPr>
                <w:rFonts w:eastAsia="Calibri"/>
                <w:sz w:val="20"/>
                <w:szCs w:val="20"/>
              </w:rPr>
              <w:t>Investissement</w:t>
            </w:r>
            <w:proofErr w:type="spellEnd"/>
            <w:r w:rsidRPr="00996EED">
              <w:rPr>
                <w:rFonts w:eastAsia="Calibri"/>
                <w:sz w:val="20"/>
                <w:szCs w:val="20"/>
              </w:rPr>
              <w:t xml:space="preserve"> Québec.  In 2007, </w:t>
            </w:r>
            <w:proofErr w:type="spellStart"/>
            <w:r w:rsidRPr="00996EED">
              <w:rPr>
                <w:rFonts w:eastAsia="Calibri"/>
                <w:sz w:val="20"/>
                <w:szCs w:val="20"/>
              </w:rPr>
              <w:t>Investissement</w:t>
            </w:r>
            <w:proofErr w:type="spellEnd"/>
            <w:r w:rsidRPr="00996EED">
              <w:rPr>
                <w:rFonts w:eastAsia="Calibri"/>
                <w:sz w:val="20"/>
                <w:szCs w:val="20"/>
              </w:rPr>
              <w:t xml:space="preserve"> Québec exercised a </w:t>
            </w:r>
            <w:proofErr w:type="spellStart"/>
            <w:r w:rsidRPr="00996EED">
              <w:rPr>
                <w:rFonts w:eastAsia="Calibri"/>
                <w:sz w:val="20"/>
                <w:szCs w:val="20"/>
              </w:rPr>
              <w:t>hypothecary</w:t>
            </w:r>
            <w:proofErr w:type="spellEnd"/>
            <w:r w:rsidRPr="00996EED">
              <w:rPr>
                <w:rFonts w:eastAsia="Calibri"/>
                <w:sz w:val="20"/>
                <w:szCs w:val="20"/>
              </w:rPr>
              <w:t xml:space="preserve"> remedy: its motion for forced surrender and sale by judicial authority was allowed.  The debtor made an assignment of its property in February 2008.  The trustee stayed the proceedings and then asked </w:t>
            </w:r>
            <w:proofErr w:type="spellStart"/>
            <w:r w:rsidRPr="00996EED">
              <w:rPr>
                <w:rFonts w:eastAsia="Calibri"/>
                <w:sz w:val="20"/>
                <w:szCs w:val="20"/>
              </w:rPr>
              <w:t>Investissement</w:t>
            </w:r>
            <w:proofErr w:type="spellEnd"/>
            <w:r w:rsidRPr="00996EED">
              <w:rPr>
                <w:rFonts w:eastAsia="Calibri"/>
                <w:sz w:val="20"/>
                <w:szCs w:val="20"/>
              </w:rPr>
              <w:t xml:space="preserve"> Québec to file proof of its security.  Shortly thereafter, the applicants, who were the debtor’s major ordinary creditors, exercised a remedy in the trustee’s place.  They believed that </w:t>
            </w:r>
            <w:proofErr w:type="spellStart"/>
            <w:r w:rsidRPr="00996EED">
              <w:rPr>
                <w:rFonts w:eastAsia="Calibri"/>
                <w:sz w:val="20"/>
                <w:szCs w:val="20"/>
              </w:rPr>
              <w:t>Investissement</w:t>
            </w:r>
            <w:proofErr w:type="spellEnd"/>
            <w:r w:rsidRPr="00996EED">
              <w:rPr>
                <w:rFonts w:eastAsia="Calibri"/>
                <w:sz w:val="20"/>
                <w:szCs w:val="20"/>
              </w:rPr>
              <w:t xml:space="preserve"> Québec’s claim should be disallowed because its claim as a secured creditor had to be postponed under s. 139 of the </w:t>
            </w:r>
            <w:r w:rsidRPr="00996EED">
              <w:rPr>
                <w:rFonts w:eastAsia="Calibri"/>
                <w:i/>
                <w:sz w:val="20"/>
                <w:szCs w:val="20"/>
              </w:rPr>
              <w:t>Bankruptcy and Insolvency Act</w:t>
            </w:r>
            <w:r w:rsidRPr="00996EED">
              <w:rPr>
                <w:rFonts w:eastAsia="Calibri"/>
                <w:sz w:val="20"/>
                <w:szCs w:val="20"/>
              </w:rPr>
              <w:t xml:space="preserve">. </w:t>
            </w:r>
          </w:p>
          <w:p w:rsidR="00C3001A" w:rsidRPr="00996EED" w:rsidRDefault="00C3001A" w:rsidP="002607EA">
            <w:pPr>
              <w:jc w:val="both"/>
              <w:rPr>
                <w:rFonts w:eastAsia="Calibri"/>
                <w:sz w:val="20"/>
                <w:szCs w:val="20"/>
              </w:rPr>
            </w:pPr>
          </w:p>
          <w:p w:rsidR="00C3001A" w:rsidRPr="00996EED" w:rsidRDefault="00C3001A" w:rsidP="002607EA">
            <w:pPr>
              <w:jc w:val="both"/>
              <w:rPr>
                <w:rFonts w:eastAsia="Calibri"/>
                <w:sz w:val="20"/>
                <w:szCs w:val="20"/>
              </w:rPr>
            </w:pPr>
            <w:r w:rsidRPr="00996EED">
              <w:rPr>
                <w:rFonts w:eastAsia="Calibri"/>
                <w:sz w:val="20"/>
                <w:szCs w:val="20"/>
              </w:rPr>
              <w:t xml:space="preserve">The Superior Court denied the remedy on the ground that </w:t>
            </w:r>
            <w:proofErr w:type="spellStart"/>
            <w:r w:rsidRPr="00996EED">
              <w:rPr>
                <w:rFonts w:eastAsia="Calibri"/>
                <w:i/>
                <w:sz w:val="20"/>
                <w:szCs w:val="20"/>
              </w:rPr>
              <w:t>Sukloff</w:t>
            </w:r>
            <w:proofErr w:type="spellEnd"/>
            <w:r w:rsidRPr="00996EED">
              <w:rPr>
                <w:rFonts w:eastAsia="Calibri"/>
                <w:i/>
                <w:sz w:val="20"/>
                <w:szCs w:val="20"/>
              </w:rPr>
              <w:t xml:space="preserve"> v. A.H. </w:t>
            </w:r>
            <w:proofErr w:type="spellStart"/>
            <w:r w:rsidRPr="00996EED">
              <w:rPr>
                <w:rFonts w:eastAsia="Calibri"/>
                <w:i/>
                <w:sz w:val="20"/>
                <w:szCs w:val="20"/>
              </w:rPr>
              <w:t>Rushforth</w:t>
            </w:r>
            <w:proofErr w:type="spellEnd"/>
            <w:r w:rsidRPr="00996EED">
              <w:rPr>
                <w:rFonts w:eastAsia="Calibri"/>
                <w:i/>
                <w:sz w:val="20"/>
                <w:szCs w:val="20"/>
              </w:rPr>
              <w:t xml:space="preserve"> &amp; Co.</w:t>
            </w:r>
            <w:r w:rsidRPr="00996EED">
              <w:rPr>
                <w:rFonts w:eastAsia="Calibri"/>
                <w:sz w:val="20"/>
                <w:szCs w:val="20"/>
              </w:rPr>
              <w:t xml:space="preserve">, [1964] S.C.R. 459, had established that s. 139 did not apply to a finance contract secured by a mortgage on the borrower’s property, even if it contained a collateral </w:t>
            </w:r>
            <w:proofErr w:type="spellStart"/>
            <w:r w:rsidRPr="00996EED">
              <w:rPr>
                <w:rFonts w:eastAsia="Calibri"/>
                <w:sz w:val="20"/>
                <w:szCs w:val="20"/>
              </w:rPr>
              <w:t>profit</w:t>
            </w:r>
            <w:r w:rsidRPr="00996EED">
              <w:rPr>
                <w:rFonts w:eastAsia="Calibri"/>
                <w:sz w:val="20"/>
                <w:szCs w:val="20"/>
              </w:rPr>
              <w:noBreakHyphen/>
              <w:t>sharing</w:t>
            </w:r>
            <w:proofErr w:type="spellEnd"/>
            <w:r w:rsidRPr="00996EED">
              <w:rPr>
                <w:rFonts w:eastAsia="Calibri"/>
                <w:sz w:val="20"/>
                <w:szCs w:val="20"/>
              </w:rPr>
              <w:t xml:space="preserve"> clause.  The Court of Appeal affirmed the decision.</w:t>
            </w:r>
          </w:p>
          <w:p w:rsidR="00C3001A" w:rsidRPr="00996EED" w:rsidRDefault="00C3001A" w:rsidP="002607EA">
            <w:pPr>
              <w:jc w:val="both"/>
              <w:rPr>
                <w:rFonts w:eastAsia="Calibri"/>
                <w:sz w:val="20"/>
                <w:szCs w:val="20"/>
              </w:rPr>
            </w:pPr>
          </w:p>
        </w:tc>
      </w:tr>
      <w:tr w:rsidR="00C3001A" w:rsidRPr="00996EED" w:rsidTr="002607EA">
        <w:tc>
          <w:tcPr>
            <w:tcW w:w="2427" w:type="pct"/>
          </w:tcPr>
          <w:p w:rsidR="00C3001A" w:rsidRPr="00996EED" w:rsidRDefault="00C3001A" w:rsidP="002607EA">
            <w:pPr>
              <w:jc w:val="both"/>
              <w:rPr>
                <w:rFonts w:eastAsia="Calibri"/>
                <w:sz w:val="20"/>
                <w:szCs w:val="20"/>
              </w:rPr>
            </w:pPr>
            <w:r w:rsidRPr="00996EED">
              <w:rPr>
                <w:rFonts w:eastAsia="Calibri"/>
                <w:sz w:val="20"/>
                <w:szCs w:val="20"/>
              </w:rPr>
              <w:t>April 22, 2009</w:t>
            </w:r>
          </w:p>
          <w:p w:rsidR="00C3001A" w:rsidRPr="00996EED" w:rsidRDefault="00C3001A" w:rsidP="002607EA">
            <w:pPr>
              <w:jc w:val="both"/>
              <w:rPr>
                <w:rFonts w:eastAsia="Calibri"/>
                <w:sz w:val="20"/>
                <w:szCs w:val="20"/>
              </w:rPr>
            </w:pPr>
            <w:r w:rsidRPr="00996EED">
              <w:rPr>
                <w:rFonts w:eastAsia="Calibri"/>
                <w:sz w:val="20"/>
                <w:szCs w:val="20"/>
              </w:rPr>
              <w:t>Quebec Superior Court</w:t>
            </w:r>
          </w:p>
          <w:p w:rsidR="00C3001A" w:rsidRPr="00996EED" w:rsidRDefault="00C3001A" w:rsidP="002607EA">
            <w:pPr>
              <w:jc w:val="both"/>
              <w:rPr>
                <w:rFonts w:eastAsia="Calibri"/>
                <w:sz w:val="20"/>
                <w:szCs w:val="20"/>
              </w:rPr>
            </w:pPr>
            <w:r w:rsidRPr="00996EED">
              <w:rPr>
                <w:rFonts w:eastAsia="Calibri"/>
                <w:sz w:val="20"/>
                <w:szCs w:val="20"/>
              </w:rPr>
              <w:t>(</w:t>
            </w:r>
            <w:proofErr w:type="spellStart"/>
            <w:r w:rsidRPr="00996EED">
              <w:rPr>
                <w:rFonts w:eastAsia="Calibri"/>
                <w:sz w:val="20"/>
                <w:szCs w:val="20"/>
              </w:rPr>
              <w:t>Lalonde</w:t>
            </w:r>
            <w:proofErr w:type="spellEnd"/>
            <w:r w:rsidRPr="00996EED">
              <w:rPr>
                <w:rFonts w:eastAsia="Calibri"/>
                <w:sz w:val="20"/>
                <w:szCs w:val="20"/>
              </w:rPr>
              <w:t xml:space="preserve"> J.)</w:t>
            </w:r>
          </w:p>
          <w:p w:rsidR="00C3001A" w:rsidRPr="00996EED" w:rsidRDefault="00C3001A" w:rsidP="002607EA">
            <w:pPr>
              <w:jc w:val="both"/>
              <w:rPr>
                <w:rFonts w:eastAsia="Calibri"/>
                <w:sz w:val="20"/>
                <w:szCs w:val="20"/>
              </w:rPr>
            </w:pPr>
            <w:r w:rsidRPr="00996EED">
              <w:rPr>
                <w:rFonts w:eastAsia="Calibri"/>
                <w:sz w:val="20"/>
                <w:szCs w:val="20"/>
              </w:rPr>
              <w:t>2009 QCCS 1685</w:t>
            </w:r>
          </w:p>
          <w:p w:rsidR="00C3001A" w:rsidRPr="00996EED" w:rsidRDefault="00C3001A" w:rsidP="002607EA">
            <w:pPr>
              <w:jc w:val="both"/>
              <w:rPr>
                <w:rFonts w:eastAsia="Calibri"/>
                <w:sz w:val="20"/>
                <w:szCs w:val="20"/>
              </w:rPr>
            </w:pPr>
          </w:p>
        </w:tc>
        <w:tc>
          <w:tcPr>
            <w:tcW w:w="243" w:type="pct"/>
          </w:tcPr>
          <w:p w:rsidR="00C3001A" w:rsidRPr="00996EED" w:rsidRDefault="00C3001A" w:rsidP="002607EA">
            <w:pPr>
              <w:jc w:val="both"/>
              <w:rPr>
                <w:rFonts w:eastAsia="Calibri"/>
                <w:sz w:val="20"/>
                <w:szCs w:val="20"/>
              </w:rPr>
            </w:pPr>
          </w:p>
        </w:tc>
        <w:tc>
          <w:tcPr>
            <w:tcW w:w="2330" w:type="pct"/>
          </w:tcPr>
          <w:p w:rsidR="00C3001A" w:rsidRPr="00996EED" w:rsidRDefault="00C3001A" w:rsidP="002607EA">
            <w:pPr>
              <w:jc w:val="both"/>
              <w:rPr>
                <w:rFonts w:eastAsia="Calibri"/>
                <w:sz w:val="20"/>
                <w:szCs w:val="20"/>
              </w:rPr>
            </w:pPr>
            <w:r w:rsidRPr="00996EED">
              <w:rPr>
                <w:rFonts w:eastAsia="Calibri"/>
                <w:sz w:val="20"/>
                <w:szCs w:val="20"/>
              </w:rPr>
              <w:t xml:space="preserve">Appeal from disallowance of proof of claim allowed; notice of disallowance of proof of claim by </w:t>
            </w:r>
            <w:proofErr w:type="spellStart"/>
            <w:r w:rsidRPr="00996EED">
              <w:rPr>
                <w:rFonts w:eastAsia="Calibri"/>
                <w:sz w:val="20"/>
                <w:szCs w:val="20"/>
              </w:rPr>
              <w:t>Investissement</w:t>
            </w:r>
            <w:proofErr w:type="spellEnd"/>
            <w:r w:rsidRPr="00996EED">
              <w:rPr>
                <w:rFonts w:eastAsia="Calibri"/>
                <w:sz w:val="20"/>
                <w:szCs w:val="20"/>
              </w:rPr>
              <w:t xml:space="preserve"> Québec set aside; secured creditor status confirmed  for </w:t>
            </w:r>
            <w:proofErr w:type="spellStart"/>
            <w:r w:rsidRPr="00996EED">
              <w:rPr>
                <w:rFonts w:eastAsia="Calibri"/>
                <w:sz w:val="20"/>
                <w:szCs w:val="20"/>
              </w:rPr>
              <w:t>Investissement</w:t>
            </w:r>
            <w:proofErr w:type="spellEnd"/>
            <w:r w:rsidRPr="00996EED">
              <w:rPr>
                <w:rFonts w:eastAsia="Calibri"/>
                <w:sz w:val="20"/>
                <w:szCs w:val="20"/>
              </w:rPr>
              <w:t xml:space="preserve"> Québec </w:t>
            </w:r>
          </w:p>
          <w:p w:rsidR="00C3001A" w:rsidRPr="00996EED" w:rsidRDefault="00C3001A" w:rsidP="002607EA">
            <w:pPr>
              <w:jc w:val="both"/>
              <w:rPr>
                <w:rFonts w:eastAsia="Calibri"/>
                <w:sz w:val="20"/>
                <w:szCs w:val="20"/>
              </w:rPr>
            </w:pPr>
          </w:p>
        </w:tc>
      </w:tr>
      <w:tr w:rsidR="00C3001A" w:rsidRPr="00996EED" w:rsidTr="002607EA">
        <w:tc>
          <w:tcPr>
            <w:tcW w:w="2427" w:type="pct"/>
          </w:tcPr>
          <w:p w:rsidR="00C3001A" w:rsidRPr="00996EED" w:rsidRDefault="00C3001A" w:rsidP="002607EA">
            <w:pPr>
              <w:jc w:val="both"/>
              <w:rPr>
                <w:rFonts w:eastAsia="Calibri"/>
                <w:sz w:val="20"/>
                <w:szCs w:val="20"/>
              </w:rPr>
            </w:pPr>
            <w:r w:rsidRPr="00996EED">
              <w:rPr>
                <w:rFonts w:eastAsia="Calibri"/>
                <w:sz w:val="20"/>
                <w:szCs w:val="20"/>
              </w:rPr>
              <w:t>April 4, 2011</w:t>
            </w:r>
          </w:p>
          <w:p w:rsidR="00C3001A" w:rsidRPr="00996EED" w:rsidRDefault="00C3001A" w:rsidP="002607EA">
            <w:pPr>
              <w:jc w:val="both"/>
              <w:rPr>
                <w:rFonts w:eastAsia="Calibri"/>
                <w:sz w:val="20"/>
                <w:szCs w:val="20"/>
              </w:rPr>
            </w:pPr>
            <w:r w:rsidRPr="00996EED">
              <w:rPr>
                <w:rFonts w:eastAsia="Calibri"/>
                <w:sz w:val="20"/>
                <w:szCs w:val="20"/>
              </w:rPr>
              <w:t>Quebec Court of Appeal (Montréal)</w:t>
            </w:r>
          </w:p>
          <w:p w:rsidR="00C3001A" w:rsidRPr="00996EED" w:rsidRDefault="00C3001A" w:rsidP="002607EA">
            <w:pPr>
              <w:jc w:val="both"/>
              <w:rPr>
                <w:rFonts w:eastAsia="Calibri"/>
                <w:sz w:val="20"/>
                <w:szCs w:val="20"/>
              </w:rPr>
            </w:pPr>
            <w:r w:rsidRPr="00996EED">
              <w:rPr>
                <w:rFonts w:eastAsia="Calibri"/>
                <w:sz w:val="20"/>
                <w:szCs w:val="20"/>
              </w:rPr>
              <w:t>(Robert C.J. and Morin and Léger JJ.A.)</w:t>
            </w:r>
          </w:p>
          <w:p w:rsidR="00C3001A" w:rsidRPr="00996EED" w:rsidRDefault="00C3001A" w:rsidP="002607EA">
            <w:pPr>
              <w:jc w:val="both"/>
              <w:rPr>
                <w:rFonts w:eastAsia="Calibri"/>
                <w:sz w:val="20"/>
                <w:szCs w:val="20"/>
              </w:rPr>
            </w:pPr>
            <w:r w:rsidRPr="00996EED">
              <w:rPr>
                <w:rFonts w:eastAsia="Calibri"/>
                <w:sz w:val="20"/>
                <w:szCs w:val="20"/>
              </w:rPr>
              <w:t>2011 QCCA 718</w:t>
            </w:r>
          </w:p>
          <w:p w:rsidR="00C3001A" w:rsidRPr="00996EED" w:rsidRDefault="00C3001A" w:rsidP="002607EA">
            <w:pPr>
              <w:jc w:val="both"/>
              <w:rPr>
                <w:rFonts w:eastAsia="Calibri"/>
                <w:sz w:val="20"/>
                <w:szCs w:val="20"/>
              </w:rPr>
            </w:pPr>
          </w:p>
        </w:tc>
        <w:tc>
          <w:tcPr>
            <w:tcW w:w="243" w:type="pct"/>
          </w:tcPr>
          <w:p w:rsidR="00C3001A" w:rsidRPr="00996EED" w:rsidRDefault="00C3001A" w:rsidP="002607EA">
            <w:pPr>
              <w:jc w:val="both"/>
              <w:rPr>
                <w:rFonts w:eastAsia="Calibri"/>
                <w:sz w:val="20"/>
                <w:szCs w:val="20"/>
              </w:rPr>
            </w:pPr>
          </w:p>
        </w:tc>
        <w:tc>
          <w:tcPr>
            <w:tcW w:w="2330" w:type="pct"/>
          </w:tcPr>
          <w:p w:rsidR="00C3001A" w:rsidRPr="00996EED" w:rsidRDefault="00C3001A" w:rsidP="002607EA">
            <w:pPr>
              <w:jc w:val="both"/>
              <w:rPr>
                <w:rFonts w:eastAsia="Calibri"/>
                <w:sz w:val="20"/>
                <w:szCs w:val="20"/>
              </w:rPr>
            </w:pPr>
            <w:r w:rsidRPr="00996EED">
              <w:rPr>
                <w:rFonts w:eastAsia="Calibri"/>
                <w:sz w:val="20"/>
                <w:szCs w:val="20"/>
              </w:rPr>
              <w:t>Appeal dismissed</w:t>
            </w:r>
          </w:p>
          <w:p w:rsidR="00C3001A" w:rsidRPr="00996EED" w:rsidRDefault="00C3001A" w:rsidP="002607EA">
            <w:pPr>
              <w:jc w:val="both"/>
              <w:rPr>
                <w:rFonts w:eastAsia="Calibri"/>
                <w:sz w:val="20"/>
                <w:szCs w:val="20"/>
              </w:rPr>
            </w:pPr>
          </w:p>
        </w:tc>
      </w:tr>
    </w:tbl>
    <w:p w:rsidR="00E801D1" w:rsidRDefault="00E801D1"/>
    <w:p w:rsidR="00E801D1" w:rsidRDefault="00E801D1">
      <w:r>
        <w:br w:type="page"/>
      </w:r>
    </w:p>
    <w:tbl>
      <w:tblPr>
        <w:tblW w:w="4952" w:type="pct"/>
        <w:tblLayout w:type="fixed"/>
        <w:tblCellMar>
          <w:left w:w="0" w:type="dxa"/>
          <w:bottom w:w="99" w:type="dxa"/>
          <w:right w:w="0" w:type="dxa"/>
        </w:tblCellMar>
        <w:tblLook w:val="04A0"/>
      </w:tblPr>
      <w:tblGrid>
        <w:gridCol w:w="4624"/>
        <w:gridCol w:w="463"/>
        <w:gridCol w:w="4440"/>
      </w:tblGrid>
      <w:tr w:rsidR="00C3001A" w:rsidRPr="00996EED" w:rsidTr="00E801D1">
        <w:trPr>
          <w:cantSplit/>
        </w:trPr>
        <w:tc>
          <w:tcPr>
            <w:tcW w:w="2427" w:type="pct"/>
          </w:tcPr>
          <w:p w:rsidR="00C3001A" w:rsidRPr="00996EED" w:rsidRDefault="00C3001A" w:rsidP="002607EA">
            <w:pPr>
              <w:jc w:val="both"/>
              <w:rPr>
                <w:rFonts w:eastAsia="Calibri"/>
                <w:sz w:val="20"/>
                <w:szCs w:val="20"/>
              </w:rPr>
            </w:pPr>
            <w:r w:rsidRPr="00996EED">
              <w:rPr>
                <w:rFonts w:eastAsia="Calibri"/>
                <w:sz w:val="20"/>
                <w:szCs w:val="20"/>
              </w:rPr>
              <w:lastRenderedPageBreak/>
              <w:t>June 3, 2011</w:t>
            </w:r>
          </w:p>
          <w:p w:rsidR="00C3001A" w:rsidRPr="00996EED" w:rsidRDefault="00C3001A" w:rsidP="002607EA">
            <w:pPr>
              <w:jc w:val="both"/>
              <w:rPr>
                <w:rFonts w:eastAsia="Calibri"/>
                <w:sz w:val="20"/>
                <w:szCs w:val="20"/>
              </w:rPr>
            </w:pPr>
            <w:r w:rsidRPr="00996EED">
              <w:rPr>
                <w:rFonts w:eastAsia="Calibri"/>
                <w:sz w:val="20"/>
                <w:szCs w:val="20"/>
              </w:rPr>
              <w:t>Supreme Court of Canada</w:t>
            </w:r>
          </w:p>
        </w:tc>
        <w:tc>
          <w:tcPr>
            <w:tcW w:w="243" w:type="pct"/>
          </w:tcPr>
          <w:p w:rsidR="00C3001A" w:rsidRPr="00996EED" w:rsidRDefault="00C3001A" w:rsidP="002607EA">
            <w:pPr>
              <w:jc w:val="both"/>
              <w:rPr>
                <w:rFonts w:eastAsia="Calibri"/>
                <w:sz w:val="20"/>
                <w:szCs w:val="20"/>
              </w:rPr>
            </w:pPr>
          </w:p>
        </w:tc>
        <w:tc>
          <w:tcPr>
            <w:tcW w:w="2330" w:type="pct"/>
          </w:tcPr>
          <w:p w:rsidR="00C3001A" w:rsidRPr="00996EED" w:rsidRDefault="00C3001A" w:rsidP="002607EA">
            <w:pPr>
              <w:jc w:val="both"/>
              <w:rPr>
                <w:rFonts w:eastAsia="Calibri"/>
                <w:sz w:val="20"/>
                <w:szCs w:val="20"/>
              </w:rPr>
            </w:pPr>
            <w:r w:rsidRPr="00996EED">
              <w:rPr>
                <w:rFonts w:eastAsia="Calibri"/>
                <w:sz w:val="20"/>
                <w:szCs w:val="20"/>
              </w:rPr>
              <w:t>Application for leave to appeal filed</w:t>
            </w:r>
          </w:p>
          <w:p w:rsidR="00C3001A" w:rsidRPr="00996EED" w:rsidRDefault="00C3001A" w:rsidP="002607EA">
            <w:pPr>
              <w:jc w:val="both"/>
              <w:rPr>
                <w:rFonts w:eastAsia="Calibri"/>
                <w:sz w:val="20"/>
                <w:szCs w:val="20"/>
              </w:rPr>
            </w:pPr>
          </w:p>
        </w:tc>
      </w:tr>
    </w:tbl>
    <w:p w:rsidR="0093057E" w:rsidRDefault="0093057E" w:rsidP="008D292F">
      <w:pPr>
        <w:rPr>
          <w:sz w:val="20"/>
          <w:szCs w:val="20"/>
        </w:rPr>
      </w:pPr>
    </w:p>
    <w:p w:rsidR="0093057E" w:rsidRDefault="004D631F" w:rsidP="008D292F">
      <w:pPr>
        <w:rPr>
          <w:sz w:val="20"/>
          <w:szCs w:val="20"/>
          <w:lang w:val="fr-CA"/>
        </w:rPr>
      </w:pPr>
      <w:r w:rsidRPr="004D631F">
        <w:rPr>
          <w:sz w:val="20"/>
          <w:szCs w:val="20"/>
          <w:lang w:val="fr-CA"/>
        </w:rPr>
        <w:pict>
          <v:rect id="_x0000_i1039" style="width:2in;height:1pt" o:hrpct="0" o:hralign="center" o:hrstd="t" o:hrnoshade="t" o:hr="t" fillcolor="black [3213]" stroked="f"/>
        </w:pict>
      </w:r>
    </w:p>
    <w:p w:rsidR="0093057E" w:rsidRDefault="0093057E" w:rsidP="008D292F">
      <w:pPr>
        <w:rPr>
          <w:sz w:val="20"/>
          <w:szCs w:val="20"/>
          <w:lang w:val="fr-CA"/>
        </w:rPr>
      </w:pPr>
    </w:p>
    <w:p w:rsidR="0093057E" w:rsidRPr="0093057E" w:rsidRDefault="0093057E" w:rsidP="008D292F">
      <w:pPr>
        <w:rPr>
          <w:sz w:val="20"/>
          <w:szCs w:val="20"/>
          <w:u w:val="single"/>
          <w:lang w:val="fr-CA"/>
        </w:rPr>
      </w:pPr>
      <w:r>
        <w:rPr>
          <w:sz w:val="20"/>
          <w:szCs w:val="20"/>
          <w:u w:val="single"/>
          <w:lang w:val="fr-CA"/>
        </w:rPr>
        <w:t>RÉSUMÉ DE L’AFFAIRE</w:t>
      </w:r>
    </w:p>
    <w:p w:rsidR="0093057E" w:rsidRDefault="0093057E"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3001A" w:rsidRPr="00FD7538" w:rsidTr="002607EA">
        <w:tc>
          <w:tcPr>
            <w:tcW w:w="5000" w:type="pct"/>
            <w:gridSpan w:val="3"/>
          </w:tcPr>
          <w:p w:rsidR="00C3001A" w:rsidRPr="00996EED" w:rsidRDefault="00C3001A" w:rsidP="002607EA">
            <w:pPr>
              <w:jc w:val="both"/>
              <w:rPr>
                <w:rFonts w:eastAsia="Calibri"/>
                <w:sz w:val="20"/>
                <w:szCs w:val="20"/>
                <w:lang w:val="fr-CA"/>
              </w:rPr>
            </w:pPr>
            <w:r w:rsidRPr="00996EED">
              <w:rPr>
                <w:rFonts w:eastAsia="Calibri"/>
                <w:sz w:val="20"/>
                <w:szCs w:val="20"/>
                <w:lang w:val="fr-CA"/>
              </w:rPr>
              <w:t xml:space="preserve">Faillite et insolvabilité — Ordre de priorité — Contrat de prêt accordé à une entreprise, garanti par hypothèque et prévoyant une participation aux profits — L’article 139 de la </w:t>
            </w:r>
            <w:r w:rsidRPr="00996EED">
              <w:rPr>
                <w:rFonts w:eastAsia="Calibri"/>
                <w:i/>
                <w:sz w:val="20"/>
                <w:szCs w:val="20"/>
                <w:lang w:val="fr-CA"/>
              </w:rPr>
              <w:t>Loi sur la faillite et l’insolvabilité</w:t>
            </w:r>
            <w:r w:rsidRPr="00996EED">
              <w:rPr>
                <w:rFonts w:eastAsia="Calibri"/>
                <w:sz w:val="20"/>
                <w:szCs w:val="20"/>
                <w:lang w:val="fr-CA"/>
              </w:rPr>
              <w:t>, L.R.C. 1985, ch. B</w:t>
            </w:r>
            <w:r w:rsidRPr="00996EED">
              <w:rPr>
                <w:rFonts w:eastAsia="Calibri"/>
                <w:sz w:val="20"/>
                <w:szCs w:val="20"/>
                <w:lang w:val="fr-CA"/>
              </w:rPr>
              <w:noBreakHyphen/>
              <w:t>3, qui prévoit que la créance d’un prêteur qui résulte d’avances faites en contrepartie d’un pourcentage des profits est remboursée en dernier, s’applique</w:t>
            </w:r>
            <w:r w:rsidRPr="00996EED">
              <w:rPr>
                <w:rFonts w:eastAsia="Calibri"/>
                <w:sz w:val="20"/>
                <w:szCs w:val="20"/>
                <w:lang w:val="fr-CA"/>
              </w:rPr>
              <w:noBreakHyphen/>
            </w:r>
            <w:proofErr w:type="spellStart"/>
            <w:r w:rsidRPr="00996EED">
              <w:rPr>
                <w:rFonts w:eastAsia="Calibri"/>
                <w:sz w:val="20"/>
                <w:szCs w:val="20"/>
                <w:lang w:val="fr-CA"/>
              </w:rPr>
              <w:t>t</w:t>
            </w:r>
            <w:r w:rsidRPr="00996EED">
              <w:rPr>
                <w:rFonts w:eastAsia="Calibri"/>
                <w:sz w:val="20"/>
                <w:szCs w:val="20"/>
                <w:lang w:val="fr-CA"/>
              </w:rPr>
              <w:noBreakHyphen/>
              <w:t>il</w:t>
            </w:r>
            <w:proofErr w:type="spellEnd"/>
            <w:r w:rsidRPr="00996EED">
              <w:rPr>
                <w:rFonts w:eastAsia="Calibri"/>
                <w:sz w:val="20"/>
                <w:szCs w:val="20"/>
                <w:lang w:val="fr-CA"/>
              </w:rPr>
              <w:t xml:space="preserve">? — L’arrêt </w:t>
            </w:r>
            <w:proofErr w:type="spellStart"/>
            <w:r w:rsidRPr="00996EED">
              <w:rPr>
                <w:rFonts w:eastAsia="Calibri"/>
                <w:i/>
                <w:sz w:val="20"/>
                <w:szCs w:val="20"/>
                <w:lang w:val="fr-CA"/>
              </w:rPr>
              <w:t>Sukloff</w:t>
            </w:r>
            <w:proofErr w:type="spellEnd"/>
            <w:r w:rsidRPr="00996EED">
              <w:rPr>
                <w:rFonts w:eastAsia="Calibri"/>
                <w:i/>
                <w:sz w:val="20"/>
                <w:szCs w:val="20"/>
                <w:lang w:val="fr-CA"/>
              </w:rPr>
              <w:t xml:space="preserve"> c. A.H. </w:t>
            </w:r>
            <w:proofErr w:type="spellStart"/>
            <w:r w:rsidRPr="00996EED">
              <w:rPr>
                <w:rFonts w:eastAsia="Calibri"/>
                <w:i/>
                <w:sz w:val="20"/>
                <w:szCs w:val="20"/>
                <w:lang w:val="fr-CA"/>
              </w:rPr>
              <w:t>Rushforth</w:t>
            </w:r>
            <w:proofErr w:type="spellEnd"/>
            <w:r w:rsidRPr="00996EED">
              <w:rPr>
                <w:rFonts w:eastAsia="Calibri"/>
                <w:i/>
                <w:sz w:val="20"/>
                <w:szCs w:val="20"/>
                <w:lang w:val="fr-CA"/>
              </w:rPr>
              <w:t xml:space="preserve"> &amp; Co.</w:t>
            </w:r>
            <w:r w:rsidRPr="00996EED">
              <w:rPr>
                <w:rFonts w:eastAsia="Calibri"/>
                <w:sz w:val="20"/>
                <w:szCs w:val="20"/>
                <w:lang w:val="fr-CA"/>
              </w:rPr>
              <w:t xml:space="preserve">, [1964] S.C.R. 459, </w:t>
            </w:r>
            <w:proofErr w:type="spellStart"/>
            <w:r w:rsidRPr="00996EED">
              <w:rPr>
                <w:rFonts w:eastAsia="Calibri"/>
                <w:sz w:val="20"/>
                <w:szCs w:val="20"/>
                <w:lang w:val="fr-CA"/>
              </w:rPr>
              <w:t>doit</w:t>
            </w:r>
            <w:r w:rsidRPr="00996EED">
              <w:rPr>
                <w:rFonts w:eastAsia="Calibri"/>
                <w:sz w:val="20"/>
                <w:szCs w:val="20"/>
                <w:lang w:val="fr-CA"/>
              </w:rPr>
              <w:noBreakHyphen/>
              <w:t>il</w:t>
            </w:r>
            <w:proofErr w:type="spellEnd"/>
            <w:r w:rsidRPr="00996EED">
              <w:rPr>
                <w:rFonts w:eastAsia="Calibri"/>
                <w:sz w:val="20"/>
                <w:szCs w:val="20"/>
                <w:lang w:val="fr-CA"/>
              </w:rPr>
              <w:t xml:space="preserve"> être revu à la lumière de la jurisprudence plus récente de la Cour concernant la compétence constitutionnelle des provinces eu égard au plan de répartition prévu par la Loi?</w:t>
            </w:r>
          </w:p>
        </w:tc>
      </w:tr>
      <w:tr w:rsidR="00C3001A" w:rsidRPr="00FD7538" w:rsidTr="002607EA">
        <w:tc>
          <w:tcPr>
            <w:tcW w:w="5000" w:type="pct"/>
            <w:gridSpan w:val="3"/>
          </w:tcPr>
          <w:p w:rsidR="00C3001A" w:rsidRPr="00996EED" w:rsidRDefault="00C3001A" w:rsidP="002607EA">
            <w:pPr>
              <w:jc w:val="both"/>
              <w:rPr>
                <w:rFonts w:eastAsia="Calibri"/>
                <w:sz w:val="20"/>
                <w:szCs w:val="20"/>
                <w:lang w:val="fr-CA"/>
              </w:rPr>
            </w:pPr>
          </w:p>
        </w:tc>
      </w:tr>
      <w:tr w:rsidR="00C3001A" w:rsidRPr="00996EED" w:rsidTr="002607EA">
        <w:tc>
          <w:tcPr>
            <w:tcW w:w="5000" w:type="pct"/>
            <w:gridSpan w:val="3"/>
          </w:tcPr>
          <w:p w:rsidR="00C3001A" w:rsidRPr="00996EED" w:rsidRDefault="00C3001A" w:rsidP="002607EA">
            <w:pPr>
              <w:jc w:val="both"/>
              <w:rPr>
                <w:rFonts w:eastAsia="Calibri"/>
                <w:sz w:val="20"/>
                <w:szCs w:val="20"/>
                <w:lang w:val="fr-CA"/>
              </w:rPr>
            </w:pPr>
            <w:r w:rsidRPr="00996EED">
              <w:rPr>
                <w:rFonts w:eastAsia="Calibri"/>
                <w:sz w:val="20"/>
                <w:szCs w:val="20"/>
                <w:lang w:val="fr-CA"/>
              </w:rPr>
              <w:t xml:space="preserve">L’intimée Investissement Québec a avancé 2,5 millions de dollars à </w:t>
            </w:r>
            <w:proofErr w:type="spellStart"/>
            <w:r w:rsidRPr="00996EED">
              <w:rPr>
                <w:rFonts w:eastAsia="Calibri"/>
                <w:sz w:val="20"/>
                <w:szCs w:val="20"/>
                <w:lang w:val="fr-CA"/>
              </w:rPr>
              <w:t>Stonehaven</w:t>
            </w:r>
            <w:proofErr w:type="spellEnd"/>
            <w:r w:rsidRPr="00996EED">
              <w:rPr>
                <w:rFonts w:eastAsia="Calibri"/>
                <w:sz w:val="20"/>
                <w:szCs w:val="20"/>
                <w:lang w:val="fr-CA"/>
              </w:rPr>
              <w:t xml:space="preserve"> Country Club Centre de villégiature &amp; SPA L.P., désormais </w:t>
            </w:r>
            <w:proofErr w:type="spellStart"/>
            <w:r w:rsidRPr="00996EED">
              <w:rPr>
                <w:rFonts w:eastAsia="Calibri"/>
                <w:sz w:val="20"/>
                <w:szCs w:val="20"/>
                <w:lang w:val="fr-CA"/>
              </w:rPr>
              <w:t>faillie</w:t>
            </w:r>
            <w:proofErr w:type="spellEnd"/>
            <w:r w:rsidRPr="00996EED">
              <w:rPr>
                <w:rFonts w:eastAsia="Calibri"/>
                <w:sz w:val="20"/>
                <w:szCs w:val="20"/>
                <w:lang w:val="fr-CA"/>
              </w:rPr>
              <w:t xml:space="preserve">.  L’acte de prêt prévoit la création d’une hypothèque en faveur </w:t>
            </w:r>
            <w:proofErr w:type="gramStart"/>
            <w:r w:rsidRPr="00996EED">
              <w:rPr>
                <w:rFonts w:eastAsia="Calibri"/>
                <w:sz w:val="20"/>
                <w:szCs w:val="20"/>
                <w:lang w:val="fr-CA"/>
              </w:rPr>
              <w:t>de Investissement</w:t>
            </w:r>
            <w:proofErr w:type="gramEnd"/>
            <w:r w:rsidRPr="00996EED">
              <w:rPr>
                <w:rFonts w:eastAsia="Calibri"/>
                <w:sz w:val="20"/>
                <w:szCs w:val="20"/>
                <w:lang w:val="fr-CA"/>
              </w:rPr>
              <w:t xml:space="preserve"> Québec et portant sur l’universalité des biens meubles et immeubles de la débitrice.  Il y est aussi prévu qu’une prime annuelle égale à 4.7619% des profits de la débitrice sera payable à Investissement Québec.  En 2007, Investissement Québec exerce un recours hypothécaire : sa requête en délaissement forcée et vente sous contrôle de justice est accueillie.  La débitrice fait cession de ses biens en février 2008.  Le syndic suspend les procédures puis demande à Investissement </w:t>
            </w:r>
            <w:proofErr w:type="spellStart"/>
            <w:r w:rsidRPr="00996EED">
              <w:rPr>
                <w:rFonts w:eastAsia="Calibri"/>
                <w:sz w:val="20"/>
                <w:szCs w:val="20"/>
                <w:lang w:val="fr-CA"/>
              </w:rPr>
              <w:t>Québecde</w:t>
            </w:r>
            <w:proofErr w:type="spellEnd"/>
            <w:r w:rsidRPr="00996EED">
              <w:rPr>
                <w:rFonts w:eastAsia="Calibri"/>
                <w:sz w:val="20"/>
                <w:szCs w:val="20"/>
                <w:lang w:val="fr-CA"/>
              </w:rPr>
              <w:t xml:space="preserve"> produire une preuve de sa garantie. Peu après, les demandeurs, qui sont les plus importants créanciers ordinaires de la débitrice, exercent un recours au lieu et place du syndic.  Ils estiment que la réclamation </w:t>
            </w:r>
            <w:proofErr w:type="gramStart"/>
            <w:r w:rsidRPr="00996EED">
              <w:rPr>
                <w:rFonts w:eastAsia="Calibri"/>
                <w:sz w:val="20"/>
                <w:szCs w:val="20"/>
                <w:lang w:val="fr-CA"/>
              </w:rPr>
              <w:t>de Investissement</w:t>
            </w:r>
            <w:proofErr w:type="gramEnd"/>
            <w:r w:rsidRPr="00996EED">
              <w:rPr>
                <w:rFonts w:eastAsia="Calibri"/>
                <w:sz w:val="20"/>
                <w:szCs w:val="20"/>
                <w:lang w:val="fr-CA"/>
              </w:rPr>
              <w:t xml:space="preserve"> Québec devrait être rejetée, car selon eux, la réclamation à titre de créancier garanti devrait être différée en application de l’art. 139 de la </w:t>
            </w:r>
            <w:r w:rsidRPr="00996EED">
              <w:rPr>
                <w:rFonts w:eastAsia="Calibri"/>
                <w:i/>
                <w:sz w:val="20"/>
                <w:szCs w:val="20"/>
                <w:lang w:val="fr-CA"/>
              </w:rPr>
              <w:t>Loi sur la faillite et l’insolvabilité</w:t>
            </w:r>
            <w:r w:rsidRPr="00996EED">
              <w:rPr>
                <w:rFonts w:eastAsia="Calibri"/>
                <w:sz w:val="20"/>
                <w:szCs w:val="20"/>
                <w:lang w:val="fr-CA"/>
              </w:rPr>
              <w:t xml:space="preserve">. </w:t>
            </w:r>
          </w:p>
          <w:p w:rsidR="00C3001A" w:rsidRPr="00996EED" w:rsidRDefault="00C3001A" w:rsidP="002607EA">
            <w:pPr>
              <w:jc w:val="both"/>
              <w:rPr>
                <w:rFonts w:eastAsia="Calibri"/>
                <w:sz w:val="20"/>
                <w:szCs w:val="20"/>
                <w:lang w:val="fr-CA"/>
              </w:rPr>
            </w:pPr>
          </w:p>
          <w:p w:rsidR="00C3001A" w:rsidRPr="00996EED" w:rsidRDefault="00C3001A" w:rsidP="002607EA">
            <w:pPr>
              <w:jc w:val="both"/>
              <w:rPr>
                <w:rFonts w:eastAsia="Calibri"/>
                <w:sz w:val="20"/>
                <w:szCs w:val="20"/>
                <w:lang w:val="fr-CA"/>
              </w:rPr>
            </w:pPr>
            <w:r w:rsidRPr="00996EED">
              <w:rPr>
                <w:rFonts w:eastAsia="Calibri"/>
                <w:sz w:val="20"/>
                <w:szCs w:val="20"/>
                <w:lang w:val="fr-CA"/>
              </w:rPr>
              <w:t xml:space="preserve">La Cour supérieure rejette le recours au motif que l’arrêt </w:t>
            </w:r>
            <w:proofErr w:type="spellStart"/>
            <w:r w:rsidRPr="00996EED">
              <w:rPr>
                <w:rFonts w:eastAsia="Calibri"/>
                <w:i/>
                <w:sz w:val="20"/>
                <w:szCs w:val="20"/>
                <w:lang w:val="fr-CA"/>
              </w:rPr>
              <w:t>Sukloff</w:t>
            </w:r>
            <w:proofErr w:type="spellEnd"/>
            <w:r w:rsidRPr="00996EED">
              <w:rPr>
                <w:rFonts w:eastAsia="Calibri"/>
                <w:i/>
                <w:sz w:val="20"/>
                <w:szCs w:val="20"/>
                <w:lang w:val="fr-CA"/>
              </w:rPr>
              <w:t xml:space="preserve"> c. A.H. </w:t>
            </w:r>
            <w:proofErr w:type="spellStart"/>
            <w:r w:rsidRPr="00996EED">
              <w:rPr>
                <w:rFonts w:eastAsia="Calibri"/>
                <w:i/>
                <w:sz w:val="20"/>
                <w:szCs w:val="20"/>
                <w:lang w:val="fr-CA"/>
              </w:rPr>
              <w:t>Rushforth</w:t>
            </w:r>
            <w:proofErr w:type="spellEnd"/>
            <w:r w:rsidRPr="00996EED">
              <w:rPr>
                <w:rFonts w:eastAsia="Calibri"/>
                <w:i/>
                <w:sz w:val="20"/>
                <w:szCs w:val="20"/>
                <w:lang w:val="fr-CA"/>
              </w:rPr>
              <w:t xml:space="preserve"> &amp; Co.</w:t>
            </w:r>
            <w:r w:rsidRPr="00996EED">
              <w:rPr>
                <w:rFonts w:eastAsia="Calibri"/>
                <w:sz w:val="20"/>
                <w:szCs w:val="20"/>
                <w:lang w:val="fr-CA"/>
              </w:rPr>
              <w:t>, [1964] S.C.R. 459, établit que l’art. 139 ne vise pas le contrat de financement garanti par une hypothèque grevant les biens de l’emprunteur, et ce, même s’il contient une clause accessoire de participation aux profits.  La Cour d’appel confirme la décision.</w:t>
            </w:r>
          </w:p>
          <w:p w:rsidR="00C3001A" w:rsidRPr="00996EED" w:rsidRDefault="00C3001A" w:rsidP="002607EA">
            <w:pPr>
              <w:jc w:val="both"/>
              <w:rPr>
                <w:rFonts w:eastAsia="Calibri"/>
                <w:sz w:val="20"/>
                <w:szCs w:val="20"/>
                <w:lang w:val="fr-CA"/>
              </w:rPr>
            </w:pPr>
          </w:p>
        </w:tc>
      </w:tr>
      <w:tr w:rsidR="00C3001A" w:rsidRPr="00FD7538" w:rsidTr="002607EA">
        <w:tc>
          <w:tcPr>
            <w:tcW w:w="2427"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Le 22 avril 2009</w:t>
            </w:r>
          </w:p>
          <w:p w:rsidR="00C3001A" w:rsidRPr="00996EED" w:rsidRDefault="00C3001A" w:rsidP="002607EA">
            <w:pPr>
              <w:jc w:val="both"/>
              <w:rPr>
                <w:rFonts w:eastAsia="Calibri"/>
                <w:sz w:val="20"/>
                <w:szCs w:val="20"/>
                <w:lang w:val="fr-CA"/>
              </w:rPr>
            </w:pPr>
            <w:r w:rsidRPr="00996EED">
              <w:rPr>
                <w:rFonts w:eastAsia="Calibri"/>
                <w:sz w:val="20"/>
                <w:szCs w:val="20"/>
                <w:lang w:val="fr-CA"/>
              </w:rPr>
              <w:t>Cour supérieure du Québec</w:t>
            </w:r>
          </w:p>
          <w:p w:rsidR="00C3001A" w:rsidRPr="00996EED" w:rsidRDefault="00C3001A" w:rsidP="002607EA">
            <w:pPr>
              <w:jc w:val="both"/>
              <w:rPr>
                <w:rFonts w:eastAsia="Calibri"/>
                <w:sz w:val="20"/>
                <w:szCs w:val="20"/>
                <w:lang w:val="fr-CA"/>
              </w:rPr>
            </w:pPr>
            <w:r w:rsidRPr="00996EED">
              <w:rPr>
                <w:rFonts w:eastAsia="Calibri"/>
                <w:sz w:val="20"/>
                <w:szCs w:val="20"/>
                <w:lang w:val="fr-CA"/>
              </w:rPr>
              <w:t>(Le juge Lalonde)</w:t>
            </w:r>
          </w:p>
          <w:p w:rsidR="00C3001A" w:rsidRPr="00996EED" w:rsidRDefault="00C3001A" w:rsidP="002607EA">
            <w:pPr>
              <w:jc w:val="both"/>
              <w:rPr>
                <w:rFonts w:eastAsia="Calibri"/>
                <w:sz w:val="20"/>
                <w:szCs w:val="20"/>
                <w:lang w:val="fr-CA"/>
              </w:rPr>
            </w:pPr>
            <w:r w:rsidRPr="00996EED">
              <w:rPr>
                <w:rFonts w:eastAsia="Calibri"/>
                <w:sz w:val="20"/>
                <w:szCs w:val="20"/>
                <w:lang w:val="fr-CA"/>
              </w:rPr>
              <w:t>2009 QCCS 1685</w:t>
            </w:r>
          </w:p>
          <w:p w:rsidR="00C3001A" w:rsidRPr="00996EED" w:rsidRDefault="00C3001A" w:rsidP="002607EA">
            <w:pPr>
              <w:jc w:val="both"/>
              <w:rPr>
                <w:rFonts w:eastAsia="Calibri"/>
                <w:sz w:val="20"/>
                <w:szCs w:val="20"/>
              </w:rPr>
            </w:pPr>
          </w:p>
        </w:tc>
        <w:tc>
          <w:tcPr>
            <w:tcW w:w="243" w:type="pct"/>
          </w:tcPr>
          <w:p w:rsidR="00C3001A" w:rsidRPr="00996EED" w:rsidRDefault="00C3001A" w:rsidP="002607EA">
            <w:pPr>
              <w:jc w:val="both"/>
              <w:rPr>
                <w:rFonts w:eastAsia="Calibri"/>
                <w:sz w:val="20"/>
                <w:szCs w:val="20"/>
              </w:rPr>
            </w:pPr>
          </w:p>
        </w:tc>
        <w:tc>
          <w:tcPr>
            <w:tcW w:w="2330"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 xml:space="preserve">Appel du rejet d’une preuve de réclamation accueilli; avis de rejet de la preuve de réclamation d’Investissement Québec annulé; statut de créancière garantie confirmé pour Investissement Québec </w:t>
            </w:r>
          </w:p>
        </w:tc>
      </w:tr>
      <w:tr w:rsidR="00C3001A" w:rsidRPr="00996EED" w:rsidTr="002607EA">
        <w:tc>
          <w:tcPr>
            <w:tcW w:w="2427"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Le 4 avril 2011</w:t>
            </w:r>
          </w:p>
          <w:p w:rsidR="00C3001A" w:rsidRPr="00996EED" w:rsidRDefault="00C3001A" w:rsidP="002607EA">
            <w:pPr>
              <w:jc w:val="both"/>
              <w:rPr>
                <w:rFonts w:eastAsia="Calibri"/>
                <w:sz w:val="20"/>
                <w:szCs w:val="20"/>
                <w:lang w:val="fr-CA"/>
              </w:rPr>
            </w:pPr>
            <w:r w:rsidRPr="00996EED">
              <w:rPr>
                <w:rFonts w:eastAsia="Calibri"/>
                <w:sz w:val="20"/>
                <w:szCs w:val="20"/>
                <w:lang w:val="fr-CA"/>
              </w:rPr>
              <w:t>Cour d’appel du Québec (Montréal)</w:t>
            </w:r>
          </w:p>
          <w:p w:rsidR="00C3001A" w:rsidRPr="00996EED" w:rsidRDefault="00C3001A" w:rsidP="002607EA">
            <w:pPr>
              <w:jc w:val="both"/>
              <w:rPr>
                <w:rFonts w:eastAsia="Calibri"/>
                <w:sz w:val="20"/>
                <w:szCs w:val="20"/>
                <w:lang w:val="fr-CA"/>
              </w:rPr>
            </w:pPr>
            <w:r w:rsidRPr="00996EED">
              <w:rPr>
                <w:rFonts w:eastAsia="Calibri"/>
                <w:sz w:val="20"/>
                <w:szCs w:val="20"/>
                <w:lang w:val="fr-CA"/>
              </w:rPr>
              <w:t>(Le juge en chef Robert et les juges Morin et Léger)</w:t>
            </w:r>
          </w:p>
          <w:p w:rsidR="00C3001A" w:rsidRPr="00996EED" w:rsidRDefault="00C3001A" w:rsidP="002607EA">
            <w:pPr>
              <w:jc w:val="both"/>
              <w:rPr>
                <w:rFonts w:eastAsia="Calibri"/>
                <w:sz w:val="20"/>
                <w:szCs w:val="20"/>
                <w:lang w:val="fr-CA"/>
              </w:rPr>
            </w:pPr>
            <w:r w:rsidRPr="00996EED">
              <w:rPr>
                <w:rFonts w:eastAsia="Calibri"/>
                <w:sz w:val="20"/>
                <w:szCs w:val="20"/>
                <w:lang w:val="fr-CA"/>
              </w:rPr>
              <w:t>2011 QCCA 718</w:t>
            </w:r>
          </w:p>
          <w:p w:rsidR="00C3001A" w:rsidRPr="00996EED" w:rsidRDefault="00C3001A" w:rsidP="002607EA">
            <w:pPr>
              <w:jc w:val="both"/>
              <w:rPr>
                <w:rFonts w:eastAsia="Calibri"/>
                <w:sz w:val="20"/>
                <w:szCs w:val="20"/>
                <w:lang w:val="fr-CA"/>
              </w:rPr>
            </w:pPr>
          </w:p>
        </w:tc>
        <w:tc>
          <w:tcPr>
            <w:tcW w:w="243" w:type="pct"/>
          </w:tcPr>
          <w:p w:rsidR="00C3001A" w:rsidRPr="00996EED" w:rsidRDefault="00C3001A" w:rsidP="002607EA">
            <w:pPr>
              <w:jc w:val="both"/>
              <w:rPr>
                <w:rFonts w:eastAsia="Calibri"/>
                <w:sz w:val="20"/>
                <w:szCs w:val="20"/>
                <w:lang w:val="fr-CA"/>
              </w:rPr>
            </w:pPr>
          </w:p>
        </w:tc>
        <w:tc>
          <w:tcPr>
            <w:tcW w:w="2330"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Appel rejeté</w:t>
            </w:r>
          </w:p>
          <w:p w:rsidR="00C3001A" w:rsidRPr="00996EED" w:rsidRDefault="00C3001A" w:rsidP="002607EA">
            <w:pPr>
              <w:jc w:val="both"/>
              <w:rPr>
                <w:rFonts w:eastAsia="Calibri"/>
                <w:sz w:val="20"/>
                <w:szCs w:val="20"/>
                <w:lang w:val="fr-CA"/>
              </w:rPr>
            </w:pPr>
          </w:p>
        </w:tc>
      </w:tr>
      <w:tr w:rsidR="00C3001A" w:rsidRPr="00996EED" w:rsidTr="002607EA">
        <w:tc>
          <w:tcPr>
            <w:tcW w:w="2427"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Le 3 juin 2011</w:t>
            </w:r>
          </w:p>
          <w:p w:rsidR="00C3001A" w:rsidRPr="00996EED" w:rsidRDefault="00C3001A" w:rsidP="002607EA">
            <w:pPr>
              <w:jc w:val="both"/>
              <w:rPr>
                <w:rFonts w:eastAsia="Calibri"/>
                <w:sz w:val="20"/>
                <w:szCs w:val="20"/>
                <w:lang w:val="fr-CA"/>
              </w:rPr>
            </w:pPr>
            <w:r w:rsidRPr="00996EED">
              <w:rPr>
                <w:rFonts w:eastAsia="Calibri"/>
                <w:sz w:val="20"/>
                <w:szCs w:val="20"/>
                <w:lang w:val="fr-CA"/>
              </w:rPr>
              <w:t>Cour suprême du Canada</w:t>
            </w:r>
          </w:p>
        </w:tc>
        <w:tc>
          <w:tcPr>
            <w:tcW w:w="243" w:type="pct"/>
          </w:tcPr>
          <w:p w:rsidR="00C3001A" w:rsidRPr="00996EED" w:rsidRDefault="00C3001A" w:rsidP="002607EA">
            <w:pPr>
              <w:jc w:val="both"/>
              <w:rPr>
                <w:rFonts w:eastAsia="Calibri"/>
                <w:sz w:val="20"/>
                <w:szCs w:val="20"/>
                <w:lang w:val="fr-CA"/>
              </w:rPr>
            </w:pPr>
          </w:p>
        </w:tc>
        <w:tc>
          <w:tcPr>
            <w:tcW w:w="2330"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Demande d'autorisation d'appel déposée</w:t>
            </w:r>
          </w:p>
          <w:p w:rsidR="00C3001A" w:rsidRPr="00996EED" w:rsidRDefault="00C3001A" w:rsidP="002607EA">
            <w:pPr>
              <w:jc w:val="both"/>
              <w:rPr>
                <w:rFonts w:eastAsia="Calibri"/>
                <w:sz w:val="20"/>
                <w:szCs w:val="20"/>
                <w:lang w:val="fr-CA"/>
              </w:rPr>
            </w:pPr>
          </w:p>
        </w:tc>
      </w:tr>
    </w:tbl>
    <w:p w:rsidR="00C3001A" w:rsidRDefault="00C3001A" w:rsidP="008D292F">
      <w:pPr>
        <w:rPr>
          <w:sz w:val="20"/>
          <w:szCs w:val="20"/>
          <w:lang w:val="fr-CA"/>
        </w:rPr>
      </w:pPr>
    </w:p>
    <w:p w:rsidR="0093057E" w:rsidRDefault="004D631F" w:rsidP="008D292F">
      <w:pPr>
        <w:rPr>
          <w:sz w:val="20"/>
          <w:szCs w:val="20"/>
          <w:lang w:val="fr-CA"/>
        </w:rPr>
      </w:pPr>
      <w:r w:rsidRPr="004D631F">
        <w:rPr>
          <w:sz w:val="20"/>
          <w:szCs w:val="20"/>
          <w:lang w:val="fr-CA"/>
        </w:rPr>
        <w:pict>
          <v:rect id="_x0000_i1040" style="width:2in;height:1pt" o:hrpct="0" o:hralign="center" o:hrstd="t" o:hrnoshade="t" o:hr="t" fillcolor="black [3213]" stroked="f"/>
        </w:pict>
      </w:r>
    </w:p>
    <w:p w:rsidR="0093057E" w:rsidRDefault="0093057E"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435FE" w:rsidRPr="008435FE" w:rsidTr="008435FE">
        <w:trPr>
          <w:cantSplit/>
        </w:trPr>
        <w:tc>
          <w:tcPr>
            <w:tcW w:w="1458" w:type="dxa"/>
          </w:tcPr>
          <w:p w:rsidR="008435FE" w:rsidRPr="008435FE" w:rsidRDefault="008435FE" w:rsidP="008435FE">
            <w:pPr>
              <w:rPr>
                <w:sz w:val="20"/>
                <w:szCs w:val="20"/>
              </w:rPr>
            </w:pPr>
            <w:r w:rsidRPr="008435FE">
              <w:rPr>
                <w:rStyle w:val="SCCFileNumberChar"/>
                <w:sz w:val="20"/>
                <w:szCs w:val="20"/>
              </w:rPr>
              <w:t>34</w:t>
            </w:r>
            <w:r w:rsidR="00E801D1">
              <w:rPr>
                <w:rStyle w:val="SCCFileNumberChar"/>
                <w:sz w:val="20"/>
                <w:szCs w:val="20"/>
              </w:rPr>
              <w:t>347</w:t>
            </w:r>
          </w:p>
          <w:p w:rsidR="008435FE" w:rsidRPr="008435FE" w:rsidRDefault="008435FE" w:rsidP="008435FE">
            <w:pPr>
              <w:rPr>
                <w:b/>
                <w:sz w:val="20"/>
                <w:szCs w:val="20"/>
                <w:lang w:val="fr-CA"/>
              </w:rPr>
            </w:pPr>
          </w:p>
        </w:tc>
        <w:tc>
          <w:tcPr>
            <w:tcW w:w="8118" w:type="dxa"/>
          </w:tcPr>
          <w:p w:rsidR="008435FE" w:rsidRDefault="00E801D1" w:rsidP="00E801D1">
            <w:pPr>
              <w:jc w:val="both"/>
              <w:rPr>
                <w:rFonts w:eastAsia="Calibri"/>
                <w:sz w:val="20"/>
                <w:szCs w:val="20"/>
              </w:rPr>
            </w:pPr>
            <w:r w:rsidRPr="00E801D1">
              <w:rPr>
                <w:rFonts w:eastAsia="Calibri"/>
                <w:b/>
                <w:sz w:val="20"/>
                <w:szCs w:val="20"/>
                <w:u w:val="single"/>
              </w:rPr>
              <w:t xml:space="preserve">Ravi </w:t>
            </w:r>
            <w:proofErr w:type="spellStart"/>
            <w:r w:rsidRPr="00E801D1">
              <w:rPr>
                <w:rFonts w:eastAsia="Calibri"/>
                <w:b/>
                <w:sz w:val="20"/>
                <w:szCs w:val="20"/>
                <w:u w:val="single"/>
              </w:rPr>
              <w:t>Shanker</w:t>
            </w:r>
            <w:proofErr w:type="spellEnd"/>
            <w:r w:rsidRPr="00E801D1">
              <w:rPr>
                <w:rFonts w:eastAsia="Calibri"/>
                <w:b/>
                <w:sz w:val="20"/>
                <w:szCs w:val="20"/>
                <w:u w:val="single"/>
              </w:rPr>
              <w:t xml:space="preserve"> v. Attorney General of Canada on behalf of the United States of America</w:t>
            </w:r>
            <w:r>
              <w:rPr>
                <w:rFonts w:eastAsia="Calibri"/>
                <w:b/>
                <w:sz w:val="20"/>
                <w:szCs w:val="20"/>
              </w:rPr>
              <w:t xml:space="preserve"> </w:t>
            </w:r>
            <w:r w:rsidRPr="00996EED">
              <w:rPr>
                <w:rFonts w:eastAsia="Calibri"/>
                <w:sz w:val="20"/>
                <w:szCs w:val="20"/>
              </w:rPr>
              <w:t>(Ont.) (Criminal) (By Leave)</w:t>
            </w:r>
          </w:p>
          <w:p w:rsidR="00E801D1" w:rsidRPr="008435FE" w:rsidRDefault="00E801D1" w:rsidP="00E801D1">
            <w:pPr>
              <w:jc w:val="both"/>
              <w:rPr>
                <w:sz w:val="20"/>
                <w:szCs w:val="20"/>
              </w:rPr>
            </w:pPr>
          </w:p>
        </w:tc>
      </w:tr>
      <w:tr w:rsidR="008435FE" w:rsidRPr="008435FE" w:rsidTr="008435FE">
        <w:trPr>
          <w:cantSplit/>
        </w:trPr>
        <w:tc>
          <w:tcPr>
            <w:tcW w:w="1458" w:type="dxa"/>
          </w:tcPr>
          <w:p w:rsidR="008435FE" w:rsidRPr="008435FE" w:rsidRDefault="008435FE" w:rsidP="008435FE">
            <w:pPr>
              <w:rPr>
                <w:sz w:val="20"/>
                <w:szCs w:val="20"/>
              </w:rPr>
            </w:pPr>
            <w:r w:rsidRPr="008435FE">
              <w:rPr>
                <w:sz w:val="20"/>
                <w:szCs w:val="20"/>
              </w:rPr>
              <w:t>Coram :</w:t>
            </w:r>
          </w:p>
        </w:tc>
        <w:tc>
          <w:tcPr>
            <w:tcW w:w="8118" w:type="dxa"/>
          </w:tcPr>
          <w:p w:rsidR="008435FE" w:rsidRPr="008435FE" w:rsidRDefault="008435FE" w:rsidP="008435FE">
            <w:pPr>
              <w:rPr>
                <w:sz w:val="20"/>
                <w:szCs w:val="20"/>
              </w:rPr>
            </w:pPr>
            <w:proofErr w:type="spellStart"/>
            <w:r>
              <w:rPr>
                <w:rStyle w:val="SCCCoramChar"/>
                <w:sz w:val="20"/>
                <w:szCs w:val="20"/>
                <w:lang w:val="en-CA"/>
              </w:rPr>
              <w:t>Le</w:t>
            </w:r>
            <w:r w:rsidRPr="008435FE">
              <w:rPr>
                <w:rStyle w:val="SCCCoramChar"/>
                <w:sz w:val="20"/>
                <w:szCs w:val="20"/>
                <w:lang w:val="en-CA"/>
              </w:rPr>
              <w:t>Be</w:t>
            </w:r>
            <w:r>
              <w:rPr>
                <w:rStyle w:val="SCCCoramChar"/>
                <w:sz w:val="20"/>
                <w:szCs w:val="20"/>
                <w:lang w:val="en-CA"/>
              </w:rPr>
              <w:t>l</w:t>
            </w:r>
            <w:proofErr w:type="spellEnd"/>
            <w:r w:rsidRPr="008435FE">
              <w:rPr>
                <w:rStyle w:val="SCCCoramChar"/>
                <w:sz w:val="20"/>
                <w:szCs w:val="20"/>
                <w:lang w:val="en-CA"/>
              </w:rPr>
              <w:t xml:space="preserve">, </w:t>
            </w:r>
            <w:r>
              <w:rPr>
                <w:rStyle w:val="SCCCoramChar"/>
                <w:sz w:val="20"/>
                <w:szCs w:val="20"/>
                <w:lang w:val="en-CA"/>
              </w:rPr>
              <w:t>Fish</w:t>
            </w:r>
            <w:r w:rsidRPr="008435FE">
              <w:rPr>
                <w:rStyle w:val="SCCCoramChar"/>
                <w:sz w:val="20"/>
                <w:szCs w:val="20"/>
                <w:lang w:val="en-CA"/>
              </w:rPr>
              <w:t xml:space="preserve"> and </w:t>
            </w:r>
            <w:r>
              <w:rPr>
                <w:rStyle w:val="SCCCoramChar"/>
                <w:sz w:val="20"/>
                <w:szCs w:val="20"/>
                <w:lang w:val="en-CA"/>
              </w:rPr>
              <w:t>Cromwell</w:t>
            </w:r>
            <w:r w:rsidRPr="008435FE">
              <w:rPr>
                <w:rStyle w:val="SCCCoramChar"/>
                <w:sz w:val="20"/>
                <w:szCs w:val="20"/>
                <w:lang w:val="en-CA"/>
              </w:rPr>
              <w:t> JJ.</w:t>
            </w:r>
          </w:p>
          <w:p w:rsidR="008435FE" w:rsidRPr="008435FE" w:rsidRDefault="008435FE" w:rsidP="008435FE">
            <w:pPr>
              <w:rPr>
                <w:sz w:val="20"/>
                <w:szCs w:val="20"/>
                <w:u w:val="single"/>
              </w:rPr>
            </w:pPr>
          </w:p>
        </w:tc>
      </w:tr>
      <w:tr w:rsidR="008435FE" w:rsidRPr="00FD7538" w:rsidTr="008435FE">
        <w:trPr>
          <w:cantSplit/>
        </w:trPr>
        <w:tc>
          <w:tcPr>
            <w:tcW w:w="9576" w:type="dxa"/>
            <w:gridSpan w:val="2"/>
          </w:tcPr>
          <w:p w:rsidR="00E801D1" w:rsidRDefault="008435FE" w:rsidP="00E801D1">
            <w:pPr>
              <w:jc w:val="both"/>
              <w:rPr>
                <w:sz w:val="20"/>
                <w:szCs w:val="20"/>
              </w:rPr>
            </w:pPr>
            <w:r>
              <w:rPr>
                <w:sz w:val="20"/>
                <w:szCs w:val="20"/>
              </w:rPr>
              <w:lastRenderedPageBreak/>
              <w:tab/>
            </w:r>
            <w:r w:rsidR="00E801D1" w:rsidRPr="00E71EF4">
              <w:rPr>
                <w:sz w:val="20"/>
                <w:szCs w:val="20"/>
              </w:rPr>
              <w:t>The application for leave to appeal from the judgment of the Court of Appeal for Ontario, Numbers C52791 and C53318, 2011 ONCA 452, dated June 14, 2011, is dismissed without costs.</w:t>
            </w:r>
          </w:p>
          <w:p w:rsidR="00E801D1" w:rsidRDefault="00E801D1" w:rsidP="00E801D1">
            <w:pPr>
              <w:jc w:val="both"/>
              <w:rPr>
                <w:sz w:val="20"/>
                <w:szCs w:val="20"/>
              </w:rPr>
            </w:pPr>
          </w:p>
          <w:p w:rsidR="008435FE" w:rsidRPr="008435FE" w:rsidRDefault="00E801D1" w:rsidP="00E801D1">
            <w:pPr>
              <w:jc w:val="both"/>
              <w:rPr>
                <w:szCs w:val="20"/>
                <w:lang w:val="fr-CA"/>
              </w:rPr>
            </w:pPr>
            <w:r>
              <w:rPr>
                <w:sz w:val="20"/>
                <w:szCs w:val="20"/>
              </w:rPr>
              <w:tab/>
            </w:r>
            <w:r w:rsidRPr="00E71EF4">
              <w:rPr>
                <w:sz w:val="20"/>
                <w:szCs w:val="20"/>
                <w:lang w:val="fr-CA"/>
              </w:rPr>
              <w:t>La demande d’autorisation d’appel de l’arrêt de la Cour d’appel de l’Ontario, numéros C52791 et C53318, 2011 ONCA 452, daté du 14 juin 2011, est rejetée sans dépens.</w:t>
            </w:r>
          </w:p>
        </w:tc>
      </w:tr>
    </w:tbl>
    <w:p w:rsidR="00C3001A" w:rsidRPr="008435FE" w:rsidRDefault="00C3001A" w:rsidP="00C3001A">
      <w:pPr>
        <w:rPr>
          <w:sz w:val="20"/>
          <w:szCs w:val="20"/>
          <w:lang w:val="fr-CA"/>
        </w:rPr>
      </w:pPr>
    </w:p>
    <w:p w:rsidR="00C3001A" w:rsidRPr="0093057E" w:rsidRDefault="00C3001A" w:rsidP="00C3001A">
      <w:pPr>
        <w:rPr>
          <w:sz w:val="20"/>
          <w:szCs w:val="20"/>
        </w:rPr>
      </w:pPr>
      <w:r>
        <w:rPr>
          <w:sz w:val="20"/>
          <w:szCs w:val="20"/>
          <w:u w:val="single"/>
        </w:rPr>
        <w:t>CASE SUMMARY</w:t>
      </w:r>
    </w:p>
    <w:p w:rsidR="00C3001A" w:rsidRDefault="00C3001A" w:rsidP="00C300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001A" w:rsidRPr="00996EED" w:rsidTr="002607EA">
        <w:tc>
          <w:tcPr>
            <w:tcW w:w="5000" w:type="pct"/>
            <w:gridSpan w:val="3"/>
          </w:tcPr>
          <w:p w:rsidR="00C3001A" w:rsidRPr="00996EED" w:rsidRDefault="00C3001A" w:rsidP="002607EA">
            <w:pPr>
              <w:jc w:val="both"/>
              <w:rPr>
                <w:rFonts w:eastAsia="Calibri"/>
                <w:sz w:val="20"/>
                <w:szCs w:val="20"/>
              </w:rPr>
            </w:pPr>
            <w:r w:rsidRPr="00996EED">
              <w:rPr>
                <w:rFonts w:eastAsia="Calibri"/>
                <w:sz w:val="20"/>
                <w:szCs w:val="20"/>
              </w:rPr>
              <w:t xml:space="preserve">Extradition — Evidence — Criminal Law — Extradition judge finding sufficient evidence of a conspiracy to traffic in cocaine and ordering committal for extradition on that basis — Court of Appeal upholding the committal order — Whether the Court of Appeal erred in concluding that there was sufficient evidence to support an inference that the applicant was a party to the conspiracy to traffic in cocaine — </w:t>
            </w:r>
            <w:r w:rsidRPr="00996EED">
              <w:rPr>
                <w:rFonts w:eastAsia="Calibri"/>
                <w:i/>
                <w:sz w:val="20"/>
                <w:szCs w:val="20"/>
              </w:rPr>
              <w:t>Controlled Drugs and Substances Act</w:t>
            </w:r>
            <w:r w:rsidRPr="00996EED">
              <w:rPr>
                <w:rFonts w:eastAsia="Calibri"/>
                <w:sz w:val="20"/>
                <w:szCs w:val="20"/>
              </w:rPr>
              <w:t xml:space="preserve">, S.C. 1996, c. 19, s. 5(1) — </w:t>
            </w:r>
            <w:r w:rsidRPr="00996EED">
              <w:rPr>
                <w:rFonts w:eastAsia="Calibri"/>
                <w:i/>
                <w:sz w:val="20"/>
                <w:szCs w:val="20"/>
              </w:rPr>
              <w:t>Criminal Code</w:t>
            </w:r>
            <w:r w:rsidRPr="00996EED">
              <w:rPr>
                <w:rFonts w:eastAsia="Calibri"/>
                <w:sz w:val="20"/>
                <w:szCs w:val="20"/>
              </w:rPr>
              <w:t xml:space="preserve">, R.S.C. 1985, c. C-46, s. 465(1)(c) —  </w:t>
            </w:r>
            <w:r w:rsidRPr="00996EED">
              <w:rPr>
                <w:rFonts w:eastAsia="Calibri"/>
                <w:i/>
                <w:iCs/>
                <w:color w:val="000000"/>
                <w:sz w:val="20"/>
                <w:szCs w:val="20"/>
              </w:rPr>
              <w:t>Extradition Act</w:t>
            </w:r>
            <w:r w:rsidRPr="00996EED">
              <w:rPr>
                <w:rFonts w:eastAsia="Calibri"/>
                <w:color w:val="000000"/>
                <w:sz w:val="20"/>
                <w:szCs w:val="20"/>
              </w:rPr>
              <w:t>, S.C. 1999, c. 18, s. 29(1).</w:t>
            </w:r>
          </w:p>
          <w:p w:rsidR="00C3001A" w:rsidRPr="00996EED" w:rsidRDefault="00C3001A" w:rsidP="002607EA">
            <w:pPr>
              <w:jc w:val="both"/>
              <w:rPr>
                <w:rFonts w:eastAsia="Calibri"/>
                <w:sz w:val="20"/>
                <w:szCs w:val="20"/>
              </w:rPr>
            </w:pPr>
          </w:p>
        </w:tc>
      </w:tr>
      <w:tr w:rsidR="00C3001A" w:rsidRPr="00996EED" w:rsidTr="002607EA">
        <w:tc>
          <w:tcPr>
            <w:tcW w:w="5000" w:type="pct"/>
            <w:gridSpan w:val="3"/>
          </w:tcPr>
          <w:p w:rsidR="00C3001A" w:rsidRPr="00996EED" w:rsidRDefault="00C3001A" w:rsidP="002607EA">
            <w:pPr>
              <w:jc w:val="both"/>
              <w:rPr>
                <w:rFonts w:eastAsia="Calibri"/>
                <w:sz w:val="20"/>
                <w:szCs w:val="20"/>
              </w:rPr>
            </w:pPr>
            <w:r w:rsidRPr="00996EED">
              <w:rPr>
                <w:rFonts w:eastAsia="Calibri"/>
                <w:sz w:val="20"/>
                <w:szCs w:val="20"/>
              </w:rPr>
              <w:t xml:space="preserve">The United States authorities seek the extradition of the applicant Ravi </w:t>
            </w:r>
            <w:proofErr w:type="spellStart"/>
            <w:r w:rsidRPr="00996EED">
              <w:rPr>
                <w:rFonts w:eastAsia="Calibri"/>
                <w:sz w:val="20"/>
                <w:szCs w:val="20"/>
              </w:rPr>
              <w:t>Shanker</w:t>
            </w:r>
            <w:proofErr w:type="spellEnd"/>
            <w:r w:rsidRPr="00996EED">
              <w:rPr>
                <w:rFonts w:eastAsia="Calibri"/>
                <w:sz w:val="20"/>
                <w:szCs w:val="20"/>
              </w:rPr>
              <w:t>, alleging that he committed an offence that corresponds, in Canada, to conspiracy to traffic in an illicit substance.  The evidence against Mr. </w:t>
            </w:r>
            <w:proofErr w:type="spellStart"/>
            <w:r w:rsidRPr="00996EED">
              <w:rPr>
                <w:rFonts w:eastAsia="Calibri"/>
                <w:sz w:val="20"/>
                <w:szCs w:val="20"/>
              </w:rPr>
              <w:t>Shanker</w:t>
            </w:r>
            <w:proofErr w:type="spellEnd"/>
            <w:r w:rsidRPr="00996EED">
              <w:rPr>
                <w:rFonts w:eastAsia="Calibri"/>
                <w:sz w:val="20"/>
                <w:szCs w:val="20"/>
              </w:rPr>
              <w:t xml:space="preserve"> and the other alleged conspirators came mainly from wiretaps of their conversations.  The wiretaps showed that the alleged conspirators were arranging to ship the substance from California by truck, that the substance was seized on the way, and that the conspirators were looking for funds to repay the drug debt.  The extradition request was granted and surrender was ordered.  Mr. </w:t>
            </w:r>
            <w:proofErr w:type="spellStart"/>
            <w:r w:rsidRPr="00996EED">
              <w:rPr>
                <w:rFonts w:eastAsia="Calibri"/>
                <w:sz w:val="20"/>
                <w:szCs w:val="20"/>
              </w:rPr>
              <w:t>Shanker’s</w:t>
            </w:r>
            <w:proofErr w:type="spellEnd"/>
            <w:r w:rsidRPr="00996EED">
              <w:rPr>
                <w:rFonts w:eastAsia="Calibri"/>
                <w:sz w:val="20"/>
                <w:szCs w:val="20"/>
              </w:rPr>
              <w:t xml:space="preserve"> appeal and application for judicial review were dismissed.</w:t>
            </w:r>
          </w:p>
          <w:p w:rsidR="00C3001A" w:rsidRPr="00996EED" w:rsidRDefault="00C3001A" w:rsidP="002607EA">
            <w:pPr>
              <w:jc w:val="both"/>
              <w:rPr>
                <w:rFonts w:eastAsia="Calibri"/>
                <w:sz w:val="20"/>
                <w:szCs w:val="20"/>
              </w:rPr>
            </w:pPr>
          </w:p>
        </w:tc>
      </w:tr>
      <w:tr w:rsidR="00C3001A" w:rsidRPr="00996EED" w:rsidTr="002607EA">
        <w:tc>
          <w:tcPr>
            <w:tcW w:w="2427" w:type="pct"/>
          </w:tcPr>
          <w:p w:rsidR="00C3001A" w:rsidRPr="00996EED" w:rsidRDefault="00C3001A" w:rsidP="002607EA">
            <w:pPr>
              <w:jc w:val="both"/>
              <w:rPr>
                <w:rFonts w:eastAsia="Calibri"/>
                <w:sz w:val="20"/>
                <w:szCs w:val="20"/>
              </w:rPr>
            </w:pPr>
            <w:r w:rsidRPr="00996EED">
              <w:rPr>
                <w:rFonts w:eastAsia="Calibri"/>
                <w:sz w:val="20"/>
                <w:szCs w:val="20"/>
              </w:rPr>
              <w:t>September 22, 2010</w:t>
            </w:r>
          </w:p>
          <w:p w:rsidR="00C3001A" w:rsidRPr="00996EED" w:rsidRDefault="00C3001A" w:rsidP="002607EA">
            <w:pPr>
              <w:jc w:val="both"/>
              <w:rPr>
                <w:rFonts w:eastAsia="Calibri"/>
                <w:sz w:val="20"/>
                <w:szCs w:val="20"/>
              </w:rPr>
            </w:pPr>
            <w:r w:rsidRPr="00996EED">
              <w:rPr>
                <w:rFonts w:eastAsia="Calibri"/>
                <w:sz w:val="20"/>
                <w:szCs w:val="20"/>
              </w:rPr>
              <w:t>Ontario Superior Court of Justice</w:t>
            </w:r>
          </w:p>
          <w:p w:rsidR="00C3001A" w:rsidRPr="00996EED" w:rsidRDefault="00C3001A" w:rsidP="002607EA">
            <w:pPr>
              <w:jc w:val="both"/>
              <w:rPr>
                <w:rFonts w:eastAsia="Calibri"/>
                <w:sz w:val="20"/>
                <w:szCs w:val="20"/>
              </w:rPr>
            </w:pPr>
            <w:r w:rsidRPr="00996EED">
              <w:rPr>
                <w:rFonts w:eastAsia="Calibri"/>
                <w:sz w:val="20"/>
                <w:szCs w:val="20"/>
              </w:rPr>
              <w:t>(</w:t>
            </w:r>
            <w:proofErr w:type="spellStart"/>
            <w:r w:rsidRPr="00996EED">
              <w:rPr>
                <w:rFonts w:eastAsia="Calibri"/>
                <w:sz w:val="20"/>
                <w:szCs w:val="20"/>
              </w:rPr>
              <w:t>Thorburn</w:t>
            </w:r>
            <w:proofErr w:type="spellEnd"/>
            <w:r w:rsidRPr="00996EED">
              <w:rPr>
                <w:rFonts w:eastAsia="Calibri"/>
                <w:sz w:val="20"/>
                <w:szCs w:val="20"/>
              </w:rPr>
              <w:t xml:space="preserve"> J.)</w:t>
            </w:r>
          </w:p>
          <w:p w:rsidR="00C3001A" w:rsidRPr="00996EED" w:rsidRDefault="00C3001A" w:rsidP="002607EA">
            <w:pPr>
              <w:jc w:val="both"/>
              <w:rPr>
                <w:rFonts w:eastAsia="Calibri"/>
                <w:sz w:val="20"/>
                <w:szCs w:val="20"/>
              </w:rPr>
            </w:pPr>
            <w:r w:rsidRPr="00996EED">
              <w:rPr>
                <w:rFonts w:eastAsia="Calibri"/>
                <w:sz w:val="20"/>
                <w:szCs w:val="20"/>
              </w:rPr>
              <w:t>2010 ONSC 5343</w:t>
            </w:r>
          </w:p>
          <w:p w:rsidR="00C3001A" w:rsidRPr="00996EED" w:rsidRDefault="00C3001A" w:rsidP="002607EA">
            <w:pPr>
              <w:jc w:val="both"/>
              <w:rPr>
                <w:rFonts w:eastAsia="Calibri"/>
                <w:sz w:val="20"/>
                <w:szCs w:val="20"/>
              </w:rPr>
            </w:pPr>
          </w:p>
        </w:tc>
        <w:tc>
          <w:tcPr>
            <w:tcW w:w="243" w:type="pct"/>
          </w:tcPr>
          <w:p w:rsidR="00C3001A" w:rsidRPr="00996EED" w:rsidRDefault="00C3001A" w:rsidP="002607EA">
            <w:pPr>
              <w:jc w:val="both"/>
              <w:rPr>
                <w:rFonts w:eastAsia="Calibri"/>
                <w:sz w:val="20"/>
                <w:szCs w:val="20"/>
              </w:rPr>
            </w:pPr>
          </w:p>
        </w:tc>
        <w:tc>
          <w:tcPr>
            <w:tcW w:w="2330" w:type="pct"/>
          </w:tcPr>
          <w:p w:rsidR="00C3001A" w:rsidRPr="00996EED" w:rsidRDefault="00C3001A" w:rsidP="002607EA">
            <w:pPr>
              <w:jc w:val="both"/>
              <w:rPr>
                <w:rFonts w:eastAsia="Calibri"/>
                <w:sz w:val="20"/>
                <w:szCs w:val="20"/>
              </w:rPr>
            </w:pPr>
            <w:r w:rsidRPr="00996EED">
              <w:rPr>
                <w:rFonts w:eastAsia="Calibri"/>
                <w:sz w:val="20"/>
                <w:szCs w:val="20"/>
              </w:rPr>
              <w:t>Extradition request granted</w:t>
            </w:r>
          </w:p>
        </w:tc>
      </w:tr>
      <w:tr w:rsidR="00C3001A" w:rsidRPr="00996EED" w:rsidTr="002607EA">
        <w:tc>
          <w:tcPr>
            <w:tcW w:w="2427" w:type="pct"/>
          </w:tcPr>
          <w:p w:rsidR="00C3001A" w:rsidRPr="00996EED" w:rsidRDefault="00C3001A" w:rsidP="002607EA">
            <w:pPr>
              <w:jc w:val="both"/>
              <w:rPr>
                <w:rFonts w:eastAsia="Calibri"/>
                <w:sz w:val="20"/>
                <w:szCs w:val="20"/>
              </w:rPr>
            </w:pPr>
            <w:r w:rsidRPr="00996EED">
              <w:rPr>
                <w:rFonts w:eastAsia="Calibri"/>
                <w:sz w:val="20"/>
                <w:szCs w:val="20"/>
              </w:rPr>
              <w:t>February 17, 2011</w:t>
            </w:r>
          </w:p>
          <w:p w:rsidR="00C3001A" w:rsidRPr="00996EED" w:rsidRDefault="00C3001A" w:rsidP="002607EA">
            <w:pPr>
              <w:rPr>
                <w:rFonts w:eastAsia="Calibri"/>
                <w:sz w:val="20"/>
                <w:szCs w:val="20"/>
                <w:lang w:eastAsia="en-CA"/>
              </w:rPr>
            </w:pPr>
            <w:r w:rsidRPr="00996EED">
              <w:rPr>
                <w:rFonts w:eastAsia="Calibri"/>
                <w:sz w:val="20"/>
                <w:szCs w:val="20"/>
                <w:lang w:eastAsia="en-CA"/>
              </w:rPr>
              <w:t>Minister of Justice</w:t>
            </w:r>
          </w:p>
          <w:p w:rsidR="00C3001A" w:rsidRPr="00996EED" w:rsidRDefault="00C3001A" w:rsidP="002607EA">
            <w:pPr>
              <w:jc w:val="both"/>
              <w:rPr>
                <w:rFonts w:eastAsia="Calibri"/>
                <w:sz w:val="20"/>
                <w:szCs w:val="20"/>
              </w:rPr>
            </w:pPr>
            <w:r w:rsidRPr="00996EED">
              <w:rPr>
                <w:rFonts w:eastAsia="Calibri"/>
                <w:sz w:val="20"/>
                <w:szCs w:val="20"/>
                <w:lang w:eastAsia="en-CA"/>
              </w:rPr>
              <w:t>(The Honourable Rob Nicholson, P.C., M.P.)</w:t>
            </w:r>
          </w:p>
          <w:p w:rsidR="00C3001A" w:rsidRPr="00996EED" w:rsidRDefault="00C3001A" w:rsidP="002607EA">
            <w:pPr>
              <w:jc w:val="both"/>
              <w:rPr>
                <w:rFonts w:eastAsia="Calibri"/>
                <w:sz w:val="20"/>
                <w:szCs w:val="20"/>
              </w:rPr>
            </w:pPr>
          </w:p>
        </w:tc>
        <w:tc>
          <w:tcPr>
            <w:tcW w:w="243" w:type="pct"/>
          </w:tcPr>
          <w:p w:rsidR="00C3001A" w:rsidRPr="00996EED" w:rsidRDefault="00C3001A" w:rsidP="002607EA">
            <w:pPr>
              <w:jc w:val="both"/>
              <w:rPr>
                <w:rFonts w:eastAsia="Calibri"/>
                <w:sz w:val="20"/>
                <w:szCs w:val="20"/>
              </w:rPr>
            </w:pPr>
          </w:p>
        </w:tc>
        <w:tc>
          <w:tcPr>
            <w:tcW w:w="2330" w:type="pct"/>
          </w:tcPr>
          <w:p w:rsidR="00C3001A" w:rsidRPr="00996EED" w:rsidRDefault="00C3001A" w:rsidP="002607EA">
            <w:pPr>
              <w:jc w:val="both"/>
              <w:rPr>
                <w:rFonts w:eastAsia="Calibri"/>
                <w:sz w:val="20"/>
                <w:szCs w:val="20"/>
              </w:rPr>
            </w:pPr>
            <w:r w:rsidRPr="00996EED">
              <w:rPr>
                <w:rFonts w:eastAsia="Calibri"/>
                <w:sz w:val="20"/>
                <w:szCs w:val="20"/>
                <w:lang w:eastAsia="en-CA"/>
              </w:rPr>
              <w:t>Surrender order signed</w:t>
            </w:r>
          </w:p>
        </w:tc>
      </w:tr>
      <w:tr w:rsidR="00C3001A" w:rsidRPr="00996EED" w:rsidTr="002607EA">
        <w:tc>
          <w:tcPr>
            <w:tcW w:w="2427" w:type="pct"/>
          </w:tcPr>
          <w:p w:rsidR="00C3001A" w:rsidRPr="00996EED" w:rsidRDefault="00C3001A" w:rsidP="002607EA">
            <w:pPr>
              <w:jc w:val="both"/>
              <w:rPr>
                <w:rFonts w:eastAsia="Calibri"/>
                <w:sz w:val="20"/>
                <w:szCs w:val="20"/>
              </w:rPr>
            </w:pPr>
            <w:r w:rsidRPr="00996EED">
              <w:rPr>
                <w:rFonts w:eastAsia="Calibri"/>
                <w:sz w:val="20"/>
                <w:szCs w:val="20"/>
              </w:rPr>
              <w:t>June 14, 2011</w:t>
            </w:r>
          </w:p>
          <w:p w:rsidR="00C3001A" w:rsidRPr="00996EED" w:rsidRDefault="00C3001A" w:rsidP="002607EA">
            <w:pPr>
              <w:jc w:val="both"/>
              <w:rPr>
                <w:rFonts w:eastAsia="Calibri"/>
                <w:sz w:val="20"/>
                <w:szCs w:val="20"/>
              </w:rPr>
            </w:pPr>
            <w:r w:rsidRPr="00996EED">
              <w:rPr>
                <w:rFonts w:eastAsia="Calibri"/>
                <w:sz w:val="20"/>
                <w:szCs w:val="20"/>
              </w:rPr>
              <w:t>Court of Appeal for Ontario</w:t>
            </w:r>
          </w:p>
          <w:p w:rsidR="00C3001A" w:rsidRPr="00996EED" w:rsidRDefault="00C3001A" w:rsidP="002607EA">
            <w:pPr>
              <w:jc w:val="both"/>
              <w:rPr>
                <w:rFonts w:eastAsia="Calibri"/>
                <w:sz w:val="20"/>
                <w:szCs w:val="20"/>
              </w:rPr>
            </w:pPr>
            <w:r w:rsidRPr="00996EED">
              <w:rPr>
                <w:rFonts w:eastAsia="Calibri"/>
                <w:sz w:val="20"/>
                <w:szCs w:val="20"/>
              </w:rPr>
              <w:t>(Rosenberg, Lang and Watt JJ.A.)</w:t>
            </w:r>
          </w:p>
          <w:p w:rsidR="00C3001A" w:rsidRPr="00996EED" w:rsidRDefault="00C3001A" w:rsidP="002607EA">
            <w:pPr>
              <w:jc w:val="both"/>
              <w:rPr>
                <w:rFonts w:eastAsia="Calibri"/>
                <w:sz w:val="20"/>
                <w:szCs w:val="20"/>
              </w:rPr>
            </w:pPr>
            <w:r w:rsidRPr="00996EED">
              <w:rPr>
                <w:rFonts w:eastAsia="Calibri"/>
                <w:sz w:val="20"/>
                <w:szCs w:val="20"/>
              </w:rPr>
              <w:t>2011 ONCA 452</w:t>
            </w:r>
          </w:p>
          <w:p w:rsidR="00C3001A" w:rsidRPr="00996EED" w:rsidRDefault="00C3001A" w:rsidP="002607EA">
            <w:pPr>
              <w:jc w:val="both"/>
              <w:rPr>
                <w:rFonts w:eastAsia="Calibri"/>
                <w:sz w:val="20"/>
                <w:szCs w:val="20"/>
              </w:rPr>
            </w:pPr>
            <w:r w:rsidRPr="00996EED">
              <w:rPr>
                <w:rFonts w:eastAsia="Calibri"/>
                <w:sz w:val="20"/>
                <w:szCs w:val="20"/>
              </w:rPr>
              <w:t>C52791 and C53318</w:t>
            </w:r>
          </w:p>
          <w:p w:rsidR="00C3001A" w:rsidRPr="00996EED" w:rsidRDefault="00C3001A" w:rsidP="002607EA">
            <w:pPr>
              <w:jc w:val="both"/>
              <w:rPr>
                <w:rFonts w:eastAsia="Calibri"/>
                <w:sz w:val="20"/>
                <w:szCs w:val="20"/>
              </w:rPr>
            </w:pPr>
          </w:p>
        </w:tc>
        <w:tc>
          <w:tcPr>
            <w:tcW w:w="243" w:type="pct"/>
          </w:tcPr>
          <w:p w:rsidR="00C3001A" w:rsidRPr="00996EED" w:rsidRDefault="00C3001A" w:rsidP="002607EA">
            <w:pPr>
              <w:jc w:val="both"/>
              <w:rPr>
                <w:rFonts w:eastAsia="Calibri"/>
                <w:sz w:val="20"/>
                <w:szCs w:val="20"/>
              </w:rPr>
            </w:pPr>
          </w:p>
        </w:tc>
        <w:tc>
          <w:tcPr>
            <w:tcW w:w="2330" w:type="pct"/>
          </w:tcPr>
          <w:p w:rsidR="00C3001A" w:rsidRPr="00996EED" w:rsidRDefault="00C3001A" w:rsidP="002607EA">
            <w:pPr>
              <w:jc w:val="both"/>
              <w:rPr>
                <w:rFonts w:eastAsia="Calibri"/>
                <w:sz w:val="20"/>
                <w:szCs w:val="20"/>
              </w:rPr>
            </w:pPr>
            <w:r w:rsidRPr="00996EED">
              <w:rPr>
                <w:rFonts w:eastAsia="Calibri"/>
                <w:sz w:val="20"/>
                <w:szCs w:val="20"/>
              </w:rPr>
              <w:t>Appeal dismissed, application for judicial review dismissed</w:t>
            </w:r>
          </w:p>
        </w:tc>
      </w:tr>
      <w:tr w:rsidR="00C3001A" w:rsidRPr="00996EED" w:rsidTr="002607EA">
        <w:tc>
          <w:tcPr>
            <w:tcW w:w="2427" w:type="pct"/>
          </w:tcPr>
          <w:p w:rsidR="00C3001A" w:rsidRPr="00996EED" w:rsidRDefault="00C3001A" w:rsidP="002607EA">
            <w:pPr>
              <w:jc w:val="both"/>
              <w:rPr>
                <w:rFonts w:eastAsia="Calibri"/>
                <w:sz w:val="20"/>
                <w:szCs w:val="20"/>
              </w:rPr>
            </w:pPr>
            <w:r w:rsidRPr="00996EED">
              <w:rPr>
                <w:rFonts w:eastAsia="Calibri"/>
                <w:sz w:val="20"/>
                <w:szCs w:val="20"/>
              </w:rPr>
              <w:t>July 13, 2011</w:t>
            </w:r>
          </w:p>
          <w:p w:rsidR="00C3001A" w:rsidRPr="00996EED" w:rsidRDefault="00C3001A" w:rsidP="00E801D1">
            <w:pPr>
              <w:jc w:val="both"/>
              <w:rPr>
                <w:rFonts w:eastAsia="Calibri"/>
                <w:sz w:val="20"/>
                <w:szCs w:val="20"/>
              </w:rPr>
            </w:pPr>
            <w:r w:rsidRPr="00996EED">
              <w:rPr>
                <w:rFonts w:eastAsia="Calibri"/>
                <w:sz w:val="20"/>
                <w:szCs w:val="20"/>
              </w:rPr>
              <w:t>Supreme Court of Canada</w:t>
            </w:r>
          </w:p>
        </w:tc>
        <w:tc>
          <w:tcPr>
            <w:tcW w:w="243" w:type="pct"/>
          </w:tcPr>
          <w:p w:rsidR="00C3001A" w:rsidRPr="00996EED" w:rsidRDefault="00C3001A" w:rsidP="002607EA">
            <w:pPr>
              <w:jc w:val="both"/>
              <w:rPr>
                <w:rFonts w:eastAsia="Calibri"/>
                <w:sz w:val="20"/>
                <w:szCs w:val="20"/>
              </w:rPr>
            </w:pPr>
          </w:p>
        </w:tc>
        <w:tc>
          <w:tcPr>
            <w:tcW w:w="2330" w:type="pct"/>
          </w:tcPr>
          <w:p w:rsidR="00C3001A" w:rsidRPr="00996EED" w:rsidRDefault="00C3001A" w:rsidP="002607EA">
            <w:pPr>
              <w:jc w:val="both"/>
              <w:rPr>
                <w:rFonts w:eastAsia="Calibri"/>
                <w:sz w:val="20"/>
                <w:szCs w:val="20"/>
              </w:rPr>
            </w:pPr>
            <w:r w:rsidRPr="00996EED">
              <w:rPr>
                <w:rFonts w:eastAsia="Calibri"/>
                <w:sz w:val="20"/>
                <w:szCs w:val="20"/>
              </w:rPr>
              <w:t xml:space="preserve">Application for leave to appeal filed </w:t>
            </w:r>
          </w:p>
        </w:tc>
      </w:tr>
    </w:tbl>
    <w:p w:rsidR="00C3001A" w:rsidRDefault="00C3001A" w:rsidP="00C3001A">
      <w:pPr>
        <w:rPr>
          <w:sz w:val="20"/>
          <w:szCs w:val="20"/>
        </w:rPr>
      </w:pPr>
    </w:p>
    <w:p w:rsidR="00C3001A" w:rsidRDefault="004D631F" w:rsidP="00C3001A">
      <w:pPr>
        <w:rPr>
          <w:sz w:val="20"/>
          <w:szCs w:val="20"/>
          <w:lang w:val="fr-CA"/>
        </w:rPr>
      </w:pPr>
      <w:r w:rsidRPr="004D631F">
        <w:rPr>
          <w:sz w:val="20"/>
          <w:szCs w:val="20"/>
          <w:lang w:val="fr-CA"/>
        </w:rPr>
        <w:pict>
          <v:rect id="_x0000_i1041" style="width:2in;height:1pt" o:hrpct="0" o:hralign="center" o:hrstd="t" o:hrnoshade="t" o:hr="t" fillcolor="black [3213]" stroked="f"/>
        </w:pict>
      </w:r>
    </w:p>
    <w:p w:rsidR="00C3001A" w:rsidRDefault="00C3001A" w:rsidP="00C3001A">
      <w:pPr>
        <w:rPr>
          <w:sz w:val="20"/>
          <w:szCs w:val="20"/>
          <w:lang w:val="fr-CA"/>
        </w:rPr>
      </w:pPr>
    </w:p>
    <w:p w:rsidR="00C3001A" w:rsidRPr="0093057E" w:rsidRDefault="00C3001A" w:rsidP="00C3001A">
      <w:pPr>
        <w:rPr>
          <w:sz w:val="20"/>
          <w:szCs w:val="20"/>
          <w:u w:val="single"/>
          <w:lang w:val="fr-CA"/>
        </w:rPr>
      </w:pPr>
      <w:r>
        <w:rPr>
          <w:sz w:val="20"/>
          <w:szCs w:val="20"/>
          <w:u w:val="single"/>
          <w:lang w:val="fr-CA"/>
        </w:rPr>
        <w:t>RÉSUMÉ DE L’AFFAIRE</w:t>
      </w:r>
    </w:p>
    <w:p w:rsidR="00C3001A" w:rsidRDefault="00C3001A" w:rsidP="00C3001A">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C3001A" w:rsidRPr="00FD7538" w:rsidTr="002607EA">
        <w:tc>
          <w:tcPr>
            <w:tcW w:w="5000" w:type="pct"/>
            <w:gridSpan w:val="3"/>
          </w:tcPr>
          <w:p w:rsidR="00C3001A" w:rsidRPr="00996EED" w:rsidRDefault="00C3001A" w:rsidP="002607EA">
            <w:pPr>
              <w:jc w:val="both"/>
              <w:rPr>
                <w:rFonts w:eastAsia="Calibri"/>
                <w:sz w:val="20"/>
                <w:szCs w:val="20"/>
                <w:lang w:val="fr-CA"/>
              </w:rPr>
            </w:pPr>
            <w:r w:rsidRPr="00996EED">
              <w:rPr>
                <w:rFonts w:eastAsia="Calibri"/>
                <w:sz w:val="20"/>
                <w:szCs w:val="20"/>
                <w:lang w:val="fr-CA"/>
              </w:rPr>
              <w:t xml:space="preserve">Extradition — Preuve — Droit criminel — Le juge d'extradition a conclu qu’il y avait une preuve suffisante de complot en vue de faire le trafic de la cocaïne et a donc ordonné l'incarcération en vue de l'extradition — La Cour d'appel a confirmé l'ordonnance d'incarcération — La Cour d'appel </w:t>
            </w:r>
            <w:proofErr w:type="spellStart"/>
            <w:r w:rsidRPr="00996EED">
              <w:rPr>
                <w:rFonts w:eastAsia="Calibri"/>
                <w:sz w:val="20"/>
                <w:szCs w:val="20"/>
                <w:lang w:val="fr-CA"/>
              </w:rPr>
              <w:t>a</w:t>
            </w:r>
            <w:r w:rsidRPr="00996EED">
              <w:rPr>
                <w:rFonts w:eastAsia="Calibri"/>
                <w:sz w:val="20"/>
                <w:szCs w:val="20"/>
                <w:lang w:val="fr-CA"/>
              </w:rPr>
              <w:noBreakHyphen/>
              <w:t>t</w:t>
            </w:r>
            <w:r w:rsidRPr="00996EED">
              <w:rPr>
                <w:rFonts w:eastAsia="Calibri"/>
                <w:sz w:val="20"/>
                <w:szCs w:val="20"/>
                <w:lang w:val="fr-CA"/>
              </w:rPr>
              <w:noBreakHyphen/>
              <w:t>elle</w:t>
            </w:r>
            <w:proofErr w:type="spellEnd"/>
            <w:r w:rsidRPr="00996EED">
              <w:rPr>
                <w:rFonts w:eastAsia="Calibri"/>
                <w:sz w:val="20"/>
                <w:szCs w:val="20"/>
                <w:lang w:val="fr-CA"/>
              </w:rPr>
              <w:t xml:space="preserve"> eu tort de conclure qu'il y avait suffisamment de preuve pour étayer un inférence que le demandeur était partie au complot en vue de faire le trafic de la cocaïne? —</w:t>
            </w:r>
            <w:r w:rsidRPr="00996EED">
              <w:rPr>
                <w:rFonts w:eastAsia="Calibri"/>
                <w:i/>
                <w:sz w:val="20"/>
                <w:szCs w:val="20"/>
                <w:lang w:val="fr-CA"/>
              </w:rPr>
              <w:t xml:space="preserve"> Loi réglementant certaines drogues et autres substances</w:t>
            </w:r>
            <w:r w:rsidRPr="00996EED">
              <w:rPr>
                <w:rFonts w:eastAsia="Calibri"/>
                <w:sz w:val="20"/>
                <w:szCs w:val="20"/>
                <w:lang w:val="fr-CA"/>
              </w:rPr>
              <w:t>, L.C. 1996, ch. 19, par. 5(1) —</w:t>
            </w:r>
            <w:r w:rsidRPr="00996EED">
              <w:rPr>
                <w:rFonts w:eastAsia="Calibri"/>
                <w:i/>
                <w:sz w:val="20"/>
                <w:szCs w:val="20"/>
                <w:lang w:val="fr-CA"/>
              </w:rPr>
              <w:t xml:space="preserve"> Code criminel</w:t>
            </w:r>
            <w:r w:rsidRPr="00996EED">
              <w:rPr>
                <w:rFonts w:eastAsia="Calibri"/>
                <w:sz w:val="20"/>
                <w:szCs w:val="20"/>
                <w:lang w:val="fr-CA"/>
              </w:rPr>
              <w:t>, L.R.C. 1985, ch. C</w:t>
            </w:r>
            <w:r w:rsidRPr="00996EED">
              <w:rPr>
                <w:rFonts w:eastAsia="Calibri"/>
                <w:sz w:val="20"/>
                <w:szCs w:val="20"/>
                <w:lang w:val="fr-CA"/>
              </w:rPr>
              <w:noBreakHyphen/>
              <w:t>46, al. 465(1)c) —</w:t>
            </w:r>
            <w:r w:rsidRPr="00996EED">
              <w:rPr>
                <w:rFonts w:eastAsia="Calibri"/>
                <w:i/>
                <w:iCs/>
                <w:color w:val="000000"/>
                <w:sz w:val="20"/>
                <w:szCs w:val="20"/>
                <w:lang w:val="fr-CA"/>
              </w:rPr>
              <w:t xml:space="preserve"> Loi sur l'extradition</w:t>
            </w:r>
            <w:r w:rsidRPr="00996EED">
              <w:rPr>
                <w:rFonts w:eastAsia="Calibri"/>
                <w:color w:val="000000"/>
                <w:sz w:val="20"/>
                <w:szCs w:val="20"/>
                <w:lang w:val="fr-CA"/>
              </w:rPr>
              <w:t>, L.C. 1999, ch. 18, par. 29(1).</w:t>
            </w:r>
          </w:p>
          <w:p w:rsidR="00C3001A" w:rsidRPr="00996EED" w:rsidRDefault="00C3001A" w:rsidP="002607EA">
            <w:pPr>
              <w:jc w:val="both"/>
              <w:rPr>
                <w:rFonts w:eastAsia="Calibri"/>
                <w:sz w:val="20"/>
                <w:szCs w:val="20"/>
                <w:lang w:val="fr-CA"/>
              </w:rPr>
            </w:pPr>
          </w:p>
        </w:tc>
      </w:tr>
      <w:tr w:rsidR="00C3001A" w:rsidRPr="00FD7538" w:rsidTr="002607EA">
        <w:tc>
          <w:tcPr>
            <w:tcW w:w="5000" w:type="pct"/>
            <w:gridSpan w:val="3"/>
          </w:tcPr>
          <w:p w:rsidR="00C3001A" w:rsidRPr="00996EED" w:rsidRDefault="00C3001A" w:rsidP="002607EA">
            <w:pPr>
              <w:jc w:val="both"/>
              <w:rPr>
                <w:rFonts w:eastAsia="Calibri"/>
                <w:sz w:val="20"/>
                <w:szCs w:val="20"/>
                <w:lang w:val="fr-CA"/>
              </w:rPr>
            </w:pPr>
            <w:r w:rsidRPr="00996EED">
              <w:rPr>
                <w:rFonts w:eastAsia="Calibri"/>
                <w:sz w:val="20"/>
                <w:szCs w:val="20"/>
                <w:lang w:val="fr-CA"/>
              </w:rPr>
              <w:lastRenderedPageBreak/>
              <w:t xml:space="preserve">Les autorités des </w:t>
            </w:r>
            <w:proofErr w:type="spellStart"/>
            <w:r w:rsidRPr="00996EED">
              <w:rPr>
                <w:rFonts w:eastAsia="Calibri"/>
                <w:sz w:val="20"/>
                <w:szCs w:val="20"/>
                <w:lang w:val="fr-CA"/>
              </w:rPr>
              <w:t>États</w:t>
            </w:r>
            <w:r w:rsidRPr="00996EED">
              <w:rPr>
                <w:rFonts w:eastAsia="Calibri"/>
                <w:sz w:val="20"/>
                <w:szCs w:val="20"/>
                <w:lang w:val="fr-CA"/>
              </w:rPr>
              <w:noBreakHyphen/>
              <w:t>Unis</w:t>
            </w:r>
            <w:proofErr w:type="spellEnd"/>
            <w:r w:rsidRPr="00996EED">
              <w:rPr>
                <w:rFonts w:eastAsia="Calibri"/>
                <w:sz w:val="20"/>
                <w:szCs w:val="20"/>
                <w:lang w:val="fr-CA"/>
              </w:rPr>
              <w:t xml:space="preserve"> demandent l'extradition du demandeur Ravi </w:t>
            </w:r>
            <w:proofErr w:type="spellStart"/>
            <w:r w:rsidRPr="00996EED">
              <w:rPr>
                <w:rFonts w:eastAsia="Calibri"/>
                <w:sz w:val="20"/>
                <w:szCs w:val="20"/>
                <w:lang w:val="fr-CA"/>
              </w:rPr>
              <w:t>Shanker</w:t>
            </w:r>
            <w:proofErr w:type="spellEnd"/>
            <w:r w:rsidRPr="00996EED">
              <w:rPr>
                <w:rFonts w:eastAsia="Calibri"/>
                <w:sz w:val="20"/>
                <w:szCs w:val="20"/>
                <w:lang w:val="fr-CA"/>
              </w:rPr>
              <w:t>, alléguant qu'il aurait commis une infraction qui correspond, au Canada, au complot en vue de faire le trafic d'une substance illicite.  La preuve contre M. </w:t>
            </w:r>
            <w:proofErr w:type="spellStart"/>
            <w:r w:rsidRPr="00996EED">
              <w:rPr>
                <w:rFonts w:eastAsia="Calibri"/>
                <w:sz w:val="20"/>
                <w:szCs w:val="20"/>
                <w:lang w:val="fr-CA"/>
              </w:rPr>
              <w:t>Shanker</w:t>
            </w:r>
            <w:proofErr w:type="spellEnd"/>
            <w:r w:rsidRPr="00996EED">
              <w:rPr>
                <w:rFonts w:eastAsia="Calibri"/>
                <w:sz w:val="20"/>
                <w:szCs w:val="20"/>
                <w:lang w:val="fr-CA"/>
              </w:rPr>
              <w:t xml:space="preserve"> et les autres comploteurs présumés a été obtenue principalement de la mise sur écoute de leurs conversations.  Les mises sur écoute ont montré que les comploteurs présumés s'organisaient pour transporter la substance à partir de la Californie en camion, que la substance avait été saisie en route et que les comploteurs cherchaient des fonds pour rembourser la dette de drogue. La demande d'extradition a été accueillie et l'extradition a été ordonnée.  L'appel et la demande de contrôle judiciaire de M. </w:t>
            </w:r>
            <w:proofErr w:type="spellStart"/>
            <w:r w:rsidRPr="00996EED">
              <w:rPr>
                <w:rFonts w:eastAsia="Calibri"/>
                <w:sz w:val="20"/>
                <w:szCs w:val="20"/>
                <w:lang w:val="fr-CA"/>
              </w:rPr>
              <w:t>Shanker</w:t>
            </w:r>
            <w:proofErr w:type="spellEnd"/>
            <w:r w:rsidRPr="00996EED">
              <w:rPr>
                <w:rFonts w:eastAsia="Calibri"/>
                <w:sz w:val="20"/>
                <w:szCs w:val="20"/>
                <w:lang w:val="fr-CA"/>
              </w:rPr>
              <w:t xml:space="preserve"> ont été rejetés.</w:t>
            </w:r>
          </w:p>
          <w:p w:rsidR="00C3001A" w:rsidRPr="00996EED" w:rsidRDefault="00C3001A" w:rsidP="002607EA">
            <w:pPr>
              <w:jc w:val="both"/>
              <w:rPr>
                <w:rFonts w:eastAsia="Calibri"/>
                <w:sz w:val="20"/>
                <w:szCs w:val="20"/>
                <w:lang w:val="fr-CA"/>
              </w:rPr>
            </w:pPr>
          </w:p>
        </w:tc>
      </w:tr>
      <w:tr w:rsidR="00C3001A" w:rsidRPr="00996EED" w:rsidTr="002607EA">
        <w:tc>
          <w:tcPr>
            <w:tcW w:w="2427"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22 septembre 2010</w:t>
            </w:r>
          </w:p>
          <w:p w:rsidR="00C3001A" w:rsidRPr="00996EED" w:rsidRDefault="00C3001A" w:rsidP="002607EA">
            <w:pPr>
              <w:jc w:val="both"/>
              <w:rPr>
                <w:rFonts w:eastAsia="Calibri"/>
                <w:sz w:val="20"/>
                <w:szCs w:val="20"/>
                <w:lang w:val="fr-CA"/>
              </w:rPr>
            </w:pPr>
            <w:r w:rsidRPr="00996EED">
              <w:rPr>
                <w:rFonts w:eastAsia="Calibri"/>
                <w:sz w:val="20"/>
                <w:szCs w:val="20"/>
                <w:lang w:val="fr-CA"/>
              </w:rPr>
              <w:t xml:space="preserve">Cour supérieure de justice de l'Ontario </w:t>
            </w:r>
          </w:p>
          <w:p w:rsidR="00C3001A" w:rsidRPr="00996EED" w:rsidRDefault="00C3001A" w:rsidP="002607EA">
            <w:pPr>
              <w:jc w:val="both"/>
              <w:rPr>
                <w:rFonts w:eastAsia="Calibri"/>
                <w:sz w:val="20"/>
                <w:szCs w:val="20"/>
                <w:lang w:val="fr-CA"/>
              </w:rPr>
            </w:pPr>
            <w:r w:rsidRPr="00996EED">
              <w:rPr>
                <w:rFonts w:eastAsia="Calibri"/>
                <w:sz w:val="20"/>
                <w:szCs w:val="20"/>
                <w:lang w:val="fr-CA"/>
              </w:rPr>
              <w:t xml:space="preserve">(Juge </w:t>
            </w:r>
            <w:proofErr w:type="spellStart"/>
            <w:r w:rsidRPr="00996EED">
              <w:rPr>
                <w:rFonts w:eastAsia="Calibri"/>
                <w:sz w:val="20"/>
                <w:szCs w:val="20"/>
                <w:lang w:val="fr-CA"/>
              </w:rPr>
              <w:t>Thorburn</w:t>
            </w:r>
            <w:proofErr w:type="spellEnd"/>
            <w:r w:rsidRPr="00996EED">
              <w:rPr>
                <w:rFonts w:eastAsia="Calibri"/>
                <w:sz w:val="20"/>
                <w:szCs w:val="20"/>
                <w:lang w:val="fr-CA"/>
              </w:rPr>
              <w:t>)</w:t>
            </w:r>
          </w:p>
          <w:p w:rsidR="00C3001A" w:rsidRPr="00996EED" w:rsidRDefault="00C3001A" w:rsidP="002607EA">
            <w:pPr>
              <w:jc w:val="both"/>
              <w:rPr>
                <w:rFonts w:eastAsia="Calibri"/>
                <w:sz w:val="20"/>
                <w:szCs w:val="20"/>
                <w:lang w:val="fr-CA"/>
              </w:rPr>
            </w:pPr>
            <w:r w:rsidRPr="00996EED">
              <w:rPr>
                <w:rFonts w:eastAsia="Calibri"/>
                <w:sz w:val="20"/>
                <w:szCs w:val="20"/>
                <w:lang w:val="fr-CA"/>
              </w:rPr>
              <w:t>2010 ONSC 5343</w:t>
            </w:r>
          </w:p>
          <w:p w:rsidR="00C3001A" w:rsidRPr="00996EED" w:rsidRDefault="00C3001A" w:rsidP="002607EA">
            <w:pPr>
              <w:jc w:val="both"/>
              <w:rPr>
                <w:rFonts w:eastAsia="Calibri"/>
                <w:sz w:val="20"/>
                <w:szCs w:val="20"/>
                <w:lang w:val="fr-CA"/>
              </w:rPr>
            </w:pPr>
          </w:p>
        </w:tc>
        <w:tc>
          <w:tcPr>
            <w:tcW w:w="243" w:type="pct"/>
          </w:tcPr>
          <w:p w:rsidR="00C3001A" w:rsidRPr="00996EED" w:rsidRDefault="00C3001A" w:rsidP="002607EA">
            <w:pPr>
              <w:jc w:val="both"/>
              <w:rPr>
                <w:rFonts w:eastAsia="Calibri"/>
                <w:sz w:val="20"/>
                <w:szCs w:val="20"/>
                <w:lang w:val="fr-CA"/>
              </w:rPr>
            </w:pPr>
          </w:p>
        </w:tc>
        <w:tc>
          <w:tcPr>
            <w:tcW w:w="2330"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Demande d'extradition, accueillie</w:t>
            </w:r>
          </w:p>
        </w:tc>
      </w:tr>
      <w:tr w:rsidR="00C3001A" w:rsidRPr="00996EED" w:rsidTr="002607EA">
        <w:tc>
          <w:tcPr>
            <w:tcW w:w="2427"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17 février 2011</w:t>
            </w:r>
          </w:p>
          <w:p w:rsidR="00C3001A" w:rsidRPr="00996EED" w:rsidRDefault="00C3001A" w:rsidP="002607EA">
            <w:pPr>
              <w:rPr>
                <w:rFonts w:eastAsia="Calibri"/>
                <w:sz w:val="20"/>
                <w:szCs w:val="20"/>
                <w:lang w:val="fr-CA" w:eastAsia="en-CA"/>
              </w:rPr>
            </w:pPr>
            <w:r w:rsidRPr="00996EED">
              <w:rPr>
                <w:rFonts w:eastAsia="Calibri"/>
                <w:sz w:val="20"/>
                <w:szCs w:val="20"/>
                <w:lang w:val="fr-CA" w:eastAsia="en-CA"/>
              </w:rPr>
              <w:t>Ministre de la Justice</w:t>
            </w:r>
          </w:p>
          <w:p w:rsidR="00C3001A" w:rsidRPr="00996EED" w:rsidRDefault="00C3001A" w:rsidP="002607EA">
            <w:pPr>
              <w:jc w:val="both"/>
              <w:rPr>
                <w:rFonts w:eastAsia="Calibri"/>
                <w:sz w:val="20"/>
                <w:szCs w:val="20"/>
                <w:lang w:val="fr-CA"/>
              </w:rPr>
            </w:pPr>
            <w:r w:rsidRPr="00996EED">
              <w:rPr>
                <w:rFonts w:eastAsia="Calibri"/>
                <w:sz w:val="20"/>
                <w:szCs w:val="20"/>
                <w:lang w:val="fr-CA" w:eastAsia="en-CA"/>
              </w:rPr>
              <w:t>(L'honorable Rob Nicholson, C.p., député)</w:t>
            </w:r>
          </w:p>
          <w:p w:rsidR="00C3001A" w:rsidRPr="00996EED" w:rsidRDefault="00C3001A" w:rsidP="002607EA">
            <w:pPr>
              <w:jc w:val="both"/>
              <w:rPr>
                <w:rFonts w:eastAsia="Calibri"/>
                <w:sz w:val="20"/>
                <w:szCs w:val="20"/>
                <w:lang w:val="fr-CA"/>
              </w:rPr>
            </w:pPr>
          </w:p>
        </w:tc>
        <w:tc>
          <w:tcPr>
            <w:tcW w:w="243" w:type="pct"/>
          </w:tcPr>
          <w:p w:rsidR="00C3001A" w:rsidRPr="00996EED" w:rsidRDefault="00C3001A" w:rsidP="002607EA">
            <w:pPr>
              <w:jc w:val="both"/>
              <w:rPr>
                <w:rFonts w:eastAsia="Calibri"/>
                <w:sz w:val="20"/>
                <w:szCs w:val="20"/>
                <w:lang w:val="fr-CA"/>
              </w:rPr>
            </w:pPr>
          </w:p>
        </w:tc>
        <w:tc>
          <w:tcPr>
            <w:tcW w:w="2330" w:type="pct"/>
          </w:tcPr>
          <w:p w:rsidR="00C3001A" w:rsidRPr="00996EED" w:rsidRDefault="00C3001A" w:rsidP="002607EA">
            <w:pPr>
              <w:jc w:val="both"/>
              <w:rPr>
                <w:rFonts w:eastAsia="Calibri"/>
                <w:sz w:val="20"/>
                <w:szCs w:val="20"/>
                <w:lang w:val="fr-CA"/>
              </w:rPr>
            </w:pPr>
            <w:r w:rsidRPr="00996EED">
              <w:rPr>
                <w:rFonts w:eastAsia="Calibri"/>
                <w:sz w:val="20"/>
                <w:szCs w:val="20"/>
                <w:lang w:val="fr-CA" w:eastAsia="en-CA"/>
              </w:rPr>
              <w:t>Arrêté d'extradition, signé</w:t>
            </w:r>
          </w:p>
        </w:tc>
      </w:tr>
      <w:tr w:rsidR="00C3001A" w:rsidRPr="00FD7538" w:rsidTr="002607EA">
        <w:tc>
          <w:tcPr>
            <w:tcW w:w="2427"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14 juin 2011</w:t>
            </w:r>
          </w:p>
          <w:p w:rsidR="00C3001A" w:rsidRPr="00996EED" w:rsidRDefault="00C3001A" w:rsidP="002607EA">
            <w:pPr>
              <w:jc w:val="both"/>
              <w:rPr>
                <w:rFonts w:eastAsia="Calibri"/>
                <w:sz w:val="20"/>
                <w:szCs w:val="20"/>
                <w:lang w:val="fr-CA"/>
              </w:rPr>
            </w:pPr>
            <w:r w:rsidRPr="00996EED">
              <w:rPr>
                <w:rFonts w:eastAsia="Calibri"/>
                <w:sz w:val="20"/>
                <w:szCs w:val="20"/>
                <w:lang w:val="fr-CA"/>
              </w:rPr>
              <w:t xml:space="preserve">Cour d'appel de l'Ontario </w:t>
            </w:r>
          </w:p>
          <w:p w:rsidR="00C3001A" w:rsidRPr="00996EED" w:rsidRDefault="00C3001A" w:rsidP="002607EA">
            <w:pPr>
              <w:jc w:val="both"/>
              <w:rPr>
                <w:rFonts w:eastAsia="Calibri"/>
                <w:sz w:val="20"/>
                <w:szCs w:val="20"/>
                <w:lang w:val="fr-CA"/>
              </w:rPr>
            </w:pPr>
            <w:r w:rsidRPr="00996EED">
              <w:rPr>
                <w:rFonts w:eastAsia="Calibri"/>
                <w:sz w:val="20"/>
                <w:szCs w:val="20"/>
                <w:lang w:val="fr-CA"/>
              </w:rPr>
              <w:t>(Juges Rosenberg, Lang et Watt)</w:t>
            </w:r>
          </w:p>
          <w:p w:rsidR="00C3001A" w:rsidRPr="00996EED" w:rsidRDefault="00C3001A" w:rsidP="002607EA">
            <w:pPr>
              <w:jc w:val="both"/>
              <w:rPr>
                <w:rFonts w:eastAsia="Calibri"/>
                <w:sz w:val="20"/>
                <w:szCs w:val="20"/>
                <w:lang w:val="fr-CA"/>
              </w:rPr>
            </w:pPr>
            <w:r w:rsidRPr="00996EED">
              <w:rPr>
                <w:rFonts w:eastAsia="Calibri"/>
                <w:sz w:val="20"/>
                <w:szCs w:val="20"/>
                <w:lang w:val="fr-CA"/>
              </w:rPr>
              <w:t>2011 ONCA 452</w:t>
            </w:r>
          </w:p>
          <w:p w:rsidR="00C3001A" w:rsidRPr="00996EED" w:rsidRDefault="00C3001A" w:rsidP="002607EA">
            <w:pPr>
              <w:jc w:val="both"/>
              <w:rPr>
                <w:rFonts w:eastAsia="Calibri"/>
                <w:sz w:val="20"/>
                <w:szCs w:val="20"/>
                <w:lang w:val="fr-CA"/>
              </w:rPr>
            </w:pPr>
            <w:r w:rsidRPr="00996EED">
              <w:rPr>
                <w:rFonts w:eastAsia="Calibri"/>
                <w:sz w:val="20"/>
                <w:szCs w:val="20"/>
                <w:lang w:val="fr-CA"/>
              </w:rPr>
              <w:t>C52791 et C53318</w:t>
            </w:r>
          </w:p>
          <w:p w:rsidR="00C3001A" w:rsidRPr="00996EED" w:rsidRDefault="00C3001A" w:rsidP="002607EA">
            <w:pPr>
              <w:jc w:val="both"/>
              <w:rPr>
                <w:rFonts w:eastAsia="Calibri"/>
                <w:sz w:val="20"/>
                <w:szCs w:val="20"/>
                <w:lang w:val="fr-CA"/>
              </w:rPr>
            </w:pPr>
          </w:p>
        </w:tc>
        <w:tc>
          <w:tcPr>
            <w:tcW w:w="243" w:type="pct"/>
          </w:tcPr>
          <w:p w:rsidR="00C3001A" w:rsidRPr="00996EED" w:rsidRDefault="00C3001A" w:rsidP="002607EA">
            <w:pPr>
              <w:jc w:val="both"/>
              <w:rPr>
                <w:rFonts w:eastAsia="Calibri"/>
                <w:sz w:val="20"/>
                <w:szCs w:val="20"/>
                <w:lang w:val="fr-CA"/>
              </w:rPr>
            </w:pPr>
          </w:p>
        </w:tc>
        <w:tc>
          <w:tcPr>
            <w:tcW w:w="2330"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Appel et demande de contrôle judiciaire, rejetés</w:t>
            </w:r>
          </w:p>
        </w:tc>
      </w:tr>
      <w:tr w:rsidR="00C3001A" w:rsidRPr="00996EED" w:rsidTr="002607EA">
        <w:tc>
          <w:tcPr>
            <w:tcW w:w="2427"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13 juillet 2011</w:t>
            </w:r>
          </w:p>
          <w:p w:rsidR="00C3001A" w:rsidRPr="00996EED" w:rsidRDefault="00C3001A" w:rsidP="00E801D1">
            <w:pPr>
              <w:jc w:val="both"/>
              <w:rPr>
                <w:rFonts w:eastAsia="Calibri"/>
                <w:sz w:val="20"/>
                <w:szCs w:val="20"/>
                <w:lang w:val="fr-CA"/>
              </w:rPr>
            </w:pPr>
            <w:r w:rsidRPr="00996EED">
              <w:rPr>
                <w:rFonts w:eastAsia="Calibri"/>
                <w:sz w:val="20"/>
                <w:szCs w:val="20"/>
                <w:lang w:val="fr-CA"/>
              </w:rPr>
              <w:t>Cour suprême du Canada</w:t>
            </w:r>
          </w:p>
        </w:tc>
        <w:tc>
          <w:tcPr>
            <w:tcW w:w="243" w:type="pct"/>
          </w:tcPr>
          <w:p w:rsidR="00C3001A" w:rsidRPr="00996EED" w:rsidRDefault="00C3001A" w:rsidP="002607EA">
            <w:pPr>
              <w:jc w:val="both"/>
              <w:rPr>
                <w:rFonts w:eastAsia="Calibri"/>
                <w:sz w:val="20"/>
                <w:szCs w:val="20"/>
                <w:lang w:val="fr-CA"/>
              </w:rPr>
            </w:pPr>
          </w:p>
        </w:tc>
        <w:tc>
          <w:tcPr>
            <w:tcW w:w="2330" w:type="pct"/>
          </w:tcPr>
          <w:p w:rsidR="00C3001A" w:rsidRPr="00996EED" w:rsidRDefault="00C3001A" w:rsidP="002607EA">
            <w:pPr>
              <w:jc w:val="both"/>
              <w:rPr>
                <w:rFonts w:eastAsia="Calibri"/>
                <w:sz w:val="20"/>
                <w:szCs w:val="20"/>
                <w:lang w:val="fr-CA"/>
              </w:rPr>
            </w:pPr>
            <w:r w:rsidRPr="00996EED">
              <w:rPr>
                <w:rFonts w:eastAsia="Calibri"/>
                <w:sz w:val="20"/>
                <w:szCs w:val="20"/>
                <w:lang w:val="fr-CA"/>
              </w:rPr>
              <w:t>Demande d'autorisation d'appel, déposée</w:t>
            </w:r>
          </w:p>
        </w:tc>
      </w:tr>
    </w:tbl>
    <w:p w:rsidR="00C3001A" w:rsidRDefault="00C3001A" w:rsidP="00C3001A">
      <w:pPr>
        <w:rPr>
          <w:sz w:val="20"/>
          <w:szCs w:val="20"/>
          <w:lang w:val="fr-CA"/>
        </w:rPr>
      </w:pPr>
    </w:p>
    <w:p w:rsidR="00C3001A" w:rsidRDefault="004D631F" w:rsidP="00C3001A">
      <w:pPr>
        <w:rPr>
          <w:sz w:val="20"/>
          <w:szCs w:val="20"/>
          <w:lang w:val="fr-CA"/>
        </w:rPr>
      </w:pPr>
      <w:r w:rsidRPr="004D631F">
        <w:rPr>
          <w:sz w:val="20"/>
          <w:szCs w:val="20"/>
          <w:lang w:val="fr-CA"/>
        </w:rPr>
        <w:pict>
          <v:rect id="_x0000_i1042" style="width:2in;height:1pt" o:hrpct="0" o:hralign="center" o:hrstd="t" o:hrnoshade="t" o:hr="t" fillcolor="black [3213]" stroked="f"/>
        </w:pict>
      </w:r>
    </w:p>
    <w:p w:rsidR="00C3001A" w:rsidRDefault="00C3001A" w:rsidP="00C3001A">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CD106E" w:rsidRPr="003E5B1E" w:rsidRDefault="00CD106E" w:rsidP="00CD106E">
      <w:pPr>
        <w:tabs>
          <w:tab w:val="left" w:pos="-1440"/>
          <w:tab w:val="left" w:pos="-720"/>
        </w:tabs>
        <w:jc w:val="both"/>
        <w:rPr>
          <w:rFonts w:cs="Times New Roman"/>
          <w:sz w:val="20"/>
          <w:szCs w:val="20"/>
        </w:rPr>
      </w:pPr>
      <w:r w:rsidRPr="003E5B1E">
        <w:rPr>
          <w:rFonts w:cs="Times New Roman"/>
          <w:sz w:val="20"/>
          <w:szCs w:val="20"/>
        </w:rPr>
        <w:t>28.10.2011</w:t>
      </w:r>
    </w:p>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tabs>
          <w:tab w:val="left" w:pos="-1440"/>
          <w:tab w:val="left" w:pos="-720"/>
        </w:tabs>
        <w:jc w:val="both"/>
        <w:rPr>
          <w:rFonts w:cs="Times New Roman"/>
          <w:sz w:val="20"/>
          <w:szCs w:val="20"/>
        </w:rPr>
      </w:pPr>
      <w:r w:rsidRPr="003E5B1E">
        <w:rPr>
          <w:rFonts w:cs="Times New Roman"/>
          <w:sz w:val="20"/>
          <w:szCs w:val="20"/>
        </w:rPr>
        <w:t xml:space="preserve">Before / </w:t>
      </w:r>
      <w:proofErr w:type="spellStart"/>
      <w:proofErr w:type="gramStart"/>
      <w:r w:rsidRPr="003E5B1E">
        <w:rPr>
          <w:rFonts w:cs="Times New Roman"/>
          <w:sz w:val="20"/>
          <w:szCs w:val="20"/>
        </w:rPr>
        <w:t>Devant</w:t>
      </w:r>
      <w:proofErr w:type="spellEnd"/>
      <w:r w:rsidRPr="003E5B1E">
        <w:rPr>
          <w:rFonts w:cs="Times New Roman"/>
          <w:sz w:val="20"/>
          <w:szCs w:val="20"/>
        </w:rPr>
        <w:t xml:space="preserve"> :</w:t>
      </w:r>
      <w:proofErr w:type="gramEnd"/>
      <w:r w:rsidRPr="003E5B1E">
        <w:rPr>
          <w:rFonts w:cs="Times New Roman"/>
          <w:sz w:val="20"/>
          <w:szCs w:val="20"/>
        </w:rPr>
        <w:t xml:space="preserve">   </w:t>
      </w:r>
      <w:r w:rsidRPr="003E5B1E">
        <w:rPr>
          <w:rFonts w:cs="Times New Roman"/>
          <w:sz w:val="20"/>
          <w:szCs w:val="20"/>
          <w:lang w:val="fr-CA"/>
        </w:rPr>
        <w:t>THE REGISTRAR / LE REGISTRAIRE</w:t>
      </w:r>
    </w:p>
    <w:p w:rsidR="00CD106E" w:rsidRPr="003E5B1E" w:rsidRDefault="00CD106E" w:rsidP="00CD106E">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D106E" w:rsidRPr="00FD7538" w:rsidTr="00CD6291">
        <w:tc>
          <w:tcPr>
            <w:tcW w:w="4338" w:type="dxa"/>
          </w:tcPr>
          <w:p w:rsidR="00CD106E" w:rsidRPr="003E5B1E" w:rsidRDefault="004D631F" w:rsidP="00CD6291">
            <w:pPr>
              <w:tabs>
                <w:tab w:val="left" w:pos="-1440"/>
                <w:tab w:val="left" w:pos="-720"/>
              </w:tabs>
              <w:jc w:val="both"/>
              <w:rPr>
                <w:rFonts w:cs="Times New Roman"/>
                <w:sz w:val="20"/>
                <w:szCs w:val="20"/>
              </w:rPr>
            </w:pPr>
            <w:r w:rsidRPr="003E5B1E">
              <w:rPr>
                <w:rFonts w:cs="Times New Roman"/>
                <w:sz w:val="20"/>
                <w:szCs w:val="20"/>
              </w:rPr>
              <w:fldChar w:fldCharType="begin"/>
            </w:r>
            <w:r w:rsidR="00CD106E" w:rsidRPr="003E5B1E">
              <w:rPr>
                <w:rFonts w:cs="Times New Roman"/>
                <w:sz w:val="20"/>
                <w:szCs w:val="20"/>
              </w:rPr>
              <w:instrText xml:space="preserve"> SEQ CHAPTER \h \r 1</w:instrText>
            </w:r>
            <w:r w:rsidRPr="003E5B1E">
              <w:rPr>
                <w:rFonts w:cs="Times New Roman"/>
                <w:sz w:val="20"/>
                <w:szCs w:val="20"/>
              </w:rPr>
              <w:fldChar w:fldCharType="end"/>
            </w:r>
            <w:r w:rsidR="00CD106E" w:rsidRPr="003E5B1E">
              <w:rPr>
                <w:rFonts w:cs="Times New Roman"/>
                <w:b/>
                <w:bCs/>
                <w:sz w:val="20"/>
                <w:szCs w:val="20"/>
              </w:rPr>
              <w:t>Motion to extend the time to serve and file the respondent’s response</w:t>
            </w:r>
          </w:p>
        </w:tc>
        <w:tc>
          <w:tcPr>
            <w:tcW w:w="1170" w:type="dxa"/>
          </w:tcPr>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p>
        </w:tc>
        <w:tc>
          <w:tcPr>
            <w:tcW w:w="4327" w:type="dxa"/>
          </w:tcPr>
          <w:p w:rsidR="00CD106E" w:rsidRPr="003E5B1E" w:rsidRDefault="004D631F" w:rsidP="00CD6291">
            <w:pPr>
              <w:tabs>
                <w:tab w:val="left" w:pos="-1440"/>
                <w:tab w:val="left" w:pos="-720"/>
              </w:tabs>
              <w:jc w:val="both"/>
              <w:rPr>
                <w:rFonts w:cs="Times New Roman"/>
                <w:sz w:val="20"/>
                <w:szCs w:val="20"/>
                <w:lang w:val="fr-CA"/>
              </w:rPr>
            </w:pPr>
            <w:r w:rsidRPr="003E5B1E">
              <w:rPr>
                <w:rFonts w:cs="Times New Roman"/>
                <w:sz w:val="20"/>
                <w:szCs w:val="20"/>
              </w:rPr>
              <w:fldChar w:fldCharType="begin"/>
            </w:r>
            <w:r w:rsidR="00CD106E" w:rsidRPr="003E5B1E">
              <w:rPr>
                <w:rFonts w:cs="Times New Roman"/>
                <w:sz w:val="20"/>
                <w:szCs w:val="20"/>
                <w:lang w:val="fr-CA"/>
              </w:rPr>
              <w:instrText xml:space="preserve"> SEQ CHAPTER \h \r 1</w:instrText>
            </w:r>
            <w:r w:rsidRPr="003E5B1E">
              <w:rPr>
                <w:rFonts w:cs="Times New Roman"/>
                <w:sz w:val="20"/>
                <w:szCs w:val="20"/>
              </w:rPr>
              <w:fldChar w:fldCharType="end"/>
            </w:r>
            <w:r w:rsidR="00CD106E" w:rsidRPr="003E5B1E">
              <w:rPr>
                <w:rFonts w:cs="Times New Roman"/>
                <w:b/>
                <w:bCs/>
                <w:sz w:val="20"/>
                <w:szCs w:val="20"/>
                <w:lang w:val="fr-CA"/>
              </w:rPr>
              <w:t>Requête en prorogation du délai de signification et de dépôt de la réponse de l’intimé</w:t>
            </w:r>
          </w:p>
        </w:tc>
      </w:tr>
      <w:tr w:rsidR="00CD106E" w:rsidRPr="003E5B1E" w:rsidTr="00CD6291">
        <w:tc>
          <w:tcPr>
            <w:tcW w:w="4338" w:type="dxa"/>
          </w:tcPr>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 xml:space="preserve">Cassidy Alexis </w:t>
            </w:r>
            <w:proofErr w:type="spellStart"/>
            <w:r w:rsidRPr="003E5B1E">
              <w:rPr>
                <w:rFonts w:cs="Times New Roman"/>
                <w:sz w:val="20"/>
                <w:szCs w:val="20"/>
              </w:rPr>
              <w:t>Ediger</w:t>
            </w:r>
            <w:proofErr w:type="spellEnd"/>
            <w:r w:rsidRPr="003E5B1E">
              <w:rPr>
                <w:rFonts w:cs="Times New Roman"/>
                <w:sz w:val="20"/>
                <w:szCs w:val="20"/>
              </w:rPr>
              <w:t xml:space="preserve">, an infant by her guardian Ad </w:t>
            </w:r>
            <w:proofErr w:type="spellStart"/>
            <w:r w:rsidRPr="003E5B1E">
              <w:rPr>
                <w:rFonts w:cs="Times New Roman"/>
                <w:sz w:val="20"/>
                <w:szCs w:val="20"/>
              </w:rPr>
              <w:t>Litem</w:t>
            </w:r>
            <w:proofErr w:type="spellEnd"/>
            <w:r w:rsidRPr="003E5B1E">
              <w:rPr>
                <w:rFonts w:cs="Times New Roman"/>
                <w:sz w:val="20"/>
                <w:szCs w:val="20"/>
              </w:rPr>
              <w:t xml:space="preserve">, Carolyn Grace </w:t>
            </w:r>
            <w:proofErr w:type="spellStart"/>
            <w:r w:rsidRPr="003E5B1E">
              <w:rPr>
                <w:rFonts w:cs="Times New Roman"/>
                <w:sz w:val="20"/>
                <w:szCs w:val="20"/>
              </w:rPr>
              <w:t>Ediger</w:t>
            </w:r>
            <w:proofErr w:type="spellEnd"/>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ab/>
              <w:t>v. (34408)</w:t>
            </w: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William G. Johnston (B.C.)</w:t>
            </w:r>
          </w:p>
        </w:tc>
        <w:tc>
          <w:tcPr>
            <w:tcW w:w="1170" w:type="dxa"/>
          </w:tcPr>
          <w:p w:rsidR="00CD106E" w:rsidRPr="003E5B1E" w:rsidRDefault="00CD106E" w:rsidP="00CD6291">
            <w:pPr>
              <w:tabs>
                <w:tab w:val="left" w:pos="-1440"/>
                <w:tab w:val="left" w:pos="-720"/>
              </w:tabs>
              <w:jc w:val="both"/>
              <w:rPr>
                <w:rFonts w:cs="Times New Roman"/>
                <w:sz w:val="20"/>
                <w:szCs w:val="20"/>
              </w:rPr>
            </w:pPr>
          </w:p>
        </w:tc>
        <w:tc>
          <w:tcPr>
            <w:tcW w:w="4327" w:type="dxa"/>
          </w:tcPr>
          <w:p w:rsidR="00CD106E" w:rsidRPr="003E5B1E" w:rsidRDefault="00CD106E" w:rsidP="00CD6291">
            <w:pPr>
              <w:tabs>
                <w:tab w:val="left" w:pos="-1440"/>
                <w:tab w:val="left" w:pos="-720"/>
              </w:tabs>
              <w:jc w:val="both"/>
              <w:rPr>
                <w:rFonts w:cs="Times New Roman"/>
                <w:sz w:val="20"/>
                <w:szCs w:val="20"/>
              </w:rPr>
            </w:pPr>
          </w:p>
        </w:tc>
      </w:tr>
    </w:tbl>
    <w:p w:rsidR="00CD106E" w:rsidRPr="003E5B1E" w:rsidRDefault="00CD106E" w:rsidP="00CD106E">
      <w:pPr>
        <w:tabs>
          <w:tab w:val="left" w:pos="-1440"/>
          <w:tab w:val="left" w:pos="-720"/>
        </w:tabs>
        <w:jc w:val="both"/>
        <w:rPr>
          <w:rFonts w:cs="Times New Roman"/>
          <w:b/>
          <w:sz w:val="20"/>
          <w:szCs w:val="20"/>
        </w:rPr>
      </w:pPr>
    </w:p>
    <w:p w:rsidR="00CD106E" w:rsidRPr="003E5B1E" w:rsidRDefault="00CD106E" w:rsidP="00CD106E">
      <w:pPr>
        <w:tabs>
          <w:tab w:val="left" w:pos="-1440"/>
          <w:tab w:val="left" w:pos="-720"/>
        </w:tabs>
        <w:jc w:val="both"/>
        <w:rPr>
          <w:rFonts w:cs="Times New Roman"/>
          <w:sz w:val="20"/>
          <w:szCs w:val="20"/>
        </w:rPr>
      </w:pPr>
      <w:r w:rsidRPr="003E5B1E">
        <w:rPr>
          <w:rFonts w:cs="Times New Roman"/>
          <w:b/>
          <w:sz w:val="20"/>
          <w:szCs w:val="20"/>
        </w:rPr>
        <w:t>GRANTED / ACCORDÉE</w:t>
      </w:r>
    </w:p>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tabs>
          <w:tab w:val="left" w:pos="-1440"/>
          <w:tab w:val="left" w:pos="-720"/>
        </w:tabs>
        <w:spacing w:line="-19" w:lineRule="auto"/>
        <w:jc w:val="both"/>
        <w:rPr>
          <w:rFonts w:cs="Times New Roman"/>
          <w:sz w:val="20"/>
          <w:szCs w:val="20"/>
          <w:lang w:val="fr-CA"/>
        </w:rPr>
      </w:pPr>
    </w:p>
    <w:p w:rsidR="00CD106E" w:rsidRPr="003E5B1E" w:rsidRDefault="004D631F" w:rsidP="00CD106E">
      <w:pPr>
        <w:tabs>
          <w:tab w:val="left" w:pos="-1440"/>
          <w:tab w:val="left" w:pos="-720"/>
        </w:tabs>
        <w:jc w:val="both"/>
        <w:rPr>
          <w:rFonts w:cs="Times New Roman"/>
          <w:sz w:val="20"/>
          <w:szCs w:val="20"/>
        </w:rPr>
      </w:pPr>
      <w:r w:rsidRPr="004D631F">
        <w:rPr>
          <w:rFonts w:cs="Times New Roman"/>
          <w:sz w:val="20"/>
          <w:szCs w:val="20"/>
          <w:lang w:val="fr-CA"/>
        </w:rPr>
        <w:pict>
          <v:rect id="_x0000_i1045" style="width:2in;height:1pt" o:hrpct="0" o:hralign="center" o:hrstd="t" o:hrnoshade="t" o:hr="t" fillcolor="black [3213]" stroked="f"/>
        </w:pict>
      </w:r>
    </w:p>
    <w:p w:rsidR="00CD106E" w:rsidRPr="003E5B1E" w:rsidRDefault="00CD106E" w:rsidP="00CD106E">
      <w:pPr>
        <w:tabs>
          <w:tab w:val="left" w:pos="-1440"/>
          <w:tab w:val="left" w:pos="-720"/>
        </w:tabs>
        <w:jc w:val="both"/>
        <w:rPr>
          <w:rFonts w:cs="Times New Roman"/>
          <w:sz w:val="20"/>
          <w:szCs w:val="20"/>
          <w:lang w:val="fr-CA"/>
        </w:rPr>
      </w:pPr>
    </w:p>
    <w:p w:rsidR="00CD106E" w:rsidRPr="003E5B1E" w:rsidRDefault="00CD106E" w:rsidP="00CD106E">
      <w:pPr>
        <w:tabs>
          <w:tab w:val="left" w:pos="-1440"/>
          <w:tab w:val="left" w:pos="-720"/>
        </w:tabs>
        <w:jc w:val="both"/>
        <w:rPr>
          <w:rFonts w:cs="Times New Roman"/>
          <w:sz w:val="20"/>
          <w:szCs w:val="20"/>
        </w:rPr>
      </w:pPr>
      <w:r w:rsidRPr="003E5B1E">
        <w:rPr>
          <w:rFonts w:cs="Times New Roman"/>
          <w:sz w:val="20"/>
          <w:szCs w:val="20"/>
        </w:rPr>
        <w:t>28.10.2011</w:t>
      </w:r>
    </w:p>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jc w:val="both"/>
        <w:rPr>
          <w:rFonts w:cs="Times New Roman"/>
          <w:sz w:val="20"/>
          <w:szCs w:val="20"/>
          <w:lang w:val="fr-CA"/>
        </w:rPr>
      </w:pPr>
      <w:proofErr w:type="spellStart"/>
      <w:r w:rsidRPr="003E5B1E">
        <w:rPr>
          <w:rFonts w:cs="Times New Roman"/>
          <w:sz w:val="20"/>
          <w:szCs w:val="20"/>
          <w:lang w:val="fr-CA"/>
        </w:rPr>
        <w:t>Before</w:t>
      </w:r>
      <w:proofErr w:type="spellEnd"/>
      <w:r w:rsidRPr="003E5B1E">
        <w:rPr>
          <w:rFonts w:cs="Times New Roman"/>
          <w:sz w:val="20"/>
          <w:szCs w:val="20"/>
          <w:lang w:val="fr-CA"/>
        </w:rPr>
        <w:t xml:space="preserve"> / Devant:   THE REGISTRAR / LE REGISTRAIRE</w:t>
      </w:r>
    </w:p>
    <w:p w:rsidR="00CD106E" w:rsidRPr="003E5B1E" w:rsidRDefault="00CD106E" w:rsidP="00CD106E">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D106E" w:rsidRPr="00FD7538" w:rsidTr="00CD6291">
        <w:trPr>
          <w:trHeight w:val="151"/>
        </w:trPr>
        <w:tc>
          <w:tcPr>
            <w:tcW w:w="4338" w:type="dxa"/>
          </w:tcPr>
          <w:p w:rsidR="00CD106E" w:rsidRPr="003E5B1E" w:rsidRDefault="004D631F" w:rsidP="00CD6291">
            <w:pPr>
              <w:tabs>
                <w:tab w:val="left" w:pos="-1440"/>
                <w:tab w:val="left" w:pos="-720"/>
              </w:tabs>
              <w:jc w:val="both"/>
              <w:rPr>
                <w:rFonts w:cs="Times New Roman"/>
                <w:sz w:val="20"/>
                <w:szCs w:val="20"/>
              </w:rPr>
            </w:pPr>
            <w:r w:rsidRPr="003E5B1E">
              <w:rPr>
                <w:rFonts w:cs="Times New Roman"/>
                <w:sz w:val="20"/>
                <w:szCs w:val="20"/>
              </w:rPr>
              <w:fldChar w:fldCharType="begin"/>
            </w:r>
            <w:r w:rsidR="00CD106E" w:rsidRPr="003E5B1E">
              <w:rPr>
                <w:rFonts w:cs="Times New Roman"/>
                <w:sz w:val="20"/>
                <w:szCs w:val="20"/>
              </w:rPr>
              <w:instrText xml:space="preserve"> SEQ CHAPTER \h \r 1</w:instrText>
            </w:r>
            <w:r w:rsidRPr="003E5B1E">
              <w:rPr>
                <w:rFonts w:cs="Times New Roman"/>
                <w:sz w:val="20"/>
                <w:szCs w:val="20"/>
              </w:rPr>
              <w:fldChar w:fldCharType="end"/>
            </w:r>
            <w:r w:rsidR="00CD106E" w:rsidRPr="003E5B1E">
              <w:rPr>
                <w:rFonts w:cs="Times New Roman"/>
                <w:b/>
                <w:bCs/>
                <w:sz w:val="20"/>
                <w:szCs w:val="20"/>
              </w:rPr>
              <w:t>Motion to extend the time to serve and file the applicant’s reply</w:t>
            </w:r>
            <w:r w:rsidRPr="003E5B1E">
              <w:rPr>
                <w:rFonts w:cs="Times New Roman"/>
                <w:sz w:val="20"/>
                <w:szCs w:val="20"/>
              </w:rPr>
              <w:fldChar w:fldCharType="begin"/>
            </w:r>
            <w:r w:rsidR="00CD106E" w:rsidRPr="003E5B1E">
              <w:rPr>
                <w:rFonts w:cs="Times New Roman"/>
                <w:sz w:val="20"/>
                <w:szCs w:val="20"/>
              </w:rPr>
              <w:instrText xml:space="preserve"> SEQ CHAPTER \h \r 1</w:instrText>
            </w:r>
            <w:r w:rsidRPr="003E5B1E">
              <w:rPr>
                <w:rFonts w:cs="Times New Roman"/>
                <w:sz w:val="20"/>
                <w:szCs w:val="20"/>
              </w:rPr>
              <w:fldChar w:fldCharType="end"/>
            </w:r>
          </w:p>
        </w:tc>
        <w:tc>
          <w:tcPr>
            <w:tcW w:w="1170" w:type="dxa"/>
          </w:tcPr>
          <w:p w:rsidR="00CD106E" w:rsidRPr="003E5B1E" w:rsidRDefault="00CD106E" w:rsidP="00CD6291">
            <w:pPr>
              <w:jc w:val="both"/>
              <w:rPr>
                <w:rFonts w:cs="Times New Roman"/>
                <w:sz w:val="20"/>
                <w:szCs w:val="20"/>
              </w:rPr>
            </w:pPr>
          </w:p>
          <w:p w:rsidR="00CD106E" w:rsidRPr="003E5B1E" w:rsidRDefault="00CD106E" w:rsidP="00CD6291">
            <w:pPr>
              <w:jc w:val="both"/>
              <w:rPr>
                <w:rFonts w:cs="Times New Roman"/>
                <w:sz w:val="20"/>
                <w:szCs w:val="20"/>
              </w:rPr>
            </w:pPr>
          </w:p>
          <w:p w:rsidR="00CD106E" w:rsidRPr="003E5B1E" w:rsidRDefault="00CD106E" w:rsidP="00CD6291">
            <w:pPr>
              <w:jc w:val="both"/>
              <w:rPr>
                <w:rFonts w:cs="Times New Roman"/>
                <w:sz w:val="20"/>
                <w:szCs w:val="20"/>
              </w:rPr>
            </w:pPr>
          </w:p>
        </w:tc>
        <w:tc>
          <w:tcPr>
            <w:tcW w:w="4327" w:type="dxa"/>
          </w:tcPr>
          <w:p w:rsidR="00CD106E" w:rsidRPr="003E5B1E" w:rsidRDefault="004D631F" w:rsidP="00CD6291">
            <w:pPr>
              <w:jc w:val="both"/>
              <w:rPr>
                <w:rFonts w:cs="Times New Roman"/>
                <w:b/>
                <w:sz w:val="20"/>
                <w:szCs w:val="20"/>
                <w:lang w:val="fr-CA"/>
              </w:rPr>
            </w:pPr>
            <w:r w:rsidRPr="003E5B1E">
              <w:rPr>
                <w:rFonts w:cs="Times New Roman"/>
                <w:b/>
                <w:sz w:val="20"/>
                <w:szCs w:val="20"/>
              </w:rPr>
              <w:fldChar w:fldCharType="begin"/>
            </w:r>
            <w:r w:rsidR="00CD106E" w:rsidRPr="003E5B1E">
              <w:rPr>
                <w:rFonts w:cs="Times New Roman"/>
                <w:b/>
                <w:sz w:val="20"/>
                <w:szCs w:val="20"/>
                <w:lang w:val="fr-CA"/>
              </w:rPr>
              <w:instrText xml:space="preserve"> SEQ CHAPTER \h \r 1</w:instrText>
            </w:r>
            <w:r w:rsidRPr="003E5B1E">
              <w:rPr>
                <w:rFonts w:cs="Times New Roman"/>
                <w:b/>
                <w:sz w:val="20"/>
                <w:szCs w:val="20"/>
              </w:rPr>
              <w:fldChar w:fldCharType="end"/>
            </w:r>
            <w:r w:rsidRPr="003E5B1E">
              <w:rPr>
                <w:rFonts w:cs="Times New Roman"/>
                <w:b/>
                <w:sz w:val="20"/>
                <w:szCs w:val="20"/>
              </w:rPr>
              <w:fldChar w:fldCharType="begin"/>
            </w:r>
            <w:r w:rsidR="00CD106E" w:rsidRPr="003E5B1E">
              <w:rPr>
                <w:rFonts w:cs="Times New Roman"/>
                <w:b/>
                <w:sz w:val="20"/>
                <w:szCs w:val="20"/>
                <w:lang w:val="fr-CA"/>
              </w:rPr>
              <w:instrText xml:space="preserve"> SEQ CHAPTER \h \r 1</w:instrText>
            </w:r>
            <w:r w:rsidRPr="003E5B1E">
              <w:rPr>
                <w:rFonts w:cs="Times New Roman"/>
                <w:b/>
                <w:sz w:val="20"/>
                <w:szCs w:val="20"/>
              </w:rPr>
              <w:fldChar w:fldCharType="end"/>
            </w:r>
            <w:r w:rsidR="00CD106E" w:rsidRPr="003E5B1E">
              <w:rPr>
                <w:rFonts w:cs="Times New Roman"/>
                <w:b/>
                <w:bCs/>
                <w:sz w:val="20"/>
                <w:szCs w:val="20"/>
                <w:lang w:val="fr-CA"/>
              </w:rPr>
              <w:t xml:space="preserve">Requête en prorogation du délai de signification et de dépôt de la réplique de la demanderesse </w:t>
            </w:r>
            <w:r w:rsidRPr="003E5B1E">
              <w:rPr>
                <w:rFonts w:cs="Times New Roman"/>
                <w:b/>
                <w:sz w:val="20"/>
                <w:szCs w:val="20"/>
              </w:rPr>
              <w:fldChar w:fldCharType="begin"/>
            </w:r>
            <w:r w:rsidR="00CD106E" w:rsidRPr="003E5B1E">
              <w:rPr>
                <w:rFonts w:cs="Times New Roman"/>
                <w:b/>
                <w:sz w:val="20"/>
                <w:szCs w:val="20"/>
                <w:lang w:val="fr-CA"/>
              </w:rPr>
              <w:instrText xml:space="preserve"> SEQ CHAPTER \h \r 1</w:instrText>
            </w:r>
            <w:r w:rsidRPr="003E5B1E">
              <w:rPr>
                <w:rFonts w:cs="Times New Roman"/>
                <w:b/>
                <w:sz w:val="20"/>
                <w:szCs w:val="20"/>
              </w:rPr>
              <w:fldChar w:fldCharType="end"/>
            </w:r>
          </w:p>
        </w:tc>
      </w:tr>
      <w:tr w:rsidR="00CD106E" w:rsidRPr="003E5B1E" w:rsidTr="00CD6291">
        <w:trPr>
          <w:trHeight w:val="150"/>
        </w:trPr>
        <w:tc>
          <w:tcPr>
            <w:tcW w:w="4338" w:type="dxa"/>
          </w:tcPr>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Serena Oh</w:t>
            </w: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ab/>
              <w:t>v. (34373)</w:t>
            </w: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City of Burnaby (B.C.)</w:t>
            </w:r>
          </w:p>
        </w:tc>
        <w:tc>
          <w:tcPr>
            <w:tcW w:w="1170" w:type="dxa"/>
          </w:tcPr>
          <w:p w:rsidR="00CD106E" w:rsidRPr="003E5B1E" w:rsidRDefault="00CD106E" w:rsidP="00CD6291">
            <w:pPr>
              <w:jc w:val="both"/>
              <w:rPr>
                <w:rFonts w:cs="Times New Roman"/>
                <w:sz w:val="20"/>
                <w:szCs w:val="20"/>
              </w:rPr>
            </w:pPr>
          </w:p>
        </w:tc>
        <w:tc>
          <w:tcPr>
            <w:tcW w:w="4327" w:type="dxa"/>
          </w:tcPr>
          <w:p w:rsidR="00CD106E" w:rsidRPr="003E5B1E" w:rsidRDefault="00CD106E" w:rsidP="00CD6291">
            <w:pPr>
              <w:jc w:val="both"/>
              <w:rPr>
                <w:rFonts w:cs="Times New Roman"/>
                <w:sz w:val="20"/>
                <w:szCs w:val="20"/>
              </w:rPr>
            </w:pPr>
          </w:p>
        </w:tc>
      </w:tr>
    </w:tbl>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tabs>
          <w:tab w:val="left" w:pos="-1440"/>
          <w:tab w:val="left" w:pos="-720"/>
        </w:tabs>
        <w:jc w:val="both"/>
        <w:rPr>
          <w:rFonts w:cs="Times New Roman"/>
          <w:sz w:val="20"/>
          <w:szCs w:val="20"/>
        </w:rPr>
      </w:pPr>
      <w:r w:rsidRPr="003E5B1E">
        <w:rPr>
          <w:rFonts w:cs="Times New Roman"/>
          <w:b/>
          <w:sz w:val="20"/>
          <w:szCs w:val="20"/>
        </w:rPr>
        <w:t>GRANTED / ACCORDÉE</w:t>
      </w:r>
    </w:p>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tabs>
          <w:tab w:val="left" w:pos="-1440"/>
          <w:tab w:val="left" w:pos="-720"/>
        </w:tabs>
        <w:spacing w:line="-19" w:lineRule="auto"/>
        <w:jc w:val="both"/>
        <w:rPr>
          <w:rFonts w:cs="Times New Roman"/>
          <w:sz w:val="20"/>
          <w:szCs w:val="20"/>
        </w:rPr>
      </w:pPr>
    </w:p>
    <w:p w:rsidR="00CD106E" w:rsidRPr="003E5B1E" w:rsidRDefault="004D631F" w:rsidP="00CD106E">
      <w:pPr>
        <w:tabs>
          <w:tab w:val="left" w:pos="-1440"/>
          <w:tab w:val="left" w:pos="-720"/>
        </w:tabs>
        <w:jc w:val="both"/>
        <w:rPr>
          <w:rFonts w:cs="Times New Roman"/>
          <w:sz w:val="20"/>
          <w:szCs w:val="20"/>
        </w:rPr>
      </w:pPr>
      <w:r w:rsidRPr="004D631F">
        <w:rPr>
          <w:rFonts w:cs="Times New Roman"/>
          <w:sz w:val="20"/>
          <w:szCs w:val="20"/>
          <w:lang w:val="fr-CA"/>
        </w:rPr>
        <w:pict>
          <v:rect id="_x0000_i1046" style="width:2in;height:1pt" o:hrpct="0" o:hralign="center" o:hrstd="t" o:hrnoshade="t" o:hr="t" fillcolor="black [3213]" stroked="f"/>
        </w:pict>
      </w:r>
    </w:p>
    <w:p w:rsidR="00CD106E" w:rsidRPr="003E5B1E" w:rsidRDefault="00CD106E" w:rsidP="00CD106E">
      <w:pPr>
        <w:rPr>
          <w:rFonts w:cs="Times New Roman"/>
          <w:sz w:val="20"/>
          <w:szCs w:val="20"/>
        </w:rPr>
      </w:pPr>
    </w:p>
    <w:p w:rsidR="00CD106E" w:rsidRPr="003E5B1E" w:rsidRDefault="00CD106E" w:rsidP="00CD106E">
      <w:pPr>
        <w:rPr>
          <w:rFonts w:cs="Times New Roman"/>
          <w:sz w:val="20"/>
          <w:szCs w:val="20"/>
        </w:rPr>
      </w:pPr>
      <w:r w:rsidRPr="003E5B1E">
        <w:rPr>
          <w:rFonts w:cs="Times New Roman"/>
          <w:sz w:val="20"/>
          <w:szCs w:val="20"/>
        </w:rPr>
        <w:br w:type="page"/>
      </w:r>
    </w:p>
    <w:p w:rsidR="00CD106E" w:rsidRPr="003E5B1E" w:rsidRDefault="00CD106E" w:rsidP="00CD106E">
      <w:pPr>
        <w:tabs>
          <w:tab w:val="left" w:pos="-1440"/>
          <w:tab w:val="left" w:pos="-720"/>
        </w:tabs>
        <w:jc w:val="both"/>
        <w:rPr>
          <w:rFonts w:cs="Times New Roman"/>
          <w:sz w:val="20"/>
          <w:szCs w:val="20"/>
        </w:rPr>
      </w:pPr>
      <w:r w:rsidRPr="003E5B1E">
        <w:rPr>
          <w:rFonts w:cs="Times New Roman"/>
          <w:sz w:val="20"/>
          <w:szCs w:val="20"/>
        </w:rPr>
        <w:lastRenderedPageBreak/>
        <w:t>01.11.2011</w:t>
      </w:r>
    </w:p>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tabs>
          <w:tab w:val="left" w:pos="-1440"/>
          <w:tab w:val="left" w:pos="-720"/>
        </w:tabs>
        <w:jc w:val="both"/>
        <w:rPr>
          <w:rFonts w:cs="Times New Roman"/>
          <w:sz w:val="20"/>
          <w:szCs w:val="20"/>
          <w:lang w:val="fr-CA"/>
        </w:rPr>
      </w:pPr>
      <w:proofErr w:type="spellStart"/>
      <w:r w:rsidRPr="003E5B1E">
        <w:rPr>
          <w:rFonts w:cs="Times New Roman"/>
          <w:sz w:val="20"/>
          <w:szCs w:val="20"/>
          <w:lang w:val="fr-CA"/>
        </w:rPr>
        <w:t>Before</w:t>
      </w:r>
      <w:proofErr w:type="spellEnd"/>
      <w:r w:rsidRPr="003E5B1E">
        <w:rPr>
          <w:rFonts w:cs="Times New Roman"/>
          <w:sz w:val="20"/>
          <w:szCs w:val="20"/>
          <w:lang w:val="fr-CA"/>
        </w:rPr>
        <w:t xml:space="preserve"> / Devant :   THE REGISTRAR / LE REGISTRAIRE</w:t>
      </w:r>
    </w:p>
    <w:p w:rsidR="00CD106E" w:rsidRPr="003E5B1E" w:rsidRDefault="00CD106E" w:rsidP="00CD106E">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D106E" w:rsidRPr="00FD7538" w:rsidTr="00CD6291">
        <w:tc>
          <w:tcPr>
            <w:tcW w:w="4338" w:type="dxa"/>
          </w:tcPr>
          <w:p w:rsidR="00CD106E" w:rsidRPr="003E5B1E" w:rsidRDefault="004D631F" w:rsidP="00CD6291">
            <w:pPr>
              <w:tabs>
                <w:tab w:val="left" w:pos="-1440"/>
                <w:tab w:val="left" w:pos="-720"/>
              </w:tabs>
              <w:jc w:val="both"/>
              <w:rPr>
                <w:rFonts w:cs="Times New Roman"/>
                <w:b/>
                <w:sz w:val="20"/>
                <w:szCs w:val="20"/>
              </w:rPr>
            </w:pPr>
            <w:r w:rsidRPr="003E5B1E">
              <w:rPr>
                <w:rFonts w:cs="Times New Roman"/>
                <w:sz w:val="20"/>
                <w:szCs w:val="20"/>
              </w:rPr>
              <w:fldChar w:fldCharType="begin"/>
            </w:r>
            <w:r w:rsidR="00CD106E" w:rsidRPr="003E5B1E">
              <w:rPr>
                <w:rFonts w:cs="Times New Roman"/>
                <w:sz w:val="20"/>
                <w:szCs w:val="20"/>
              </w:rPr>
              <w:instrText xml:space="preserve"> SEQ CHAPTER \h \r 1</w:instrText>
            </w:r>
            <w:r w:rsidRPr="003E5B1E">
              <w:rPr>
                <w:rFonts w:cs="Times New Roman"/>
                <w:sz w:val="20"/>
                <w:szCs w:val="20"/>
              </w:rPr>
              <w:fldChar w:fldCharType="end"/>
            </w:r>
            <w:r w:rsidR="00CD106E" w:rsidRPr="003E5B1E">
              <w:rPr>
                <w:rFonts w:cs="Times New Roman"/>
                <w:b/>
                <w:bCs/>
                <w:sz w:val="20"/>
                <w:szCs w:val="20"/>
              </w:rPr>
              <w:t>Motion to file joint appeal document</w:t>
            </w:r>
          </w:p>
        </w:tc>
        <w:tc>
          <w:tcPr>
            <w:tcW w:w="1170" w:type="dxa"/>
          </w:tcPr>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p>
        </w:tc>
        <w:tc>
          <w:tcPr>
            <w:tcW w:w="4327" w:type="dxa"/>
          </w:tcPr>
          <w:p w:rsidR="00CD106E" w:rsidRPr="003E5B1E" w:rsidRDefault="004D631F" w:rsidP="00CD6291">
            <w:pPr>
              <w:tabs>
                <w:tab w:val="left" w:pos="-1440"/>
                <w:tab w:val="left" w:pos="-720"/>
              </w:tabs>
              <w:jc w:val="both"/>
              <w:rPr>
                <w:rFonts w:cs="Times New Roman"/>
                <w:sz w:val="20"/>
                <w:szCs w:val="20"/>
                <w:lang w:val="fr-CA"/>
              </w:rPr>
            </w:pPr>
            <w:r w:rsidRPr="003E5B1E">
              <w:rPr>
                <w:rFonts w:cs="Times New Roman"/>
                <w:sz w:val="20"/>
                <w:szCs w:val="20"/>
              </w:rPr>
              <w:fldChar w:fldCharType="begin"/>
            </w:r>
            <w:r w:rsidR="00CD106E" w:rsidRPr="003E5B1E">
              <w:rPr>
                <w:rFonts w:cs="Times New Roman"/>
                <w:sz w:val="20"/>
                <w:szCs w:val="20"/>
                <w:lang w:val="fr-CA"/>
              </w:rPr>
              <w:instrText xml:space="preserve"> SEQ CHAPTER \h \r 1</w:instrText>
            </w:r>
            <w:r w:rsidRPr="003E5B1E">
              <w:rPr>
                <w:rFonts w:cs="Times New Roman"/>
                <w:sz w:val="20"/>
                <w:szCs w:val="20"/>
              </w:rPr>
              <w:fldChar w:fldCharType="end"/>
            </w:r>
            <w:r w:rsidR="00CD106E" w:rsidRPr="003E5B1E">
              <w:rPr>
                <w:rFonts w:cs="Times New Roman"/>
                <w:b/>
                <w:bCs/>
                <w:sz w:val="20"/>
                <w:szCs w:val="20"/>
                <w:lang w:val="fr-CA"/>
              </w:rPr>
              <w:t xml:space="preserve">Requête en vue de déposer des documents d’appel conjoints </w:t>
            </w:r>
            <w:r w:rsidRPr="003E5B1E">
              <w:rPr>
                <w:rFonts w:cs="Times New Roman"/>
                <w:sz w:val="20"/>
                <w:szCs w:val="20"/>
              </w:rPr>
              <w:fldChar w:fldCharType="begin"/>
            </w:r>
            <w:r w:rsidR="00CD106E" w:rsidRPr="003E5B1E">
              <w:rPr>
                <w:rFonts w:cs="Times New Roman"/>
                <w:sz w:val="20"/>
                <w:szCs w:val="20"/>
                <w:lang w:val="fr-CA"/>
              </w:rPr>
              <w:instrText xml:space="preserve"> SEQ CHAPTER \h \r 1</w:instrText>
            </w:r>
            <w:r w:rsidRPr="003E5B1E">
              <w:rPr>
                <w:rFonts w:cs="Times New Roman"/>
                <w:sz w:val="20"/>
                <w:szCs w:val="20"/>
              </w:rPr>
              <w:fldChar w:fldCharType="end"/>
            </w:r>
          </w:p>
        </w:tc>
      </w:tr>
      <w:tr w:rsidR="00CD106E" w:rsidRPr="003E5B1E" w:rsidTr="00CD6291">
        <w:tc>
          <w:tcPr>
            <w:tcW w:w="4338" w:type="dxa"/>
          </w:tcPr>
          <w:p w:rsidR="00CD106E" w:rsidRPr="003E5B1E" w:rsidRDefault="00CD106E" w:rsidP="00CD6291">
            <w:pPr>
              <w:tabs>
                <w:tab w:val="left" w:pos="-1440"/>
                <w:tab w:val="left" w:pos="-720"/>
              </w:tabs>
              <w:jc w:val="both"/>
              <w:rPr>
                <w:rFonts w:cs="Times New Roman"/>
                <w:sz w:val="20"/>
                <w:szCs w:val="20"/>
              </w:rPr>
            </w:pPr>
            <w:proofErr w:type="spellStart"/>
            <w:r w:rsidRPr="003E5B1E">
              <w:rPr>
                <w:rFonts w:cs="Times New Roman"/>
                <w:sz w:val="20"/>
                <w:szCs w:val="20"/>
              </w:rPr>
              <w:t>St.Michael</w:t>
            </w:r>
            <w:proofErr w:type="spellEnd"/>
            <w:r w:rsidRPr="003E5B1E">
              <w:rPr>
                <w:rFonts w:cs="Times New Roman"/>
                <w:sz w:val="20"/>
                <w:szCs w:val="20"/>
              </w:rPr>
              <w:t xml:space="preserve"> Trust Corp., as Trustee of the Fundy Settlement</w:t>
            </w: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ab/>
              <w:t>v. (34056)</w:t>
            </w: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Her Majesty the Queen (F.C.)</w:t>
            </w: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 and between –</w:t>
            </w: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proofErr w:type="spellStart"/>
            <w:r w:rsidRPr="003E5B1E">
              <w:rPr>
                <w:rFonts w:cs="Times New Roman"/>
                <w:sz w:val="20"/>
                <w:szCs w:val="20"/>
              </w:rPr>
              <w:t>St.Michael</w:t>
            </w:r>
            <w:proofErr w:type="spellEnd"/>
            <w:r w:rsidRPr="003E5B1E">
              <w:rPr>
                <w:rFonts w:cs="Times New Roman"/>
                <w:sz w:val="20"/>
                <w:szCs w:val="20"/>
              </w:rPr>
              <w:t xml:space="preserve"> Trust Corp., as Trustee of the </w:t>
            </w:r>
            <w:proofErr w:type="spellStart"/>
            <w:r w:rsidRPr="003E5B1E">
              <w:rPr>
                <w:rFonts w:cs="Times New Roman"/>
                <w:sz w:val="20"/>
                <w:szCs w:val="20"/>
              </w:rPr>
              <w:t>Summersby</w:t>
            </w:r>
            <w:proofErr w:type="spellEnd"/>
            <w:r w:rsidRPr="003E5B1E">
              <w:rPr>
                <w:rFonts w:cs="Times New Roman"/>
                <w:sz w:val="20"/>
                <w:szCs w:val="20"/>
              </w:rPr>
              <w:t xml:space="preserve"> Settlement</w:t>
            </w: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ab/>
              <w:t>v. (34057)</w:t>
            </w:r>
          </w:p>
          <w:p w:rsidR="00CD106E" w:rsidRPr="003E5B1E" w:rsidRDefault="00CD106E" w:rsidP="00CD6291">
            <w:pPr>
              <w:tabs>
                <w:tab w:val="left" w:pos="-1440"/>
                <w:tab w:val="left" w:pos="-720"/>
              </w:tabs>
              <w:jc w:val="both"/>
              <w:rPr>
                <w:rFonts w:cs="Times New Roman"/>
                <w:sz w:val="20"/>
                <w:szCs w:val="20"/>
              </w:rPr>
            </w:pPr>
          </w:p>
          <w:p w:rsidR="00CD106E" w:rsidRPr="003E5B1E" w:rsidRDefault="00CD106E" w:rsidP="00CD6291">
            <w:pPr>
              <w:tabs>
                <w:tab w:val="left" w:pos="-1440"/>
                <w:tab w:val="left" w:pos="-720"/>
              </w:tabs>
              <w:jc w:val="both"/>
              <w:rPr>
                <w:rFonts w:cs="Times New Roman"/>
                <w:sz w:val="20"/>
                <w:szCs w:val="20"/>
              </w:rPr>
            </w:pPr>
            <w:r w:rsidRPr="003E5B1E">
              <w:rPr>
                <w:rFonts w:cs="Times New Roman"/>
                <w:sz w:val="20"/>
                <w:szCs w:val="20"/>
              </w:rPr>
              <w:t>Her Majesty the Queen (F.C.)</w:t>
            </w:r>
          </w:p>
        </w:tc>
        <w:tc>
          <w:tcPr>
            <w:tcW w:w="1170" w:type="dxa"/>
          </w:tcPr>
          <w:p w:rsidR="00CD106E" w:rsidRPr="003E5B1E" w:rsidRDefault="00CD106E" w:rsidP="00CD6291">
            <w:pPr>
              <w:tabs>
                <w:tab w:val="left" w:pos="-1440"/>
                <w:tab w:val="left" w:pos="-720"/>
              </w:tabs>
              <w:jc w:val="both"/>
              <w:rPr>
                <w:rFonts w:cs="Times New Roman"/>
                <w:sz w:val="20"/>
                <w:szCs w:val="20"/>
              </w:rPr>
            </w:pPr>
          </w:p>
        </w:tc>
        <w:tc>
          <w:tcPr>
            <w:tcW w:w="4327" w:type="dxa"/>
          </w:tcPr>
          <w:p w:rsidR="00CD106E" w:rsidRPr="003E5B1E" w:rsidRDefault="00CD106E" w:rsidP="00CD6291">
            <w:pPr>
              <w:tabs>
                <w:tab w:val="left" w:pos="-1440"/>
                <w:tab w:val="left" w:pos="-720"/>
              </w:tabs>
              <w:jc w:val="both"/>
              <w:rPr>
                <w:rFonts w:cs="Times New Roman"/>
                <w:sz w:val="20"/>
                <w:szCs w:val="20"/>
              </w:rPr>
            </w:pPr>
          </w:p>
        </w:tc>
      </w:tr>
    </w:tbl>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tabs>
          <w:tab w:val="left" w:pos="-1440"/>
          <w:tab w:val="left" w:pos="-720"/>
        </w:tabs>
        <w:jc w:val="both"/>
        <w:rPr>
          <w:rFonts w:cs="Times New Roman"/>
          <w:b/>
          <w:sz w:val="20"/>
          <w:szCs w:val="20"/>
        </w:rPr>
      </w:pPr>
      <w:r w:rsidRPr="003E5B1E">
        <w:rPr>
          <w:rFonts w:cs="Times New Roman"/>
          <w:b/>
          <w:sz w:val="20"/>
          <w:szCs w:val="20"/>
        </w:rPr>
        <w:t>GRANTED / ACCORDÉE</w:t>
      </w:r>
    </w:p>
    <w:p w:rsidR="00CD106E" w:rsidRPr="003E5B1E" w:rsidRDefault="00CD106E" w:rsidP="00CD106E">
      <w:pPr>
        <w:tabs>
          <w:tab w:val="left" w:pos="-1440"/>
          <w:tab w:val="left" w:pos="-720"/>
        </w:tabs>
        <w:jc w:val="both"/>
        <w:rPr>
          <w:rFonts w:cs="Times New Roman"/>
          <w:sz w:val="20"/>
          <w:szCs w:val="20"/>
        </w:rPr>
      </w:pPr>
    </w:p>
    <w:p w:rsidR="00CD106E" w:rsidRPr="003E5B1E" w:rsidRDefault="004D631F" w:rsidP="00CD106E">
      <w:pPr>
        <w:tabs>
          <w:tab w:val="left" w:pos="-1440"/>
          <w:tab w:val="left" w:pos="-720"/>
        </w:tabs>
        <w:jc w:val="both"/>
        <w:rPr>
          <w:rFonts w:cs="Times New Roman"/>
          <w:sz w:val="20"/>
          <w:szCs w:val="20"/>
        </w:rPr>
      </w:pPr>
      <w:r w:rsidRPr="004D631F">
        <w:rPr>
          <w:rFonts w:cs="Times New Roman"/>
          <w:sz w:val="20"/>
          <w:szCs w:val="20"/>
          <w:lang w:val="fr-CA"/>
        </w:rPr>
        <w:pict>
          <v:rect id="_x0000_i1047" style="width:2in;height:1pt" o:hrpct="0" o:hralign="center" o:hrstd="t" o:hrnoshade="t" o:hr="t" fillcolor="black [3213]" stroked="f"/>
        </w:pict>
      </w:r>
    </w:p>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tabs>
          <w:tab w:val="left" w:pos="-1440"/>
          <w:tab w:val="left" w:pos="-720"/>
        </w:tabs>
        <w:jc w:val="both"/>
        <w:rPr>
          <w:rFonts w:cs="Times New Roman"/>
          <w:sz w:val="20"/>
          <w:szCs w:val="20"/>
        </w:rPr>
      </w:pPr>
      <w:r w:rsidRPr="003E5B1E">
        <w:rPr>
          <w:rFonts w:cs="Times New Roman"/>
          <w:sz w:val="20"/>
          <w:szCs w:val="20"/>
        </w:rPr>
        <w:t>02.11.2011</w:t>
      </w:r>
    </w:p>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jc w:val="both"/>
        <w:rPr>
          <w:rFonts w:cs="Times New Roman"/>
          <w:sz w:val="20"/>
          <w:szCs w:val="20"/>
          <w:lang w:val="fr-CA"/>
        </w:rPr>
      </w:pPr>
      <w:proofErr w:type="spellStart"/>
      <w:r w:rsidRPr="003E5B1E">
        <w:rPr>
          <w:rFonts w:cs="Times New Roman"/>
          <w:sz w:val="20"/>
          <w:szCs w:val="20"/>
          <w:lang w:val="fr-CA"/>
        </w:rPr>
        <w:t>Before</w:t>
      </w:r>
      <w:proofErr w:type="spellEnd"/>
      <w:r w:rsidRPr="003E5B1E">
        <w:rPr>
          <w:rFonts w:cs="Times New Roman"/>
          <w:sz w:val="20"/>
          <w:szCs w:val="20"/>
          <w:lang w:val="fr-CA"/>
        </w:rPr>
        <w:t xml:space="preserve"> / Devant:   THE REGISTRAR / LE REGISTRAIRE</w:t>
      </w:r>
    </w:p>
    <w:p w:rsidR="00CD106E" w:rsidRPr="003E5B1E" w:rsidRDefault="00CD106E" w:rsidP="00CD106E">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D106E" w:rsidRPr="00FD7538" w:rsidTr="00CD6291">
        <w:trPr>
          <w:trHeight w:val="151"/>
        </w:trPr>
        <w:tc>
          <w:tcPr>
            <w:tcW w:w="4338" w:type="dxa"/>
          </w:tcPr>
          <w:p w:rsidR="00CD106E" w:rsidRPr="003E5B1E" w:rsidRDefault="004D631F" w:rsidP="00CD6291">
            <w:pPr>
              <w:tabs>
                <w:tab w:val="left" w:pos="-1440"/>
                <w:tab w:val="left" w:pos="-720"/>
              </w:tabs>
              <w:jc w:val="both"/>
              <w:rPr>
                <w:rFonts w:cs="Times New Roman"/>
                <w:sz w:val="20"/>
                <w:szCs w:val="20"/>
              </w:rPr>
            </w:pPr>
            <w:r w:rsidRPr="003E5B1E">
              <w:rPr>
                <w:rFonts w:cs="Times New Roman"/>
                <w:sz w:val="20"/>
                <w:szCs w:val="20"/>
              </w:rPr>
              <w:fldChar w:fldCharType="begin"/>
            </w:r>
            <w:r w:rsidR="00CD106E" w:rsidRPr="003E5B1E">
              <w:rPr>
                <w:rFonts w:cs="Times New Roman"/>
                <w:sz w:val="20"/>
                <w:szCs w:val="20"/>
              </w:rPr>
              <w:instrText xml:space="preserve"> SEQ CHAPTER \h \r 1</w:instrText>
            </w:r>
            <w:r w:rsidRPr="003E5B1E">
              <w:rPr>
                <w:rFonts w:cs="Times New Roman"/>
                <w:sz w:val="20"/>
                <w:szCs w:val="20"/>
              </w:rPr>
              <w:fldChar w:fldCharType="end"/>
            </w:r>
            <w:r w:rsidR="00CD106E" w:rsidRPr="003E5B1E">
              <w:rPr>
                <w:rFonts w:cs="Times New Roman"/>
                <w:b/>
                <w:bCs/>
                <w:sz w:val="20"/>
                <w:szCs w:val="20"/>
              </w:rPr>
              <w:t>Motion to extend the time to serve the applicant’s reply</w:t>
            </w:r>
            <w:r w:rsidRPr="003E5B1E">
              <w:rPr>
                <w:rFonts w:cs="Times New Roman"/>
                <w:sz w:val="20"/>
                <w:szCs w:val="20"/>
              </w:rPr>
              <w:fldChar w:fldCharType="begin"/>
            </w:r>
            <w:r w:rsidR="00CD106E" w:rsidRPr="003E5B1E">
              <w:rPr>
                <w:rFonts w:cs="Times New Roman"/>
                <w:sz w:val="20"/>
                <w:szCs w:val="20"/>
              </w:rPr>
              <w:instrText xml:space="preserve"> SEQ CHAPTER \h \r 1</w:instrText>
            </w:r>
            <w:r w:rsidRPr="003E5B1E">
              <w:rPr>
                <w:rFonts w:cs="Times New Roman"/>
                <w:sz w:val="20"/>
                <w:szCs w:val="20"/>
              </w:rPr>
              <w:fldChar w:fldCharType="end"/>
            </w:r>
          </w:p>
        </w:tc>
        <w:tc>
          <w:tcPr>
            <w:tcW w:w="1170" w:type="dxa"/>
          </w:tcPr>
          <w:p w:rsidR="00CD106E" w:rsidRPr="003E5B1E" w:rsidRDefault="00CD106E" w:rsidP="00CD6291">
            <w:pPr>
              <w:jc w:val="both"/>
              <w:rPr>
                <w:rFonts w:cs="Times New Roman"/>
                <w:sz w:val="20"/>
                <w:szCs w:val="20"/>
              </w:rPr>
            </w:pPr>
          </w:p>
          <w:p w:rsidR="00CD106E" w:rsidRPr="003E5B1E" w:rsidRDefault="00CD106E" w:rsidP="00CD6291">
            <w:pPr>
              <w:jc w:val="both"/>
              <w:rPr>
                <w:rFonts w:cs="Times New Roman"/>
                <w:sz w:val="20"/>
                <w:szCs w:val="20"/>
              </w:rPr>
            </w:pPr>
          </w:p>
          <w:p w:rsidR="00CD106E" w:rsidRPr="003E5B1E" w:rsidRDefault="00CD106E" w:rsidP="00CD6291">
            <w:pPr>
              <w:jc w:val="both"/>
              <w:rPr>
                <w:rFonts w:cs="Times New Roman"/>
                <w:sz w:val="20"/>
                <w:szCs w:val="20"/>
              </w:rPr>
            </w:pPr>
          </w:p>
        </w:tc>
        <w:tc>
          <w:tcPr>
            <w:tcW w:w="4327" w:type="dxa"/>
          </w:tcPr>
          <w:p w:rsidR="00CD106E" w:rsidRPr="003E5B1E" w:rsidRDefault="004D631F" w:rsidP="00CD6291">
            <w:pPr>
              <w:jc w:val="both"/>
              <w:rPr>
                <w:rFonts w:cs="Times New Roman"/>
                <w:b/>
                <w:sz w:val="20"/>
                <w:szCs w:val="20"/>
                <w:lang w:val="fr-CA"/>
              </w:rPr>
            </w:pPr>
            <w:r w:rsidRPr="003E5B1E">
              <w:rPr>
                <w:rFonts w:cs="Times New Roman"/>
                <w:b/>
                <w:sz w:val="20"/>
                <w:szCs w:val="20"/>
              </w:rPr>
              <w:fldChar w:fldCharType="begin"/>
            </w:r>
            <w:r w:rsidR="00CD106E" w:rsidRPr="003E5B1E">
              <w:rPr>
                <w:rFonts w:cs="Times New Roman"/>
                <w:b/>
                <w:sz w:val="20"/>
                <w:szCs w:val="20"/>
                <w:lang w:val="fr-CA"/>
              </w:rPr>
              <w:instrText xml:space="preserve"> SEQ CHAPTER \h \r 1</w:instrText>
            </w:r>
            <w:r w:rsidRPr="003E5B1E">
              <w:rPr>
                <w:rFonts w:cs="Times New Roman"/>
                <w:b/>
                <w:sz w:val="20"/>
                <w:szCs w:val="20"/>
              </w:rPr>
              <w:fldChar w:fldCharType="end"/>
            </w:r>
            <w:r w:rsidRPr="003E5B1E">
              <w:rPr>
                <w:rFonts w:cs="Times New Roman"/>
                <w:b/>
                <w:sz w:val="20"/>
                <w:szCs w:val="20"/>
              </w:rPr>
              <w:fldChar w:fldCharType="begin"/>
            </w:r>
            <w:r w:rsidR="00CD106E" w:rsidRPr="003E5B1E">
              <w:rPr>
                <w:rFonts w:cs="Times New Roman"/>
                <w:b/>
                <w:sz w:val="20"/>
                <w:szCs w:val="20"/>
                <w:lang w:val="fr-CA"/>
              </w:rPr>
              <w:instrText xml:space="preserve"> SEQ CHAPTER \h \r 1</w:instrText>
            </w:r>
            <w:r w:rsidRPr="003E5B1E">
              <w:rPr>
                <w:rFonts w:cs="Times New Roman"/>
                <w:b/>
                <w:sz w:val="20"/>
                <w:szCs w:val="20"/>
              </w:rPr>
              <w:fldChar w:fldCharType="end"/>
            </w:r>
            <w:r w:rsidR="00CD106E" w:rsidRPr="003E5B1E">
              <w:rPr>
                <w:rFonts w:cs="Times New Roman"/>
                <w:b/>
                <w:bCs/>
                <w:sz w:val="20"/>
                <w:szCs w:val="20"/>
                <w:lang w:val="fr-CA"/>
              </w:rPr>
              <w:t xml:space="preserve">Requête en prorogation du délai de signification de la réplique de la demanderesse </w:t>
            </w:r>
            <w:r w:rsidRPr="003E5B1E">
              <w:rPr>
                <w:rFonts w:cs="Times New Roman"/>
                <w:b/>
                <w:sz w:val="20"/>
                <w:szCs w:val="20"/>
              </w:rPr>
              <w:fldChar w:fldCharType="begin"/>
            </w:r>
            <w:r w:rsidR="00CD106E" w:rsidRPr="003E5B1E">
              <w:rPr>
                <w:rFonts w:cs="Times New Roman"/>
                <w:b/>
                <w:sz w:val="20"/>
                <w:szCs w:val="20"/>
                <w:lang w:val="fr-CA"/>
              </w:rPr>
              <w:instrText xml:space="preserve"> SEQ CHAPTER \h \r 1</w:instrText>
            </w:r>
            <w:r w:rsidRPr="003E5B1E">
              <w:rPr>
                <w:rFonts w:cs="Times New Roman"/>
                <w:b/>
                <w:sz w:val="20"/>
                <w:szCs w:val="20"/>
              </w:rPr>
              <w:fldChar w:fldCharType="end"/>
            </w:r>
          </w:p>
        </w:tc>
      </w:tr>
      <w:tr w:rsidR="00CD106E" w:rsidRPr="00FD7538" w:rsidTr="00CD6291">
        <w:trPr>
          <w:trHeight w:val="150"/>
        </w:trPr>
        <w:tc>
          <w:tcPr>
            <w:tcW w:w="4338" w:type="dxa"/>
          </w:tcPr>
          <w:p w:rsidR="00CD106E" w:rsidRPr="003E5B1E" w:rsidRDefault="00CD106E" w:rsidP="00CD6291">
            <w:pPr>
              <w:tabs>
                <w:tab w:val="left" w:pos="-1440"/>
                <w:tab w:val="left" w:pos="-720"/>
              </w:tabs>
              <w:jc w:val="both"/>
              <w:rPr>
                <w:rFonts w:cs="Times New Roman"/>
                <w:sz w:val="20"/>
                <w:szCs w:val="20"/>
                <w:lang w:val="fr-CA"/>
              </w:rPr>
            </w:pPr>
            <w:r w:rsidRPr="003E5B1E">
              <w:rPr>
                <w:rFonts w:cs="Times New Roman"/>
                <w:sz w:val="20"/>
                <w:szCs w:val="20"/>
                <w:lang w:val="fr-CA"/>
              </w:rPr>
              <w:t>K.L.K.</w:t>
            </w:r>
          </w:p>
          <w:p w:rsidR="00CD106E" w:rsidRPr="003E5B1E" w:rsidRDefault="00CD106E" w:rsidP="00CD6291">
            <w:pPr>
              <w:tabs>
                <w:tab w:val="left" w:pos="-1440"/>
                <w:tab w:val="left" w:pos="-720"/>
              </w:tabs>
              <w:jc w:val="both"/>
              <w:rPr>
                <w:rFonts w:cs="Times New Roman"/>
                <w:sz w:val="20"/>
                <w:szCs w:val="20"/>
                <w:lang w:val="fr-CA"/>
              </w:rPr>
            </w:pPr>
          </w:p>
          <w:p w:rsidR="00CD106E" w:rsidRPr="003E5B1E" w:rsidRDefault="00CD106E" w:rsidP="00CD6291">
            <w:pPr>
              <w:tabs>
                <w:tab w:val="left" w:pos="-1440"/>
                <w:tab w:val="left" w:pos="-720"/>
              </w:tabs>
              <w:jc w:val="both"/>
              <w:rPr>
                <w:rFonts w:cs="Times New Roman"/>
                <w:sz w:val="20"/>
                <w:szCs w:val="20"/>
                <w:lang w:val="fr-CA"/>
              </w:rPr>
            </w:pPr>
            <w:r w:rsidRPr="003E5B1E">
              <w:rPr>
                <w:rFonts w:cs="Times New Roman"/>
                <w:sz w:val="20"/>
                <w:szCs w:val="20"/>
                <w:lang w:val="fr-CA"/>
              </w:rPr>
              <w:tab/>
              <w:t>v. (34431)</w:t>
            </w:r>
          </w:p>
          <w:p w:rsidR="00CD106E" w:rsidRPr="003E5B1E" w:rsidRDefault="00CD106E" w:rsidP="00CD6291">
            <w:pPr>
              <w:tabs>
                <w:tab w:val="left" w:pos="-1440"/>
                <w:tab w:val="left" w:pos="-720"/>
              </w:tabs>
              <w:jc w:val="both"/>
              <w:rPr>
                <w:rFonts w:cs="Times New Roman"/>
                <w:sz w:val="20"/>
                <w:szCs w:val="20"/>
                <w:lang w:val="fr-CA"/>
              </w:rPr>
            </w:pPr>
          </w:p>
          <w:p w:rsidR="00CD106E" w:rsidRPr="003E5B1E" w:rsidRDefault="00CD106E" w:rsidP="00CD6291">
            <w:pPr>
              <w:tabs>
                <w:tab w:val="left" w:pos="-1440"/>
                <w:tab w:val="left" w:pos="-720"/>
              </w:tabs>
              <w:jc w:val="both"/>
              <w:rPr>
                <w:rFonts w:cs="Times New Roman"/>
                <w:sz w:val="20"/>
                <w:szCs w:val="20"/>
                <w:lang w:val="fr-CA"/>
              </w:rPr>
            </w:pPr>
            <w:r w:rsidRPr="003E5B1E">
              <w:rPr>
                <w:rFonts w:cs="Times New Roman"/>
                <w:sz w:val="20"/>
                <w:szCs w:val="20"/>
                <w:lang w:val="fr-CA"/>
              </w:rPr>
              <w:t>E.J.G.K. (B.C.)</w:t>
            </w:r>
          </w:p>
        </w:tc>
        <w:tc>
          <w:tcPr>
            <w:tcW w:w="1170" w:type="dxa"/>
          </w:tcPr>
          <w:p w:rsidR="00CD106E" w:rsidRPr="003E5B1E" w:rsidRDefault="00CD106E" w:rsidP="00CD6291">
            <w:pPr>
              <w:jc w:val="both"/>
              <w:rPr>
                <w:rFonts w:cs="Times New Roman"/>
                <w:sz w:val="20"/>
                <w:szCs w:val="20"/>
                <w:lang w:val="fr-CA"/>
              </w:rPr>
            </w:pPr>
          </w:p>
        </w:tc>
        <w:tc>
          <w:tcPr>
            <w:tcW w:w="4327" w:type="dxa"/>
          </w:tcPr>
          <w:p w:rsidR="00CD106E" w:rsidRPr="003E5B1E" w:rsidRDefault="00CD106E" w:rsidP="00CD6291">
            <w:pPr>
              <w:jc w:val="both"/>
              <w:rPr>
                <w:rFonts w:cs="Times New Roman"/>
                <w:sz w:val="20"/>
                <w:szCs w:val="20"/>
                <w:lang w:val="fr-CA"/>
              </w:rPr>
            </w:pPr>
          </w:p>
        </w:tc>
      </w:tr>
    </w:tbl>
    <w:p w:rsidR="00CD106E" w:rsidRPr="003E5B1E" w:rsidRDefault="00CD106E" w:rsidP="00CD106E">
      <w:pPr>
        <w:tabs>
          <w:tab w:val="left" w:pos="-1440"/>
          <w:tab w:val="left" w:pos="-720"/>
        </w:tabs>
        <w:jc w:val="both"/>
        <w:rPr>
          <w:rFonts w:cs="Times New Roman"/>
          <w:sz w:val="20"/>
          <w:szCs w:val="20"/>
          <w:lang w:val="fr-CA"/>
        </w:rPr>
      </w:pPr>
    </w:p>
    <w:p w:rsidR="00CD106E" w:rsidRPr="003E5B1E" w:rsidRDefault="00CD106E" w:rsidP="00CD106E">
      <w:pPr>
        <w:tabs>
          <w:tab w:val="left" w:pos="-1440"/>
          <w:tab w:val="left" w:pos="-720"/>
        </w:tabs>
        <w:jc w:val="both"/>
        <w:rPr>
          <w:rFonts w:cs="Times New Roman"/>
          <w:sz w:val="20"/>
          <w:szCs w:val="20"/>
        </w:rPr>
      </w:pPr>
      <w:r w:rsidRPr="003E5B1E">
        <w:rPr>
          <w:rFonts w:cs="Times New Roman"/>
          <w:b/>
          <w:sz w:val="20"/>
          <w:szCs w:val="20"/>
        </w:rPr>
        <w:t>GRANTED / ACCORDÉE</w:t>
      </w:r>
    </w:p>
    <w:p w:rsidR="00CD106E" w:rsidRPr="003E5B1E" w:rsidRDefault="00CD106E" w:rsidP="00CD106E">
      <w:pPr>
        <w:tabs>
          <w:tab w:val="left" w:pos="-1440"/>
          <w:tab w:val="left" w:pos="-720"/>
        </w:tabs>
        <w:jc w:val="both"/>
        <w:rPr>
          <w:rFonts w:cs="Times New Roman"/>
          <w:sz w:val="20"/>
          <w:szCs w:val="20"/>
        </w:rPr>
      </w:pPr>
    </w:p>
    <w:p w:rsidR="00CD106E" w:rsidRPr="003E5B1E" w:rsidRDefault="00CD106E" w:rsidP="00CD106E">
      <w:pPr>
        <w:tabs>
          <w:tab w:val="left" w:pos="-1440"/>
          <w:tab w:val="left" w:pos="-720"/>
        </w:tabs>
        <w:spacing w:line="-19" w:lineRule="auto"/>
        <w:jc w:val="both"/>
        <w:rPr>
          <w:rFonts w:cs="Times New Roman"/>
          <w:sz w:val="20"/>
          <w:szCs w:val="20"/>
        </w:rPr>
      </w:pPr>
    </w:p>
    <w:p w:rsidR="00CD106E" w:rsidRPr="003E5B1E" w:rsidRDefault="004D631F" w:rsidP="00CD106E">
      <w:pPr>
        <w:tabs>
          <w:tab w:val="left" w:pos="-1440"/>
          <w:tab w:val="left" w:pos="-720"/>
        </w:tabs>
        <w:jc w:val="both"/>
        <w:rPr>
          <w:rFonts w:cs="Times New Roman"/>
          <w:sz w:val="20"/>
          <w:szCs w:val="20"/>
        </w:rPr>
      </w:pPr>
      <w:r w:rsidRPr="004D631F">
        <w:rPr>
          <w:rFonts w:cs="Times New Roman"/>
          <w:sz w:val="20"/>
          <w:szCs w:val="20"/>
          <w:lang w:val="fr-CA"/>
        </w:rPr>
        <w:pict>
          <v:rect id="_x0000_i1048" style="width:2in;height:1pt" o:hrpct="0" o:hralign="center" o:hrstd="t" o:hrnoshade="t" o:hr="t" fillcolor="black [3213]" stroked="f"/>
        </w:pict>
      </w:r>
    </w:p>
    <w:p w:rsidR="00CD106E" w:rsidRPr="003E5B1E" w:rsidRDefault="00CD106E" w:rsidP="00CD106E">
      <w:pPr>
        <w:tabs>
          <w:tab w:val="left" w:pos="-1440"/>
          <w:tab w:val="left" w:pos="-720"/>
        </w:tabs>
        <w:jc w:val="both"/>
        <w:rPr>
          <w:rFonts w:cs="Times New Roman"/>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FD753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620D84" w:rsidP="003B3977">
            <w:pPr>
              <w:rPr>
                <w:sz w:val="20"/>
                <w:szCs w:val="20"/>
              </w:rPr>
            </w:pPr>
            <w:r>
              <w:rPr>
                <w:sz w:val="20"/>
                <w:szCs w:val="20"/>
              </w:rPr>
              <w:t>2</w:t>
            </w:r>
            <w:r w:rsidR="0074578D">
              <w:rPr>
                <w:sz w:val="20"/>
                <w:szCs w:val="20"/>
              </w:rPr>
              <w:t>5</w:t>
            </w:r>
            <w:r w:rsidR="0010587F" w:rsidRPr="003B3977">
              <w:rPr>
                <w:sz w:val="20"/>
                <w:szCs w:val="20"/>
              </w:rPr>
              <w:t>.1</w:t>
            </w:r>
            <w:r w:rsidR="0074578D">
              <w:rPr>
                <w:sz w:val="20"/>
                <w:szCs w:val="20"/>
              </w:rPr>
              <w:t>0</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74578D" w:rsidP="003B3977">
            <w:pPr>
              <w:rPr>
                <w:b/>
                <w:sz w:val="20"/>
                <w:szCs w:val="20"/>
              </w:rPr>
            </w:pPr>
            <w:proofErr w:type="spellStart"/>
            <w:r>
              <w:rPr>
                <w:b/>
                <w:sz w:val="20"/>
                <w:szCs w:val="20"/>
              </w:rPr>
              <w:t>Cogego</w:t>
            </w:r>
            <w:proofErr w:type="spellEnd"/>
            <w:r>
              <w:rPr>
                <w:b/>
                <w:sz w:val="20"/>
                <w:szCs w:val="20"/>
              </w:rPr>
              <w:t xml:space="preserve"> Cable Inc.</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620D84">
              <w:rPr>
                <w:b/>
                <w:sz w:val="20"/>
                <w:szCs w:val="20"/>
              </w:rPr>
              <w:t>2</w:t>
            </w:r>
            <w:r w:rsidR="0074578D">
              <w:rPr>
                <w:b/>
                <w:sz w:val="20"/>
                <w:szCs w:val="20"/>
              </w:rPr>
              <w:t>31</w:t>
            </w:r>
            <w:r w:rsidRPr="003B3977">
              <w:rPr>
                <w:b/>
                <w:sz w:val="20"/>
                <w:szCs w:val="20"/>
              </w:rPr>
              <w:t>)</w:t>
            </w:r>
          </w:p>
          <w:p w:rsidR="0010587F" w:rsidRPr="003B3977" w:rsidRDefault="0010587F" w:rsidP="003B3977">
            <w:pPr>
              <w:rPr>
                <w:b/>
                <w:sz w:val="20"/>
                <w:szCs w:val="20"/>
              </w:rPr>
            </w:pPr>
          </w:p>
          <w:p w:rsidR="0010587F" w:rsidRPr="0074578D" w:rsidRDefault="0074578D" w:rsidP="003B3977">
            <w:pPr>
              <w:rPr>
                <w:b/>
                <w:sz w:val="20"/>
                <w:szCs w:val="20"/>
              </w:rPr>
            </w:pPr>
            <w:r w:rsidRPr="0074578D">
              <w:rPr>
                <w:b/>
                <w:sz w:val="20"/>
                <w:szCs w:val="20"/>
              </w:rPr>
              <w:t>Bell Media Inc.</w:t>
            </w:r>
            <w:r>
              <w:rPr>
                <w:b/>
                <w:sz w:val="20"/>
                <w:szCs w:val="20"/>
              </w:rPr>
              <w:t xml:space="preserve"> (formerly CTV </w:t>
            </w:r>
            <w:proofErr w:type="spellStart"/>
            <w:r>
              <w:rPr>
                <w:b/>
                <w:sz w:val="20"/>
                <w:szCs w:val="20"/>
              </w:rPr>
              <w:t>Globemedia</w:t>
            </w:r>
            <w:proofErr w:type="spellEnd"/>
            <w:r>
              <w:rPr>
                <w:b/>
                <w:sz w:val="20"/>
                <w:szCs w:val="20"/>
              </w:rPr>
              <w:t xml:space="preserve"> Inc.)</w:t>
            </w:r>
            <w:r w:rsidR="00403FC5">
              <w:rPr>
                <w:b/>
                <w:sz w:val="20"/>
                <w:szCs w:val="20"/>
              </w:rPr>
              <w:t>,</w:t>
            </w:r>
            <w:r>
              <w:rPr>
                <w:b/>
                <w:sz w:val="20"/>
                <w:szCs w:val="20"/>
              </w:rPr>
              <w:t xml:space="preserve"> V Interactions Inc., Newfoundland and Broadcasting Co. Ltd. et al. </w:t>
            </w:r>
            <w:r w:rsidR="0010587F" w:rsidRPr="0074578D">
              <w:rPr>
                <w:b/>
                <w:sz w:val="20"/>
                <w:szCs w:val="20"/>
              </w:rPr>
              <w:t>(</w:t>
            </w:r>
            <w:r>
              <w:rPr>
                <w:b/>
                <w:sz w:val="20"/>
                <w:szCs w:val="20"/>
              </w:rPr>
              <w:t>F</w:t>
            </w:r>
            <w:r w:rsidR="0010587F" w:rsidRPr="0074578D">
              <w:rPr>
                <w:b/>
                <w:sz w:val="20"/>
                <w:szCs w:val="20"/>
              </w:rPr>
              <w:t>.</w:t>
            </w:r>
            <w:r>
              <w:rPr>
                <w:b/>
                <w:sz w:val="20"/>
                <w:szCs w:val="20"/>
              </w:rPr>
              <w:t>C</w:t>
            </w:r>
            <w:r w:rsidR="0010587F" w:rsidRPr="0074578D">
              <w:rPr>
                <w:b/>
                <w:sz w:val="20"/>
                <w:szCs w:val="20"/>
              </w:rPr>
              <w:t>)</w:t>
            </w:r>
          </w:p>
          <w:p w:rsidR="0010587F" w:rsidRPr="0074578D" w:rsidRDefault="0010587F" w:rsidP="003B3977">
            <w:pPr>
              <w:rPr>
                <w:sz w:val="20"/>
                <w:szCs w:val="20"/>
              </w:rPr>
            </w:pPr>
          </w:p>
          <w:p w:rsidR="0010587F" w:rsidRPr="003B3977" w:rsidRDefault="0010587F" w:rsidP="003B3977">
            <w:pPr>
              <w:rPr>
                <w:sz w:val="20"/>
                <w:szCs w:val="20"/>
              </w:rPr>
            </w:pPr>
            <w:r w:rsidRPr="003B3977">
              <w:rPr>
                <w:sz w:val="20"/>
                <w:szCs w:val="20"/>
              </w:rPr>
              <w:t>(</w:t>
            </w:r>
            <w:r w:rsidR="00620D84">
              <w:rPr>
                <w:sz w:val="20"/>
                <w:szCs w:val="20"/>
              </w:rPr>
              <w:t>By Leave</w:t>
            </w:r>
            <w:r w:rsidRPr="003B3977">
              <w:rPr>
                <w:sz w:val="20"/>
                <w:szCs w:val="20"/>
              </w:rPr>
              <w:t>)</w:t>
            </w:r>
          </w:p>
          <w:p w:rsidR="0010587F" w:rsidRPr="0074578D" w:rsidRDefault="0010587F" w:rsidP="003B3977">
            <w:pPr>
              <w:rPr>
                <w:sz w:val="20"/>
                <w:szCs w:val="20"/>
              </w:rPr>
            </w:pP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74578D" w:rsidRPr="003B3977" w:rsidRDefault="0074578D" w:rsidP="0074578D">
            <w:pPr>
              <w:rPr>
                <w:sz w:val="20"/>
                <w:szCs w:val="20"/>
              </w:rPr>
            </w:pPr>
            <w:r w:rsidRPr="003B3977">
              <w:rPr>
                <w:sz w:val="20"/>
                <w:szCs w:val="20"/>
              </w:rPr>
              <w:t>0</w:t>
            </w:r>
            <w:r>
              <w:rPr>
                <w:sz w:val="20"/>
                <w:szCs w:val="20"/>
              </w:rPr>
              <w:t>2</w:t>
            </w:r>
            <w:r w:rsidRPr="003B3977">
              <w:rPr>
                <w:sz w:val="20"/>
                <w:szCs w:val="20"/>
              </w:rPr>
              <w:t>.1</w:t>
            </w:r>
            <w:r>
              <w:rPr>
                <w:sz w:val="20"/>
                <w:szCs w:val="20"/>
              </w:rPr>
              <w:t>1</w:t>
            </w:r>
            <w:r w:rsidRPr="003B3977">
              <w:rPr>
                <w:sz w:val="20"/>
                <w:szCs w:val="20"/>
              </w:rPr>
              <w:t>.201</w:t>
            </w:r>
            <w:r>
              <w:rPr>
                <w:sz w:val="20"/>
                <w:szCs w:val="20"/>
              </w:rPr>
              <w:t>1</w:t>
            </w:r>
          </w:p>
          <w:p w:rsidR="0074578D" w:rsidRPr="003B3977" w:rsidRDefault="0074578D" w:rsidP="0074578D">
            <w:pPr>
              <w:rPr>
                <w:sz w:val="20"/>
                <w:szCs w:val="20"/>
              </w:rPr>
            </w:pPr>
          </w:p>
          <w:p w:rsidR="0074578D" w:rsidRPr="003B3977" w:rsidRDefault="0074578D" w:rsidP="0074578D">
            <w:pPr>
              <w:rPr>
                <w:b/>
                <w:sz w:val="20"/>
                <w:szCs w:val="20"/>
              </w:rPr>
            </w:pPr>
            <w:r w:rsidRPr="003B3977">
              <w:rPr>
                <w:b/>
                <w:sz w:val="20"/>
                <w:szCs w:val="20"/>
              </w:rPr>
              <w:t>Her Majesty the Queen</w:t>
            </w:r>
          </w:p>
          <w:p w:rsidR="0074578D" w:rsidRPr="003B3977" w:rsidRDefault="0074578D" w:rsidP="0074578D">
            <w:pPr>
              <w:rPr>
                <w:b/>
                <w:sz w:val="20"/>
                <w:szCs w:val="20"/>
              </w:rPr>
            </w:pPr>
          </w:p>
          <w:p w:rsidR="0074578D" w:rsidRPr="003B3977" w:rsidRDefault="0074578D" w:rsidP="0074578D">
            <w:pPr>
              <w:rPr>
                <w:b/>
                <w:sz w:val="20"/>
                <w:szCs w:val="20"/>
              </w:rPr>
            </w:pPr>
            <w:r w:rsidRPr="003B3977">
              <w:rPr>
                <w:b/>
                <w:sz w:val="20"/>
                <w:szCs w:val="20"/>
              </w:rPr>
              <w:tab/>
              <w:t>v. (34</w:t>
            </w:r>
            <w:r>
              <w:rPr>
                <w:b/>
                <w:sz w:val="20"/>
                <w:szCs w:val="20"/>
              </w:rPr>
              <w:t>272</w:t>
            </w:r>
            <w:r w:rsidRPr="003B3977">
              <w:rPr>
                <w:b/>
                <w:sz w:val="20"/>
                <w:szCs w:val="20"/>
              </w:rPr>
              <w:t>)</w:t>
            </w:r>
          </w:p>
          <w:p w:rsidR="0074578D" w:rsidRPr="003B3977" w:rsidRDefault="0074578D" w:rsidP="0074578D">
            <w:pPr>
              <w:rPr>
                <w:b/>
                <w:sz w:val="20"/>
                <w:szCs w:val="20"/>
              </w:rPr>
            </w:pPr>
          </w:p>
          <w:p w:rsidR="0074578D" w:rsidRPr="00544115" w:rsidRDefault="0074578D" w:rsidP="0074578D">
            <w:pPr>
              <w:rPr>
                <w:b/>
                <w:sz w:val="20"/>
                <w:szCs w:val="20"/>
                <w:lang w:val="fr-CA"/>
              </w:rPr>
            </w:pPr>
            <w:r w:rsidRPr="00544115">
              <w:rPr>
                <w:b/>
                <w:sz w:val="20"/>
                <w:szCs w:val="20"/>
                <w:lang w:val="fr-CA"/>
              </w:rPr>
              <w:t>Nicole Patricia Ryan (N.S.)</w:t>
            </w:r>
          </w:p>
          <w:p w:rsidR="0074578D" w:rsidRPr="00544115" w:rsidRDefault="0074578D" w:rsidP="0074578D">
            <w:pPr>
              <w:rPr>
                <w:sz w:val="20"/>
                <w:szCs w:val="20"/>
                <w:lang w:val="fr-CA"/>
              </w:rPr>
            </w:pPr>
          </w:p>
          <w:p w:rsidR="0074578D" w:rsidRPr="003B3977" w:rsidRDefault="0074578D" w:rsidP="0074578D">
            <w:pPr>
              <w:rPr>
                <w:sz w:val="20"/>
                <w:szCs w:val="20"/>
              </w:rPr>
            </w:pPr>
            <w:r w:rsidRPr="003B3977">
              <w:rPr>
                <w:sz w:val="20"/>
                <w:szCs w:val="20"/>
              </w:rPr>
              <w:t>(</w:t>
            </w:r>
            <w:r>
              <w:rPr>
                <w:sz w:val="20"/>
                <w:szCs w:val="20"/>
              </w:rPr>
              <w:t>By Leave</w:t>
            </w:r>
            <w:r w:rsidRPr="003B3977">
              <w:rPr>
                <w:sz w:val="20"/>
                <w:szCs w:val="20"/>
              </w:rPr>
              <w:t>)</w:t>
            </w:r>
          </w:p>
          <w:p w:rsidR="0074578D" w:rsidRPr="003B3977" w:rsidRDefault="0074578D" w:rsidP="0074578D">
            <w:pPr>
              <w:rPr>
                <w:sz w:val="20"/>
                <w:szCs w:val="20"/>
              </w:rPr>
            </w:pPr>
          </w:p>
          <w:p w:rsidR="0010587F" w:rsidRPr="003B3977" w:rsidRDefault="004D631F" w:rsidP="0074578D">
            <w:pPr>
              <w:rPr>
                <w:sz w:val="20"/>
                <w:szCs w:val="20"/>
              </w:rPr>
            </w:pPr>
            <w:r w:rsidRPr="004D631F">
              <w:rPr>
                <w:sz w:val="20"/>
                <w:szCs w:val="20"/>
                <w:lang w:val="fr-CA"/>
              </w:rPr>
              <w:pict>
                <v:rect id="_x0000_i1051" style="width:106.1pt;height:1pt" o:hrpct="500" o:hralign="center" o:hrstd="t" o:hrnoshade="t" o:hr="t" fillcolor="black [3213]" stroked="f"/>
              </w:pict>
            </w:r>
          </w:p>
        </w:tc>
      </w:tr>
      <w:tr w:rsidR="0074578D" w:rsidRPr="003B3977" w:rsidTr="0010587F">
        <w:trPr>
          <w:cantSplit/>
        </w:trPr>
        <w:tc>
          <w:tcPr>
            <w:tcW w:w="2206" w:type="pct"/>
            <w:tcMar>
              <w:left w:w="0" w:type="dxa"/>
              <w:right w:w="0" w:type="dxa"/>
            </w:tcMar>
          </w:tcPr>
          <w:p w:rsidR="0074578D" w:rsidRDefault="004D631F" w:rsidP="0074578D">
            <w:pPr>
              <w:rPr>
                <w:sz w:val="20"/>
                <w:szCs w:val="20"/>
              </w:rPr>
            </w:pPr>
            <w:r w:rsidRPr="004D631F">
              <w:rPr>
                <w:sz w:val="20"/>
                <w:szCs w:val="20"/>
                <w:lang w:val="fr-CA"/>
              </w:rPr>
              <w:pict>
                <v:rect id="_x0000_i1052" style="width:106.1pt;height:1pt" o:hrpct="500" o:hralign="center" o:hrstd="t" o:hrnoshade="t" o:hr="t" fillcolor="black [3213]" stroked="f"/>
              </w:pict>
            </w:r>
          </w:p>
          <w:p w:rsidR="0074578D" w:rsidRDefault="0074578D" w:rsidP="0074578D">
            <w:pPr>
              <w:rPr>
                <w:sz w:val="20"/>
                <w:szCs w:val="20"/>
              </w:rPr>
            </w:pPr>
          </w:p>
          <w:p w:rsidR="0074578D" w:rsidRPr="003B3977" w:rsidRDefault="0074578D" w:rsidP="0074578D">
            <w:pPr>
              <w:rPr>
                <w:sz w:val="20"/>
                <w:szCs w:val="20"/>
              </w:rPr>
            </w:pPr>
            <w:r w:rsidRPr="003B3977">
              <w:rPr>
                <w:sz w:val="20"/>
                <w:szCs w:val="20"/>
              </w:rPr>
              <w:t>0</w:t>
            </w:r>
            <w:r>
              <w:rPr>
                <w:sz w:val="20"/>
                <w:szCs w:val="20"/>
              </w:rPr>
              <w:t>7</w:t>
            </w:r>
            <w:r w:rsidRPr="003B3977">
              <w:rPr>
                <w:sz w:val="20"/>
                <w:szCs w:val="20"/>
              </w:rPr>
              <w:t>.1</w:t>
            </w:r>
            <w:r>
              <w:rPr>
                <w:sz w:val="20"/>
                <w:szCs w:val="20"/>
              </w:rPr>
              <w:t>1</w:t>
            </w:r>
            <w:r w:rsidRPr="003B3977">
              <w:rPr>
                <w:sz w:val="20"/>
                <w:szCs w:val="20"/>
              </w:rPr>
              <w:t>.201</w:t>
            </w:r>
            <w:r>
              <w:rPr>
                <w:sz w:val="20"/>
                <w:szCs w:val="20"/>
              </w:rPr>
              <w:t>1</w:t>
            </w:r>
          </w:p>
          <w:p w:rsidR="0074578D" w:rsidRPr="003B3977" w:rsidRDefault="0074578D" w:rsidP="0074578D">
            <w:pPr>
              <w:rPr>
                <w:sz w:val="20"/>
                <w:szCs w:val="20"/>
              </w:rPr>
            </w:pPr>
          </w:p>
          <w:p w:rsidR="0074578D" w:rsidRDefault="0074578D" w:rsidP="0074578D">
            <w:pPr>
              <w:rPr>
                <w:b/>
                <w:sz w:val="20"/>
                <w:szCs w:val="20"/>
              </w:rPr>
            </w:pPr>
            <w:r>
              <w:rPr>
                <w:b/>
                <w:sz w:val="20"/>
                <w:szCs w:val="20"/>
              </w:rPr>
              <w:t>Annapolis County District School Board et al.</w:t>
            </w:r>
          </w:p>
          <w:p w:rsidR="0074578D" w:rsidRPr="003B3977" w:rsidRDefault="0074578D" w:rsidP="0074578D">
            <w:pPr>
              <w:rPr>
                <w:b/>
                <w:sz w:val="20"/>
                <w:szCs w:val="20"/>
              </w:rPr>
            </w:pPr>
          </w:p>
          <w:p w:rsidR="0074578D" w:rsidRPr="003B3977" w:rsidRDefault="0074578D" w:rsidP="0074578D">
            <w:pPr>
              <w:rPr>
                <w:b/>
                <w:sz w:val="20"/>
                <w:szCs w:val="20"/>
              </w:rPr>
            </w:pPr>
            <w:r w:rsidRPr="003B3977">
              <w:rPr>
                <w:b/>
                <w:sz w:val="20"/>
                <w:szCs w:val="20"/>
              </w:rPr>
              <w:tab/>
              <w:t>v. (34</w:t>
            </w:r>
            <w:r>
              <w:rPr>
                <w:b/>
                <w:sz w:val="20"/>
                <w:szCs w:val="20"/>
              </w:rPr>
              <w:t>189</w:t>
            </w:r>
            <w:r w:rsidRPr="003B3977">
              <w:rPr>
                <w:b/>
                <w:sz w:val="20"/>
                <w:szCs w:val="20"/>
              </w:rPr>
              <w:t>)</w:t>
            </w:r>
          </w:p>
          <w:p w:rsidR="0074578D" w:rsidRPr="003B3977" w:rsidRDefault="0074578D" w:rsidP="0074578D">
            <w:pPr>
              <w:rPr>
                <w:b/>
                <w:sz w:val="20"/>
                <w:szCs w:val="20"/>
              </w:rPr>
            </w:pPr>
          </w:p>
          <w:p w:rsidR="0074578D" w:rsidRPr="00263BC7" w:rsidRDefault="0074578D" w:rsidP="0074578D">
            <w:pPr>
              <w:rPr>
                <w:b/>
                <w:sz w:val="20"/>
                <w:szCs w:val="20"/>
              </w:rPr>
            </w:pPr>
            <w:proofErr w:type="spellStart"/>
            <w:r w:rsidRPr="00263BC7">
              <w:rPr>
                <w:b/>
                <w:sz w:val="20"/>
                <w:szCs w:val="20"/>
              </w:rPr>
              <w:t>Johnathan</w:t>
            </w:r>
            <w:proofErr w:type="spellEnd"/>
            <w:r w:rsidRPr="00263BC7">
              <w:rPr>
                <w:b/>
                <w:sz w:val="20"/>
                <w:szCs w:val="20"/>
              </w:rPr>
              <w:t xml:space="preserve"> Lee Marshall, represented by his Guardian, Vaughn Caldwell (N.S.)</w:t>
            </w:r>
          </w:p>
          <w:p w:rsidR="0074578D" w:rsidRPr="00263BC7" w:rsidRDefault="0074578D" w:rsidP="0074578D">
            <w:pPr>
              <w:rPr>
                <w:sz w:val="20"/>
                <w:szCs w:val="20"/>
              </w:rPr>
            </w:pPr>
          </w:p>
          <w:p w:rsidR="0074578D" w:rsidRPr="003B3977" w:rsidRDefault="0074578D" w:rsidP="0074578D">
            <w:pPr>
              <w:rPr>
                <w:sz w:val="20"/>
                <w:szCs w:val="20"/>
              </w:rPr>
            </w:pPr>
            <w:r w:rsidRPr="003B3977">
              <w:rPr>
                <w:sz w:val="20"/>
                <w:szCs w:val="20"/>
              </w:rPr>
              <w:t>(</w:t>
            </w:r>
            <w:r>
              <w:rPr>
                <w:sz w:val="20"/>
                <w:szCs w:val="20"/>
              </w:rPr>
              <w:t>By Leave</w:t>
            </w:r>
            <w:r w:rsidRPr="003B3977">
              <w:rPr>
                <w:sz w:val="20"/>
                <w:szCs w:val="20"/>
              </w:rPr>
              <w:t>)</w:t>
            </w:r>
          </w:p>
          <w:p w:rsidR="0074578D" w:rsidRPr="003B3977" w:rsidRDefault="0074578D" w:rsidP="0074578D">
            <w:pPr>
              <w:rPr>
                <w:sz w:val="20"/>
                <w:szCs w:val="20"/>
              </w:rPr>
            </w:pPr>
          </w:p>
          <w:p w:rsidR="0074578D" w:rsidRDefault="004D631F" w:rsidP="0074578D">
            <w:pPr>
              <w:rPr>
                <w:sz w:val="20"/>
                <w:szCs w:val="20"/>
              </w:rPr>
            </w:pPr>
            <w:r w:rsidRPr="004D631F">
              <w:rPr>
                <w:sz w:val="20"/>
                <w:szCs w:val="20"/>
                <w:lang w:val="fr-CA"/>
              </w:rPr>
              <w:pict>
                <v:rect id="_x0000_i1053" style="width:106.1pt;height:1pt" o:hrpct="500" o:hralign="center" o:hrstd="t" o:hrnoshade="t" o:hr="t" fillcolor="black [3213]" stroked="f"/>
              </w:pict>
            </w:r>
          </w:p>
        </w:tc>
        <w:tc>
          <w:tcPr>
            <w:tcW w:w="588" w:type="pct"/>
          </w:tcPr>
          <w:p w:rsidR="0074578D" w:rsidRPr="003B3977" w:rsidRDefault="0074578D" w:rsidP="0010587F">
            <w:pPr>
              <w:jc w:val="center"/>
              <w:rPr>
                <w:sz w:val="20"/>
                <w:szCs w:val="20"/>
              </w:rPr>
            </w:pPr>
          </w:p>
        </w:tc>
        <w:tc>
          <w:tcPr>
            <w:tcW w:w="2206" w:type="pct"/>
          </w:tcPr>
          <w:p w:rsidR="0074578D" w:rsidRPr="003B3977" w:rsidRDefault="0074578D" w:rsidP="0074578D">
            <w:pPr>
              <w:rPr>
                <w:sz w:val="20"/>
                <w:szCs w:val="20"/>
              </w:rPr>
            </w:pPr>
            <w:r w:rsidRPr="003B3977">
              <w:rPr>
                <w:sz w:val="20"/>
                <w:szCs w:val="20"/>
              </w:rPr>
              <w:t>0</w:t>
            </w:r>
            <w:r>
              <w:rPr>
                <w:sz w:val="20"/>
                <w:szCs w:val="20"/>
              </w:rPr>
              <w:t>8</w:t>
            </w:r>
            <w:r w:rsidRPr="003B3977">
              <w:rPr>
                <w:sz w:val="20"/>
                <w:szCs w:val="20"/>
              </w:rPr>
              <w:t>.1</w:t>
            </w:r>
            <w:r>
              <w:rPr>
                <w:sz w:val="20"/>
                <w:szCs w:val="20"/>
              </w:rPr>
              <w:t>1</w:t>
            </w:r>
            <w:r w:rsidRPr="003B3977">
              <w:rPr>
                <w:sz w:val="20"/>
                <w:szCs w:val="20"/>
              </w:rPr>
              <w:t>.201</w:t>
            </w:r>
            <w:r>
              <w:rPr>
                <w:sz w:val="20"/>
                <w:szCs w:val="20"/>
              </w:rPr>
              <w:t>1</w:t>
            </w:r>
          </w:p>
          <w:p w:rsidR="0074578D" w:rsidRPr="003B3977" w:rsidRDefault="0074578D" w:rsidP="0074578D">
            <w:pPr>
              <w:rPr>
                <w:sz w:val="20"/>
                <w:szCs w:val="20"/>
              </w:rPr>
            </w:pPr>
          </w:p>
          <w:p w:rsidR="0074578D" w:rsidRDefault="0074578D" w:rsidP="0074578D">
            <w:pPr>
              <w:rPr>
                <w:b/>
                <w:sz w:val="20"/>
                <w:szCs w:val="20"/>
              </w:rPr>
            </w:pPr>
            <w:r>
              <w:rPr>
                <w:b/>
                <w:sz w:val="20"/>
                <w:szCs w:val="20"/>
              </w:rPr>
              <w:t>Her Majesty the Queen</w:t>
            </w:r>
          </w:p>
          <w:p w:rsidR="0074578D" w:rsidRPr="003B3977" w:rsidRDefault="0074578D" w:rsidP="0074578D">
            <w:pPr>
              <w:rPr>
                <w:b/>
                <w:sz w:val="20"/>
                <w:szCs w:val="20"/>
              </w:rPr>
            </w:pPr>
          </w:p>
          <w:p w:rsidR="0074578D" w:rsidRPr="003B3977" w:rsidRDefault="0074578D" w:rsidP="0074578D">
            <w:pPr>
              <w:rPr>
                <w:b/>
                <w:sz w:val="20"/>
                <w:szCs w:val="20"/>
              </w:rPr>
            </w:pPr>
            <w:r w:rsidRPr="003B3977">
              <w:rPr>
                <w:b/>
                <w:sz w:val="20"/>
                <w:szCs w:val="20"/>
              </w:rPr>
              <w:tab/>
              <w:t>v. (34</w:t>
            </w:r>
            <w:r>
              <w:rPr>
                <w:b/>
                <w:sz w:val="20"/>
                <w:szCs w:val="20"/>
              </w:rPr>
              <w:t>132</w:t>
            </w:r>
            <w:r w:rsidRPr="003B3977">
              <w:rPr>
                <w:b/>
                <w:sz w:val="20"/>
                <w:szCs w:val="20"/>
              </w:rPr>
              <w:t>)</w:t>
            </w:r>
          </w:p>
          <w:p w:rsidR="0074578D" w:rsidRPr="003B3977" w:rsidRDefault="0074578D" w:rsidP="0074578D">
            <w:pPr>
              <w:rPr>
                <w:b/>
                <w:sz w:val="20"/>
                <w:szCs w:val="20"/>
              </w:rPr>
            </w:pPr>
          </w:p>
          <w:p w:rsidR="0074578D" w:rsidRPr="00263BC7" w:rsidRDefault="0074578D" w:rsidP="0074578D">
            <w:pPr>
              <w:rPr>
                <w:b/>
                <w:sz w:val="20"/>
                <w:szCs w:val="20"/>
              </w:rPr>
            </w:pPr>
            <w:r>
              <w:rPr>
                <w:b/>
                <w:sz w:val="20"/>
                <w:szCs w:val="20"/>
              </w:rPr>
              <w:t xml:space="preserve">A.D.H. </w:t>
            </w:r>
            <w:r w:rsidRPr="00263BC7">
              <w:rPr>
                <w:b/>
                <w:sz w:val="20"/>
                <w:szCs w:val="20"/>
              </w:rPr>
              <w:t>(S</w:t>
            </w:r>
            <w:r>
              <w:rPr>
                <w:b/>
                <w:sz w:val="20"/>
                <w:szCs w:val="20"/>
              </w:rPr>
              <w:t>ask</w:t>
            </w:r>
            <w:r w:rsidRPr="00263BC7">
              <w:rPr>
                <w:b/>
                <w:sz w:val="20"/>
                <w:szCs w:val="20"/>
              </w:rPr>
              <w:t>.)</w:t>
            </w:r>
          </w:p>
          <w:p w:rsidR="0074578D" w:rsidRPr="00263BC7" w:rsidRDefault="0074578D" w:rsidP="0074578D">
            <w:pPr>
              <w:rPr>
                <w:sz w:val="20"/>
                <w:szCs w:val="20"/>
              </w:rPr>
            </w:pPr>
          </w:p>
          <w:p w:rsidR="0074578D" w:rsidRPr="003B3977" w:rsidRDefault="0074578D" w:rsidP="0074578D">
            <w:pPr>
              <w:rPr>
                <w:sz w:val="20"/>
                <w:szCs w:val="20"/>
              </w:rPr>
            </w:pPr>
            <w:r w:rsidRPr="003B3977">
              <w:rPr>
                <w:sz w:val="20"/>
                <w:szCs w:val="20"/>
              </w:rPr>
              <w:t>(</w:t>
            </w:r>
            <w:r>
              <w:rPr>
                <w:sz w:val="20"/>
                <w:szCs w:val="20"/>
              </w:rPr>
              <w:t>By Leave</w:t>
            </w:r>
            <w:r w:rsidRPr="003B3977">
              <w:rPr>
                <w:sz w:val="20"/>
                <w:szCs w:val="20"/>
              </w:rPr>
              <w:t>)</w:t>
            </w:r>
          </w:p>
          <w:p w:rsidR="0074578D" w:rsidRPr="003B3977" w:rsidRDefault="0074578D" w:rsidP="0074578D">
            <w:pPr>
              <w:rPr>
                <w:sz w:val="20"/>
                <w:szCs w:val="20"/>
              </w:rPr>
            </w:pPr>
          </w:p>
          <w:p w:rsidR="0074578D" w:rsidRPr="003B3977" w:rsidRDefault="004D631F" w:rsidP="0074578D">
            <w:pPr>
              <w:rPr>
                <w:sz w:val="20"/>
                <w:szCs w:val="20"/>
              </w:rPr>
            </w:pPr>
            <w:r w:rsidRPr="004D631F">
              <w:rPr>
                <w:sz w:val="20"/>
                <w:szCs w:val="20"/>
                <w:lang w:val="fr-CA"/>
              </w:rPr>
              <w:pict>
                <v:rect id="_x0000_i1054"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FD7538"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9A73D1" w:rsidP="00C1697B">
            <w:pPr>
              <w:rPr>
                <w:sz w:val="20"/>
                <w:szCs w:val="20"/>
              </w:rPr>
            </w:pPr>
            <w:r>
              <w:rPr>
                <w:sz w:val="20"/>
                <w:szCs w:val="20"/>
              </w:rPr>
              <w:t>24</w:t>
            </w:r>
            <w:r w:rsidR="00C1697B" w:rsidRPr="00C50A5C">
              <w:rPr>
                <w:sz w:val="20"/>
                <w:szCs w:val="20"/>
              </w:rPr>
              <w:t>.</w:t>
            </w:r>
            <w:r>
              <w:rPr>
                <w:sz w:val="20"/>
                <w:szCs w:val="20"/>
              </w:rPr>
              <w:t>1</w:t>
            </w:r>
            <w:r w:rsidR="00C1697B" w:rsidRPr="00C50A5C">
              <w:rPr>
                <w:sz w:val="20"/>
                <w:szCs w:val="20"/>
              </w:rPr>
              <w:t>0.201</w:t>
            </w:r>
            <w:r>
              <w:rPr>
                <w:sz w:val="20"/>
                <w:szCs w:val="20"/>
              </w:rPr>
              <w:t>1</w:t>
            </w:r>
          </w:p>
          <w:p w:rsidR="00C1697B" w:rsidRPr="00C50A5C" w:rsidRDefault="00C1697B" w:rsidP="00C1697B">
            <w:pPr>
              <w:rPr>
                <w:sz w:val="20"/>
                <w:szCs w:val="20"/>
              </w:rPr>
            </w:pPr>
          </w:p>
          <w:p w:rsidR="00C1697B" w:rsidRPr="00C1697B" w:rsidRDefault="009A73D1" w:rsidP="00C1697B">
            <w:pPr>
              <w:rPr>
                <w:b/>
                <w:sz w:val="20"/>
                <w:szCs w:val="20"/>
              </w:rPr>
            </w:pPr>
            <w:r>
              <w:rPr>
                <w:b/>
                <w:sz w:val="20"/>
                <w:szCs w:val="20"/>
              </w:rPr>
              <w:t xml:space="preserve">Alex </w:t>
            </w:r>
            <w:proofErr w:type="spellStart"/>
            <w:r>
              <w:rPr>
                <w:b/>
                <w:sz w:val="20"/>
                <w:szCs w:val="20"/>
              </w:rPr>
              <w:t>Orphanou</w:t>
            </w:r>
            <w:proofErr w:type="spellEnd"/>
            <w:r>
              <w:rPr>
                <w:b/>
                <w:sz w:val="20"/>
                <w:szCs w:val="20"/>
              </w:rPr>
              <w:t xml:space="preserve"> a.k.a. </w:t>
            </w:r>
            <w:proofErr w:type="spellStart"/>
            <w:r>
              <w:rPr>
                <w:b/>
                <w:sz w:val="20"/>
                <w:szCs w:val="20"/>
              </w:rPr>
              <w:t>Alexos</w:t>
            </w:r>
            <w:proofErr w:type="spellEnd"/>
            <w:r>
              <w:rPr>
                <w:b/>
                <w:sz w:val="20"/>
                <w:szCs w:val="20"/>
              </w:rPr>
              <w:t xml:space="preserve"> </w:t>
            </w:r>
            <w:proofErr w:type="spellStart"/>
            <w:r>
              <w:rPr>
                <w:b/>
                <w:sz w:val="20"/>
                <w:szCs w:val="20"/>
              </w:rPr>
              <w:t>Orphanou</w:t>
            </w:r>
            <w:proofErr w:type="spellEnd"/>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9A73D1">
              <w:rPr>
                <w:b/>
                <w:sz w:val="20"/>
                <w:szCs w:val="20"/>
              </w:rPr>
              <w:t>444</w:t>
            </w:r>
            <w:r w:rsidRPr="00C1697B">
              <w:rPr>
                <w:b/>
                <w:sz w:val="20"/>
                <w:szCs w:val="20"/>
              </w:rPr>
              <w:t>9)</w:t>
            </w:r>
          </w:p>
          <w:p w:rsidR="00C1697B" w:rsidRPr="00C1697B" w:rsidRDefault="00C1697B" w:rsidP="00C1697B">
            <w:pPr>
              <w:rPr>
                <w:b/>
                <w:sz w:val="20"/>
                <w:szCs w:val="20"/>
              </w:rPr>
            </w:pPr>
          </w:p>
          <w:p w:rsidR="00C1697B" w:rsidRPr="00C1697B" w:rsidRDefault="009A73D1" w:rsidP="00C1697B">
            <w:pPr>
              <w:rPr>
                <w:b/>
                <w:sz w:val="20"/>
                <w:szCs w:val="20"/>
              </w:rPr>
            </w:pPr>
            <w:r>
              <w:rPr>
                <w:b/>
                <w:sz w:val="20"/>
                <w:szCs w:val="20"/>
              </w:rPr>
              <w:t xml:space="preserve">Attorney General of Canada on behalf of the United States of America </w:t>
            </w:r>
            <w:r w:rsidR="00C1697B" w:rsidRPr="00C1697B">
              <w:rPr>
                <w:b/>
                <w:sz w:val="20"/>
                <w:szCs w:val="20"/>
              </w:rPr>
              <w:t xml:space="preserve">(Ont.)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9A73D1" w:rsidRDefault="004D631F" w:rsidP="00697C62">
            <w:pPr>
              <w:rPr>
                <w:sz w:val="20"/>
                <w:szCs w:val="20"/>
              </w:rPr>
            </w:pPr>
            <w:r w:rsidRPr="004D631F">
              <w:rPr>
                <w:sz w:val="20"/>
                <w:szCs w:val="20"/>
                <w:lang w:val="fr-CA"/>
              </w:rPr>
              <w:pict>
                <v:rect id="_x0000_i1057" style="width:108pt;height:1pt" o:hrpct="0" o:hralign="center" o:hrstd="t" o:hrnoshade="t" o:hr="t" fillcolor="black [3213]" stroked="f"/>
              </w:pict>
            </w:r>
          </w:p>
        </w:tc>
        <w:tc>
          <w:tcPr>
            <w:tcW w:w="1080" w:type="dxa"/>
            <w:shd w:val="clear" w:color="auto" w:fill="auto"/>
          </w:tcPr>
          <w:p w:rsidR="00802863" w:rsidRPr="009A73D1" w:rsidRDefault="00802863"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p w:rsidR="003B3977" w:rsidRPr="009A73D1" w:rsidRDefault="003B3977" w:rsidP="00802863">
            <w:pPr>
              <w:jc w:val="center"/>
              <w:rPr>
                <w:sz w:val="20"/>
                <w:szCs w:val="20"/>
              </w:rPr>
            </w:pPr>
          </w:p>
        </w:tc>
        <w:tc>
          <w:tcPr>
            <w:tcW w:w="4417" w:type="dxa"/>
            <w:shd w:val="clear" w:color="auto" w:fill="auto"/>
          </w:tcPr>
          <w:p w:rsidR="00802863" w:rsidRPr="009A73D1" w:rsidRDefault="00802863" w:rsidP="00802863">
            <w:pPr>
              <w:rPr>
                <w:sz w:val="20"/>
                <w:szCs w:val="20"/>
              </w:rPr>
            </w:pPr>
          </w:p>
        </w:tc>
      </w:tr>
    </w:tbl>
    <w:p w:rsidR="00802863" w:rsidRPr="009A73D1" w:rsidRDefault="00802863" w:rsidP="00802863">
      <w:pPr>
        <w:rPr>
          <w:sz w:val="20"/>
          <w:szCs w:val="20"/>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FD753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D106E">
              <w:rPr>
                <w:b/>
                <w:szCs w:val="24"/>
                <w:lang w:val="fr-CA"/>
              </w:rPr>
              <w:t xml:space="preserve">APPELS ENTENDUS DEPUIS LA DERNIÈRE PARUTION </w:t>
            </w:r>
            <w:r w:rsidRPr="00C1697B">
              <w:rPr>
                <w:b/>
                <w:szCs w:val="24"/>
                <w:lang w:val="fr-CA"/>
              </w:rPr>
              <w:t>ET RÉSULTAT</w:t>
            </w:r>
          </w:p>
        </w:tc>
      </w:tr>
    </w:tbl>
    <w:p w:rsidR="00732DB7" w:rsidRPr="00C50A5C" w:rsidRDefault="00732DB7" w:rsidP="00732DB7">
      <w:pPr>
        <w:widowControl w:val="0"/>
        <w:rPr>
          <w:sz w:val="20"/>
          <w:szCs w:val="20"/>
          <w:lang w:val="fr-CA"/>
        </w:rPr>
      </w:pPr>
    </w:p>
    <w:p w:rsidR="0093057E" w:rsidRDefault="0093057E" w:rsidP="00732DB7">
      <w:pPr>
        <w:widowControl w:val="0"/>
        <w:rPr>
          <w:sz w:val="20"/>
          <w:szCs w:val="20"/>
        </w:rPr>
      </w:pPr>
      <w:r>
        <w:rPr>
          <w:sz w:val="20"/>
          <w:szCs w:val="20"/>
        </w:rPr>
        <w:t>08.11.2011</w:t>
      </w:r>
    </w:p>
    <w:p w:rsidR="0093057E" w:rsidRDefault="0093057E" w:rsidP="00732DB7">
      <w:pPr>
        <w:widowControl w:val="0"/>
        <w:rPr>
          <w:sz w:val="20"/>
          <w:szCs w:val="20"/>
        </w:rPr>
      </w:pPr>
    </w:p>
    <w:p w:rsidR="0087440A" w:rsidRPr="00E829A1" w:rsidRDefault="0087440A" w:rsidP="0087440A">
      <w:pPr>
        <w:widowControl w:val="0"/>
        <w:ind w:left="720" w:hanging="720"/>
        <w:rPr>
          <w:rFonts w:eastAsia="Calibri" w:cs="Times New Roman"/>
          <w:sz w:val="20"/>
          <w:szCs w:val="20"/>
        </w:rPr>
      </w:pPr>
      <w:r w:rsidRPr="00E829A1">
        <w:rPr>
          <w:rFonts w:eastAsia="Calibri" w:cs="Times New Roman"/>
          <w:sz w:val="20"/>
          <w:szCs w:val="20"/>
        </w:rPr>
        <w:t xml:space="preserve">Coram: </w:t>
      </w:r>
      <w:r w:rsidRPr="00E829A1">
        <w:rPr>
          <w:rFonts w:eastAsia="Calibri" w:cs="Times New Roman"/>
          <w:sz w:val="20"/>
          <w:szCs w:val="20"/>
        </w:rPr>
        <w:tab/>
      </w:r>
      <w:proofErr w:type="spellStart"/>
      <w:r w:rsidRPr="00E829A1">
        <w:rPr>
          <w:rFonts w:eastAsia="Calibri" w:cs="Times New Roman"/>
          <w:sz w:val="20"/>
          <w:szCs w:val="20"/>
          <w:u w:val="single"/>
        </w:rPr>
        <w:t>McLachlin</w:t>
      </w:r>
      <w:proofErr w:type="spellEnd"/>
      <w:r w:rsidRPr="00E829A1">
        <w:rPr>
          <w:rFonts w:eastAsia="Calibri" w:cs="Times New Roman"/>
          <w:sz w:val="20"/>
          <w:szCs w:val="20"/>
          <w:u w:val="single"/>
        </w:rPr>
        <w:t xml:space="preserve"> C.J. and </w:t>
      </w:r>
      <w:proofErr w:type="spellStart"/>
      <w:r w:rsidRPr="00E829A1">
        <w:rPr>
          <w:rFonts w:eastAsia="Calibri" w:cs="Times New Roman"/>
          <w:sz w:val="20"/>
          <w:szCs w:val="20"/>
          <w:u w:val="single"/>
        </w:rPr>
        <w:t>LeBel</w:t>
      </w:r>
      <w:proofErr w:type="spellEnd"/>
      <w:r w:rsidRPr="00E829A1">
        <w:rPr>
          <w:rFonts w:eastAsia="Calibri" w:cs="Times New Roman"/>
          <w:sz w:val="20"/>
          <w:szCs w:val="20"/>
          <w:u w:val="single"/>
        </w:rPr>
        <w:t xml:space="preserve">, </w:t>
      </w:r>
      <w:proofErr w:type="spellStart"/>
      <w:r w:rsidRPr="00E829A1">
        <w:rPr>
          <w:rFonts w:eastAsia="Calibri" w:cs="Times New Roman"/>
          <w:sz w:val="20"/>
          <w:szCs w:val="20"/>
          <w:u w:val="single"/>
        </w:rPr>
        <w:t>Deschamps</w:t>
      </w:r>
      <w:proofErr w:type="spellEnd"/>
      <w:r w:rsidRPr="00E829A1">
        <w:rPr>
          <w:rFonts w:eastAsia="Calibri" w:cs="Times New Roman"/>
          <w:sz w:val="20"/>
          <w:szCs w:val="20"/>
          <w:u w:val="single"/>
        </w:rPr>
        <w:t xml:space="preserve">, Fish, </w:t>
      </w:r>
      <w:proofErr w:type="spellStart"/>
      <w:r w:rsidRPr="00E829A1">
        <w:rPr>
          <w:rFonts w:eastAsia="Calibri" w:cs="Times New Roman"/>
          <w:sz w:val="20"/>
          <w:szCs w:val="20"/>
          <w:u w:val="single"/>
        </w:rPr>
        <w:t>Abella</w:t>
      </w:r>
      <w:proofErr w:type="spellEnd"/>
      <w:r w:rsidRPr="00E829A1">
        <w:rPr>
          <w:rFonts w:eastAsia="Calibri" w:cs="Times New Roman"/>
          <w:sz w:val="20"/>
          <w:szCs w:val="20"/>
          <w:u w:val="single"/>
        </w:rPr>
        <w:t xml:space="preserve">, Rothstein, Cromwell, </w:t>
      </w:r>
      <w:proofErr w:type="spellStart"/>
      <w:r w:rsidRPr="00E829A1">
        <w:rPr>
          <w:rFonts w:eastAsia="Calibri" w:cs="Times New Roman"/>
          <w:sz w:val="20"/>
          <w:szCs w:val="20"/>
          <w:u w:val="single"/>
        </w:rPr>
        <w:t>Moldaver</w:t>
      </w:r>
      <w:proofErr w:type="spellEnd"/>
      <w:r w:rsidRPr="00E829A1">
        <w:rPr>
          <w:rFonts w:eastAsia="Calibri" w:cs="Times New Roman"/>
          <w:sz w:val="20"/>
          <w:szCs w:val="20"/>
          <w:u w:val="single"/>
        </w:rPr>
        <w:t xml:space="preserve"> and </w:t>
      </w:r>
      <w:proofErr w:type="spellStart"/>
      <w:r w:rsidRPr="00E829A1">
        <w:rPr>
          <w:rFonts w:eastAsia="Calibri" w:cs="Times New Roman"/>
          <w:sz w:val="20"/>
          <w:szCs w:val="20"/>
          <w:u w:val="single"/>
        </w:rPr>
        <w:t>Karakatsanis</w:t>
      </w:r>
      <w:proofErr w:type="spellEnd"/>
      <w:r w:rsidRPr="00E829A1">
        <w:rPr>
          <w:rFonts w:eastAsia="Calibri" w:cs="Times New Roman"/>
          <w:sz w:val="20"/>
          <w:szCs w:val="20"/>
          <w:u w:val="single"/>
        </w:rPr>
        <w:t xml:space="preserve"> JJ.</w:t>
      </w:r>
    </w:p>
    <w:p w:rsidR="0093057E" w:rsidRDefault="0093057E"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93057E" w:rsidRPr="00C50A5C" w:rsidTr="0093057E">
        <w:tc>
          <w:tcPr>
            <w:tcW w:w="4380" w:type="dxa"/>
            <w:tcMar>
              <w:left w:w="0" w:type="dxa"/>
              <w:right w:w="0" w:type="dxa"/>
            </w:tcMar>
          </w:tcPr>
          <w:p w:rsidR="00685C6A" w:rsidRPr="00C50A5C" w:rsidRDefault="00685C6A" w:rsidP="00685C6A">
            <w:pPr>
              <w:widowControl w:val="0"/>
              <w:jc w:val="both"/>
              <w:rPr>
                <w:b/>
                <w:sz w:val="20"/>
                <w:szCs w:val="20"/>
              </w:rPr>
            </w:pPr>
            <w:proofErr w:type="spellStart"/>
            <w:r>
              <w:rPr>
                <w:b/>
                <w:sz w:val="20"/>
                <w:szCs w:val="20"/>
              </w:rPr>
              <w:t>Ewaryst</w:t>
            </w:r>
            <w:proofErr w:type="spellEnd"/>
            <w:r>
              <w:rPr>
                <w:b/>
                <w:sz w:val="20"/>
                <w:szCs w:val="20"/>
              </w:rPr>
              <w:t xml:space="preserve"> </w:t>
            </w:r>
            <w:proofErr w:type="spellStart"/>
            <w:r>
              <w:rPr>
                <w:b/>
                <w:sz w:val="20"/>
                <w:szCs w:val="20"/>
              </w:rPr>
              <w:t>Prokofiew</w:t>
            </w:r>
            <w:proofErr w:type="spellEnd"/>
          </w:p>
          <w:p w:rsidR="00685C6A" w:rsidRPr="00C50A5C" w:rsidRDefault="00685C6A" w:rsidP="00685C6A">
            <w:pPr>
              <w:widowControl w:val="0"/>
              <w:jc w:val="both"/>
              <w:rPr>
                <w:b/>
                <w:sz w:val="20"/>
                <w:szCs w:val="20"/>
              </w:rPr>
            </w:pPr>
          </w:p>
          <w:p w:rsidR="00685C6A" w:rsidRPr="00C50A5C" w:rsidRDefault="00685C6A" w:rsidP="00685C6A">
            <w:pPr>
              <w:widowControl w:val="0"/>
              <w:tabs>
                <w:tab w:val="left" w:pos="736"/>
              </w:tabs>
              <w:jc w:val="both"/>
              <w:rPr>
                <w:b/>
                <w:sz w:val="20"/>
                <w:szCs w:val="20"/>
              </w:rPr>
            </w:pPr>
            <w:r w:rsidRPr="00C50A5C">
              <w:rPr>
                <w:b/>
                <w:sz w:val="20"/>
                <w:szCs w:val="20"/>
              </w:rPr>
              <w:tab/>
              <w:t>v. (33</w:t>
            </w:r>
            <w:r>
              <w:rPr>
                <w:b/>
                <w:sz w:val="20"/>
                <w:szCs w:val="20"/>
              </w:rPr>
              <w:t>754</w:t>
            </w:r>
            <w:r w:rsidRPr="00C50A5C">
              <w:rPr>
                <w:b/>
                <w:sz w:val="20"/>
                <w:szCs w:val="20"/>
              </w:rPr>
              <w:t>)</w:t>
            </w:r>
          </w:p>
          <w:p w:rsidR="00685C6A" w:rsidRPr="00C50A5C" w:rsidRDefault="00685C6A" w:rsidP="00685C6A">
            <w:pPr>
              <w:widowControl w:val="0"/>
              <w:jc w:val="both"/>
              <w:rPr>
                <w:b/>
                <w:sz w:val="20"/>
                <w:szCs w:val="20"/>
              </w:rPr>
            </w:pPr>
          </w:p>
          <w:p w:rsidR="0093057E" w:rsidRPr="0093057E" w:rsidRDefault="00685C6A" w:rsidP="00685C6A">
            <w:pPr>
              <w:widowControl w:val="0"/>
              <w:jc w:val="both"/>
              <w:rPr>
                <w:sz w:val="20"/>
                <w:szCs w:val="20"/>
              </w:rPr>
            </w:pPr>
            <w:r>
              <w:rPr>
                <w:b/>
                <w:sz w:val="20"/>
                <w:szCs w:val="20"/>
              </w:rPr>
              <w:t>Her Majesty the Queen</w:t>
            </w:r>
            <w:r w:rsidRPr="00C50A5C">
              <w:rPr>
                <w:b/>
                <w:sz w:val="20"/>
                <w:szCs w:val="20"/>
              </w:rPr>
              <w:t xml:space="preserve"> (</w:t>
            </w:r>
            <w:r>
              <w:rPr>
                <w:b/>
                <w:sz w:val="20"/>
                <w:szCs w:val="20"/>
              </w:rPr>
              <w:t>Ont</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(By</w:t>
            </w:r>
            <w:r>
              <w:rPr>
                <w:b/>
                <w:sz w:val="20"/>
                <w:szCs w:val="20"/>
              </w:rPr>
              <w:t> </w:t>
            </w:r>
            <w:r w:rsidRPr="00C50A5C">
              <w:rPr>
                <w:b/>
                <w:sz w:val="20"/>
                <w:szCs w:val="20"/>
              </w:rPr>
              <w:t>Leave)</w:t>
            </w:r>
          </w:p>
        </w:tc>
        <w:tc>
          <w:tcPr>
            <w:tcW w:w="720" w:type="dxa"/>
            <w:tcMar>
              <w:left w:w="0" w:type="dxa"/>
              <w:right w:w="0" w:type="dxa"/>
            </w:tcMar>
          </w:tcPr>
          <w:p w:rsidR="0093057E" w:rsidRPr="0093057E" w:rsidRDefault="0093057E" w:rsidP="0093057E">
            <w:pPr>
              <w:widowControl w:val="0"/>
              <w:jc w:val="center"/>
              <w:rPr>
                <w:sz w:val="20"/>
                <w:szCs w:val="20"/>
              </w:rPr>
            </w:pPr>
          </w:p>
        </w:tc>
        <w:tc>
          <w:tcPr>
            <w:tcW w:w="4380" w:type="dxa"/>
            <w:tcMar>
              <w:left w:w="0" w:type="dxa"/>
              <w:right w:w="0" w:type="dxa"/>
            </w:tcMar>
          </w:tcPr>
          <w:p w:rsidR="00434FB3" w:rsidRPr="00553ECD" w:rsidRDefault="00434FB3" w:rsidP="00434FB3">
            <w:pPr>
              <w:tabs>
                <w:tab w:val="left" w:pos="-2970"/>
              </w:tabs>
              <w:jc w:val="both"/>
              <w:rPr>
                <w:sz w:val="20"/>
                <w:szCs w:val="20"/>
              </w:rPr>
            </w:pPr>
            <w:r w:rsidRPr="00553ECD">
              <w:rPr>
                <w:sz w:val="20"/>
                <w:szCs w:val="20"/>
              </w:rPr>
              <w:t xml:space="preserve">Russell Silverstein </w:t>
            </w:r>
            <w:r>
              <w:rPr>
                <w:sz w:val="20"/>
                <w:szCs w:val="20"/>
              </w:rPr>
              <w:t xml:space="preserve">and </w:t>
            </w:r>
            <w:r w:rsidRPr="00553ECD">
              <w:rPr>
                <w:sz w:val="20"/>
                <w:szCs w:val="20"/>
              </w:rPr>
              <w:t>Ingrid Grant</w:t>
            </w:r>
            <w:r>
              <w:rPr>
                <w:sz w:val="20"/>
                <w:szCs w:val="20"/>
              </w:rPr>
              <w:t xml:space="preserve"> f</w:t>
            </w:r>
            <w:r w:rsidRPr="00553ECD">
              <w:rPr>
                <w:sz w:val="20"/>
                <w:szCs w:val="20"/>
              </w:rPr>
              <w:t xml:space="preserve">or the </w:t>
            </w:r>
            <w:r>
              <w:rPr>
                <w:sz w:val="20"/>
                <w:szCs w:val="20"/>
              </w:rPr>
              <w:t>a</w:t>
            </w:r>
            <w:r w:rsidRPr="00553ECD">
              <w:rPr>
                <w:sz w:val="20"/>
                <w:szCs w:val="20"/>
              </w:rPr>
              <w:t>ppellant.</w:t>
            </w:r>
          </w:p>
          <w:p w:rsidR="00434FB3" w:rsidRPr="00553ECD" w:rsidRDefault="00434FB3" w:rsidP="00434FB3">
            <w:pPr>
              <w:tabs>
                <w:tab w:val="left" w:pos="-2970"/>
              </w:tabs>
              <w:jc w:val="both"/>
              <w:rPr>
                <w:sz w:val="20"/>
                <w:szCs w:val="20"/>
              </w:rPr>
            </w:pPr>
          </w:p>
          <w:p w:rsidR="00434FB3" w:rsidRPr="00553ECD" w:rsidRDefault="00434FB3" w:rsidP="00434FB3">
            <w:pPr>
              <w:tabs>
                <w:tab w:val="left" w:pos="-2970"/>
              </w:tabs>
              <w:jc w:val="both"/>
              <w:rPr>
                <w:sz w:val="20"/>
                <w:szCs w:val="20"/>
              </w:rPr>
            </w:pPr>
            <w:r w:rsidRPr="00553ECD">
              <w:rPr>
                <w:sz w:val="20"/>
                <w:szCs w:val="20"/>
              </w:rPr>
              <w:t xml:space="preserve">P. </w:t>
            </w:r>
            <w:proofErr w:type="spellStart"/>
            <w:r w:rsidRPr="00553ECD">
              <w:rPr>
                <w:sz w:val="20"/>
                <w:szCs w:val="20"/>
              </w:rPr>
              <w:t>Andras</w:t>
            </w:r>
            <w:proofErr w:type="spellEnd"/>
            <w:r w:rsidRPr="00553ECD">
              <w:rPr>
                <w:sz w:val="20"/>
                <w:szCs w:val="20"/>
              </w:rPr>
              <w:t xml:space="preserve"> </w:t>
            </w:r>
            <w:proofErr w:type="spellStart"/>
            <w:r w:rsidRPr="00553ECD">
              <w:rPr>
                <w:sz w:val="20"/>
                <w:szCs w:val="20"/>
              </w:rPr>
              <w:t>Schreck</w:t>
            </w:r>
            <w:proofErr w:type="spellEnd"/>
            <w:r>
              <w:rPr>
                <w:sz w:val="20"/>
                <w:szCs w:val="20"/>
              </w:rPr>
              <w:t xml:space="preserve"> and </w:t>
            </w:r>
            <w:r w:rsidRPr="00553ECD">
              <w:rPr>
                <w:sz w:val="20"/>
                <w:szCs w:val="20"/>
              </w:rPr>
              <w:t>Lucy Saunders</w:t>
            </w:r>
            <w:r>
              <w:rPr>
                <w:sz w:val="20"/>
                <w:szCs w:val="20"/>
              </w:rPr>
              <w:t xml:space="preserve"> f</w:t>
            </w:r>
            <w:r w:rsidRPr="00553ECD">
              <w:rPr>
                <w:sz w:val="20"/>
                <w:szCs w:val="20"/>
              </w:rPr>
              <w:t xml:space="preserve">or the </w:t>
            </w:r>
            <w:r>
              <w:rPr>
                <w:sz w:val="20"/>
                <w:szCs w:val="20"/>
              </w:rPr>
              <w:t>i</w:t>
            </w:r>
            <w:r w:rsidRPr="00553ECD">
              <w:rPr>
                <w:sz w:val="20"/>
                <w:szCs w:val="20"/>
              </w:rPr>
              <w:t>ntervener</w:t>
            </w:r>
            <w:r>
              <w:rPr>
                <w:sz w:val="20"/>
                <w:szCs w:val="20"/>
              </w:rPr>
              <w:t xml:space="preserve"> </w:t>
            </w:r>
            <w:r w:rsidRPr="00553ECD">
              <w:rPr>
                <w:sz w:val="20"/>
                <w:szCs w:val="20"/>
              </w:rPr>
              <w:t>Criminal Lawyers’ Association of Ontario</w:t>
            </w:r>
            <w:r>
              <w:rPr>
                <w:sz w:val="20"/>
                <w:szCs w:val="20"/>
              </w:rPr>
              <w:t>.</w:t>
            </w:r>
          </w:p>
          <w:p w:rsidR="00434FB3" w:rsidRPr="00553ECD" w:rsidRDefault="00434FB3" w:rsidP="00434FB3">
            <w:pPr>
              <w:tabs>
                <w:tab w:val="left" w:pos="-2970"/>
              </w:tabs>
              <w:jc w:val="both"/>
              <w:rPr>
                <w:sz w:val="20"/>
                <w:szCs w:val="20"/>
              </w:rPr>
            </w:pPr>
          </w:p>
          <w:p w:rsidR="00434FB3" w:rsidRPr="00553ECD" w:rsidRDefault="00434FB3" w:rsidP="00434FB3">
            <w:pPr>
              <w:tabs>
                <w:tab w:val="left" w:pos="-2970"/>
              </w:tabs>
              <w:jc w:val="both"/>
              <w:rPr>
                <w:sz w:val="20"/>
                <w:szCs w:val="20"/>
              </w:rPr>
            </w:pPr>
            <w:r w:rsidRPr="00553ECD">
              <w:rPr>
                <w:sz w:val="20"/>
                <w:szCs w:val="20"/>
              </w:rPr>
              <w:t xml:space="preserve">Frank </w:t>
            </w:r>
            <w:proofErr w:type="spellStart"/>
            <w:r w:rsidRPr="00553ECD">
              <w:rPr>
                <w:sz w:val="20"/>
                <w:szCs w:val="20"/>
              </w:rPr>
              <w:t>Addario</w:t>
            </w:r>
            <w:proofErr w:type="spellEnd"/>
            <w:r>
              <w:rPr>
                <w:sz w:val="20"/>
                <w:szCs w:val="20"/>
              </w:rPr>
              <w:t xml:space="preserve">, </w:t>
            </w:r>
            <w:r w:rsidRPr="00553ECD">
              <w:rPr>
                <w:sz w:val="20"/>
                <w:szCs w:val="20"/>
              </w:rPr>
              <w:t>Gerald Chan</w:t>
            </w:r>
            <w:r>
              <w:rPr>
                <w:sz w:val="20"/>
                <w:szCs w:val="20"/>
              </w:rPr>
              <w:t xml:space="preserve"> and </w:t>
            </w:r>
            <w:r w:rsidRPr="00553ECD">
              <w:rPr>
                <w:sz w:val="20"/>
                <w:szCs w:val="20"/>
              </w:rPr>
              <w:t xml:space="preserve">Nader R. </w:t>
            </w:r>
            <w:proofErr w:type="spellStart"/>
            <w:r w:rsidRPr="00553ECD">
              <w:rPr>
                <w:sz w:val="20"/>
                <w:szCs w:val="20"/>
              </w:rPr>
              <w:t>Hasan</w:t>
            </w:r>
            <w:proofErr w:type="spellEnd"/>
            <w:r>
              <w:rPr>
                <w:sz w:val="20"/>
                <w:szCs w:val="20"/>
              </w:rPr>
              <w:t xml:space="preserve"> f</w:t>
            </w:r>
            <w:r w:rsidRPr="00553ECD">
              <w:rPr>
                <w:sz w:val="20"/>
                <w:szCs w:val="20"/>
              </w:rPr>
              <w:t xml:space="preserve">or the </w:t>
            </w:r>
            <w:r>
              <w:rPr>
                <w:sz w:val="20"/>
                <w:szCs w:val="20"/>
              </w:rPr>
              <w:t>i</w:t>
            </w:r>
            <w:r w:rsidRPr="00553ECD">
              <w:rPr>
                <w:sz w:val="20"/>
                <w:szCs w:val="20"/>
              </w:rPr>
              <w:t>ntervener</w:t>
            </w:r>
            <w:r>
              <w:rPr>
                <w:sz w:val="20"/>
                <w:szCs w:val="20"/>
              </w:rPr>
              <w:t xml:space="preserve"> </w:t>
            </w:r>
            <w:r w:rsidRPr="00553ECD">
              <w:rPr>
                <w:sz w:val="20"/>
                <w:szCs w:val="20"/>
              </w:rPr>
              <w:t>Canadian Civil Liberties Association</w:t>
            </w:r>
            <w:r>
              <w:rPr>
                <w:sz w:val="20"/>
                <w:szCs w:val="20"/>
              </w:rPr>
              <w:t>.</w:t>
            </w:r>
          </w:p>
          <w:p w:rsidR="00434FB3" w:rsidRPr="00553ECD" w:rsidRDefault="00434FB3" w:rsidP="00434FB3">
            <w:pPr>
              <w:tabs>
                <w:tab w:val="left" w:pos="-2970"/>
              </w:tabs>
              <w:jc w:val="both"/>
              <w:rPr>
                <w:sz w:val="20"/>
                <w:szCs w:val="20"/>
              </w:rPr>
            </w:pPr>
          </w:p>
          <w:p w:rsidR="00434FB3" w:rsidRPr="00553ECD" w:rsidRDefault="00434FB3" w:rsidP="00434FB3">
            <w:pPr>
              <w:tabs>
                <w:tab w:val="left" w:pos="-2970"/>
              </w:tabs>
              <w:jc w:val="both"/>
              <w:rPr>
                <w:sz w:val="20"/>
                <w:szCs w:val="20"/>
              </w:rPr>
            </w:pPr>
            <w:r w:rsidRPr="00553ECD">
              <w:rPr>
                <w:sz w:val="20"/>
                <w:szCs w:val="20"/>
              </w:rPr>
              <w:t xml:space="preserve">Jennifer M. </w:t>
            </w:r>
            <w:proofErr w:type="spellStart"/>
            <w:r w:rsidRPr="00553ECD">
              <w:rPr>
                <w:sz w:val="20"/>
                <w:szCs w:val="20"/>
              </w:rPr>
              <w:t>Woollcombe</w:t>
            </w:r>
            <w:proofErr w:type="spellEnd"/>
            <w:r>
              <w:rPr>
                <w:sz w:val="20"/>
                <w:szCs w:val="20"/>
              </w:rPr>
              <w:t xml:space="preserve"> and </w:t>
            </w:r>
            <w:r w:rsidRPr="00553ECD">
              <w:rPr>
                <w:sz w:val="20"/>
                <w:szCs w:val="20"/>
              </w:rPr>
              <w:t>Ivan S. Bloom, Q.C.</w:t>
            </w:r>
            <w:r>
              <w:rPr>
                <w:sz w:val="20"/>
                <w:szCs w:val="20"/>
              </w:rPr>
              <w:t xml:space="preserve"> f</w:t>
            </w:r>
            <w:r w:rsidRPr="00553ECD">
              <w:rPr>
                <w:sz w:val="20"/>
                <w:szCs w:val="20"/>
              </w:rPr>
              <w:t xml:space="preserve">or the </w:t>
            </w:r>
            <w:r>
              <w:rPr>
                <w:sz w:val="20"/>
                <w:szCs w:val="20"/>
              </w:rPr>
              <w:t>r</w:t>
            </w:r>
            <w:r w:rsidRPr="00553ECD">
              <w:rPr>
                <w:sz w:val="20"/>
                <w:szCs w:val="20"/>
              </w:rPr>
              <w:t>espondent.</w:t>
            </w:r>
          </w:p>
          <w:p w:rsidR="00434FB3" w:rsidRPr="00553ECD" w:rsidRDefault="00434FB3" w:rsidP="00434FB3">
            <w:pPr>
              <w:tabs>
                <w:tab w:val="left" w:pos="-2970"/>
              </w:tabs>
              <w:jc w:val="both"/>
              <w:rPr>
                <w:sz w:val="20"/>
                <w:szCs w:val="20"/>
              </w:rPr>
            </w:pPr>
          </w:p>
          <w:p w:rsidR="00434FB3" w:rsidRPr="00553ECD" w:rsidRDefault="00434FB3" w:rsidP="00434FB3">
            <w:pPr>
              <w:tabs>
                <w:tab w:val="left" w:pos="-2970"/>
              </w:tabs>
              <w:jc w:val="both"/>
              <w:rPr>
                <w:sz w:val="20"/>
                <w:szCs w:val="20"/>
              </w:rPr>
            </w:pPr>
            <w:r w:rsidRPr="00553ECD">
              <w:rPr>
                <w:sz w:val="20"/>
                <w:szCs w:val="20"/>
              </w:rPr>
              <w:t>James C. Martin</w:t>
            </w:r>
            <w:r>
              <w:rPr>
                <w:sz w:val="20"/>
                <w:szCs w:val="20"/>
              </w:rPr>
              <w:t xml:space="preserve"> and </w:t>
            </w:r>
            <w:r w:rsidRPr="00553ECD">
              <w:rPr>
                <w:sz w:val="20"/>
                <w:szCs w:val="20"/>
              </w:rPr>
              <w:t>Richard Kramer</w:t>
            </w:r>
            <w:r>
              <w:rPr>
                <w:sz w:val="20"/>
                <w:szCs w:val="20"/>
              </w:rPr>
              <w:t xml:space="preserve"> f</w:t>
            </w:r>
            <w:r w:rsidRPr="00553ECD">
              <w:rPr>
                <w:sz w:val="20"/>
                <w:szCs w:val="20"/>
              </w:rPr>
              <w:t xml:space="preserve">or the </w:t>
            </w:r>
            <w:r>
              <w:rPr>
                <w:sz w:val="20"/>
                <w:szCs w:val="20"/>
              </w:rPr>
              <w:t>i</w:t>
            </w:r>
            <w:r w:rsidRPr="00553ECD">
              <w:rPr>
                <w:sz w:val="20"/>
                <w:szCs w:val="20"/>
              </w:rPr>
              <w:t>ntervener</w:t>
            </w:r>
            <w:r>
              <w:rPr>
                <w:sz w:val="20"/>
                <w:szCs w:val="20"/>
              </w:rPr>
              <w:t xml:space="preserve"> </w:t>
            </w:r>
            <w:r w:rsidRPr="00553ECD">
              <w:rPr>
                <w:sz w:val="20"/>
                <w:szCs w:val="20"/>
              </w:rPr>
              <w:t>Attorney General of Canada</w:t>
            </w:r>
            <w:r>
              <w:rPr>
                <w:sz w:val="20"/>
                <w:szCs w:val="20"/>
              </w:rPr>
              <w:t>.</w:t>
            </w:r>
          </w:p>
          <w:p w:rsidR="00434FB3" w:rsidRPr="00553ECD" w:rsidRDefault="00434FB3" w:rsidP="00434FB3">
            <w:pPr>
              <w:tabs>
                <w:tab w:val="left" w:pos="-2970"/>
              </w:tabs>
              <w:jc w:val="both"/>
              <w:rPr>
                <w:sz w:val="20"/>
                <w:szCs w:val="20"/>
              </w:rPr>
            </w:pPr>
          </w:p>
          <w:p w:rsidR="0093057E" w:rsidRPr="00C50A5C" w:rsidRDefault="00434FB3" w:rsidP="00434FB3">
            <w:pPr>
              <w:widowControl w:val="0"/>
              <w:jc w:val="both"/>
              <w:rPr>
                <w:sz w:val="20"/>
                <w:szCs w:val="20"/>
              </w:rPr>
            </w:pPr>
            <w:r>
              <w:rPr>
                <w:sz w:val="20"/>
                <w:szCs w:val="20"/>
              </w:rPr>
              <w:t xml:space="preserve">Sylvain </w:t>
            </w:r>
            <w:proofErr w:type="spellStart"/>
            <w:r>
              <w:rPr>
                <w:sz w:val="20"/>
                <w:szCs w:val="20"/>
              </w:rPr>
              <w:t>Leboeuf</w:t>
            </w:r>
            <w:proofErr w:type="spellEnd"/>
            <w:r>
              <w:rPr>
                <w:sz w:val="20"/>
                <w:szCs w:val="20"/>
              </w:rPr>
              <w:t xml:space="preserve"> and </w:t>
            </w:r>
            <w:r w:rsidRPr="00553ECD">
              <w:rPr>
                <w:sz w:val="20"/>
                <w:szCs w:val="20"/>
              </w:rPr>
              <w:t xml:space="preserve">Gilles </w:t>
            </w:r>
            <w:proofErr w:type="spellStart"/>
            <w:r w:rsidRPr="00553ECD">
              <w:rPr>
                <w:sz w:val="20"/>
                <w:szCs w:val="20"/>
              </w:rPr>
              <w:t>Laporte</w:t>
            </w:r>
            <w:proofErr w:type="spellEnd"/>
            <w:r>
              <w:rPr>
                <w:sz w:val="20"/>
                <w:szCs w:val="20"/>
              </w:rPr>
              <w:t xml:space="preserve"> f</w:t>
            </w:r>
            <w:r w:rsidRPr="00553ECD">
              <w:rPr>
                <w:sz w:val="20"/>
                <w:szCs w:val="20"/>
              </w:rPr>
              <w:t xml:space="preserve">or the </w:t>
            </w:r>
            <w:r>
              <w:rPr>
                <w:sz w:val="20"/>
                <w:szCs w:val="20"/>
              </w:rPr>
              <w:t>i</w:t>
            </w:r>
            <w:r w:rsidRPr="00553ECD">
              <w:rPr>
                <w:sz w:val="20"/>
                <w:szCs w:val="20"/>
              </w:rPr>
              <w:t>ntervener</w:t>
            </w:r>
            <w:r>
              <w:rPr>
                <w:sz w:val="20"/>
                <w:szCs w:val="20"/>
              </w:rPr>
              <w:t xml:space="preserve"> </w:t>
            </w:r>
            <w:r w:rsidRPr="00553ECD">
              <w:rPr>
                <w:sz w:val="20"/>
                <w:szCs w:val="20"/>
              </w:rPr>
              <w:t>Attorney General of Quebec</w:t>
            </w:r>
            <w:r>
              <w:rPr>
                <w:sz w:val="20"/>
                <w:szCs w:val="20"/>
              </w:rPr>
              <w:t>.</w:t>
            </w:r>
          </w:p>
        </w:tc>
      </w:tr>
    </w:tbl>
    <w:p w:rsidR="0093057E" w:rsidRDefault="0093057E" w:rsidP="00732DB7">
      <w:pPr>
        <w:widowControl w:val="0"/>
        <w:rPr>
          <w:sz w:val="20"/>
          <w:szCs w:val="20"/>
        </w:rPr>
      </w:pPr>
    </w:p>
    <w:p w:rsidR="0093057E" w:rsidRPr="0085476B" w:rsidRDefault="0093057E" w:rsidP="0093057E">
      <w:pPr>
        <w:widowControl w:val="0"/>
        <w:rPr>
          <w:sz w:val="20"/>
          <w:szCs w:val="20"/>
        </w:rPr>
      </w:pPr>
      <w:r w:rsidRPr="0085476B">
        <w:rPr>
          <w:b/>
          <w:sz w:val="20"/>
          <w:szCs w:val="20"/>
        </w:rPr>
        <w:t xml:space="preserve">RESERVED / </w:t>
      </w:r>
      <w:r w:rsidRPr="0085476B">
        <w:rPr>
          <w:b/>
          <w:sz w:val="20"/>
          <w:szCs w:val="20"/>
          <w:lang w:val="fr-CA"/>
        </w:rPr>
        <w:t>EN DÉLIBÉRÉ</w:t>
      </w:r>
    </w:p>
    <w:p w:rsidR="0093057E" w:rsidRDefault="0093057E" w:rsidP="0093057E"/>
    <w:tbl>
      <w:tblPr>
        <w:tblW w:w="0" w:type="auto"/>
        <w:tblLayout w:type="fixed"/>
        <w:tblCellMar>
          <w:left w:w="0" w:type="dxa"/>
          <w:right w:w="0" w:type="dxa"/>
        </w:tblCellMar>
        <w:tblLook w:val="0000"/>
      </w:tblPr>
      <w:tblGrid>
        <w:gridCol w:w="4380"/>
        <w:gridCol w:w="720"/>
        <w:gridCol w:w="4380"/>
      </w:tblGrid>
      <w:tr w:rsidR="0093057E" w:rsidRPr="00FD7538" w:rsidTr="0093057E">
        <w:tc>
          <w:tcPr>
            <w:tcW w:w="4380" w:type="dxa"/>
            <w:tcMar>
              <w:left w:w="0" w:type="dxa"/>
              <w:right w:w="0" w:type="dxa"/>
            </w:tcMar>
          </w:tcPr>
          <w:p w:rsidR="0093057E" w:rsidRPr="00CC4D84" w:rsidRDefault="0093057E" w:rsidP="0093057E">
            <w:pPr>
              <w:widowControl w:val="0"/>
              <w:jc w:val="both"/>
              <w:rPr>
                <w:b/>
                <w:sz w:val="20"/>
                <w:szCs w:val="20"/>
                <w:u w:val="single"/>
              </w:rPr>
            </w:pPr>
            <w:r w:rsidRPr="00CC4D84">
              <w:rPr>
                <w:b/>
                <w:sz w:val="20"/>
                <w:szCs w:val="20"/>
                <w:u w:val="single"/>
              </w:rPr>
              <w:t>Nature of the case:</w:t>
            </w:r>
          </w:p>
          <w:p w:rsidR="0093057E" w:rsidRPr="00C1697B" w:rsidRDefault="0093057E" w:rsidP="0093057E">
            <w:pPr>
              <w:widowControl w:val="0"/>
              <w:jc w:val="both"/>
              <w:rPr>
                <w:b/>
                <w:sz w:val="20"/>
                <w:szCs w:val="20"/>
              </w:rPr>
            </w:pPr>
          </w:p>
          <w:p w:rsidR="0093057E" w:rsidRPr="00C1697B" w:rsidRDefault="000F3FED" w:rsidP="000F3FED">
            <w:pPr>
              <w:jc w:val="both"/>
              <w:rPr>
                <w:b/>
                <w:sz w:val="20"/>
                <w:szCs w:val="20"/>
              </w:rPr>
            </w:pPr>
            <w:r w:rsidRPr="00D73F55">
              <w:rPr>
                <w:i/>
                <w:sz w:val="20"/>
                <w:szCs w:val="20"/>
              </w:rPr>
              <w:t>Charter of Rights and Freedoms</w:t>
            </w:r>
            <w:r w:rsidRPr="00D73F55">
              <w:rPr>
                <w:sz w:val="20"/>
                <w:szCs w:val="20"/>
              </w:rPr>
              <w:t xml:space="preserve"> </w:t>
            </w:r>
            <w:r w:rsidRPr="00D73F55">
              <w:rPr>
                <w:sz w:val="20"/>
                <w:szCs w:val="20"/>
              </w:rPr>
              <w:noBreakHyphen/>
              <w:t xml:space="preserve"> Criminal law </w:t>
            </w:r>
            <w:r w:rsidRPr="00D73F55">
              <w:rPr>
                <w:sz w:val="20"/>
                <w:szCs w:val="20"/>
              </w:rPr>
              <w:noBreakHyphen/>
              <w:t xml:space="preserve"> Charge to jury </w:t>
            </w:r>
            <w:r w:rsidRPr="00D73F55">
              <w:rPr>
                <w:sz w:val="20"/>
                <w:szCs w:val="20"/>
              </w:rPr>
              <w:noBreakHyphen/>
              <w:t xml:space="preserve"> Right to silence </w:t>
            </w:r>
            <w:r w:rsidRPr="00D73F55">
              <w:rPr>
                <w:sz w:val="20"/>
                <w:szCs w:val="20"/>
              </w:rPr>
              <w:noBreakHyphen/>
              <w:t xml:space="preserve"> Consideration of s. 4(6) of the </w:t>
            </w:r>
            <w:r w:rsidRPr="00D73F55">
              <w:rPr>
                <w:i/>
                <w:sz w:val="20"/>
                <w:szCs w:val="20"/>
              </w:rPr>
              <w:t>Canada Evidence Act</w:t>
            </w:r>
            <w:r w:rsidRPr="00D73F55">
              <w:rPr>
                <w:sz w:val="20"/>
                <w:szCs w:val="20"/>
              </w:rPr>
              <w:t xml:space="preserve"> </w:t>
            </w:r>
            <w:r w:rsidRPr="00D73F55">
              <w:rPr>
                <w:sz w:val="20"/>
                <w:szCs w:val="20"/>
              </w:rPr>
              <w:noBreakHyphen/>
              <w:t xml:space="preserve"> Whether the trial judge erred in failing to charge the jury on the impermissibility of drawing an inference of guilt from the failure of the appellant to testify </w:t>
            </w:r>
            <w:r w:rsidRPr="00D73F55">
              <w:rPr>
                <w:sz w:val="20"/>
                <w:szCs w:val="20"/>
              </w:rPr>
              <w:noBreakHyphen/>
              <w:t xml:space="preserve"> Whether s. 4(6) of the </w:t>
            </w:r>
            <w:r w:rsidRPr="00D73F55">
              <w:rPr>
                <w:i/>
                <w:sz w:val="20"/>
                <w:szCs w:val="20"/>
              </w:rPr>
              <w:t>Canada Evidence Act</w:t>
            </w:r>
            <w:r w:rsidRPr="00D73F55">
              <w:rPr>
                <w:sz w:val="20"/>
                <w:szCs w:val="20"/>
              </w:rPr>
              <w:t xml:space="preserve"> should be interpreted such as to allow a trial judge to </w:t>
            </w:r>
            <w:proofErr w:type="spellStart"/>
            <w:r w:rsidRPr="00D73F55">
              <w:rPr>
                <w:sz w:val="20"/>
                <w:szCs w:val="20"/>
              </w:rPr>
              <w:t>instuct</w:t>
            </w:r>
            <w:proofErr w:type="spellEnd"/>
            <w:r w:rsidRPr="00D73F55">
              <w:rPr>
                <w:sz w:val="20"/>
                <w:szCs w:val="20"/>
              </w:rPr>
              <w:t xml:space="preserve"> a jury on the impermissibility of drawing an inference of guilt from the failure of an accused to testify </w:t>
            </w:r>
            <w:r w:rsidRPr="00D73F55">
              <w:rPr>
                <w:sz w:val="20"/>
                <w:szCs w:val="20"/>
              </w:rPr>
              <w:noBreakHyphen/>
              <w:t xml:space="preserve"> Whether the Court of Appeal erred in its interpretation of the curative proviso at s. 686(1)(b)(iii) of the </w:t>
            </w:r>
            <w:r w:rsidRPr="00D73F55">
              <w:rPr>
                <w:i/>
                <w:sz w:val="20"/>
                <w:szCs w:val="20"/>
              </w:rPr>
              <w:t>Criminal Code</w:t>
            </w:r>
            <w:r w:rsidRPr="00D73F55">
              <w:rPr>
                <w:sz w:val="20"/>
                <w:szCs w:val="20"/>
              </w:rPr>
              <w:t xml:space="preserve"> with respect to the trial judge’s erroneous admission of hearsay evidence </w:t>
            </w:r>
            <w:r w:rsidRPr="00D73F55">
              <w:rPr>
                <w:sz w:val="20"/>
                <w:szCs w:val="20"/>
              </w:rPr>
              <w:noBreakHyphen/>
              <w:t xml:space="preserve"> Does s. 4(6) of the </w:t>
            </w:r>
            <w:r w:rsidRPr="00D73F55">
              <w:rPr>
                <w:i/>
                <w:sz w:val="20"/>
                <w:szCs w:val="20"/>
              </w:rPr>
              <w:t>Canada Evidence Act</w:t>
            </w:r>
            <w:r w:rsidRPr="00D73F55">
              <w:rPr>
                <w:sz w:val="20"/>
                <w:szCs w:val="20"/>
              </w:rPr>
              <w:t>, R.S.C. 1985, chap. C</w:t>
            </w:r>
            <w:r w:rsidRPr="00D73F55">
              <w:rPr>
                <w:sz w:val="20"/>
                <w:szCs w:val="20"/>
              </w:rPr>
              <w:noBreakHyphen/>
              <w:t xml:space="preserve">5, infringe s. 7 of the </w:t>
            </w:r>
            <w:r w:rsidRPr="00D73F55">
              <w:rPr>
                <w:i/>
                <w:sz w:val="20"/>
                <w:szCs w:val="20"/>
              </w:rPr>
              <w:t>Canadian Charter of Rights and Freedoms</w:t>
            </w:r>
            <w:r w:rsidRPr="00D73F55">
              <w:rPr>
                <w:sz w:val="20"/>
                <w:szCs w:val="20"/>
              </w:rPr>
              <w:t xml:space="preserve">? </w:t>
            </w:r>
            <w:r w:rsidRPr="00D73F55">
              <w:rPr>
                <w:sz w:val="20"/>
                <w:szCs w:val="20"/>
              </w:rPr>
              <w:noBreakHyphen/>
              <w:t xml:space="preserve"> If so, is the infringement a reasonable limit prescribed by law as can be demonstrably justified in a free and democratic society under s. 1 of the </w:t>
            </w:r>
            <w:r w:rsidRPr="00D73F55">
              <w:rPr>
                <w:i/>
                <w:sz w:val="20"/>
                <w:szCs w:val="20"/>
              </w:rPr>
              <w:t>Canadian Charter of Rights and Freedoms</w:t>
            </w:r>
            <w:r w:rsidRPr="00D73F55">
              <w:rPr>
                <w:sz w:val="20"/>
                <w:szCs w:val="20"/>
              </w:rPr>
              <w:t xml:space="preserve">? </w:t>
            </w:r>
            <w:r w:rsidRPr="00D73F55">
              <w:rPr>
                <w:sz w:val="20"/>
                <w:szCs w:val="20"/>
              </w:rPr>
              <w:noBreakHyphen/>
              <w:t xml:space="preserve"> Does s. 4(6) of the </w:t>
            </w:r>
            <w:r w:rsidRPr="00D73F55">
              <w:rPr>
                <w:i/>
                <w:sz w:val="20"/>
                <w:szCs w:val="20"/>
              </w:rPr>
              <w:t>Canada Evidence Act</w:t>
            </w:r>
            <w:r w:rsidRPr="00D73F55">
              <w:rPr>
                <w:sz w:val="20"/>
                <w:szCs w:val="20"/>
              </w:rPr>
              <w:t>, R.S.C. 1985, chap. C</w:t>
            </w:r>
            <w:r w:rsidRPr="00D73F55">
              <w:rPr>
                <w:sz w:val="20"/>
                <w:szCs w:val="20"/>
              </w:rPr>
              <w:noBreakHyphen/>
              <w:t xml:space="preserve">5, infringe s. 11(c) of the </w:t>
            </w:r>
            <w:r w:rsidRPr="00D73F55">
              <w:rPr>
                <w:i/>
                <w:sz w:val="20"/>
                <w:szCs w:val="20"/>
              </w:rPr>
              <w:t>Canadian Charter of Rights and Freedoms</w:t>
            </w:r>
            <w:r w:rsidRPr="00D73F55">
              <w:rPr>
                <w:sz w:val="20"/>
                <w:szCs w:val="20"/>
              </w:rPr>
              <w:t xml:space="preserve">? </w:t>
            </w:r>
            <w:r w:rsidRPr="00D73F55">
              <w:rPr>
                <w:sz w:val="20"/>
                <w:szCs w:val="20"/>
              </w:rPr>
              <w:noBreakHyphen/>
              <w:t xml:space="preserve"> If so, is the infringement a reasonable limit prescribed by law as can be demonstrably justified in a free and democratic society under s. 1 of the </w:t>
            </w:r>
            <w:r w:rsidRPr="00D73F55">
              <w:rPr>
                <w:i/>
                <w:sz w:val="20"/>
                <w:szCs w:val="20"/>
              </w:rPr>
              <w:t>Canadian Charter of Rights and Freedoms</w:t>
            </w:r>
            <w:r w:rsidRPr="00D73F55">
              <w:rPr>
                <w:sz w:val="20"/>
                <w:szCs w:val="20"/>
              </w:rPr>
              <w:t xml:space="preserve">? </w:t>
            </w:r>
            <w:r w:rsidRPr="00D73F55">
              <w:rPr>
                <w:sz w:val="20"/>
                <w:szCs w:val="20"/>
              </w:rPr>
              <w:noBreakHyphen/>
              <w:t xml:space="preserve"> Does s. 4(6) of the </w:t>
            </w:r>
            <w:r w:rsidRPr="00D73F55">
              <w:rPr>
                <w:i/>
                <w:sz w:val="20"/>
                <w:szCs w:val="20"/>
              </w:rPr>
              <w:t>Canada Evidence Act</w:t>
            </w:r>
            <w:r w:rsidRPr="00D73F55">
              <w:rPr>
                <w:sz w:val="20"/>
                <w:szCs w:val="20"/>
              </w:rPr>
              <w:t>, R.S.C. 1985, chap. C</w:t>
            </w:r>
            <w:r w:rsidRPr="00D73F55">
              <w:rPr>
                <w:sz w:val="20"/>
                <w:szCs w:val="20"/>
              </w:rPr>
              <w:noBreakHyphen/>
              <w:t xml:space="preserve">5, infringe s. 11(d) of the </w:t>
            </w:r>
            <w:r w:rsidRPr="00D73F55">
              <w:rPr>
                <w:i/>
                <w:sz w:val="20"/>
                <w:szCs w:val="20"/>
              </w:rPr>
              <w:t xml:space="preserve">Canadian </w:t>
            </w:r>
            <w:r w:rsidRPr="00D73F55">
              <w:rPr>
                <w:i/>
                <w:sz w:val="20"/>
                <w:szCs w:val="20"/>
              </w:rPr>
              <w:lastRenderedPageBreak/>
              <w:t>Charter of Rights and Freedoms</w:t>
            </w:r>
            <w:r w:rsidRPr="00D73F55">
              <w:rPr>
                <w:sz w:val="20"/>
                <w:szCs w:val="20"/>
              </w:rPr>
              <w:t>?</w:t>
            </w:r>
          </w:p>
        </w:tc>
        <w:tc>
          <w:tcPr>
            <w:tcW w:w="720" w:type="dxa"/>
            <w:tcMar>
              <w:left w:w="0" w:type="dxa"/>
              <w:right w:w="0" w:type="dxa"/>
            </w:tcMar>
          </w:tcPr>
          <w:p w:rsidR="0093057E" w:rsidRPr="00C1697B" w:rsidRDefault="0093057E" w:rsidP="0093057E">
            <w:pPr>
              <w:widowControl w:val="0"/>
              <w:jc w:val="center"/>
              <w:rPr>
                <w:sz w:val="20"/>
                <w:szCs w:val="20"/>
              </w:rPr>
            </w:pPr>
          </w:p>
        </w:tc>
        <w:tc>
          <w:tcPr>
            <w:tcW w:w="4380" w:type="dxa"/>
            <w:tcMar>
              <w:left w:w="0" w:type="dxa"/>
              <w:right w:w="0" w:type="dxa"/>
            </w:tcMar>
          </w:tcPr>
          <w:p w:rsidR="0093057E" w:rsidRPr="00CC4D84" w:rsidRDefault="0093057E" w:rsidP="0093057E">
            <w:pPr>
              <w:widowControl w:val="0"/>
              <w:jc w:val="both"/>
              <w:rPr>
                <w:b/>
                <w:sz w:val="20"/>
                <w:szCs w:val="20"/>
                <w:u w:val="single"/>
                <w:lang w:val="fr-CA"/>
              </w:rPr>
            </w:pPr>
            <w:r w:rsidRPr="00CC4D84">
              <w:rPr>
                <w:b/>
                <w:sz w:val="20"/>
                <w:szCs w:val="20"/>
                <w:u w:val="single"/>
                <w:lang w:val="fr-CA"/>
              </w:rPr>
              <w:t>Nature de la cause :</w:t>
            </w:r>
          </w:p>
          <w:p w:rsidR="0093057E" w:rsidRPr="00C1697B" w:rsidRDefault="0093057E" w:rsidP="0093057E">
            <w:pPr>
              <w:widowControl w:val="0"/>
              <w:jc w:val="both"/>
              <w:rPr>
                <w:sz w:val="20"/>
                <w:szCs w:val="20"/>
                <w:lang w:val="fr-CA"/>
              </w:rPr>
            </w:pPr>
          </w:p>
          <w:p w:rsidR="0093057E" w:rsidRPr="00C1697B" w:rsidRDefault="00A66770" w:rsidP="00A66770">
            <w:pPr>
              <w:jc w:val="both"/>
              <w:rPr>
                <w:sz w:val="20"/>
                <w:szCs w:val="20"/>
                <w:lang w:val="fr-CA"/>
              </w:rPr>
            </w:pPr>
            <w:r w:rsidRPr="00E73261">
              <w:rPr>
                <w:i/>
                <w:iCs/>
                <w:sz w:val="20"/>
                <w:szCs w:val="20"/>
                <w:lang w:val="fr-CA"/>
              </w:rPr>
              <w:t>Charte des droits et libertés</w:t>
            </w:r>
            <w:r w:rsidRPr="00E73261">
              <w:rPr>
                <w:sz w:val="20"/>
                <w:szCs w:val="20"/>
                <w:lang w:val="fr-CA"/>
              </w:rPr>
              <w:t xml:space="preserve"> </w:t>
            </w:r>
            <w:r w:rsidRPr="00E73261">
              <w:rPr>
                <w:sz w:val="20"/>
                <w:szCs w:val="20"/>
                <w:lang w:val="fr-CA"/>
              </w:rPr>
              <w:noBreakHyphen/>
              <w:t xml:space="preserve"> Droit criminel </w:t>
            </w:r>
            <w:r w:rsidRPr="00E73261">
              <w:rPr>
                <w:sz w:val="20"/>
                <w:szCs w:val="20"/>
                <w:lang w:val="fr-CA"/>
              </w:rPr>
              <w:noBreakHyphen/>
              <w:t xml:space="preserve"> Exposé au jury </w:t>
            </w:r>
            <w:r w:rsidRPr="00E73261">
              <w:rPr>
                <w:sz w:val="20"/>
                <w:szCs w:val="20"/>
                <w:lang w:val="fr-CA"/>
              </w:rPr>
              <w:noBreakHyphen/>
              <w:t xml:space="preserve"> Droit de garder le silence </w:t>
            </w:r>
            <w:r w:rsidRPr="00E73261">
              <w:rPr>
                <w:sz w:val="20"/>
                <w:szCs w:val="20"/>
                <w:lang w:val="fr-CA"/>
              </w:rPr>
              <w:noBreakHyphen/>
              <w:t xml:space="preserve"> Considération du par. 4(6) de la </w:t>
            </w:r>
            <w:r w:rsidRPr="00E73261">
              <w:rPr>
                <w:i/>
                <w:iCs/>
                <w:sz w:val="20"/>
                <w:szCs w:val="20"/>
                <w:lang w:val="fr-CA"/>
              </w:rPr>
              <w:t>Loi sur la preuve au Canada</w:t>
            </w:r>
            <w:r w:rsidRPr="00E73261">
              <w:rPr>
                <w:sz w:val="20"/>
                <w:szCs w:val="20"/>
                <w:lang w:val="fr-CA"/>
              </w:rPr>
              <w:t xml:space="preserve"> </w:t>
            </w:r>
            <w:r w:rsidRPr="00E73261">
              <w:rPr>
                <w:sz w:val="20"/>
                <w:szCs w:val="20"/>
                <w:lang w:val="fr-CA"/>
              </w:rPr>
              <w:noBreakHyphen/>
              <w:t xml:space="preserve"> Le juge du procès </w:t>
            </w:r>
            <w:proofErr w:type="spellStart"/>
            <w:r w:rsidRPr="00E73261">
              <w:rPr>
                <w:sz w:val="20"/>
                <w:szCs w:val="20"/>
                <w:lang w:val="fr-CA"/>
              </w:rPr>
              <w:t>a</w:t>
            </w:r>
            <w:r w:rsidRPr="00E73261">
              <w:rPr>
                <w:sz w:val="20"/>
                <w:szCs w:val="20"/>
                <w:lang w:val="fr-CA"/>
              </w:rPr>
              <w:noBreakHyphen/>
              <w:t>t</w:t>
            </w:r>
            <w:r w:rsidRPr="00E73261">
              <w:rPr>
                <w:sz w:val="20"/>
                <w:szCs w:val="20"/>
                <w:lang w:val="fr-CA"/>
              </w:rPr>
              <w:noBreakHyphen/>
              <w:t>il</w:t>
            </w:r>
            <w:proofErr w:type="spellEnd"/>
            <w:r w:rsidRPr="00E73261">
              <w:rPr>
                <w:sz w:val="20"/>
                <w:szCs w:val="20"/>
                <w:lang w:val="fr-CA"/>
              </w:rPr>
              <w:t xml:space="preserve"> eu tort de ne pas avoir donné au jury une directive sur l’interdiction de tirer une inférence de culpabilité de l’appelant du fait qu’il n’a pas témoigné? </w:t>
            </w:r>
            <w:r w:rsidRPr="00E73261">
              <w:rPr>
                <w:sz w:val="20"/>
                <w:szCs w:val="20"/>
                <w:lang w:val="fr-CA"/>
              </w:rPr>
              <w:noBreakHyphen/>
              <w:t xml:space="preserve"> </w:t>
            </w:r>
            <w:proofErr w:type="spellStart"/>
            <w:r w:rsidRPr="00E73261">
              <w:rPr>
                <w:sz w:val="20"/>
                <w:szCs w:val="20"/>
                <w:lang w:val="fr-CA"/>
              </w:rPr>
              <w:t>Faut</w:t>
            </w:r>
            <w:r w:rsidRPr="00E73261">
              <w:rPr>
                <w:sz w:val="20"/>
                <w:szCs w:val="20"/>
                <w:lang w:val="fr-CA"/>
              </w:rPr>
              <w:noBreakHyphen/>
              <w:t>il</w:t>
            </w:r>
            <w:proofErr w:type="spellEnd"/>
            <w:r w:rsidRPr="00E73261">
              <w:rPr>
                <w:sz w:val="20"/>
                <w:szCs w:val="20"/>
                <w:lang w:val="fr-CA"/>
              </w:rPr>
              <w:t xml:space="preserve"> interpréter le par. 4(6) de la </w:t>
            </w:r>
            <w:r w:rsidRPr="00E73261">
              <w:rPr>
                <w:i/>
                <w:sz w:val="20"/>
                <w:szCs w:val="20"/>
                <w:lang w:val="fr-CA"/>
              </w:rPr>
              <w:t>Loi sur la preuve au Canada</w:t>
            </w:r>
            <w:r w:rsidRPr="00E73261">
              <w:rPr>
                <w:sz w:val="20"/>
                <w:szCs w:val="20"/>
                <w:lang w:val="fr-CA"/>
              </w:rPr>
              <w:t xml:space="preserve"> comme permettant à un juge du procès de donner au jury une directive sur l’interdiction de tirer une inférence de culpabilité d’un accusé du fait qu’il n’a pas témoigné? </w:t>
            </w:r>
            <w:r w:rsidRPr="00E73261">
              <w:rPr>
                <w:sz w:val="20"/>
                <w:szCs w:val="20"/>
                <w:lang w:val="fr-CA"/>
              </w:rPr>
              <w:noBreakHyphen/>
              <w:t xml:space="preserve"> La Cour d’appel </w:t>
            </w:r>
            <w:proofErr w:type="spellStart"/>
            <w:r w:rsidRPr="00E73261">
              <w:rPr>
                <w:sz w:val="20"/>
                <w:szCs w:val="20"/>
                <w:lang w:val="fr-CA"/>
              </w:rPr>
              <w:t>a</w:t>
            </w:r>
            <w:r w:rsidRPr="00E73261">
              <w:rPr>
                <w:sz w:val="20"/>
                <w:szCs w:val="20"/>
                <w:lang w:val="fr-CA"/>
              </w:rPr>
              <w:noBreakHyphen/>
              <w:t>t</w:t>
            </w:r>
            <w:r w:rsidRPr="00E73261">
              <w:rPr>
                <w:sz w:val="20"/>
                <w:szCs w:val="20"/>
                <w:lang w:val="fr-CA"/>
              </w:rPr>
              <w:noBreakHyphen/>
              <w:t>elle</w:t>
            </w:r>
            <w:proofErr w:type="spellEnd"/>
            <w:r w:rsidRPr="00E73261">
              <w:rPr>
                <w:sz w:val="20"/>
                <w:szCs w:val="20"/>
                <w:lang w:val="fr-CA"/>
              </w:rPr>
              <w:t xml:space="preserve"> commis une erreur dans son interprétation de la disposition réparatrice du </w:t>
            </w:r>
            <w:proofErr w:type="spellStart"/>
            <w:r w:rsidRPr="00E73261">
              <w:rPr>
                <w:sz w:val="20"/>
                <w:szCs w:val="20"/>
                <w:lang w:val="fr-CA"/>
              </w:rPr>
              <w:t>sous</w:t>
            </w:r>
            <w:r w:rsidRPr="00E73261">
              <w:rPr>
                <w:sz w:val="20"/>
                <w:szCs w:val="20"/>
                <w:lang w:val="fr-CA"/>
              </w:rPr>
              <w:noBreakHyphen/>
              <w:t>al</w:t>
            </w:r>
            <w:proofErr w:type="spellEnd"/>
            <w:r w:rsidRPr="00E73261">
              <w:rPr>
                <w:sz w:val="20"/>
                <w:szCs w:val="20"/>
                <w:lang w:val="fr-CA"/>
              </w:rPr>
              <w:t>. 686(1)b</w:t>
            </w:r>
            <w:proofErr w:type="gramStart"/>
            <w:r w:rsidRPr="00E73261">
              <w:rPr>
                <w:sz w:val="20"/>
                <w:szCs w:val="20"/>
                <w:lang w:val="fr-CA"/>
              </w:rPr>
              <w:t>)(</w:t>
            </w:r>
            <w:proofErr w:type="gramEnd"/>
            <w:r w:rsidRPr="00E73261">
              <w:rPr>
                <w:sz w:val="20"/>
                <w:szCs w:val="20"/>
                <w:lang w:val="fr-CA"/>
              </w:rPr>
              <w:t xml:space="preserve">iii) du </w:t>
            </w:r>
            <w:r w:rsidRPr="00E73261">
              <w:rPr>
                <w:i/>
                <w:sz w:val="20"/>
                <w:szCs w:val="20"/>
                <w:lang w:val="fr-CA"/>
              </w:rPr>
              <w:t>Code criminel</w:t>
            </w:r>
            <w:r w:rsidRPr="00E73261">
              <w:rPr>
                <w:sz w:val="20"/>
                <w:szCs w:val="20"/>
                <w:lang w:val="fr-CA"/>
              </w:rPr>
              <w:t xml:space="preserve"> à l’égard de l’admission erronée par le juge du procès d’une preuve par </w:t>
            </w:r>
            <w:proofErr w:type="spellStart"/>
            <w:r w:rsidRPr="00E73261">
              <w:rPr>
                <w:sz w:val="20"/>
                <w:szCs w:val="20"/>
                <w:lang w:val="fr-CA"/>
              </w:rPr>
              <w:t>ouï</w:t>
            </w:r>
            <w:r w:rsidRPr="00E73261">
              <w:rPr>
                <w:sz w:val="20"/>
                <w:szCs w:val="20"/>
                <w:lang w:val="fr-CA"/>
              </w:rPr>
              <w:noBreakHyphen/>
              <w:t>dire</w:t>
            </w:r>
            <w:proofErr w:type="spellEnd"/>
            <w:r w:rsidRPr="00E73261">
              <w:rPr>
                <w:sz w:val="20"/>
                <w:szCs w:val="20"/>
                <w:lang w:val="fr-CA"/>
              </w:rPr>
              <w:t xml:space="preserve">? </w:t>
            </w:r>
            <w:r w:rsidRPr="00E73261">
              <w:rPr>
                <w:sz w:val="20"/>
                <w:szCs w:val="20"/>
                <w:lang w:val="fr-CA"/>
              </w:rPr>
              <w:noBreakHyphen/>
              <w:t xml:space="preserve"> Le par. 4(6) de la </w:t>
            </w:r>
            <w:r w:rsidRPr="00E73261">
              <w:rPr>
                <w:i/>
                <w:sz w:val="20"/>
                <w:szCs w:val="20"/>
                <w:lang w:val="fr-CA"/>
              </w:rPr>
              <w:t>Loi sur la preuve au Canada</w:t>
            </w:r>
            <w:r w:rsidRPr="00E73261">
              <w:rPr>
                <w:sz w:val="20"/>
                <w:szCs w:val="20"/>
                <w:lang w:val="fr-CA"/>
              </w:rPr>
              <w:t>, L.R.C. 1985, ch. C</w:t>
            </w:r>
            <w:r w:rsidRPr="00E73261">
              <w:rPr>
                <w:sz w:val="20"/>
                <w:szCs w:val="20"/>
                <w:lang w:val="fr-CA"/>
              </w:rPr>
              <w:noBreakHyphen/>
              <w:t xml:space="preserve">5, </w:t>
            </w:r>
            <w:proofErr w:type="spellStart"/>
            <w:r w:rsidRPr="00E73261">
              <w:rPr>
                <w:sz w:val="20"/>
                <w:szCs w:val="20"/>
                <w:lang w:val="fr-CA"/>
              </w:rPr>
              <w:t>porte</w:t>
            </w:r>
            <w:r w:rsidRPr="00E73261">
              <w:rPr>
                <w:sz w:val="20"/>
                <w:szCs w:val="20"/>
                <w:lang w:val="fr-CA"/>
              </w:rPr>
              <w:noBreakHyphen/>
              <w:t>t</w:t>
            </w:r>
            <w:r w:rsidRPr="00E73261">
              <w:rPr>
                <w:sz w:val="20"/>
                <w:szCs w:val="20"/>
                <w:lang w:val="fr-CA"/>
              </w:rPr>
              <w:noBreakHyphen/>
              <w:t>il</w:t>
            </w:r>
            <w:proofErr w:type="spellEnd"/>
            <w:r w:rsidRPr="00E73261">
              <w:rPr>
                <w:sz w:val="20"/>
                <w:szCs w:val="20"/>
                <w:lang w:val="fr-CA"/>
              </w:rPr>
              <w:t xml:space="preserve"> atteinte à l’art. 7 de la </w:t>
            </w:r>
            <w:r w:rsidRPr="00E73261">
              <w:rPr>
                <w:i/>
                <w:sz w:val="20"/>
                <w:szCs w:val="20"/>
                <w:lang w:val="fr-CA"/>
              </w:rPr>
              <w:t>Charte canadienne des droits et libertés</w:t>
            </w:r>
            <w:r w:rsidRPr="00E73261">
              <w:rPr>
                <w:sz w:val="20"/>
                <w:szCs w:val="20"/>
                <w:lang w:val="fr-CA"/>
              </w:rPr>
              <w:t xml:space="preserve">? </w:t>
            </w:r>
            <w:r w:rsidRPr="00E73261">
              <w:rPr>
                <w:sz w:val="20"/>
                <w:szCs w:val="20"/>
                <w:lang w:val="fr-CA"/>
              </w:rPr>
              <w:noBreakHyphen/>
              <w:t xml:space="preserve"> Dans l’affirmative, cette atteinte </w:t>
            </w:r>
            <w:proofErr w:type="spellStart"/>
            <w:r w:rsidRPr="00E73261">
              <w:rPr>
                <w:sz w:val="20"/>
                <w:szCs w:val="20"/>
                <w:lang w:val="fr-CA"/>
              </w:rPr>
              <w:t>constitue</w:t>
            </w:r>
            <w:r w:rsidRPr="00E73261">
              <w:rPr>
                <w:sz w:val="20"/>
                <w:szCs w:val="20"/>
                <w:lang w:val="fr-CA"/>
              </w:rPr>
              <w:noBreakHyphen/>
              <w:t>t</w:t>
            </w:r>
            <w:r w:rsidRPr="00E73261">
              <w:rPr>
                <w:sz w:val="20"/>
                <w:szCs w:val="20"/>
                <w:lang w:val="fr-CA"/>
              </w:rPr>
              <w:noBreakHyphen/>
              <w:t>elle</w:t>
            </w:r>
            <w:proofErr w:type="spellEnd"/>
            <w:r w:rsidRPr="00E73261">
              <w:rPr>
                <w:sz w:val="20"/>
                <w:szCs w:val="20"/>
                <w:lang w:val="fr-CA"/>
              </w:rPr>
              <w:t xml:space="preserve"> une limite raisonnable prescrite par une règle de droit, dont la justification peut se démontrer dans le cadre d’une société libre et démocratique, au sens de l’article premier de la </w:t>
            </w:r>
            <w:r w:rsidRPr="00E73261">
              <w:rPr>
                <w:i/>
                <w:iCs/>
                <w:sz w:val="20"/>
                <w:szCs w:val="20"/>
                <w:lang w:val="fr-CA"/>
              </w:rPr>
              <w:t>Charte canadienne des droits et libertés</w:t>
            </w:r>
            <w:r w:rsidRPr="00E73261">
              <w:rPr>
                <w:sz w:val="20"/>
                <w:szCs w:val="20"/>
                <w:lang w:val="fr-CA"/>
              </w:rPr>
              <w:t xml:space="preserve">? </w:t>
            </w:r>
            <w:r w:rsidRPr="00E73261">
              <w:rPr>
                <w:sz w:val="20"/>
                <w:szCs w:val="20"/>
                <w:lang w:val="fr-CA"/>
              </w:rPr>
              <w:noBreakHyphen/>
              <w:t xml:space="preserve"> Le par. 4(6) de la </w:t>
            </w:r>
            <w:r w:rsidRPr="00E73261">
              <w:rPr>
                <w:i/>
                <w:sz w:val="20"/>
                <w:szCs w:val="20"/>
                <w:lang w:val="fr-CA"/>
              </w:rPr>
              <w:t>Loi sur la preuve au Canada</w:t>
            </w:r>
            <w:r w:rsidRPr="00E73261">
              <w:rPr>
                <w:sz w:val="20"/>
                <w:szCs w:val="20"/>
                <w:lang w:val="fr-CA"/>
              </w:rPr>
              <w:t>, L.R.C. 1985, ch. C</w:t>
            </w:r>
            <w:r w:rsidRPr="00E73261">
              <w:rPr>
                <w:sz w:val="20"/>
                <w:szCs w:val="20"/>
                <w:lang w:val="fr-CA"/>
              </w:rPr>
              <w:noBreakHyphen/>
              <w:t xml:space="preserve">5, </w:t>
            </w:r>
            <w:proofErr w:type="spellStart"/>
            <w:r w:rsidRPr="00E73261">
              <w:rPr>
                <w:sz w:val="20"/>
                <w:szCs w:val="20"/>
                <w:lang w:val="fr-CA"/>
              </w:rPr>
              <w:t>porte</w:t>
            </w:r>
            <w:r w:rsidRPr="00E73261">
              <w:rPr>
                <w:sz w:val="20"/>
                <w:szCs w:val="20"/>
                <w:lang w:val="fr-CA"/>
              </w:rPr>
              <w:noBreakHyphen/>
              <w:t>t</w:t>
            </w:r>
            <w:r w:rsidRPr="00E73261">
              <w:rPr>
                <w:sz w:val="20"/>
                <w:szCs w:val="20"/>
                <w:lang w:val="fr-CA"/>
              </w:rPr>
              <w:noBreakHyphen/>
              <w:t>il</w:t>
            </w:r>
            <w:proofErr w:type="spellEnd"/>
            <w:r w:rsidRPr="00E73261">
              <w:rPr>
                <w:sz w:val="20"/>
                <w:szCs w:val="20"/>
                <w:lang w:val="fr-CA"/>
              </w:rPr>
              <w:t xml:space="preserve"> atteinte à l’al. 11c) de la </w:t>
            </w:r>
            <w:r w:rsidRPr="00E73261">
              <w:rPr>
                <w:i/>
                <w:sz w:val="20"/>
                <w:szCs w:val="20"/>
                <w:lang w:val="fr-CA"/>
              </w:rPr>
              <w:t>Charte canadienne des droits et libertés</w:t>
            </w:r>
            <w:r w:rsidRPr="00E73261">
              <w:rPr>
                <w:sz w:val="20"/>
                <w:szCs w:val="20"/>
                <w:lang w:val="fr-CA"/>
              </w:rPr>
              <w:t xml:space="preserve">? </w:t>
            </w:r>
            <w:r w:rsidRPr="00E73261">
              <w:rPr>
                <w:sz w:val="20"/>
                <w:szCs w:val="20"/>
                <w:lang w:val="fr-CA"/>
              </w:rPr>
              <w:noBreakHyphen/>
              <w:t xml:space="preserve"> Dans l’affirmative, cette atteinte </w:t>
            </w:r>
            <w:proofErr w:type="spellStart"/>
            <w:r w:rsidRPr="00E73261">
              <w:rPr>
                <w:sz w:val="20"/>
                <w:szCs w:val="20"/>
                <w:lang w:val="fr-CA"/>
              </w:rPr>
              <w:t>constitue</w:t>
            </w:r>
            <w:r w:rsidRPr="00E73261">
              <w:rPr>
                <w:sz w:val="20"/>
                <w:szCs w:val="20"/>
                <w:lang w:val="fr-CA"/>
              </w:rPr>
              <w:noBreakHyphen/>
              <w:t>t</w:t>
            </w:r>
            <w:r w:rsidRPr="00E73261">
              <w:rPr>
                <w:sz w:val="20"/>
                <w:szCs w:val="20"/>
                <w:lang w:val="fr-CA"/>
              </w:rPr>
              <w:noBreakHyphen/>
              <w:t>elle</w:t>
            </w:r>
            <w:proofErr w:type="spellEnd"/>
            <w:r w:rsidRPr="00E73261">
              <w:rPr>
                <w:sz w:val="20"/>
                <w:szCs w:val="20"/>
                <w:lang w:val="fr-CA"/>
              </w:rPr>
              <w:t xml:space="preserve"> une limite </w:t>
            </w:r>
            <w:r w:rsidRPr="00E73261">
              <w:rPr>
                <w:sz w:val="20"/>
                <w:szCs w:val="20"/>
                <w:lang w:val="fr-CA"/>
              </w:rPr>
              <w:lastRenderedPageBreak/>
              <w:t xml:space="preserve">raisonnable prescrite par une règle de droit, dont la justification peut se démontrer dans le cadre d’une société libre et démocratique, au sens de l’article premier de la </w:t>
            </w:r>
            <w:r w:rsidRPr="00E73261">
              <w:rPr>
                <w:i/>
                <w:iCs/>
                <w:sz w:val="20"/>
                <w:szCs w:val="20"/>
                <w:lang w:val="fr-CA"/>
              </w:rPr>
              <w:t>Charte canadienne des droits et libertés</w:t>
            </w:r>
            <w:r w:rsidRPr="00E73261">
              <w:rPr>
                <w:sz w:val="20"/>
                <w:szCs w:val="20"/>
                <w:lang w:val="fr-CA"/>
              </w:rPr>
              <w:t xml:space="preserve">? </w:t>
            </w:r>
            <w:r w:rsidRPr="00E73261">
              <w:rPr>
                <w:sz w:val="20"/>
                <w:szCs w:val="20"/>
                <w:lang w:val="fr-CA"/>
              </w:rPr>
              <w:noBreakHyphen/>
              <w:t xml:space="preserve"> Le par. 4(6) de la </w:t>
            </w:r>
            <w:r w:rsidRPr="00E73261">
              <w:rPr>
                <w:i/>
                <w:sz w:val="20"/>
                <w:szCs w:val="20"/>
                <w:lang w:val="fr-CA"/>
              </w:rPr>
              <w:t>Loi sur la preuve au Canada</w:t>
            </w:r>
            <w:r w:rsidRPr="00E73261">
              <w:rPr>
                <w:sz w:val="20"/>
                <w:szCs w:val="20"/>
                <w:lang w:val="fr-CA"/>
              </w:rPr>
              <w:t>, L.R.C. 1985, ch. C</w:t>
            </w:r>
            <w:r w:rsidRPr="00E73261">
              <w:rPr>
                <w:sz w:val="20"/>
                <w:szCs w:val="20"/>
                <w:lang w:val="fr-CA"/>
              </w:rPr>
              <w:noBreakHyphen/>
              <w:t xml:space="preserve">5, </w:t>
            </w:r>
            <w:proofErr w:type="spellStart"/>
            <w:r w:rsidRPr="00E73261">
              <w:rPr>
                <w:sz w:val="20"/>
                <w:szCs w:val="20"/>
                <w:lang w:val="fr-CA"/>
              </w:rPr>
              <w:t>porte</w:t>
            </w:r>
            <w:r w:rsidRPr="00E73261">
              <w:rPr>
                <w:sz w:val="20"/>
                <w:szCs w:val="20"/>
                <w:lang w:val="fr-CA"/>
              </w:rPr>
              <w:noBreakHyphen/>
              <w:t>t</w:t>
            </w:r>
            <w:r w:rsidRPr="00E73261">
              <w:rPr>
                <w:sz w:val="20"/>
                <w:szCs w:val="20"/>
                <w:lang w:val="fr-CA"/>
              </w:rPr>
              <w:noBreakHyphen/>
              <w:t>il</w:t>
            </w:r>
            <w:proofErr w:type="spellEnd"/>
            <w:r w:rsidRPr="00E73261">
              <w:rPr>
                <w:sz w:val="20"/>
                <w:szCs w:val="20"/>
                <w:lang w:val="fr-CA"/>
              </w:rPr>
              <w:t xml:space="preserve"> atteinte à l’al. 11d) de la </w:t>
            </w:r>
            <w:r w:rsidRPr="00E73261">
              <w:rPr>
                <w:i/>
                <w:sz w:val="20"/>
                <w:szCs w:val="20"/>
                <w:lang w:val="fr-CA"/>
              </w:rPr>
              <w:t>Charte canadienne des droits et libertés</w:t>
            </w:r>
            <w:r w:rsidRPr="00E73261">
              <w:rPr>
                <w:sz w:val="20"/>
                <w:szCs w:val="20"/>
                <w:lang w:val="fr-CA"/>
              </w:rPr>
              <w:t>?</w:t>
            </w:r>
          </w:p>
        </w:tc>
      </w:tr>
    </w:tbl>
    <w:p w:rsidR="0093057E" w:rsidRDefault="0093057E" w:rsidP="0093057E">
      <w:pPr>
        <w:widowControl w:val="0"/>
        <w:rPr>
          <w:sz w:val="20"/>
          <w:szCs w:val="20"/>
          <w:lang w:val="fr-CA"/>
        </w:rPr>
      </w:pPr>
    </w:p>
    <w:p w:rsidR="0093057E" w:rsidRPr="00C1697B" w:rsidRDefault="004D631F" w:rsidP="0093057E">
      <w:pPr>
        <w:widowControl w:val="0"/>
        <w:rPr>
          <w:sz w:val="20"/>
          <w:szCs w:val="20"/>
          <w:lang w:val="fr-CA"/>
        </w:rPr>
      </w:pPr>
      <w:r w:rsidRPr="004D631F">
        <w:rPr>
          <w:sz w:val="20"/>
          <w:szCs w:val="20"/>
          <w:lang w:val="fr-CA"/>
        </w:rPr>
        <w:pict>
          <v:rect id="_x0000_i1060" style="width:2in;height:1pt" o:hrpct="0" o:hralign="center" o:hrstd="t" o:hrnoshade="t" o:hr="t" fillcolor="black [3213]" stroked="f"/>
        </w:pict>
      </w:r>
    </w:p>
    <w:p w:rsidR="0093057E" w:rsidRDefault="0093057E" w:rsidP="0093057E">
      <w:pPr>
        <w:widowControl w:val="0"/>
        <w:rPr>
          <w:sz w:val="20"/>
          <w:szCs w:val="20"/>
        </w:rPr>
      </w:pPr>
      <w:r>
        <w:rPr>
          <w:sz w:val="20"/>
          <w:szCs w:val="20"/>
        </w:rPr>
        <w:t>08.11.2011</w:t>
      </w:r>
    </w:p>
    <w:p w:rsidR="0093057E" w:rsidRDefault="0093057E" w:rsidP="0093057E">
      <w:pPr>
        <w:widowControl w:val="0"/>
        <w:rPr>
          <w:sz w:val="20"/>
          <w:szCs w:val="20"/>
        </w:rPr>
      </w:pPr>
    </w:p>
    <w:p w:rsidR="0087440A" w:rsidRPr="00E829A1" w:rsidRDefault="0087440A" w:rsidP="0087440A">
      <w:pPr>
        <w:widowControl w:val="0"/>
        <w:ind w:left="720" w:hanging="720"/>
        <w:rPr>
          <w:rFonts w:eastAsia="Calibri" w:cs="Times New Roman"/>
          <w:sz w:val="20"/>
          <w:szCs w:val="20"/>
        </w:rPr>
      </w:pPr>
      <w:r w:rsidRPr="00E829A1">
        <w:rPr>
          <w:rFonts w:eastAsia="Calibri" w:cs="Times New Roman"/>
          <w:sz w:val="20"/>
          <w:szCs w:val="20"/>
        </w:rPr>
        <w:t>Coram:</w:t>
      </w:r>
      <w:r w:rsidRPr="00E829A1">
        <w:rPr>
          <w:rFonts w:eastAsia="Calibri" w:cs="Times New Roman"/>
          <w:sz w:val="20"/>
          <w:szCs w:val="20"/>
        </w:rPr>
        <w:tab/>
      </w:r>
      <w:proofErr w:type="spellStart"/>
      <w:r w:rsidRPr="00E829A1">
        <w:rPr>
          <w:rFonts w:eastAsia="Calibri" w:cs="Times New Roman"/>
          <w:sz w:val="20"/>
          <w:szCs w:val="20"/>
          <w:u w:val="single"/>
        </w:rPr>
        <w:t>McLachlin</w:t>
      </w:r>
      <w:proofErr w:type="spellEnd"/>
      <w:r w:rsidRPr="00E829A1">
        <w:rPr>
          <w:rFonts w:eastAsia="Calibri" w:cs="Times New Roman"/>
          <w:sz w:val="20"/>
          <w:szCs w:val="20"/>
          <w:u w:val="single"/>
        </w:rPr>
        <w:t xml:space="preserve"> C.J. and </w:t>
      </w:r>
      <w:proofErr w:type="spellStart"/>
      <w:r w:rsidRPr="00E829A1">
        <w:rPr>
          <w:rFonts w:eastAsia="Calibri" w:cs="Times New Roman"/>
          <w:sz w:val="20"/>
          <w:szCs w:val="20"/>
          <w:u w:val="single"/>
        </w:rPr>
        <w:t>LeBel</w:t>
      </w:r>
      <w:proofErr w:type="spellEnd"/>
      <w:r w:rsidRPr="00E829A1">
        <w:rPr>
          <w:rFonts w:eastAsia="Calibri" w:cs="Times New Roman"/>
          <w:sz w:val="20"/>
          <w:szCs w:val="20"/>
          <w:u w:val="single"/>
        </w:rPr>
        <w:t xml:space="preserve">, </w:t>
      </w:r>
      <w:proofErr w:type="spellStart"/>
      <w:r w:rsidRPr="00E829A1">
        <w:rPr>
          <w:rFonts w:eastAsia="Calibri" w:cs="Times New Roman"/>
          <w:sz w:val="20"/>
          <w:szCs w:val="20"/>
          <w:u w:val="single"/>
        </w:rPr>
        <w:t>Deschamps</w:t>
      </w:r>
      <w:proofErr w:type="spellEnd"/>
      <w:r w:rsidRPr="00E829A1">
        <w:rPr>
          <w:rFonts w:eastAsia="Calibri" w:cs="Times New Roman"/>
          <w:sz w:val="20"/>
          <w:szCs w:val="20"/>
          <w:u w:val="single"/>
        </w:rPr>
        <w:t xml:space="preserve">, Fish, </w:t>
      </w:r>
      <w:proofErr w:type="spellStart"/>
      <w:r w:rsidRPr="00E829A1">
        <w:rPr>
          <w:rFonts w:eastAsia="Calibri" w:cs="Times New Roman"/>
          <w:sz w:val="20"/>
          <w:szCs w:val="20"/>
          <w:u w:val="single"/>
        </w:rPr>
        <w:t>Abella</w:t>
      </w:r>
      <w:proofErr w:type="spellEnd"/>
      <w:r w:rsidRPr="00E829A1">
        <w:rPr>
          <w:rFonts w:eastAsia="Calibri" w:cs="Times New Roman"/>
          <w:sz w:val="20"/>
          <w:szCs w:val="20"/>
          <w:u w:val="single"/>
        </w:rPr>
        <w:t xml:space="preserve">, Rothstein, Cromwell, </w:t>
      </w:r>
      <w:proofErr w:type="spellStart"/>
      <w:r w:rsidRPr="00E829A1">
        <w:rPr>
          <w:rFonts w:eastAsia="Calibri" w:cs="Times New Roman"/>
          <w:sz w:val="20"/>
          <w:szCs w:val="20"/>
          <w:u w:val="single"/>
        </w:rPr>
        <w:t>Moldaver</w:t>
      </w:r>
      <w:proofErr w:type="spellEnd"/>
      <w:r w:rsidRPr="00E829A1">
        <w:rPr>
          <w:rFonts w:eastAsia="Calibri" w:cs="Times New Roman"/>
          <w:sz w:val="20"/>
          <w:szCs w:val="20"/>
          <w:u w:val="single"/>
        </w:rPr>
        <w:t xml:space="preserve"> and </w:t>
      </w:r>
      <w:proofErr w:type="spellStart"/>
      <w:r w:rsidRPr="00E829A1">
        <w:rPr>
          <w:rFonts w:eastAsia="Calibri" w:cs="Times New Roman"/>
          <w:sz w:val="20"/>
          <w:szCs w:val="20"/>
          <w:u w:val="single"/>
        </w:rPr>
        <w:t>Karakatsanis</w:t>
      </w:r>
      <w:proofErr w:type="spellEnd"/>
      <w:r w:rsidRPr="00E829A1">
        <w:rPr>
          <w:rFonts w:eastAsia="Calibri" w:cs="Times New Roman"/>
          <w:sz w:val="20"/>
          <w:szCs w:val="20"/>
          <w:u w:val="single"/>
        </w:rPr>
        <w:t xml:space="preserve"> JJ.</w:t>
      </w:r>
    </w:p>
    <w:p w:rsidR="0093057E" w:rsidRDefault="0093057E" w:rsidP="0093057E">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93057E" w:rsidRPr="00C50A5C" w:rsidTr="0093057E">
        <w:tc>
          <w:tcPr>
            <w:tcW w:w="4380" w:type="dxa"/>
            <w:tcMar>
              <w:left w:w="0" w:type="dxa"/>
              <w:right w:w="0" w:type="dxa"/>
            </w:tcMar>
          </w:tcPr>
          <w:p w:rsidR="0093057E" w:rsidRDefault="00685C6A" w:rsidP="0093057E">
            <w:pPr>
              <w:widowControl w:val="0"/>
              <w:jc w:val="both"/>
              <w:rPr>
                <w:b/>
                <w:sz w:val="20"/>
                <w:szCs w:val="20"/>
              </w:rPr>
            </w:pPr>
            <w:r>
              <w:rPr>
                <w:b/>
                <w:sz w:val="20"/>
                <w:szCs w:val="20"/>
              </w:rPr>
              <w:t>Her Majesty the Queen</w:t>
            </w:r>
          </w:p>
          <w:p w:rsidR="00685C6A" w:rsidRPr="00C50A5C" w:rsidRDefault="00685C6A" w:rsidP="0093057E">
            <w:pPr>
              <w:widowControl w:val="0"/>
              <w:jc w:val="both"/>
              <w:rPr>
                <w:b/>
                <w:sz w:val="20"/>
                <w:szCs w:val="20"/>
              </w:rPr>
            </w:pPr>
          </w:p>
          <w:p w:rsidR="0093057E" w:rsidRPr="00C50A5C" w:rsidRDefault="0093057E" w:rsidP="0093057E">
            <w:pPr>
              <w:widowControl w:val="0"/>
              <w:tabs>
                <w:tab w:val="left" w:pos="736"/>
              </w:tabs>
              <w:jc w:val="both"/>
              <w:rPr>
                <w:b/>
                <w:sz w:val="20"/>
                <w:szCs w:val="20"/>
              </w:rPr>
            </w:pPr>
            <w:r w:rsidRPr="00C50A5C">
              <w:rPr>
                <w:b/>
                <w:sz w:val="20"/>
                <w:szCs w:val="20"/>
              </w:rPr>
              <w:tab/>
              <w:t>v. (3</w:t>
            </w:r>
            <w:r w:rsidR="00685C6A">
              <w:rPr>
                <w:b/>
                <w:sz w:val="20"/>
                <w:szCs w:val="20"/>
              </w:rPr>
              <w:t>4044</w:t>
            </w:r>
            <w:r w:rsidRPr="00C50A5C">
              <w:rPr>
                <w:b/>
                <w:sz w:val="20"/>
                <w:szCs w:val="20"/>
              </w:rPr>
              <w:t>)</w:t>
            </w:r>
          </w:p>
          <w:p w:rsidR="0093057E" w:rsidRPr="00C50A5C" w:rsidRDefault="0093057E" w:rsidP="0093057E">
            <w:pPr>
              <w:widowControl w:val="0"/>
              <w:jc w:val="both"/>
              <w:rPr>
                <w:b/>
                <w:sz w:val="20"/>
                <w:szCs w:val="20"/>
              </w:rPr>
            </w:pPr>
          </w:p>
          <w:p w:rsidR="0093057E" w:rsidRPr="0093057E" w:rsidRDefault="00685C6A" w:rsidP="00685C6A">
            <w:pPr>
              <w:widowControl w:val="0"/>
              <w:jc w:val="both"/>
              <w:rPr>
                <w:sz w:val="20"/>
                <w:szCs w:val="20"/>
              </w:rPr>
            </w:pPr>
            <w:proofErr w:type="spellStart"/>
            <w:r>
              <w:rPr>
                <w:b/>
                <w:sz w:val="20"/>
                <w:szCs w:val="20"/>
              </w:rPr>
              <w:t>Amandeep</w:t>
            </w:r>
            <w:proofErr w:type="spellEnd"/>
            <w:r>
              <w:rPr>
                <w:b/>
                <w:sz w:val="20"/>
                <w:szCs w:val="20"/>
              </w:rPr>
              <w:t xml:space="preserve"> </w:t>
            </w:r>
            <w:proofErr w:type="spellStart"/>
            <w:r>
              <w:rPr>
                <w:b/>
                <w:sz w:val="20"/>
                <w:szCs w:val="20"/>
              </w:rPr>
              <w:t>Banwait</w:t>
            </w:r>
            <w:proofErr w:type="spellEnd"/>
            <w:r w:rsidRPr="00C50A5C">
              <w:rPr>
                <w:b/>
                <w:sz w:val="20"/>
                <w:szCs w:val="20"/>
              </w:rPr>
              <w:t xml:space="preserve"> </w:t>
            </w:r>
            <w:r w:rsidR="0093057E" w:rsidRPr="00C50A5C">
              <w:rPr>
                <w:b/>
                <w:sz w:val="20"/>
                <w:szCs w:val="20"/>
              </w:rPr>
              <w:t>(</w:t>
            </w:r>
            <w:r>
              <w:rPr>
                <w:b/>
                <w:sz w:val="20"/>
                <w:szCs w:val="20"/>
              </w:rPr>
              <w:t>Ont</w:t>
            </w:r>
            <w:r w:rsidR="0093057E" w:rsidRPr="00C50A5C">
              <w:rPr>
                <w:b/>
                <w:sz w:val="20"/>
                <w:szCs w:val="20"/>
              </w:rPr>
              <w:t>.) (C</w:t>
            </w:r>
            <w:r>
              <w:rPr>
                <w:b/>
                <w:sz w:val="20"/>
                <w:szCs w:val="20"/>
              </w:rPr>
              <w:t>r</w:t>
            </w:r>
            <w:r w:rsidR="0093057E" w:rsidRPr="00C50A5C">
              <w:rPr>
                <w:b/>
                <w:sz w:val="20"/>
                <w:szCs w:val="20"/>
              </w:rPr>
              <w:t>i</w:t>
            </w:r>
            <w:r>
              <w:rPr>
                <w:b/>
                <w:sz w:val="20"/>
                <w:szCs w:val="20"/>
              </w:rPr>
              <w:t>m</w:t>
            </w:r>
            <w:r w:rsidR="0093057E" w:rsidRPr="00C50A5C">
              <w:rPr>
                <w:b/>
                <w:sz w:val="20"/>
                <w:szCs w:val="20"/>
              </w:rPr>
              <w:t>i</w:t>
            </w:r>
            <w:r>
              <w:rPr>
                <w:b/>
                <w:sz w:val="20"/>
                <w:szCs w:val="20"/>
              </w:rPr>
              <w:t>na</w:t>
            </w:r>
            <w:r w:rsidR="0093057E" w:rsidRPr="00C50A5C">
              <w:rPr>
                <w:b/>
                <w:sz w:val="20"/>
                <w:szCs w:val="20"/>
              </w:rPr>
              <w:t>l) (</w:t>
            </w:r>
            <w:r>
              <w:rPr>
                <w:b/>
                <w:sz w:val="20"/>
                <w:szCs w:val="20"/>
              </w:rPr>
              <w:t>As of Right</w:t>
            </w:r>
            <w:r w:rsidR="0093057E" w:rsidRPr="00C50A5C">
              <w:rPr>
                <w:b/>
                <w:sz w:val="20"/>
                <w:szCs w:val="20"/>
              </w:rPr>
              <w:t>)</w:t>
            </w:r>
          </w:p>
        </w:tc>
        <w:tc>
          <w:tcPr>
            <w:tcW w:w="720" w:type="dxa"/>
            <w:tcMar>
              <w:left w:w="0" w:type="dxa"/>
              <w:right w:w="0" w:type="dxa"/>
            </w:tcMar>
          </w:tcPr>
          <w:p w:rsidR="0093057E" w:rsidRPr="0093057E" w:rsidRDefault="0093057E" w:rsidP="0093057E">
            <w:pPr>
              <w:widowControl w:val="0"/>
              <w:jc w:val="center"/>
              <w:rPr>
                <w:sz w:val="20"/>
                <w:szCs w:val="20"/>
              </w:rPr>
            </w:pPr>
          </w:p>
        </w:tc>
        <w:tc>
          <w:tcPr>
            <w:tcW w:w="4380" w:type="dxa"/>
            <w:tcMar>
              <w:left w:w="0" w:type="dxa"/>
              <w:right w:w="0" w:type="dxa"/>
            </w:tcMar>
          </w:tcPr>
          <w:p w:rsidR="006A0A04" w:rsidRPr="0023733F" w:rsidRDefault="006A0A04" w:rsidP="006A0A04">
            <w:pPr>
              <w:jc w:val="both"/>
              <w:rPr>
                <w:sz w:val="20"/>
                <w:szCs w:val="20"/>
              </w:rPr>
            </w:pPr>
            <w:r w:rsidRPr="0023733F">
              <w:rPr>
                <w:sz w:val="20"/>
                <w:szCs w:val="20"/>
              </w:rPr>
              <w:t>Gillian E. Roberts</w:t>
            </w:r>
            <w:r>
              <w:rPr>
                <w:sz w:val="20"/>
                <w:szCs w:val="20"/>
              </w:rPr>
              <w:t xml:space="preserve"> and </w:t>
            </w:r>
            <w:r w:rsidRPr="0023733F">
              <w:rPr>
                <w:sz w:val="20"/>
                <w:szCs w:val="20"/>
              </w:rPr>
              <w:t>Stacey D. Young</w:t>
            </w:r>
            <w:r>
              <w:rPr>
                <w:sz w:val="20"/>
                <w:szCs w:val="20"/>
              </w:rPr>
              <w:t xml:space="preserve"> f</w:t>
            </w:r>
            <w:r w:rsidRPr="0023733F">
              <w:rPr>
                <w:sz w:val="20"/>
                <w:szCs w:val="20"/>
              </w:rPr>
              <w:t xml:space="preserve">or the </w:t>
            </w:r>
            <w:r>
              <w:rPr>
                <w:sz w:val="20"/>
                <w:szCs w:val="20"/>
              </w:rPr>
              <w:t>a</w:t>
            </w:r>
            <w:r w:rsidRPr="0023733F">
              <w:rPr>
                <w:sz w:val="20"/>
                <w:szCs w:val="20"/>
              </w:rPr>
              <w:t>ppellant.</w:t>
            </w:r>
          </w:p>
          <w:p w:rsidR="006A0A04" w:rsidRPr="0023733F" w:rsidRDefault="006A0A04" w:rsidP="006A0A04">
            <w:pPr>
              <w:jc w:val="both"/>
              <w:rPr>
                <w:sz w:val="20"/>
                <w:szCs w:val="20"/>
              </w:rPr>
            </w:pPr>
          </w:p>
          <w:p w:rsidR="0093057E" w:rsidRPr="00C50A5C" w:rsidRDefault="006A0A04" w:rsidP="006A0A04">
            <w:pPr>
              <w:widowControl w:val="0"/>
              <w:jc w:val="both"/>
              <w:rPr>
                <w:sz w:val="20"/>
                <w:szCs w:val="20"/>
              </w:rPr>
            </w:pPr>
            <w:r w:rsidRPr="0023733F">
              <w:rPr>
                <w:sz w:val="20"/>
                <w:szCs w:val="20"/>
              </w:rPr>
              <w:t>R. Philip Campbell</w:t>
            </w:r>
            <w:r>
              <w:rPr>
                <w:sz w:val="20"/>
                <w:szCs w:val="20"/>
              </w:rPr>
              <w:t xml:space="preserve"> f</w:t>
            </w:r>
            <w:r w:rsidRPr="0023733F">
              <w:rPr>
                <w:sz w:val="20"/>
                <w:szCs w:val="20"/>
              </w:rPr>
              <w:t xml:space="preserve">or the </w:t>
            </w:r>
            <w:r>
              <w:rPr>
                <w:sz w:val="20"/>
                <w:szCs w:val="20"/>
              </w:rPr>
              <w:t>r</w:t>
            </w:r>
            <w:r w:rsidRPr="0023733F">
              <w:rPr>
                <w:sz w:val="20"/>
                <w:szCs w:val="20"/>
              </w:rPr>
              <w:t>espondent.</w:t>
            </w:r>
          </w:p>
        </w:tc>
      </w:tr>
    </w:tbl>
    <w:p w:rsidR="0093057E" w:rsidRDefault="0093057E" w:rsidP="0093057E">
      <w:pPr>
        <w:widowControl w:val="0"/>
        <w:rPr>
          <w:sz w:val="20"/>
          <w:szCs w:val="20"/>
        </w:rPr>
      </w:pPr>
    </w:p>
    <w:p w:rsidR="00790457" w:rsidRPr="00E829A1" w:rsidRDefault="00790457" w:rsidP="00790457">
      <w:pPr>
        <w:rPr>
          <w:rFonts w:eastAsia="Calibri" w:cs="Times New Roman"/>
          <w:b/>
          <w:bCs/>
          <w:sz w:val="20"/>
          <w:szCs w:val="20"/>
          <w:lang w:val="fr-CA"/>
        </w:rPr>
      </w:pPr>
      <w:r w:rsidRPr="00E829A1">
        <w:rPr>
          <w:rFonts w:eastAsia="Calibri" w:cs="Times New Roman"/>
          <w:b/>
          <w:bCs/>
          <w:sz w:val="20"/>
          <w:szCs w:val="20"/>
          <w:lang w:val="fr-CA"/>
        </w:rPr>
        <w:t xml:space="preserve">2011 </w:t>
      </w:r>
      <w:r w:rsidRPr="00E829A1">
        <w:rPr>
          <w:rFonts w:eastAsia="Calibri" w:cs="Times New Roman"/>
          <w:b/>
          <w:bCs/>
          <w:sz w:val="20"/>
          <w:szCs w:val="20"/>
        </w:rPr>
        <w:t xml:space="preserve">SCC </w:t>
      </w:r>
      <w:r w:rsidRPr="00E829A1">
        <w:rPr>
          <w:rFonts w:eastAsia="Calibri" w:cs="Times New Roman"/>
          <w:b/>
          <w:bCs/>
          <w:sz w:val="20"/>
          <w:szCs w:val="20"/>
          <w:lang w:val="fr-CA"/>
        </w:rPr>
        <w:t>55 / 2011 CSC 55</w:t>
      </w:r>
    </w:p>
    <w:p w:rsidR="00790457" w:rsidRDefault="00790457" w:rsidP="0093057E">
      <w:pPr>
        <w:widowControl w:val="0"/>
        <w:rPr>
          <w:sz w:val="20"/>
          <w:szCs w:val="20"/>
        </w:rPr>
      </w:pPr>
    </w:p>
    <w:p w:rsidR="0093057E" w:rsidRPr="0085476B" w:rsidRDefault="00790457" w:rsidP="0093057E">
      <w:pPr>
        <w:widowControl w:val="0"/>
        <w:rPr>
          <w:sz w:val="20"/>
          <w:szCs w:val="20"/>
        </w:rPr>
      </w:pPr>
      <w:r>
        <w:rPr>
          <w:b/>
          <w:sz w:val="20"/>
          <w:szCs w:val="20"/>
        </w:rPr>
        <w:t>ALLOW</w:t>
      </w:r>
      <w:r w:rsidR="0093057E" w:rsidRPr="0085476B">
        <w:rPr>
          <w:b/>
          <w:sz w:val="20"/>
          <w:szCs w:val="20"/>
        </w:rPr>
        <w:t xml:space="preserve">ED / </w:t>
      </w:r>
      <w:r w:rsidR="001A663B">
        <w:rPr>
          <w:b/>
          <w:sz w:val="20"/>
          <w:szCs w:val="20"/>
        </w:rPr>
        <w:t>ACCU</w:t>
      </w:r>
      <w:r w:rsidR="0093057E" w:rsidRPr="0085476B">
        <w:rPr>
          <w:b/>
          <w:sz w:val="20"/>
          <w:szCs w:val="20"/>
          <w:lang w:val="fr-CA"/>
        </w:rPr>
        <w:t>EI</w:t>
      </w:r>
      <w:r w:rsidR="001A663B">
        <w:rPr>
          <w:b/>
          <w:sz w:val="20"/>
          <w:szCs w:val="20"/>
          <w:lang w:val="fr-CA"/>
        </w:rPr>
        <w:t>LLI</w:t>
      </w:r>
    </w:p>
    <w:p w:rsidR="0093057E" w:rsidRDefault="0093057E" w:rsidP="0093057E"/>
    <w:tbl>
      <w:tblPr>
        <w:tblW w:w="0" w:type="auto"/>
        <w:tblLayout w:type="fixed"/>
        <w:tblCellMar>
          <w:left w:w="0" w:type="dxa"/>
          <w:right w:w="0" w:type="dxa"/>
        </w:tblCellMar>
        <w:tblLook w:val="0000"/>
      </w:tblPr>
      <w:tblGrid>
        <w:gridCol w:w="4380"/>
        <w:gridCol w:w="720"/>
        <w:gridCol w:w="4380"/>
      </w:tblGrid>
      <w:tr w:rsidR="00DE1CAD" w:rsidRPr="00FD7538" w:rsidTr="00CD6291">
        <w:tc>
          <w:tcPr>
            <w:tcW w:w="4380" w:type="dxa"/>
            <w:tcMar>
              <w:left w:w="0" w:type="dxa"/>
              <w:right w:w="0" w:type="dxa"/>
            </w:tcMar>
          </w:tcPr>
          <w:p w:rsidR="00DE1CAD" w:rsidRPr="00CC4D84" w:rsidRDefault="00DE1CAD" w:rsidP="00CD6291">
            <w:pPr>
              <w:widowControl w:val="0"/>
              <w:jc w:val="both"/>
              <w:rPr>
                <w:b/>
                <w:sz w:val="20"/>
                <w:szCs w:val="20"/>
                <w:u w:val="single"/>
              </w:rPr>
            </w:pPr>
            <w:r>
              <w:rPr>
                <w:b/>
                <w:sz w:val="20"/>
                <w:szCs w:val="20"/>
                <w:u w:val="single"/>
              </w:rPr>
              <w:t>JUDGMENT</w:t>
            </w:r>
            <w:r w:rsidRPr="00CC4D84">
              <w:rPr>
                <w:b/>
                <w:sz w:val="20"/>
                <w:szCs w:val="20"/>
                <w:u w:val="single"/>
              </w:rPr>
              <w:t>:</w:t>
            </w:r>
          </w:p>
          <w:p w:rsidR="00DE1CAD" w:rsidRPr="001A663B" w:rsidRDefault="00DE1CAD" w:rsidP="00CD6291">
            <w:pPr>
              <w:widowControl w:val="0"/>
              <w:jc w:val="both"/>
              <w:rPr>
                <w:b/>
                <w:sz w:val="20"/>
                <w:szCs w:val="20"/>
              </w:rPr>
            </w:pPr>
          </w:p>
          <w:p w:rsidR="00DE1CAD" w:rsidRPr="00C15C02" w:rsidRDefault="00DE1CAD" w:rsidP="00DE1CAD">
            <w:pPr>
              <w:jc w:val="both"/>
              <w:rPr>
                <w:sz w:val="20"/>
                <w:szCs w:val="20"/>
              </w:rPr>
            </w:pPr>
            <w:r w:rsidRPr="00C15C02">
              <w:rPr>
                <w:sz w:val="20"/>
                <w:szCs w:val="20"/>
              </w:rPr>
              <w:t>The appeal from the judgment of the Court of Appeal for Ontario, Numbers C46219 and C45813, 2010 ONCA 869, dated December 17, 2010, was heard this day and the following judgment was rendered orally:</w:t>
            </w:r>
          </w:p>
          <w:p w:rsidR="00DE1CAD" w:rsidRDefault="00DE1CAD" w:rsidP="00DE1CAD">
            <w:pPr>
              <w:jc w:val="both"/>
              <w:rPr>
                <w:smallCaps/>
                <w:sz w:val="20"/>
                <w:szCs w:val="20"/>
              </w:rPr>
            </w:pPr>
          </w:p>
          <w:p w:rsidR="00DE1CAD" w:rsidRDefault="00DE1CAD" w:rsidP="00DE1CAD">
            <w:pPr>
              <w:jc w:val="both"/>
              <w:rPr>
                <w:smallCaps/>
                <w:sz w:val="20"/>
                <w:szCs w:val="20"/>
              </w:rPr>
            </w:pPr>
          </w:p>
          <w:p w:rsidR="00DE1CAD" w:rsidRPr="00C15C02" w:rsidRDefault="00DE1CAD" w:rsidP="00DE1CAD">
            <w:pPr>
              <w:jc w:val="both"/>
              <w:rPr>
                <w:sz w:val="20"/>
                <w:szCs w:val="20"/>
              </w:rPr>
            </w:pPr>
            <w:r w:rsidRPr="00C15C02">
              <w:rPr>
                <w:smallCaps/>
                <w:sz w:val="20"/>
                <w:szCs w:val="20"/>
              </w:rPr>
              <w:t>The Chief Justice</w:t>
            </w:r>
            <w:r w:rsidRPr="00C15C02">
              <w:rPr>
                <w:sz w:val="20"/>
                <w:szCs w:val="20"/>
              </w:rPr>
              <w:t xml:space="preserve"> — We are all of the view that the appeal should be allowed for the reasons set out by </w:t>
            </w:r>
            <w:proofErr w:type="spellStart"/>
            <w:r w:rsidRPr="00C15C02">
              <w:rPr>
                <w:sz w:val="20"/>
                <w:szCs w:val="20"/>
              </w:rPr>
              <w:t>MacPherson</w:t>
            </w:r>
            <w:proofErr w:type="spellEnd"/>
            <w:r w:rsidRPr="00C15C02">
              <w:rPr>
                <w:sz w:val="20"/>
                <w:szCs w:val="20"/>
              </w:rPr>
              <w:t xml:space="preserve"> J.A. at </w:t>
            </w:r>
            <w:proofErr w:type="spellStart"/>
            <w:r w:rsidRPr="00C15C02">
              <w:rPr>
                <w:sz w:val="20"/>
                <w:szCs w:val="20"/>
              </w:rPr>
              <w:t>paras</w:t>
            </w:r>
            <w:proofErr w:type="spellEnd"/>
            <w:r w:rsidRPr="00C15C02">
              <w:rPr>
                <w:sz w:val="20"/>
                <w:szCs w:val="20"/>
              </w:rPr>
              <w:t>. 178-89 of his judgment.</w:t>
            </w:r>
          </w:p>
          <w:p w:rsidR="00DE1CAD" w:rsidRPr="00C15C02" w:rsidRDefault="00DE1CAD" w:rsidP="00DE1CAD">
            <w:pPr>
              <w:jc w:val="both"/>
              <w:rPr>
                <w:sz w:val="20"/>
                <w:szCs w:val="20"/>
              </w:rPr>
            </w:pPr>
          </w:p>
          <w:p w:rsidR="00DE1CAD" w:rsidRDefault="00DE1CAD" w:rsidP="00DE1CAD">
            <w:pPr>
              <w:jc w:val="both"/>
              <w:rPr>
                <w:sz w:val="20"/>
                <w:szCs w:val="20"/>
              </w:rPr>
            </w:pPr>
          </w:p>
          <w:p w:rsidR="00DE1CAD" w:rsidRPr="00C1697B" w:rsidRDefault="00DE1CAD" w:rsidP="00DE1CAD">
            <w:pPr>
              <w:jc w:val="both"/>
              <w:rPr>
                <w:b/>
                <w:sz w:val="20"/>
                <w:szCs w:val="20"/>
              </w:rPr>
            </w:pPr>
            <w:r w:rsidRPr="00C15C02">
              <w:rPr>
                <w:sz w:val="20"/>
                <w:szCs w:val="20"/>
              </w:rPr>
              <w:t>The appeal is allowed and the conviction for first degree murder restored.</w:t>
            </w:r>
          </w:p>
        </w:tc>
        <w:tc>
          <w:tcPr>
            <w:tcW w:w="720" w:type="dxa"/>
            <w:tcMar>
              <w:left w:w="0" w:type="dxa"/>
              <w:right w:w="0" w:type="dxa"/>
            </w:tcMar>
          </w:tcPr>
          <w:p w:rsidR="00DE1CAD" w:rsidRPr="00C1697B" w:rsidRDefault="00DE1CAD" w:rsidP="00CD6291">
            <w:pPr>
              <w:widowControl w:val="0"/>
              <w:jc w:val="center"/>
              <w:rPr>
                <w:sz w:val="20"/>
                <w:szCs w:val="20"/>
              </w:rPr>
            </w:pPr>
          </w:p>
        </w:tc>
        <w:tc>
          <w:tcPr>
            <w:tcW w:w="4380" w:type="dxa"/>
            <w:tcMar>
              <w:left w:w="0" w:type="dxa"/>
              <w:right w:w="0" w:type="dxa"/>
            </w:tcMar>
          </w:tcPr>
          <w:p w:rsidR="00DE1CAD" w:rsidRPr="00CC4D84" w:rsidRDefault="00DE1CAD" w:rsidP="00CD6291">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DE1CAD" w:rsidRPr="00C1697B" w:rsidRDefault="00DE1CAD" w:rsidP="00CD6291">
            <w:pPr>
              <w:widowControl w:val="0"/>
              <w:jc w:val="both"/>
              <w:rPr>
                <w:sz w:val="20"/>
                <w:szCs w:val="20"/>
                <w:lang w:val="fr-CA"/>
              </w:rPr>
            </w:pPr>
          </w:p>
          <w:p w:rsidR="00DE1CAD" w:rsidRPr="00C15C02" w:rsidRDefault="00DE1CAD" w:rsidP="00DE1CAD">
            <w:pPr>
              <w:jc w:val="both"/>
              <w:rPr>
                <w:sz w:val="20"/>
                <w:szCs w:val="20"/>
                <w:lang w:val="fr-CA"/>
              </w:rPr>
            </w:pPr>
            <w:r w:rsidRPr="00C15C02">
              <w:rPr>
                <w:sz w:val="20"/>
                <w:szCs w:val="20"/>
                <w:lang w:val="fr-CA"/>
              </w:rPr>
              <w:t>L’appel interjeté contre l’arrêt de la Cour d’appel de l’Ontario, numéros C46219 et C45813, 2010 ONCA 869, en date du 17 décembre 2010, a été entendu aujourd'hui et le jugement suivant a été rendu oralement :</w:t>
            </w:r>
          </w:p>
          <w:p w:rsidR="00DE1CAD" w:rsidRDefault="00DE1CAD" w:rsidP="00DE1CAD">
            <w:pPr>
              <w:jc w:val="both"/>
              <w:rPr>
                <w:smallCaps/>
                <w:sz w:val="20"/>
                <w:szCs w:val="20"/>
                <w:lang w:val="fr-FR"/>
              </w:rPr>
            </w:pPr>
          </w:p>
          <w:p w:rsidR="00DE1CAD" w:rsidRPr="00C15C02" w:rsidRDefault="00DE1CAD" w:rsidP="00DE1CAD">
            <w:pPr>
              <w:jc w:val="both"/>
              <w:rPr>
                <w:sz w:val="20"/>
                <w:szCs w:val="20"/>
                <w:lang w:val="fr-CA"/>
              </w:rPr>
            </w:pPr>
            <w:r w:rsidRPr="00C15C02">
              <w:rPr>
                <w:smallCaps/>
                <w:sz w:val="20"/>
                <w:szCs w:val="20"/>
                <w:lang w:val="fr-FR"/>
              </w:rPr>
              <w:t>La Juge en chef</w:t>
            </w:r>
            <w:r w:rsidRPr="00C15C02">
              <w:rPr>
                <w:sz w:val="20"/>
                <w:szCs w:val="20"/>
                <w:lang w:val="fr-FR"/>
              </w:rPr>
              <w:t xml:space="preserve"> — </w:t>
            </w:r>
            <w:r w:rsidRPr="00C15C02">
              <w:rPr>
                <w:sz w:val="20"/>
                <w:szCs w:val="20"/>
                <w:lang w:val="fr-CA"/>
              </w:rPr>
              <w:t xml:space="preserve">Nous sommes tous d’avis d’accueillir l’appel pour les motifs exposés par le juge </w:t>
            </w:r>
            <w:proofErr w:type="spellStart"/>
            <w:r w:rsidRPr="00C15C02">
              <w:rPr>
                <w:sz w:val="20"/>
                <w:szCs w:val="20"/>
                <w:lang w:val="fr-CA"/>
              </w:rPr>
              <w:t>MacPherson</w:t>
            </w:r>
            <w:proofErr w:type="spellEnd"/>
            <w:r w:rsidRPr="00C15C02">
              <w:rPr>
                <w:sz w:val="20"/>
                <w:szCs w:val="20"/>
                <w:lang w:val="fr-CA"/>
              </w:rPr>
              <w:t xml:space="preserve"> de la Cour d’appel aux par. 178-189 de sa décision.</w:t>
            </w:r>
          </w:p>
          <w:p w:rsidR="00DE1CAD" w:rsidRPr="00C15C02" w:rsidRDefault="00DE1CAD" w:rsidP="00DE1CAD">
            <w:pPr>
              <w:jc w:val="both"/>
              <w:rPr>
                <w:sz w:val="20"/>
                <w:szCs w:val="20"/>
                <w:lang w:val="fr-CA"/>
              </w:rPr>
            </w:pPr>
          </w:p>
          <w:p w:rsidR="00DE1CAD" w:rsidRPr="00C1697B" w:rsidRDefault="00DE1CAD" w:rsidP="00DE1CAD">
            <w:pPr>
              <w:jc w:val="both"/>
              <w:rPr>
                <w:sz w:val="20"/>
                <w:szCs w:val="20"/>
                <w:lang w:val="fr-CA"/>
              </w:rPr>
            </w:pPr>
            <w:r w:rsidRPr="00C15C02">
              <w:rPr>
                <w:sz w:val="20"/>
                <w:szCs w:val="20"/>
                <w:lang w:val="fr-CA"/>
              </w:rPr>
              <w:t>L’appel est accueilli et la déclaration de culpabilité pour meurtre au premier degré est rétablie.</w:t>
            </w:r>
          </w:p>
        </w:tc>
      </w:tr>
    </w:tbl>
    <w:p w:rsidR="00DE1CAD" w:rsidRPr="00DE1CAD" w:rsidRDefault="00DE1CAD" w:rsidP="0093057E">
      <w:pPr>
        <w:rPr>
          <w:lang w:val="fr-CA"/>
        </w:rPr>
      </w:pPr>
    </w:p>
    <w:tbl>
      <w:tblPr>
        <w:tblW w:w="0" w:type="auto"/>
        <w:tblLayout w:type="fixed"/>
        <w:tblCellMar>
          <w:left w:w="0" w:type="dxa"/>
          <w:right w:w="0" w:type="dxa"/>
        </w:tblCellMar>
        <w:tblLook w:val="0000"/>
      </w:tblPr>
      <w:tblGrid>
        <w:gridCol w:w="4380"/>
        <w:gridCol w:w="720"/>
        <w:gridCol w:w="4380"/>
      </w:tblGrid>
      <w:tr w:rsidR="0093057E" w:rsidRPr="00E35DA8" w:rsidTr="0093057E">
        <w:tc>
          <w:tcPr>
            <w:tcW w:w="4380" w:type="dxa"/>
            <w:tcMar>
              <w:left w:w="0" w:type="dxa"/>
              <w:right w:w="0" w:type="dxa"/>
            </w:tcMar>
          </w:tcPr>
          <w:p w:rsidR="0093057E" w:rsidRPr="00CC4D84" w:rsidRDefault="0093057E" w:rsidP="0093057E">
            <w:pPr>
              <w:widowControl w:val="0"/>
              <w:jc w:val="both"/>
              <w:rPr>
                <w:b/>
                <w:sz w:val="20"/>
                <w:szCs w:val="20"/>
                <w:u w:val="single"/>
              </w:rPr>
            </w:pPr>
            <w:r w:rsidRPr="00CC4D84">
              <w:rPr>
                <w:b/>
                <w:sz w:val="20"/>
                <w:szCs w:val="20"/>
                <w:u w:val="single"/>
              </w:rPr>
              <w:t>Nature of the case:</w:t>
            </w:r>
          </w:p>
          <w:p w:rsidR="0093057E" w:rsidRPr="001A663B" w:rsidRDefault="0093057E" w:rsidP="0093057E">
            <w:pPr>
              <w:widowControl w:val="0"/>
              <w:jc w:val="both"/>
              <w:rPr>
                <w:b/>
                <w:sz w:val="20"/>
                <w:szCs w:val="20"/>
              </w:rPr>
            </w:pPr>
          </w:p>
          <w:p w:rsidR="0093057E" w:rsidRPr="00C1697B" w:rsidRDefault="001A663B" w:rsidP="001A663B">
            <w:pPr>
              <w:widowControl w:val="0"/>
              <w:jc w:val="both"/>
              <w:rPr>
                <w:b/>
                <w:sz w:val="20"/>
                <w:szCs w:val="20"/>
              </w:rPr>
            </w:pPr>
            <w:r w:rsidRPr="001A663B">
              <w:rPr>
                <w:sz w:val="20"/>
                <w:szCs w:val="20"/>
              </w:rPr>
              <w:t xml:space="preserve">Criminal law </w:t>
            </w:r>
            <w:r w:rsidRPr="001A663B">
              <w:rPr>
                <w:sz w:val="20"/>
                <w:szCs w:val="20"/>
              </w:rPr>
              <w:noBreakHyphen/>
              <w:t xml:space="preserve"> Trial </w:t>
            </w:r>
            <w:r w:rsidRPr="001A663B">
              <w:rPr>
                <w:sz w:val="20"/>
                <w:szCs w:val="20"/>
              </w:rPr>
              <w:noBreakHyphen/>
              <w:t xml:space="preserve"> Charge to jury </w:t>
            </w:r>
            <w:r w:rsidRPr="001A663B">
              <w:rPr>
                <w:sz w:val="20"/>
                <w:szCs w:val="20"/>
              </w:rPr>
              <w:noBreakHyphen/>
              <w:t xml:space="preserve"> Offences </w:t>
            </w:r>
            <w:r w:rsidRPr="001A663B">
              <w:rPr>
                <w:sz w:val="20"/>
                <w:szCs w:val="20"/>
              </w:rPr>
              <w:noBreakHyphen/>
              <w:t xml:space="preserve"> First degree murder </w:t>
            </w:r>
            <w:r w:rsidRPr="001A663B">
              <w:rPr>
                <w:sz w:val="20"/>
                <w:szCs w:val="20"/>
              </w:rPr>
              <w:noBreakHyphen/>
              <w:t xml:space="preserve"> Elements of the offence </w:t>
            </w:r>
            <w:r w:rsidRPr="001A663B">
              <w:rPr>
                <w:sz w:val="20"/>
                <w:szCs w:val="20"/>
              </w:rPr>
              <w:noBreakHyphen/>
              <w:t xml:space="preserve"> Whether the trial judge properly instructed the jury on the relationship between planning and deliberation and murder as defined under s. 229(a)(ii) of the </w:t>
            </w:r>
            <w:r w:rsidRPr="001A663B">
              <w:rPr>
                <w:i/>
                <w:sz w:val="20"/>
                <w:szCs w:val="20"/>
              </w:rPr>
              <w:t>Criminal Code</w:t>
            </w:r>
            <w:r w:rsidRPr="001A663B">
              <w:rPr>
                <w:sz w:val="20"/>
                <w:szCs w:val="20"/>
              </w:rPr>
              <w:t>.</w:t>
            </w:r>
          </w:p>
        </w:tc>
        <w:tc>
          <w:tcPr>
            <w:tcW w:w="720" w:type="dxa"/>
            <w:tcMar>
              <w:left w:w="0" w:type="dxa"/>
              <w:right w:w="0" w:type="dxa"/>
            </w:tcMar>
          </w:tcPr>
          <w:p w:rsidR="0093057E" w:rsidRPr="00C1697B" w:rsidRDefault="0093057E" w:rsidP="0093057E">
            <w:pPr>
              <w:widowControl w:val="0"/>
              <w:jc w:val="center"/>
              <w:rPr>
                <w:sz w:val="20"/>
                <w:szCs w:val="20"/>
              </w:rPr>
            </w:pPr>
          </w:p>
        </w:tc>
        <w:tc>
          <w:tcPr>
            <w:tcW w:w="4380" w:type="dxa"/>
            <w:tcMar>
              <w:left w:w="0" w:type="dxa"/>
              <w:right w:w="0" w:type="dxa"/>
            </w:tcMar>
          </w:tcPr>
          <w:p w:rsidR="0093057E" w:rsidRPr="00CC4D84" w:rsidRDefault="0093057E" w:rsidP="0093057E">
            <w:pPr>
              <w:widowControl w:val="0"/>
              <w:jc w:val="both"/>
              <w:rPr>
                <w:b/>
                <w:sz w:val="20"/>
                <w:szCs w:val="20"/>
                <w:u w:val="single"/>
                <w:lang w:val="fr-CA"/>
              </w:rPr>
            </w:pPr>
            <w:r w:rsidRPr="00CC4D84">
              <w:rPr>
                <w:b/>
                <w:sz w:val="20"/>
                <w:szCs w:val="20"/>
                <w:u w:val="single"/>
                <w:lang w:val="fr-CA"/>
              </w:rPr>
              <w:t>Nature de la cause :</w:t>
            </w:r>
          </w:p>
          <w:p w:rsidR="0093057E" w:rsidRPr="00C1697B" w:rsidRDefault="0093057E" w:rsidP="0093057E">
            <w:pPr>
              <w:widowControl w:val="0"/>
              <w:jc w:val="both"/>
              <w:rPr>
                <w:sz w:val="20"/>
                <w:szCs w:val="20"/>
                <w:lang w:val="fr-CA"/>
              </w:rPr>
            </w:pPr>
          </w:p>
          <w:p w:rsidR="0093057E" w:rsidRPr="00C1697B" w:rsidRDefault="001A663B" w:rsidP="001A663B">
            <w:pPr>
              <w:widowControl w:val="0"/>
              <w:jc w:val="both"/>
              <w:rPr>
                <w:sz w:val="20"/>
                <w:szCs w:val="20"/>
                <w:lang w:val="fr-CA"/>
              </w:rPr>
            </w:pPr>
            <w:r w:rsidRPr="0082047E">
              <w:rPr>
                <w:sz w:val="20"/>
                <w:szCs w:val="20"/>
                <w:lang w:val="fr-CA"/>
              </w:rPr>
              <w:t xml:space="preserve">Droit criminel </w:t>
            </w:r>
            <w:r w:rsidRPr="0082047E">
              <w:rPr>
                <w:sz w:val="20"/>
                <w:szCs w:val="20"/>
                <w:lang w:val="fr-CA"/>
              </w:rPr>
              <w:noBreakHyphen/>
              <w:t xml:space="preserve"> Procès </w:t>
            </w:r>
            <w:r w:rsidRPr="0082047E">
              <w:rPr>
                <w:sz w:val="20"/>
                <w:szCs w:val="20"/>
                <w:lang w:val="fr-CA"/>
              </w:rPr>
              <w:noBreakHyphen/>
              <w:t xml:space="preserve"> Exposé au jury </w:t>
            </w:r>
            <w:r w:rsidRPr="0082047E">
              <w:rPr>
                <w:sz w:val="20"/>
                <w:szCs w:val="20"/>
                <w:lang w:val="fr-CA"/>
              </w:rPr>
              <w:noBreakHyphen/>
              <w:t xml:space="preserve"> Infractions </w:t>
            </w:r>
            <w:r w:rsidRPr="0082047E">
              <w:rPr>
                <w:sz w:val="20"/>
                <w:szCs w:val="20"/>
                <w:lang w:val="fr-CA"/>
              </w:rPr>
              <w:noBreakHyphen/>
              <w:t xml:space="preserve"> Meurtre au premier degré </w:t>
            </w:r>
            <w:r w:rsidRPr="0082047E">
              <w:rPr>
                <w:sz w:val="20"/>
                <w:szCs w:val="20"/>
                <w:lang w:val="fr-CA"/>
              </w:rPr>
              <w:noBreakHyphen/>
              <w:t xml:space="preserve"> Éléments de l’infraction </w:t>
            </w:r>
            <w:r w:rsidRPr="0082047E">
              <w:rPr>
                <w:sz w:val="20"/>
                <w:szCs w:val="20"/>
                <w:lang w:val="fr-CA"/>
              </w:rPr>
              <w:noBreakHyphen/>
              <w:t xml:space="preserve"> Le juge de première instance </w:t>
            </w:r>
            <w:proofErr w:type="spellStart"/>
            <w:r w:rsidRPr="0082047E">
              <w:rPr>
                <w:sz w:val="20"/>
                <w:szCs w:val="20"/>
                <w:lang w:val="fr-CA"/>
              </w:rPr>
              <w:t>a</w:t>
            </w:r>
            <w:r w:rsidRPr="0082047E">
              <w:rPr>
                <w:sz w:val="20"/>
                <w:szCs w:val="20"/>
                <w:lang w:val="fr-CA"/>
              </w:rPr>
              <w:noBreakHyphen/>
              <w:t>t</w:t>
            </w:r>
            <w:r w:rsidRPr="0082047E">
              <w:rPr>
                <w:sz w:val="20"/>
                <w:szCs w:val="20"/>
                <w:lang w:val="fr-CA"/>
              </w:rPr>
              <w:noBreakHyphen/>
              <w:t>il</w:t>
            </w:r>
            <w:proofErr w:type="spellEnd"/>
            <w:r w:rsidRPr="0082047E">
              <w:rPr>
                <w:sz w:val="20"/>
                <w:szCs w:val="20"/>
                <w:lang w:val="fr-CA"/>
              </w:rPr>
              <w:t xml:space="preserve"> donné des directives appropriées au jury sur le rapport entre la préméditation, le propos délibéré et le meurtre tel qu’il est défini au </w:t>
            </w:r>
            <w:proofErr w:type="spellStart"/>
            <w:r w:rsidRPr="0082047E">
              <w:rPr>
                <w:sz w:val="20"/>
                <w:szCs w:val="20"/>
                <w:lang w:val="fr-CA"/>
              </w:rPr>
              <w:t>sous</w:t>
            </w:r>
            <w:r w:rsidRPr="0082047E">
              <w:rPr>
                <w:sz w:val="20"/>
                <w:szCs w:val="20"/>
                <w:lang w:val="fr-CA"/>
              </w:rPr>
              <w:noBreakHyphen/>
              <w:t>al</w:t>
            </w:r>
            <w:proofErr w:type="spellEnd"/>
            <w:r w:rsidRPr="0082047E">
              <w:rPr>
                <w:sz w:val="20"/>
                <w:szCs w:val="20"/>
                <w:lang w:val="fr-CA"/>
              </w:rPr>
              <w:t>. 229</w:t>
            </w:r>
            <w:r w:rsidRPr="0082047E">
              <w:rPr>
                <w:i/>
                <w:sz w:val="20"/>
                <w:szCs w:val="20"/>
                <w:lang w:val="fr-CA"/>
              </w:rPr>
              <w:t>a</w:t>
            </w:r>
            <w:proofErr w:type="gramStart"/>
            <w:r w:rsidRPr="0082047E">
              <w:rPr>
                <w:sz w:val="20"/>
                <w:szCs w:val="20"/>
                <w:lang w:val="fr-CA"/>
              </w:rPr>
              <w:t>)(</w:t>
            </w:r>
            <w:proofErr w:type="gramEnd"/>
            <w:r w:rsidRPr="0082047E">
              <w:rPr>
                <w:sz w:val="20"/>
                <w:szCs w:val="20"/>
                <w:lang w:val="fr-CA"/>
              </w:rPr>
              <w:t xml:space="preserve">ii) du </w:t>
            </w:r>
            <w:r w:rsidRPr="0082047E">
              <w:rPr>
                <w:i/>
                <w:sz w:val="20"/>
                <w:szCs w:val="20"/>
                <w:lang w:val="fr-CA"/>
              </w:rPr>
              <w:t>Code criminel</w:t>
            </w:r>
            <w:r w:rsidRPr="0082047E">
              <w:rPr>
                <w:sz w:val="20"/>
                <w:szCs w:val="20"/>
                <w:lang w:val="fr-CA"/>
              </w:rPr>
              <w:t>?</w:t>
            </w:r>
          </w:p>
        </w:tc>
      </w:tr>
    </w:tbl>
    <w:p w:rsidR="0093057E" w:rsidRDefault="0093057E" w:rsidP="0093057E">
      <w:pPr>
        <w:widowControl w:val="0"/>
        <w:rPr>
          <w:sz w:val="20"/>
          <w:szCs w:val="20"/>
          <w:lang w:val="fr-CA"/>
        </w:rPr>
      </w:pPr>
    </w:p>
    <w:p w:rsidR="0093057E" w:rsidRPr="00C1697B" w:rsidRDefault="004D631F" w:rsidP="0093057E">
      <w:pPr>
        <w:widowControl w:val="0"/>
        <w:rPr>
          <w:sz w:val="20"/>
          <w:szCs w:val="20"/>
          <w:lang w:val="fr-CA"/>
        </w:rPr>
      </w:pPr>
      <w:r w:rsidRPr="004D631F">
        <w:rPr>
          <w:sz w:val="20"/>
          <w:szCs w:val="20"/>
          <w:lang w:val="fr-CA"/>
        </w:rPr>
        <w:pict>
          <v:rect id="_x0000_i1061" style="width:2in;height:1pt" o:hrpct="0" o:hralign="center" o:hrstd="t" o:hrnoshade="t" o:hr="t" fillcolor="black [3213]" stroked="f"/>
        </w:pict>
      </w:r>
    </w:p>
    <w:p w:rsidR="0093057E" w:rsidRDefault="0093057E" w:rsidP="0093057E">
      <w:pPr>
        <w:widowControl w:val="0"/>
        <w:rPr>
          <w:sz w:val="20"/>
          <w:szCs w:val="20"/>
        </w:rPr>
      </w:pPr>
    </w:p>
    <w:p w:rsidR="0088733B" w:rsidRDefault="0088733B">
      <w:pPr>
        <w:rPr>
          <w:sz w:val="20"/>
          <w:szCs w:val="20"/>
        </w:rPr>
      </w:pPr>
      <w:r>
        <w:rPr>
          <w:sz w:val="20"/>
          <w:szCs w:val="20"/>
        </w:rPr>
        <w:br w:type="page"/>
      </w:r>
    </w:p>
    <w:p w:rsidR="0093057E" w:rsidRDefault="0093057E" w:rsidP="0093057E">
      <w:pPr>
        <w:widowControl w:val="0"/>
        <w:rPr>
          <w:sz w:val="20"/>
          <w:szCs w:val="20"/>
        </w:rPr>
      </w:pPr>
      <w:r>
        <w:rPr>
          <w:sz w:val="20"/>
          <w:szCs w:val="20"/>
        </w:rPr>
        <w:lastRenderedPageBreak/>
        <w:t>09.11.2011</w:t>
      </w:r>
    </w:p>
    <w:p w:rsidR="0093057E" w:rsidRDefault="0093057E" w:rsidP="0093057E">
      <w:pPr>
        <w:widowControl w:val="0"/>
        <w:rPr>
          <w:sz w:val="20"/>
          <w:szCs w:val="20"/>
        </w:rPr>
      </w:pPr>
    </w:p>
    <w:p w:rsidR="000013ED" w:rsidRPr="0077461B" w:rsidRDefault="000013ED" w:rsidP="000013ED">
      <w:pPr>
        <w:widowControl w:val="0"/>
        <w:ind w:left="720" w:hanging="720"/>
        <w:rPr>
          <w:rFonts w:eastAsia="Calibri" w:cs="Times New Roman"/>
          <w:sz w:val="20"/>
          <w:szCs w:val="20"/>
          <w:u w:val="single"/>
        </w:rPr>
      </w:pPr>
      <w:r w:rsidRPr="0077461B">
        <w:rPr>
          <w:rFonts w:eastAsia="Calibri" w:cs="Times New Roman"/>
          <w:sz w:val="20"/>
          <w:szCs w:val="20"/>
        </w:rPr>
        <w:t xml:space="preserve">Coram: </w:t>
      </w:r>
      <w:r w:rsidRPr="0077461B">
        <w:rPr>
          <w:rFonts w:eastAsia="Calibri" w:cs="Times New Roman"/>
          <w:sz w:val="20"/>
          <w:szCs w:val="20"/>
        </w:rPr>
        <w:tab/>
      </w:r>
      <w:proofErr w:type="spellStart"/>
      <w:r w:rsidRPr="0077461B">
        <w:rPr>
          <w:rFonts w:eastAsia="Calibri" w:cs="Times New Roman"/>
          <w:sz w:val="20"/>
          <w:szCs w:val="20"/>
          <w:u w:val="single"/>
        </w:rPr>
        <w:t>McLachlin</w:t>
      </w:r>
      <w:proofErr w:type="spellEnd"/>
      <w:r w:rsidRPr="0077461B">
        <w:rPr>
          <w:rFonts w:eastAsia="Calibri" w:cs="Times New Roman"/>
          <w:sz w:val="20"/>
          <w:szCs w:val="20"/>
          <w:u w:val="single"/>
        </w:rPr>
        <w:t xml:space="preserve"> C.J. and </w:t>
      </w:r>
      <w:proofErr w:type="spellStart"/>
      <w:r w:rsidRPr="0077461B">
        <w:rPr>
          <w:rFonts w:eastAsia="Calibri" w:cs="Times New Roman"/>
          <w:sz w:val="20"/>
          <w:szCs w:val="20"/>
          <w:u w:val="single"/>
        </w:rPr>
        <w:t>LeBel</w:t>
      </w:r>
      <w:proofErr w:type="spellEnd"/>
      <w:r w:rsidRPr="0077461B">
        <w:rPr>
          <w:rFonts w:eastAsia="Calibri" w:cs="Times New Roman"/>
          <w:sz w:val="20"/>
          <w:szCs w:val="20"/>
          <w:u w:val="single"/>
        </w:rPr>
        <w:t xml:space="preserve">, </w:t>
      </w:r>
      <w:proofErr w:type="spellStart"/>
      <w:r w:rsidRPr="0077461B">
        <w:rPr>
          <w:rFonts w:eastAsia="Calibri" w:cs="Times New Roman"/>
          <w:sz w:val="20"/>
          <w:szCs w:val="20"/>
          <w:u w:val="single"/>
        </w:rPr>
        <w:t>Deschamps</w:t>
      </w:r>
      <w:proofErr w:type="spellEnd"/>
      <w:r w:rsidRPr="0077461B">
        <w:rPr>
          <w:rFonts w:eastAsia="Calibri" w:cs="Times New Roman"/>
          <w:sz w:val="20"/>
          <w:szCs w:val="20"/>
          <w:u w:val="single"/>
        </w:rPr>
        <w:t xml:space="preserve">, Fish, </w:t>
      </w:r>
      <w:proofErr w:type="spellStart"/>
      <w:r w:rsidRPr="0077461B">
        <w:rPr>
          <w:rFonts w:eastAsia="Calibri" w:cs="Times New Roman"/>
          <w:sz w:val="20"/>
          <w:szCs w:val="20"/>
          <w:u w:val="single"/>
        </w:rPr>
        <w:t>Abella</w:t>
      </w:r>
      <w:proofErr w:type="spellEnd"/>
      <w:r w:rsidRPr="0077461B">
        <w:rPr>
          <w:rFonts w:eastAsia="Calibri" w:cs="Times New Roman"/>
          <w:sz w:val="20"/>
          <w:szCs w:val="20"/>
          <w:u w:val="single"/>
        </w:rPr>
        <w:t>, Rothstein and Cromwell JJ.</w:t>
      </w:r>
    </w:p>
    <w:p w:rsidR="0093057E" w:rsidRDefault="0093057E" w:rsidP="0093057E">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93057E" w:rsidRPr="00C50A5C" w:rsidTr="0093057E">
        <w:tc>
          <w:tcPr>
            <w:tcW w:w="4380" w:type="dxa"/>
            <w:tcMar>
              <w:left w:w="0" w:type="dxa"/>
              <w:right w:w="0" w:type="dxa"/>
            </w:tcMar>
          </w:tcPr>
          <w:p w:rsidR="00685C6A" w:rsidRPr="00C50A5C" w:rsidRDefault="00685C6A" w:rsidP="00685C6A">
            <w:pPr>
              <w:widowControl w:val="0"/>
              <w:jc w:val="both"/>
              <w:rPr>
                <w:b/>
                <w:sz w:val="20"/>
                <w:szCs w:val="20"/>
              </w:rPr>
            </w:pPr>
            <w:r>
              <w:rPr>
                <w:b/>
                <w:sz w:val="20"/>
                <w:szCs w:val="20"/>
              </w:rPr>
              <w:t>Randy Leigh Roy</w:t>
            </w:r>
          </w:p>
          <w:p w:rsidR="00685C6A" w:rsidRPr="00C50A5C" w:rsidRDefault="00685C6A" w:rsidP="00685C6A">
            <w:pPr>
              <w:widowControl w:val="0"/>
              <w:jc w:val="both"/>
              <w:rPr>
                <w:b/>
                <w:sz w:val="20"/>
                <w:szCs w:val="20"/>
              </w:rPr>
            </w:pPr>
          </w:p>
          <w:p w:rsidR="00685C6A" w:rsidRPr="00C50A5C" w:rsidRDefault="00685C6A" w:rsidP="00685C6A">
            <w:pPr>
              <w:widowControl w:val="0"/>
              <w:tabs>
                <w:tab w:val="left" w:pos="736"/>
              </w:tabs>
              <w:jc w:val="both"/>
              <w:rPr>
                <w:b/>
                <w:sz w:val="20"/>
                <w:szCs w:val="20"/>
              </w:rPr>
            </w:pPr>
            <w:r w:rsidRPr="00C50A5C">
              <w:rPr>
                <w:b/>
                <w:sz w:val="20"/>
                <w:szCs w:val="20"/>
              </w:rPr>
              <w:tab/>
              <w:t>v. (3</w:t>
            </w:r>
            <w:r>
              <w:rPr>
                <w:b/>
                <w:sz w:val="20"/>
                <w:szCs w:val="20"/>
              </w:rPr>
              <w:t>3699</w:t>
            </w:r>
            <w:r w:rsidRPr="00C50A5C">
              <w:rPr>
                <w:b/>
                <w:sz w:val="20"/>
                <w:szCs w:val="20"/>
              </w:rPr>
              <w:t>)</w:t>
            </w:r>
          </w:p>
          <w:p w:rsidR="00685C6A" w:rsidRPr="00C50A5C" w:rsidRDefault="00685C6A" w:rsidP="00685C6A">
            <w:pPr>
              <w:widowControl w:val="0"/>
              <w:jc w:val="both"/>
              <w:rPr>
                <w:b/>
                <w:sz w:val="20"/>
                <w:szCs w:val="20"/>
              </w:rPr>
            </w:pPr>
          </w:p>
          <w:p w:rsidR="0093057E" w:rsidRPr="0093057E" w:rsidRDefault="00685C6A" w:rsidP="00685C6A">
            <w:pPr>
              <w:widowControl w:val="0"/>
              <w:jc w:val="both"/>
              <w:rPr>
                <w:sz w:val="20"/>
                <w:szCs w:val="20"/>
              </w:rPr>
            </w:pPr>
            <w:r>
              <w:rPr>
                <w:b/>
                <w:sz w:val="20"/>
                <w:szCs w:val="20"/>
              </w:rPr>
              <w:t>Her Majesty the Queen</w:t>
            </w:r>
            <w:r w:rsidRPr="00C50A5C">
              <w:rPr>
                <w:b/>
                <w:sz w:val="20"/>
                <w:szCs w:val="20"/>
              </w:rPr>
              <w:t xml:space="preserve"> (B.C.)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(By</w:t>
            </w:r>
            <w:r>
              <w:rPr>
                <w:b/>
                <w:sz w:val="20"/>
                <w:szCs w:val="20"/>
              </w:rPr>
              <w:t> </w:t>
            </w:r>
            <w:r w:rsidRPr="00C50A5C">
              <w:rPr>
                <w:b/>
                <w:sz w:val="20"/>
                <w:szCs w:val="20"/>
              </w:rPr>
              <w:t>Leave)</w:t>
            </w:r>
          </w:p>
        </w:tc>
        <w:tc>
          <w:tcPr>
            <w:tcW w:w="720" w:type="dxa"/>
            <w:tcMar>
              <w:left w:w="0" w:type="dxa"/>
              <w:right w:w="0" w:type="dxa"/>
            </w:tcMar>
          </w:tcPr>
          <w:p w:rsidR="0093057E" w:rsidRPr="0093057E" w:rsidRDefault="0093057E" w:rsidP="0093057E">
            <w:pPr>
              <w:widowControl w:val="0"/>
              <w:jc w:val="center"/>
              <w:rPr>
                <w:sz w:val="20"/>
                <w:szCs w:val="20"/>
              </w:rPr>
            </w:pPr>
          </w:p>
        </w:tc>
        <w:tc>
          <w:tcPr>
            <w:tcW w:w="4380" w:type="dxa"/>
            <w:tcMar>
              <w:left w:w="0" w:type="dxa"/>
              <w:right w:w="0" w:type="dxa"/>
            </w:tcMar>
          </w:tcPr>
          <w:p w:rsidR="00180A01" w:rsidRPr="004A4FB3" w:rsidRDefault="00180A01" w:rsidP="00180A01">
            <w:pPr>
              <w:rPr>
                <w:sz w:val="20"/>
                <w:szCs w:val="20"/>
              </w:rPr>
            </w:pPr>
            <w:r w:rsidRPr="004A4FB3">
              <w:rPr>
                <w:sz w:val="20"/>
                <w:szCs w:val="20"/>
              </w:rPr>
              <w:t xml:space="preserve">Christopher </w:t>
            </w:r>
            <w:proofErr w:type="spellStart"/>
            <w:r w:rsidRPr="004A4FB3">
              <w:rPr>
                <w:sz w:val="20"/>
                <w:szCs w:val="20"/>
              </w:rPr>
              <w:t>Nowlin</w:t>
            </w:r>
            <w:proofErr w:type="spellEnd"/>
            <w:r>
              <w:rPr>
                <w:sz w:val="20"/>
                <w:szCs w:val="20"/>
              </w:rPr>
              <w:t xml:space="preserve"> f</w:t>
            </w:r>
            <w:r w:rsidRPr="004A4FB3">
              <w:rPr>
                <w:sz w:val="20"/>
                <w:szCs w:val="20"/>
              </w:rPr>
              <w:t xml:space="preserve">or the </w:t>
            </w:r>
            <w:r>
              <w:rPr>
                <w:sz w:val="20"/>
                <w:szCs w:val="20"/>
              </w:rPr>
              <w:t>a</w:t>
            </w:r>
            <w:r w:rsidRPr="004A4FB3">
              <w:rPr>
                <w:sz w:val="20"/>
                <w:szCs w:val="20"/>
              </w:rPr>
              <w:t>ppellant</w:t>
            </w:r>
            <w:r>
              <w:rPr>
                <w:sz w:val="20"/>
                <w:szCs w:val="20"/>
              </w:rPr>
              <w:t>.</w:t>
            </w:r>
          </w:p>
          <w:p w:rsidR="00180A01" w:rsidRPr="004A4FB3" w:rsidRDefault="00180A01" w:rsidP="00180A01">
            <w:pPr>
              <w:rPr>
                <w:sz w:val="20"/>
                <w:szCs w:val="20"/>
              </w:rPr>
            </w:pPr>
          </w:p>
          <w:p w:rsidR="00180A01" w:rsidRPr="004A4FB3" w:rsidRDefault="00180A01" w:rsidP="00180A01">
            <w:pPr>
              <w:rPr>
                <w:sz w:val="20"/>
                <w:szCs w:val="20"/>
              </w:rPr>
            </w:pPr>
            <w:r w:rsidRPr="004A4FB3">
              <w:rPr>
                <w:sz w:val="20"/>
                <w:szCs w:val="20"/>
              </w:rPr>
              <w:t xml:space="preserve">Michael J. </w:t>
            </w:r>
            <w:proofErr w:type="spellStart"/>
            <w:r w:rsidRPr="004A4FB3">
              <w:rPr>
                <w:sz w:val="20"/>
                <w:szCs w:val="20"/>
              </w:rPr>
              <w:t>Brundrett</w:t>
            </w:r>
            <w:proofErr w:type="spellEnd"/>
            <w:r>
              <w:rPr>
                <w:sz w:val="20"/>
                <w:szCs w:val="20"/>
              </w:rPr>
              <w:t xml:space="preserve"> f</w:t>
            </w:r>
            <w:r w:rsidRPr="004A4FB3">
              <w:rPr>
                <w:sz w:val="20"/>
                <w:szCs w:val="20"/>
              </w:rPr>
              <w:t xml:space="preserve">or the </w:t>
            </w:r>
            <w:r>
              <w:rPr>
                <w:sz w:val="20"/>
                <w:szCs w:val="20"/>
              </w:rPr>
              <w:t>r</w:t>
            </w:r>
            <w:r w:rsidRPr="004A4FB3">
              <w:rPr>
                <w:sz w:val="20"/>
                <w:szCs w:val="20"/>
              </w:rPr>
              <w:t>espondent.</w:t>
            </w:r>
          </w:p>
          <w:p w:rsidR="0093057E" w:rsidRPr="00C50A5C" w:rsidRDefault="0093057E" w:rsidP="0093057E">
            <w:pPr>
              <w:widowControl w:val="0"/>
              <w:jc w:val="both"/>
              <w:rPr>
                <w:sz w:val="20"/>
                <w:szCs w:val="20"/>
              </w:rPr>
            </w:pPr>
          </w:p>
        </w:tc>
      </w:tr>
    </w:tbl>
    <w:p w:rsidR="0093057E" w:rsidRDefault="0093057E" w:rsidP="0093057E">
      <w:pPr>
        <w:widowControl w:val="0"/>
        <w:rPr>
          <w:sz w:val="20"/>
          <w:szCs w:val="20"/>
        </w:rPr>
      </w:pPr>
    </w:p>
    <w:p w:rsidR="0093057E" w:rsidRPr="0085476B" w:rsidRDefault="0093057E" w:rsidP="0093057E">
      <w:pPr>
        <w:widowControl w:val="0"/>
        <w:rPr>
          <w:sz w:val="20"/>
          <w:szCs w:val="20"/>
        </w:rPr>
      </w:pPr>
      <w:r w:rsidRPr="0085476B">
        <w:rPr>
          <w:b/>
          <w:sz w:val="20"/>
          <w:szCs w:val="20"/>
        </w:rPr>
        <w:t xml:space="preserve">RESERVED / </w:t>
      </w:r>
      <w:r w:rsidRPr="0085476B">
        <w:rPr>
          <w:b/>
          <w:sz w:val="20"/>
          <w:szCs w:val="20"/>
          <w:lang w:val="fr-CA"/>
        </w:rPr>
        <w:t>EN DÉLIBÉRÉ</w:t>
      </w:r>
    </w:p>
    <w:p w:rsidR="0093057E" w:rsidRDefault="0093057E" w:rsidP="0093057E"/>
    <w:tbl>
      <w:tblPr>
        <w:tblW w:w="0" w:type="auto"/>
        <w:tblLayout w:type="fixed"/>
        <w:tblCellMar>
          <w:left w:w="0" w:type="dxa"/>
          <w:right w:w="0" w:type="dxa"/>
        </w:tblCellMar>
        <w:tblLook w:val="0000"/>
      </w:tblPr>
      <w:tblGrid>
        <w:gridCol w:w="4380"/>
        <w:gridCol w:w="720"/>
        <w:gridCol w:w="4380"/>
      </w:tblGrid>
      <w:tr w:rsidR="0093057E" w:rsidRPr="00FD7538" w:rsidTr="0093057E">
        <w:tc>
          <w:tcPr>
            <w:tcW w:w="4380" w:type="dxa"/>
            <w:tcMar>
              <w:left w:w="0" w:type="dxa"/>
              <w:right w:w="0" w:type="dxa"/>
            </w:tcMar>
          </w:tcPr>
          <w:p w:rsidR="0093057E" w:rsidRPr="00CC4D84" w:rsidRDefault="0093057E" w:rsidP="0093057E">
            <w:pPr>
              <w:widowControl w:val="0"/>
              <w:jc w:val="both"/>
              <w:rPr>
                <w:b/>
                <w:sz w:val="20"/>
                <w:szCs w:val="20"/>
                <w:u w:val="single"/>
              </w:rPr>
            </w:pPr>
            <w:r w:rsidRPr="00CC4D84">
              <w:rPr>
                <w:b/>
                <w:sz w:val="20"/>
                <w:szCs w:val="20"/>
                <w:u w:val="single"/>
              </w:rPr>
              <w:t>Nature of the case:</w:t>
            </w:r>
          </w:p>
          <w:p w:rsidR="0093057E" w:rsidRDefault="0093057E" w:rsidP="0093057E">
            <w:pPr>
              <w:widowControl w:val="0"/>
              <w:jc w:val="both"/>
              <w:rPr>
                <w:b/>
                <w:sz w:val="20"/>
                <w:szCs w:val="20"/>
              </w:rPr>
            </w:pPr>
          </w:p>
          <w:p w:rsidR="0093057E" w:rsidRPr="00C1697B" w:rsidRDefault="004D631F" w:rsidP="006A0A04">
            <w:pPr>
              <w:widowControl w:val="0"/>
              <w:jc w:val="both"/>
              <w:rPr>
                <w:b/>
                <w:sz w:val="20"/>
                <w:szCs w:val="20"/>
              </w:rPr>
            </w:pPr>
            <w:r w:rsidRPr="00F51E36">
              <w:rPr>
                <w:sz w:val="20"/>
                <w:szCs w:val="20"/>
              </w:rPr>
              <w:fldChar w:fldCharType="begin"/>
            </w:r>
            <w:r w:rsidR="006A0A04" w:rsidRPr="00F51E36">
              <w:rPr>
                <w:sz w:val="20"/>
                <w:szCs w:val="20"/>
              </w:rPr>
              <w:instrText xml:space="preserve"> SEQ CHAPTER \h \r 1</w:instrText>
            </w:r>
            <w:r w:rsidRPr="00F51E36">
              <w:rPr>
                <w:sz w:val="20"/>
                <w:szCs w:val="20"/>
              </w:rPr>
              <w:fldChar w:fldCharType="end"/>
            </w:r>
            <w:r w:rsidR="006A0A04" w:rsidRPr="00F51E36">
              <w:rPr>
                <w:sz w:val="20"/>
                <w:szCs w:val="20"/>
              </w:rPr>
              <w:t xml:space="preserve">Criminal law </w:t>
            </w:r>
            <w:r w:rsidR="006A0A04" w:rsidRPr="00F51E36">
              <w:rPr>
                <w:sz w:val="20"/>
                <w:szCs w:val="20"/>
              </w:rPr>
              <w:noBreakHyphen/>
              <w:t xml:space="preserve"> Appeal </w:t>
            </w:r>
            <w:r w:rsidR="006A0A04" w:rsidRPr="00F51E36">
              <w:rPr>
                <w:sz w:val="20"/>
                <w:szCs w:val="20"/>
              </w:rPr>
              <w:noBreakHyphen/>
              <w:t xml:space="preserve"> Application of curative proviso in </w:t>
            </w:r>
            <w:r w:rsidR="006A0A04" w:rsidRPr="00F51E36">
              <w:rPr>
                <w:i/>
                <w:iCs/>
                <w:sz w:val="20"/>
                <w:szCs w:val="20"/>
              </w:rPr>
              <w:t>Criminal Code</w:t>
            </w:r>
            <w:r w:rsidR="006A0A04" w:rsidRPr="00F51E36">
              <w:rPr>
                <w:sz w:val="20"/>
                <w:szCs w:val="20"/>
              </w:rPr>
              <w:t>, R.S.C. 1985, c. C</w:t>
            </w:r>
            <w:r w:rsidR="006A0A04" w:rsidRPr="00F51E36">
              <w:rPr>
                <w:sz w:val="20"/>
                <w:szCs w:val="20"/>
              </w:rPr>
              <w:noBreakHyphen/>
              <w:t>46, s. 686(</w:t>
            </w:r>
            <w:r w:rsidR="006A0A04" w:rsidRPr="00F51E36">
              <w:rPr>
                <w:i/>
                <w:iCs/>
                <w:sz w:val="20"/>
                <w:szCs w:val="20"/>
              </w:rPr>
              <w:t>b</w:t>
            </w:r>
            <w:proofErr w:type="gramStart"/>
            <w:r w:rsidR="006A0A04" w:rsidRPr="00F51E36">
              <w:rPr>
                <w:sz w:val="20"/>
                <w:szCs w:val="20"/>
              </w:rPr>
              <w:t>)(</w:t>
            </w:r>
            <w:proofErr w:type="gramEnd"/>
            <w:r w:rsidR="006A0A04" w:rsidRPr="00F51E36">
              <w:rPr>
                <w:sz w:val="20"/>
                <w:szCs w:val="20"/>
              </w:rPr>
              <w:t xml:space="preserve">iii) </w:t>
            </w:r>
            <w:r w:rsidR="006A0A04" w:rsidRPr="00F51E36">
              <w:rPr>
                <w:sz w:val="20"/>
                <w:szCs w:val="20"/>
              </w:rPr>
              <w:noBreakHyphen/>
              <w:t xml:space="preserve"> Is it proper for an appellate court to uphold a conviction for dangerous driving causing death that is based on an incorrect </w:t>
            </w:r>
            <w:proofErr w:type="spellStart"/>
            <w:r w:rsidR="006A0A04" w:rsidRPr="00F51E36">
              <w:rPr>
                <w:i/>
                <w:sz w:val="20"/>
                <w:szCs w:val="20"/>
              </w:rPr>
              <w:t>mens</w:t>
            </w:r>
            <w:proofErr w:type="spellEnd"/>
            <w:r w:rsidR="006A0A04" w:rsidRPr="00F51E36">
              <w:rPr>
                <w:i/>
                <w:sz w:val="20"/>
                <w:szCs w:val="20"/>
              </w:rPr>
              <w:t xml:space="preserve"> </w:t>
            </w:r>
            <w:proofErr w:type="spellStart"/>
            <w:r w:rsidR="006A0A04" w:rsidRPr="00F51E36">
              <w:rPr>
                <w:i/>
                <w:sz w:val="20"/>
                <w:szCs w:val="20"/>
              </w:rPr>
              <w:t>rea</w:t>
            </w:r>
            <w:proofErr w:type="spellEnd"/>
            <w:r w:rsidR="006A0A04" w:rsidRPr="00F51E36">
              <w:rPr>
                <w:sz w:val="20"/>
                <w:szCs w:val="20"/>
              </w:rPr>
              <w:t xml:space="preserve"> analysis, by drawing its own inferences and by substituting evidence of the </w:t>
            </w:r>
            <w:proofErr w:type="spellStart"/>
            <w:r w:rsidR="006A0A04" w:rsidRPr="00F51E36">
              <w:rPr>
                <w:i/>
                <w:sz w:val="20"/>
                <w:szCs w:val="20"/>
              </w:rPr>
              <w:t>actus</w:t>
            </w:r>
            <w:proofErr w:type="spellEnd"/>
            <w:r w:rsidR="006A0A04" w:rsidRPr="00F51E36">
              <w:rPr>
                <w:i/>
                <w:sz w:val="20"/>
                <w:szCs w:val="20"/>
              </w:rPr>
              <w:t xml:space="preserve"> </w:t>
            </w:r>
            <w:proofErr w:type="spellStart"/>
            <w:r w:rsidR="006A0A04" w:rsidRPr="00F51E36">
              <w:rPr>
                <w:i/>
                <w:sz w:val="20"/>
                <w:szCs w:val="20"/>
              </w:rPr>
              <w:t>reus</w:t>
            </w:r>
            <w:proofErr w:type="spellEnd"/>
            <w:r w:rsidR="006A0A04" w:rsidRPr="00F51E36">
              <w:rPr>
                <w:sz w:val="20"/>
                <w:szCs w:val="20"/>
              </w:rPr>
              <w:t xml:space="preserve"> for evidence of the </w:t>
            </w:r>
            <w:proofErr w:type="spellStart"/>
            <w:r w:rsidR="006A0A04" w:rsidRPr="00F51E36">
              <w:rPr>
                <w:i/>
                <w:sz w:val="20"/>
                <w:szCs w:val="20"/>
              </w:rPr>
              <w:t>mens</w:t>
            </w:r>
            <w:proofErr w:type="spellEnd"/>
            <w:r w:rsidR="006A0A04" w:rsidRPr="00F51E36">
              <w:rPr>
                <w:i/>
                <w:sz w:val="20"/>
                <w:szCs w:val="20"/>
              </w:rPr>
              <w:t xml:space="preserve"> </w:t>
            </w:r>
            <w:proofErr w:type="spellStart"/>
            <w:r w:rsidR="006A0A04" w:rsidRPr="00F51E36">
              <w:rPr>
                <w:i/>
                <w:sz w:val="20"/>
                <w:szCs w:val="20"/>
              </w:rPr>
              <w:t>rea</w:t>
            </w:r>
            <w:proofErr w:type="spellEnd"/>
            <w:r w:rsidR="006A0A04" w:rsidRPr="00F51E36">
              <w:rPr>
                <w:sz w:val="20"/>
                <w:szCs w:val="20"/>
              </w:rPr>
              <w:t xml:space="preserve">? </w:t>
            </w:r>
            <w:r w:rsidR="006A0A04" w:rsidRPr="00F51E36">
              <w:rPr>
                <w:sz w:val="20"/>
                <w:szCs w:val="20"/>
              </w:rPr>
              <w:noBreakHyphen/>
              <w:t xml:space="preserve"> Has </w:t>
            </w:r>
            <w:r w:rsidR="006A0A04" w:rsidRPr="00F51E36">
              <w:rPr>
                <w:i/>
                <w:sz w:val="20"/>
                <w:szCs w:val="20"/>
              </w:rPr>
              <w:t>R. v. Roy</w:t>
            </w:r>
            <w:r w:rsidR="006A0A04" w:rsidRPr="00F51E36">
              <w:rPr>
                <w:sz w:val="20"/>
                <w:szCs w:val="20"/>
              </w:rPr>
              <w:t xml:space="preserve">, 2010 BCCA 130, created uncertainty, confusion or inconsistency in relation to the </w:t>
            </w:r>
            <w:proofErr w:type="spellStart"/>
            <w:r w:rsidR="006A0A04" w:rsidRPr="00F51E36">
              <w:rPr>
                <w:i/>
                <w:sz w:val="20"/>
                <w:szCs w:val="20"/>
              </w:rPr>
              <w:t>mens</w:t>
            </w:r>
            <w:proofErr w:type="spellEnd"/>
            <w:r w:rsidR="006A0A04" w:rsidRPr="00F51E36">
              <w:rPr>
                <w:i/>
                <w:sz w:val="20"/>
                <w:szCs w:val="20"/>
              </w:rPr>
              <w:t xml:space="preserve"> </w:t>
            </w:r>
            <w:proofErr w:type="spellStart"/>
            <w:r w:rsidR="006A0A04" w:rsidRPr="00F51E36">
              <w:rPr>
                <w:i/>
                <w:sz w:val="20"/>
                <w:szCs w:val="20"/>
              </w:rPr>
              <w:t>rea</w:t>
            </w:r>
            <w:proofErr w:type="spellEnd"/>
            <w:r w:rsidR="006A0A04" w:rsidRPr="00F51E36">
              <w:rPr>
                <w:sz w:val="20"/>
                <w:szCs w:val="20"/>
              </w:rPr>
              <w:t xml:space="preserve"> for dangerous driving causing death?</w:t>
            </w:r>
          </w:p>
        </w:tc>
        <w:tc>
          <w:tcPr>
            <w:tcW w:w="720" w:type="dxa"/>
            <w:tcMar>
              <w:left w:w="0" w:type="dxa"/>
              <w:right w:w="0" w:type="dxa"/>
            </w:tcMar>
          </w:tcPr>
          <w:p w:rsidR="0093057E" w:rsidRPr="00C1697B" w:rsidRDefault="0093057E" w:rsidP="0093057E">
            <w:pPr>
              <w:widowControl w:val="0"/>
              <w:jc w:val="center"/>
              <w:rPr>
                <w:sz w:val="20"/>
                <w:szCs w:val="20"/>
              </w:rPr>
            </w:pPr>
          </w:p>
        </w:tc>
        <w:tc>
          <w:tcPr>
            <w:tcW w:w="4380" w:type="dxa"/>
            <w:tcMar>
              <w:left w:w="0" w:type="dxa"/>
              <w:right w:w="0" w:type="dxa"/>
            </w:tcMar>
          </w:tcPr>
          <w:p w:rsidR="0093057E" w:rsidRPr="00CC4D84" w:rsidRDefault="0093057E" w:rsidP="0093057E">
            <w:pPr>
              <w:widowControl w:val="0"/>
              <w:jc w:val="both"/>
              <w:rPr>
                <w:b/>
                <w:sz w:val="20"/>
                <w:szCs w:val="20"/>
                <w:u w:val="single"/>
                <w:lang w:val="fr-CA"/>
              </w:rPr>
            </w:pPr>
            <w:r w:rsidRPr="00CC4D84">
              <w:rPr>
                <w:b/>
                <w:sz w:val="20"/>
                <w:szCs w:val="20"/>
                <w:u w:val="single"/>
                <w:lang w:val="fr-CA"/>
              </w:rPr>
              <w:t>Nature de la cause :</w:t>
            </w:r>
          </w:p>
          <w:p w:rsidR="0093057E" w:rsidRPr="00C1697B" w:rsidRDefault="0093057E" w:rsidP="0093057E">
            <w:pPr>
              <w:widowControl w:val="0"/>
              <w:jc w:val="both"/>
              <w:rPr>
                <w:sz w:val="20"/>
                <w:szCs w:val="20"/>
                <w:lang w:val="fr-CA"/>
              </w:rPr>
            </w:pPr>
          </w:p>
          <w:p w:rsidR="0093057E" w:rsidRPr="00C1697B" w:rsidRDefault="004D631F" w:rsidP="006A0A04">
            <w:pPr>
              <w:widowControl w:val="0"/>
              <w:jc w:val="both"/>
              <w:rPr>
                <w:sz w:val="20"/>
                <w:szCs w:val="20"/>
                <w:lang w:val="fr-CA"/>
              </w:rPr>
            </w:pPr>
            <w:r w:rsidRPr="00516D83">
              <w:rPr>
                <w:sz w:val="20"/>
                <w:szCs w:val="20"/>
                <w:lang w:val="fr-CA"/>
              </w:rPr>
              <w:fldChar w:fldCharType="begin"/>
            </w:r>
            <w:r w:rsidR="006A0A04" w:rsidRPr="00516D83">
              <w:rPr>
                <w:sz w:val="20"/>
                <w:szCs w:val="20"/>
                <w:lang w:val="fr-CA"/>
              </w:rPr>
              <w:instrText xml:space="preserve"> SEQ CHAPTER \h \r 1</w:instrText>
            </w:r>
            <w:r w:rsidRPr="00516D83">
              <w:rPr>
                <w:sz w:val="20"/>
                <w:szCs w:val="20"/>
                <w:lang w:val="fr-CA"/>
              </w:rPr>
              <w:fldChar w:fldCharType="end"/>
            </w:r>
            <w:r w:rsidR="006A0A04" w:rsidRPr="00516D83">
              <w:rPr>
                <w:sz w:val="20"/>
                <w:szCs w:val="20"/>
                <w:lang w:val="fr-CA"/>
              </w:rPr>
              <w:t xml:space="preserve">Droit criminel </w:t>
            </w:r>
            <w:r w:rsidR="006A0A04" w:rsidRPr="00516D83">
              <w:rPr>
                <w:sz w:val="20"/>
                <w:szCs w:val="20"/>
                <w:lang w:val="fr-CA"/>
              </w:rPr>
              <w:noBreakHyphen/>
              <w:t xml:space="preserve"> Appel </w:t>
            </w:r>
            <w:r w:rsidR="006A0A04" w:rsidRPr="00516D83">
              <w:rPr>
                <w:sz w:val="20"/>
                <w:szCs w:val="20"/>
                <w:lang w:val="fr-CA"/>
              </w:rPr>
              <w:noBreakHyphen/>
              <w:t xml:space="preserve"> Application de la disposition réparatrice du </w:t>
            </w:r>
            <w:r w:rsidR="006A0A04" w:rsidRPr="00516D83">
              <w:rPr>
                <w:i/>
                <w:iCs/>
                <w:sz w:val="20"/>
                <w:szCs w:val="20"/>
                <w:lang w:val="fr-CA"/>
              </w:rPr>
              <w:t>Code criminel</w:t>
            </w:r>
            <w:r w:rsidR="006A0A04" w:rsidRPr="00516D83">
              <w:rPr>
                <w:sz w:val="20"/>
                <w:szCs w:val="20"/>
                <w:lang w:val="fr-CA"/>
              </w:rPr>
              <w:t>, L.R.C. 1985, ch. C</w:t>
            </w:r>
            <w:r w:rsidR="006A0A04" w:rsidRPr="00516D83">
              <w:rPr>
                <w:sz w:val="20"/>
                <w:szCs w:val="20"/>
                <w:lang w:val="fr-CA"/>
              </w:rPr>
              <w:noBreakHyphen/>
              <w:t xml:space="preserve">46, </w:t>
            </w:r>
            <w:proofErr w:type="spellStart"/>
            <w:r w:rsidR="006A0A04" w:rsidRPr="00516D83">
              <w:rPr>
                <w:sz w:val="20"/>
                <w:szCs w:val="20"/>
                <w:lang w:val="fr-CA"/>
              </w:rPr>
              <w:t>sous</w:t>
            </w:r>
            <w:r w:rsidR="006A0A04" w:rsidRPr="00516D83">
              <w:rPr>
                <w:sz w:val="20"/>
                <w:szCs w:val="20"/>
                <w:lang w:val="fr-CA"/>
              </w:rPr>
              <w:noBreakHyphen/>
              <w:t>al</w:t>
            </w:r>
            <w:proofErr w:type="spellEnd"/>
            <w:r w:rsidR="006A0A04" w:rsidRPr="00516D83">
              <w:rPr>
                <w:sz w:val="20"/>
                <w:szCs w:val="20"/>
                <w:lang w:val="fr-CA"/>
              </w:rPr>
              <w:t>. 686</w:t>
            </w:r>
            <w:r w:rsidR="006A0A04" w:rsidRPr="00516D83">
              <w:rPr>
                <w:i/>
                <w:iCs/>
                <w:sz w:val="20"/>
                <w:szCs w:val="20"/>
                <w:lang w:val="fr-CA"/>
              </w:rPr>
              <w:t xml:space="preserve"> b</w:t>
            </w:r>
            <w:proofErr w:type="gramStart"/>
            <w:r w:rsidR="006A0A04" w:rsidRPr="00516D83">
              <w:rPr>
                <w:sz w:val="20"/>
                <w:szCs w:val="20"/>
                <w:lang w:val="fr-CA"/>
              </w:rPr>
              <w:t>)(</w:t>
            </w:r>
            <w:proofErr w:type="gramEnd"/>
            <w:r w:rsidR="006A0A04" w:rsidRPr="00516D83">
              <w:rPr>
                <w:sz w:val="20"/>
                <w:szCs w:val="20"/>
                <w:lang w:val="fr-CA"/>
              </w:rPr>
              <w:t xml:space="preserve">iii) </w:t>
            </w:r>
            <w:r w:rsidR="006A0A04" w:rsidRPr="00516D83">
              <w:rPr>
                <w:sz w:val="20"/>
                <w:szCs w:val="20"/>
                <w:lang w:val="fr-CA"/>
              </w:rPr>
              <w:noBreakHyphen/>
              <w:t xml:space="preserve"> Une cour d’appel </w:t>
            </w:r>
            <w:proofErr w:type="spellStart"/>
            <w:r w:rsidR="006A0A04" w:rsidRPr="00516D83">
              <w:rPr>
                <w:sz w:val="20"/>
                <w:szCs w:val="20"/>
                <w:lang w:val="fr-CA"/>
              </w:rPr>
              <w:t>peut</w:t>
            </w:r>
            <w:r w:rsidR="006A0A04" w:rsidRPr="00516D83">
              <w:rPr>
                <w:sz w:val="20"/>
                <w:szCs w:val="20"/>
                <w:lang w:val="fr-CA"/>
              </w:rPr>
              <w:noBreakHyphen/>
              <w:t>elle</w:t>
            </w:r>
            <w:proofErr w:type="spellEnd"/>
            <w:r w:rsidR="006A0A04" w:rsidRPr="00516D83">
              <w:rPr>
                <w:sz w:val="20"/>
                <w:szCs w:val="20"/>
                <w:lang w:val="fr-CA"/>
              </w:rPr>
              <w:t xml:space="preserve"> valablement confirmer une déclaration de culpabilité de conduite dangereuse causant la mort fondée sur une analyse erronée de la </w:t>
            </w:r>
            <w:r w:rsidR="006A0A04" w:rsidRPr="00516D83">
              <w:rPr>
                <w:i/>
                <w:sz w:val="20"/>
                <w:szCs w:val="20"/>
                <w:lang w:val="fr-CA"/>
              </w:rPr>
              <w:t xml:space="preserve">mens </w:t>
            </w:r>
            <w:proofErr w:type="spellStart"/>
            <w:r w:rsidR="006A0A04" w:rsidRPr="00516D83">
              <w:rPr>
                <w:i/>
                <w:sz w:val="20"/>
                <w:szCs w:val="20"/>
                <w:lang w:val="fr-CA"/>
              </w:rPr>
              <w:t>rea</w:t>
            </w:r>
            <w:proofErr w:type="spellEnd"/>
            <w:r w:rsidR="006A0A04" w:rsidRPr="00516D83">
              <w:rPr>
                <w:sz w:val="20"/>
                <w:szCs w:val="20"/>
                <w:lang w:val="fr-CA"/>
              </w:rPr>
              <w:t>, en tirant ses propres conclusions et en substituant des éléments de preuve de l’</w:t>
            </w:r>
            <w:r w:rsidR="006A0A04" w:rsidRPr="00516D83">
              <w:rPr>
                <w:i/>
                <w:sz w:val="20"/>
                <w:szCs w:val="20"/>
                <w:lang w:val="fr-CA"/>
              </w:rPr>
              <w:t xml:space="preserve">actus </w:t>
            </w:r>
            <w:proofErr w:type="spellStart"/>
            <w:r w:rsidR="006A0A04" w:rsidRPr="00516D83">
              <w:rPr>
                <w:i/>
                <w:sz w:val="20"/>
                <w:szCs w:val="20"/>
                <w:lang w:val="fr-CA"/>
              </w:rPr>
              <w:t>reus</w:t>
            </w:r>
            <w:proofErr w:type="spellEnd"/>
            <w:r w:rsidR="006A0A04" w:rsidRPr="00516D83">
              <w:rPr>
                <w:sz w:val="20"/>
                <w:szCs w:val="20"/>
                <w:lang w:val="fr-CA"/>
              </w:rPr>
              <w:t xml:space="preserve"> à des éléments de preuve de la </w:t>
            </w:r>
            <w:r w:rsidR="006A0A04" w:rsidRPr="00516D83">
              <w:rPr>
                <w:i/>
                <w:sz w:val="20"/>
                <w:szCs w:val="20"/>
                <w:lang w:val="fr-CA"/>
              </w:rPr>
              <w:t xml:space="preserve">mens </w:t>
            </w:r>
            <w:proofErr w:type="spellStart"/>
            <w:r w:rsidR="006A0A04" w:rsidRPr="00516D83">
              <w:rPr>
                <w:i/>
                <w:sz w:val="20"/>
                <w:szCs w:val="20"/>
                <w:lang w:val="fr-CA"/>
              </w:rPr>
              <w:t>rea</w:t>
            </w:r>
            <w:proofErr w:type="spellEnd"/>
            <w:r w:rsidR="006A0A04" w:rsidRPr="00516D83">
              <w:rPr>
                <w:sz w:val="20"/>
                <w:szCs w:val="20"/>
                <w:lang w:val="fr-CA"/>
              </w:rPr>
              <w:t xml:space="preserve">? L’arrêt </w:t>
            </w:r>
            <w:r w:rsidR="006A0A04" w:rsidRPr="00516D83">
              <w:rPr>
                <w:i/>
                <w:iCs/>
                <w:sz w:val="20"/>
                <w:szCs w:val="20"/>
                <w:lang w:val="fr-CA"/>
              </w:rPr>
              <w:t>R. c. Roy</w:t>
            </w:r>
            <w:r w:rsidR="006A0A04" w:rsidRPr="00516D83">
              <w:rPr>
                <w:sz w:val="20"/>
                <w:szCs w:val="20"/>
                <w:lang w:val="fr-CA"/>
              </w:rPr>
              <w:t xml:space="preserve">, 2010 BCCA 130 </w:t>
            </w:r>
            <w:proofErr w:type="spellStart"/>
            <w:r w:rsidR="006A0A04" w:rsidRPr="00516D83">
              <w:rPr>
                <w:sz w:val="20"/>
                <w:szCs w:val="20"/>
                <w:lang w:val="fr-CA"/>
              </w:rPr>
              <w:t>a</w:t>
            </w:r>
            <w:r w:rsidR="006A0A04" w:rsidRPr="00516D83">
              <w:rPr>
                <w:sz w:val="20"/>
                <w:szCs w:val="20"/>
                <w:lang w:val="fr-CA"/>
              </w:rPr>
              <w:noBreakHyphen/>
              <w:t>t</w:t>
            </w:r>
            <w:r w:rsidR="006A0A04" w:rsidRPr="00516D83">
              <w:rPr>
                <w:sz w:val="20"/>
                <w:szCs w:val="20"/>
                <w:lang w:val="fr-CA"/>
              </w:rPr>
              <w:noBreakHyphen/>
              <w:t>il</w:t>
            </w:r>
            <w:proofErr w:type="spellEnd"/>
            <w:r w:rsidR="006A0A04" w:rsidRPr="00516D83">
              <w:rPr>
                <w:sz w:val="20"/>
                <w:szCs w:val="20"/>
                <w:lang w:val="fr-CA"/>
              </w:rPr>
              <w:t xml:space="preserve"> créé de l’incertitude, de la confusion ou de l’incohérence en lien avec la </w:t>
            </w:r>
            <w:r w:rsidR="006A0A04" w:rsidRPr="00516D83">
              <w:rPr>
                <w:i/>
                <w:sz w:val="20"/>
                <w:szCs w:val="20"/>
                <w:lang w:val="fr-CA"/>
              </w:rPr>
              <w:t xml:space="preserve">mens </w:t>
            </w:r>
            <w:proofErr w:type="spellStart"/>
            <w:r w:rsidR="006A0A04" w:rsidRPr="00516D83">
              <w:rPr>
                <w:i/>
                <w:sz w:val="20"/>
                <w:szCs w:val="20"/>
                <w:lang w:val="fr-CA"/>
              </w:rPr>
              <w:t>rea</w:t>
            </w:r>
            <w:proofErr w:type="spellEnd"/>
            <w:r w:rsidR="006A0A04" w:rsidRPr="00516D83">
              <w:rPr>
                <w:sz w:val="20"/>
                <w:szCs w:val="20"/>
                <w:lang w:val="fr-CA"/>
              </w:rPr>
              <w:t xml:space="preserve"> de la conduite dangereuse causant la mort?</w:t>
            </w:r>
          </w:p>
        </w:tc>
      </w:tr>
    </w:tbl>
    <w:p w:rsidR="0093057E" w:rsidRDefault="0093057E" w:rsidP="0093057E">
      <w:pPr>
        <w:widowControl w:val="0"/>
        <w:rPr>
          <w:sz w:val="20"/>
          <w:szCs w:val="20"/>
          <w:lang w:val="fr-CA"/>
        </w:rPr>
      </w:pPr>
    </w:p>
    <w:p w:rsidR="0093057E" w:rsidRPr="00C1697B" w:rsidRDefault="004D631F" w:rsidP="0093057E">
      <w:pPr>
        <w:widowControl w:val="0"/>
        <w:rPr>
          <w:sz w:val="20"/>
          <w:szCs w:val="20"/>
          <w:lang w:val="fr-CA"/>
        </w:rPr>
      </w:pPr>
      <w:r w:rsidRPr="004D631F">
        <w:rPr>
          <w:sz w:val="20"/>
          <w:szCs w:val="20"/>
          <w:lang w:val="fr-CA"/>
        </w:rPr>
        <w:pict>
          <v:rect id="_x0000_i1062" style="width:2in;height:1pt" o:hrpct="0" o:hralign="center" o:hrstd="t" o:hrnoshade="t" o:hr="t" fillcolor="black [3213]" stroked="f"/>
        </w:pict>
      </w:r>
    </w:p>
    <w:p w:rsidR="0093057E" w:rsidRDefault="0093057E" w:rsidP="0093057E">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D753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 xml:space="preserve">NOVEMBER </w:t>
      </w:r>
      <w:r w:rsidR="00CD6291">
        <w:rPr>
          <w:b/>
          <w:sz w:val="20"/>
          <w:szCs w:val="20"/>
        </w:rPr>
        <w:t>10</w:t>
      </w:r>
      <w:r w:rsidRPr="003B3977">
        <w:rPr>
          <w:b/>
          <w:sz w:val="20"/>
          <w:szCs w:val="20"/>
        </w:rPr>
        <w:t>, 201</w:t>
      </w:r>
      <w:r w:rsidR="00CD6291">
        <w:rPr>
          <w:b/>
          <w:sz w:val="20"/>
          <w:szCs w:val="20"/>
        </w:rPr>
        <w:t>1</w:t>
      </w:r>
      <w:r w:rsidRPr="003B3977">
        <w:rPr>
          <w:b/>
          <w:sz w:val="20"/>
          <w:szCs w:val="20"/>
        </w:rPr>
        <w:t xml:space="preserve"> / LE </w:t>
      </w:r>
      <w:r w:rsidR="00CD6291">
        <w:rPr>
          <w:b/>
          <w:sz w:val="20"/>
          <w:szCs w:val="20"/>
        </w:rPr>
        <w:t>10</w:t>
      </w:r>
      <w:r w:rsidRPr="003B3977">
        <w:rPr>
          <w:b/>
          <w:sz w:val="20"/>
          <w:szCs w:val="20"/>
        </w:rPr>
        <w:t xml:space="preserve"> NOVEMBRE 201</w:t>
      </w:r>
      <w:r w:rsidR="00CD6291">
        <w:rPr>
          <w:b/>
          <w:sz w:val="20"/>
          <w:szCs w:val="20"/>
        </w:rPr>
        <w:t>1</w:t>
      </w:r>
    </w:p>
    <w:p w:rsidR="00AF1715" w:rsidRDefault="00AF1715" w:rsidP="00AF1715">
      <w:pPr>
        <w:rPr>
          <w:sz w:val="20"/>
          <w:szCs w:val="20"/>
        </w:rPr>
      </w:pPr>
    </w:p>
    <w:p w:rsidR="002B0415" w:rsidRPr="002B11FD" w:rsidRDefault="002B0415" w:rsidP="002B0415">
      <w:pPr>
        <w:shd w:val="clear" w:color="auto" w:fill="FFFFFF"/>
        <w:ind w:left="1440" w:hanging="1440"/>
        <w:jc w:val="both"/>
        <w:rPr>
          <w:rFonts w:eastAsia="Calibri" w:cs="Times New Roman"/>
          <w:sz w:val="20"/>
          <w:szCs w:val="20"/>
        </w:rPr>
      </w:pPr>
      <w:r w:rsidRPr="002B11FD">
        <w:rPr>
          <w:rFonts w:eastAsia="Calibri" w:cs="Times New Roman"/>
          <w:b/>
          <w:sz w:val="20"/>
          <w:szCs w:val="20"/>
        </w:rPr>
        <w:t>33581</w:t>
      </w:r>
      <w:r w:rsidRPr="002B11FD">
        <w:rPr>
          <w:rFonts w:eastAsia="Calibri" w:cs="Times New Roman"/>
          <w:sz w:val="20"/>
          <w:szCs w:val="20"/>
        </w:rPr>
        <w:tab/>
      </w:r>
      <w:r w:rsidRPr="002B11FD">
        <w:rPr>
          <w:rFonts w:eastAsia="Calibri" w:cs="Times New Roman"/>
          <w:b/>
          <w:iCs/>
          <w:sz w:val="20"/>
          <w:szCs w:val="20"/>
          <w:u w:val="single"/>
        </w:rPr>
        <w:t xml:space="preserve">Lax </w:t>
      </w:r>
      <w:proofErr w:type="spellStart"/>
      <w:r w:rsidRPr="002B11FD">
        <w:rPr>
          <w:rFonts w:eastAsia="Calibri" w:cs="Times New Roman"/>
          <w:b/>
          <w:iCs/>
          <w:sz w:val="20"/>
          <w:szCs w:val="20"/>
          <w:u w:val="single"/>
        </w:rPr>
        <w:t>Kw’alaams</w:t>
      </w:r>
      <w:proofErr w:type="spellEnd"/>
      <w:r w:rsidRPr="002B11FD">
        <w:rPr>
          <w:rFonts w:eastAsia="Calibri" w:cs="Times New Roman"/>
          <w:b/>
          <w:iCs/>
          <w:sz w:val="20"/>
          <w:szCs w:val="20"/>
          <w:u w:val="single"/>
        </w:rPr>
        <w:t xml:space="preserve"> Indian Band, represented by Chief Councillor Garry Reece on his own behalf and on behalf of the members of the Lax </w:t>
      </w:r>
      <w:proofErr w:type="spellStart"/>
      <w:r w:rsidRPr="002B11FD">
        <w:rPr>
          <w:rFonts w:eastAsia="Calibri" w:cs="Times New Roman"/>
          <w:b/>
          <w:iCs/>
          <w:sz w:val="20"/>
          <w:szCs w:val="20"/>
          <w:u w:val="single"/>
        </w:rPr>
        <w:t>Kw’alaams</w:t>
      </w:r>
      <w:proofErr w:type="spellEnd"/>
      <w:r w:rsidRPr="002B11FD">
        <w:rPr>
          <w:rFonts w:eastAsia="Calibri" w:cs="Times New Roman"/>
          <w:b/>
          <w:iCs/>
          <w:sz w:val="20"/>
          <w:szCs w:val="20"/>
          <w:u w:val="single"/>
        </w:rPr>
        <w:t xml:space="preserve"> Indian Band, and Others v. Attorney General of Canada and Her Majesty the Queen in Right of the Province of British Columbia – and – Attorney General of Ontario, </w:t>
      </w:r>
      <w:proofErr w:type="spellStart"/>
      <w:r w:rsidRPr="002B11FD">
        <w:rPr>
          <w:rFonts w:eastAsia="Calibri" w:cs="Times New Roman"/>
          <w:b/>
          <w:iCs/>
          <w:sz w:val="20"/>
          <w:szCs w:val="20"/>
          <w:u w:val="single"/>
        </w:rPr>
        <w:t>Metlakatla</w:t>
      </w:r>
      <w:proofErr w:type="spellEnd"/>
      <w:r w:rsidRPr="002B11FD">
        <w:rPr>
          <w:rFonts w:eastAsia="Calibri" w:cs="Times New Roman"/>
          <w:b/>
          <w:iCs/>
          <w:sz w:val="20"/>
          <w:szCs w:val="20"/>
          <w:u w:val="single"/>
        </w:rPr>
        <w:t xml:space="preserve"> Band, B.C. Wildlife Federation, B.C. Seafood Alliance, </w:t>
      </w:r>
      <w:proofErr w:type="spellStart"/>
      <w:r w:rsidRPr="002B11FD">
        <w:rPr>
          <w:rFonts w:eastAsia="Calibri" w:cs="Times New Roman"/>
          <w:b/>
          <w:iCs/>
          <w:sz w:val="20"/>
          <w:szCs w:val="20"/>
          <w:u w:val="single"/>
        </w:rPr>
        <w:t>Gitxaala</w:t>
      </w:r>
      <w:proofErr w:type="spellEnd"/>
      <w:r w:rsidRPr="002B11FD">
        <w:rPr>
          <w:rFonts w:eastAsia="Calibri" w:cs="Times New Roman"/>
          <w:b/>
          <w:iCs/>
          <w:sz w:val="20"/>
          <w:szCs w:val="20"/>
          <w:u w:val="single"/>
        </w:rPr>
        <w:t xml:space="preserve"> Nation, represented by Chief Elmer Moody, on his own behalf and on behalf of the members of the </w:t>
      </w:r>
      <w:proofErr w:type="spellStart"/>
      <w:r w:rsidRPr="002B11FD">
        <w:rPr>
          <w:rFonts w:eastAsia="Calibri" w:cs="Times New Roman"/>
          <w:b/>
          <w:iCs/>
          <w:sz w:val="20"/>
          <w:szCs w:val="20"/>
          <w:u w:val="single"/>
        </w:rPr>
        <w:t>Gitxaala</w:t>
      </w:r>
      <w:proofErr w:type="spellEnd"/>
      <w:r w:rsidRPr="002B11FD">
        <w:rPr>
          <w:rFonts w:eastAsia="Calibri" w:cs="Times New Roman"/>
          <w:b/>
          <w:iCs/>
          <w:sz w:val="20"/>
          <w:szCs w:val="20"/>
          <w:u w:val="single"/>
        </w:rPr>
        <w:t xml:space="preserve"> Nation and </w:t>
      </w:r>
      <w:proofErr w:type="spellStart"/>
      <w:r w:rsidRPr="002B11FD">
        <w:rPr>
          <w:rFonts w:eastAsia="Calibri" w:cs="Times New Roman"/>
          <w:b/>
          <w:iCs/>
          <w:sz w:val="20"/>
          <w:szCs w:val="20"/>
          <w:u w:val="single"/>
        </w:rPr>
        <w:t>Te’Mexw</w:t>
      </w:r>
      <w:proofErr w:type="spellEnd"/>
      <w:r w:rsidRPr="002B11FD">
        <w:rPr>
          <w:rFonts w:eastAsia="Calibri" w:cs="Times New Roman"/>
          <w:b/>
          <w:iCs/>
          <w:sz w:val="20"/>
          <w:szCs w:val="20"/>
          <w:u w:val="single"/>
        </w:rPr>
        <w:t xml:space="preserve"> Treaty Association</w:t>
      </w:r>
      <w:r w:rsidRPr="002B11FD">
        <w:rPr>
          <w:rFonts w:eastAsia="Calibri" w:cs="Times New Roman"/>
          <w:iCs/>
          <w:sz w:val="20"/>
          <w:szCs w:val="20"/>
        </w:rPr>
        <w:t xml:space="preserve"> </w:t>
      </w:r>
      <w:r w:rsidRPr="002B11FD">
        <w:rPr>
          <w:rFonts w:eastAsia="Calibri" w:cs="Times New Roman"/>
          <w:sz w:val="20"/>
          <w:szCs w:val="20"/>
        </w:rPr>
        <w:t>(B.C.)</w:t>
      </w:r>
    </w:p>
    <w:p w:rsidR="002B0415" w:rsidRPr="002B11FD" w:rsidRDefault="002B0415" w:rsidP="002B0415">
      <w:pPr>
        <w:ind w:left="1440" w:hanging="1440"/>
        <w:jc w:val="both"/>
        <w:rPr>
          <w:rFonts w:eastAsia="Calibri" w:cs="Times New Roman"/>
          <w:b/>
          <w:sz w:val="20"/>
          <w:szCs w:val="20"/>
        </w:rPr>
      </w:pPr>
      <w:r w:rsidRPr="002B11FD">
        <w:rPr>
          <w:rFonts w:eastAsia="Calibri" w:cs="Times New Roman"/>
          <w:b/>
          <w:sz w:val="20"/>
          <w:szCs w:val="20"/>
        </w:rPr>
        <w:tab/>
        <w:t>2011 SCC 56 / 2011 CSC 56</w:t>
      </w:r>
    </w:p>
    <w:p w:rsidR="002B0415" w:rsidRPr="002B11FD" w:rsidRDefault="002B0415" w:rsidP="002B0415">
      <w:pPr>
        <w:ind w:left="1440" w:hanging="1440"/>
        <w:jc w:val="both"/>
        <w:rPr>
          <w:rFonts w:eastAsia="Calibri" w:cs="Times New Roman"/>
          <w:b/>
          <w:sz w:val="20"/>
          <w:szCs w:val="20"/>
        </w:rPr>
      </w:pPr>
    </w:p>
    <w:p w:rsidR="002B0415" w:rsidRPr="002B11FD" w:rsidRDefault="002B0415" w:rsidP="002B0415">
      <w:pPr>
        <w:ind w:left="1440" w:hanging="1440"/>
        <w:jc w:val="both"/>
        <w:rPr>
          <w:rFonts w:eastAsia="Calibri" w:cs="Times New Roman"/>
          <w:sz w:val="20"/>
          <w:szCs w:val="20"/>
          <w:u w:val="single"/>
        </w:rPr>
      </w:pPr>
      <w:r w:rsidRPr="002B11FD">
        <w:rPr>
          <w:rFonts w:eastAsia="Calibri" w:cs="Times New Roman"/>
          <w:sz w:val="20"/>
          <w:szCs w:val="20"/>
        </w:rPr>
        <w:t>Coram:</w:t>
      </w:r>
      <w:r>
        <w:rPr>
          <w:sz w:val="20"/>
          <w:szCs w:val="20"/>
        </w:rPr>
        <w:tab/>
      </w:r>
      <w:proofErr w:type="spellStart"/>
      <w:r w:rsidRPr="002B11FD">
        <w:rPr>
          <w:rFonts w:eastAsia="Calibri" w:cs="Times New Roman"/>
          <w:sz w:val="20"/>
          <w:szCs w:val="20"/>
          <w:u w:val="single"/>
        </w:rPr>
        <w:t>McLachlin</w:t>
      </w:r>
      <w:proofErr w:type="spellEnd"/>
      <w:r w:rsidRPr="002B11FD">
        <w:rPr>
          <w:rFonts w:eastAsia="Calibri" w:cs="Times New Roman"/>
          <w:sz w:val="20"/>
          <w:szCs w:val="20"/>
          <w:u w:val="single"/>
        </w:rPr>
        <w:t xml:space="preserve"> C.J. and </w:t>
      </w:r>
      <w:proofErr w:type="spellStart"/>
      <w:r w:rsidRPr="002B11FD">
        <w:rPr>
          <w:rFonts w:eastAsia="Calibri" w:cs="Times New Roman"/>
          <w:sz w:val="20"/>
          <w:szCs w:val="20"/>
          <w:u w:val="single"/>
        </w:rPr>
        <w:t>Binnie</w:t>
      </w:r>
      <w:proofErr w:type="spellEnd"/>
      <w:r w:rsidRPr="002B11FD">
        <w:rPr>
          <w:rFonts w:eastAsia="Calibri" w:cs="Times New Roman"/>
          <w:sz w:val="20"/>
          <w:szCs w:val="20"/>
          <w:u w:val="single"/>
        </w:rPr>
        <w:t xml:space="preserve">, </w:t>
      </w:r>
      <w:proofErr w:type="spellStart"/>
      <w:r w:rsidRPr="002B11FD">
        <w:rPr>
          <w:rFonts w:eastAsia="Calibri" w:cs="Times New Roman"/>
          <w:sz w:val="20"/>
          <w:szCs w:val="20"/>
          <w:u w:val="single"/>
        </w:rPr>
        <w:t>LeBel</w:t>
      </w:r>
      <w:proofErr w:type="spellEnd"/>
      <w:r w:rsidRPr="002B11FD">
        <w:rPr>
          <w:rFonts w:eastAsia="Calibri" w:cs="Times New Roman"/>
          <w:sz w:val="20"/>
          <w:szCs w:val="20"/>
          <w:u w:val="single"/>
        </w:rPr>
        <w:t xml:space="preserve">, </w:t>
      </w:r>
      <w:proofErr w:type="spellStart"/>
      <w:r w:rsidRPr="002B11FD">
        <w:rPr>
          <w:rFonts w:eastAsia="Calibri" w:cs="Times New Roman"/>
          <w:sz w:val="20"/>
          <w:szCs w:val="20"/>
          <w:u w:val="single"/>
        </w:rPr>
        <w:t>Deschamps</w:t>
      </w:r>
      <w:proofErr w:type="spellEnd"/>
      <w:r w:rsidRPr="002B11FD">
        <w:rPr>
          <w:rFonts w:eastAsia="Calibri" w:cs="Times New Roman"/>
          <w:sz w:val="20"/>
          <w:szCs w:val="20"/>
          <w:u w:val="single"/>
        </w:rPr>
        <w:t xml:space="preserve">, </w:t>
      </w:r>
      <w:proofErr w:type="spellStart"/>
      <w:r w:rsidRPr="002B11FD">
        <w:rPr>
          <w:rFonts w:eastAsia="Calibri" w:cs="Times New Roman"/>
          <w:sz w:val="20"/>
          <w:szCs w:val="20"/>
          <w:u w:val="single"/>
        </w:rPr>
        <w:t>Abella</w:t>
      </w:r>
      <w:proofErr w:type="spellEnd"/>
      <w:r w:rsidRPr="002B11FD">
        <w:rPr>
          <w:rFonts w:eastAsia="Calibri" w:cs="Times New Roman"/>
          <w:sz w:val="20"/>
          <w:szCs w:val="20"/>
          <w:u w:val="single"/>
        </w:rPr>
        <w:t xml:space="preserve">, </w:t>
      </w:r>
      <w:proofErr w:type="spellStart"/>
      <w:r w:rsidRPr="002B11FD">
        <w:rPr>
          <w:rFonts w:eastAsia="Calibri" w:cs="Times New Roman"/>
          <w:sz w:val="20"/>
          <w:szCs w:val="20"/>
          <w:u w:val="single"/>
        </w:rPr>
        <w:t>Charron</w:t>
      </w:r>
      <w:proofErr w:type="spellEnd"/>
      <w:r w:rsidRPr="002B11FD">
        <w:rPr>
          <w:rFonts w:eastAsia="Calibri" w:cs="Times New Roman"/>
          <w:sz w:val="20"/>
          <w:szCs w:val="20"/>
          <w:u w:val="single"/>
        </w:rPr>
        <w:t>, and Rothstein JJ.</w:t>
      </w:r>
    </w:p>
    <w:p w:rsidR="002B0415" w:rsidRPr="002B11FD" w:rsidRDefault="002B0415" w:rsidP="002B0415">
      <w:pPr>
        <w:ind w:left="720" w:hanging="720"/>
        <w:jc w:val="both"/>
        <w:rPr>
          <w:rFonts w:eastAsia="Calibri" w:cs="Times New Roman"/>
          <w:sz w:val="20"/>
          <w:szCs w:val="20"/>
        </w:rPr>
      </w:pPr>
    </w:p>
    <w:p w:rsidR="002B0415" w:rsidRPr="002B11FD" w:rsidRDefault="002B0415" w:rsidP="002B0415">
      <w:pPr>
        <w:jc w:val="both"/>
        <w:rPr>
          <w:rFonts w:eastAsia="Calibri" w:cs="Times New Roman"/>
          <w:sz w:val="20"/>
          <w:szCs w:val="20"/>
        </w:rPr>
      </w:pPr>
      <w:r w:rsidRPr="002B11FD">
        <w:rPr>
          <w:rFonts w:eastAsia="Calibri" w:cs="Times New Roman"/>
          <w:sz w:val="20"/>
          <w:szCs w:val="20"/>
        </w:rPr>
        <w:t>The appeal from the judgment of the Court of Appeal for British Columbia (Vancouver), Number CA036098, 2009 BCCA 593, dated December 23, 2009, heard on February 17, 2011, is dismissed without costs.</w:t>
      </w:r>
    </w:p>
    <w:p w:rsidR="002B0415" w:rsidRPr="002B11FD" w:rsidRDefault="002B0415" w:rsidP="002B0415">
      <w:pPr>
        <w:jc w:val="both"/>
        <w:rPr>
          <w:rFonts w:eastAsia="Calibri" w:cs="Times New Roman"/>
          <w:sz w:val="20"/>
          <w:szCs w:val="20"/>
        </w:rPr>
      </w:pPr>
    </w:p>
    <w:p w:rsidR="002B0415" w:rsidRPr="002B11FD" w:rsidRDefault="002B0415" w:rsidP="002B0415">
      <w:pPr>
        <w:jc w:val="both"/>
        <w:rPr>
          <w:rFonts w:eastAsia="Calibri" w:cs="Times New Roman"/>
          <w:sz w:val="20"/>
          <w:szCs w:val="20"/>
          <w:lang w:val="fr-CA"/>
        </w:rPr>
      </w:pPr>
      <w:r w:rsidRPr="002B11FD">
        <w:rPr>
          <w:rFonts w:eastAsia="Calibri" w:cs="Times New Roman"/>
          <w:sz w:val="20"/>
          <w:szCs w:val="20"/>
          <w:lang w:val="fr-CA"/>
        </w:rPr>
        <w:t xml:space="preserve">L’appel interjeté contre l’arrêt de la Cour d’appel de la Colombie-Britannique (Vancouver), numéro CA036098, 2009 BCCA 593, en date du 23 décembre 2009, entendu le 17 février 2011, est rejeté sans dépens. </w:t>
      </w:r>
    </w:p>
    <w:p w:rsidR="00197E62" w:rsidRPr="002B0415" w:rsidRDefault="00197E62" w:rsidP="00AF1715">
      <w:pPr>
        <w:rPr>
          <w:sz w:val="20"/>
          <w:szCs w:val="20"/>
          <w:lang w:val="fr-CA"/>
        </w:rPr>
      </w:pPr>
    </w:p>
    <w:p w:rsidR="00AF1715" w:rsidRDefault="004D631F"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4D631F">
        <w:rPr>
          <w:rFonts w:cs="Times New Roman"/>
          <w:b/>
          <w:sz w:val="20"/>
          <w:szCs w:val="20"/>
        </w:rPr>
        <w:pict>
          <v:rect id="_x0000_i1065" style="width:144.3pt;height:1pt" o:hrpct="300" o:hralign="center" o:hrstd="t" o:hrnoshade="t" o:hr="t" fillcolor="black [3213]" stroked="f"/>
        </w:pict>
      </w:r>
    </w:p>
    <w:p w:rsidR="00CD6291" w:rsidRPr="006C5F7A" w:rsidRDefault="00CD6291"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771241" w:rsidRPr="00DA7C13" w:rsidRDefault="00771241" w:rsidP="00771241">
      <w:pPr>
        <w:rPr>
          <w:sz w:val="20"/>
          <w:szCs w:val="20"/>
        </w:rPr>
      </w:pPr>
      <w:r w:rsidRPr="00DA7C13">
        <w:rPr>
          <w:i/>
          <w:sz w:val="20"/>
          <w:szCs w:val="20"/>
        </w:rPr>
        <w:t xml:space="preserve">Lax </w:t>
      </w:r>
      <w:proofErr w:type="spellStart"/>
      <w:r w:rsidRPr="00DA7C13">
        <w:rPr>
          <w:i/>
          <w:sz w:val="20"/>
          <w:szCs w:val="20"/>
        </w:rPr>
        <w:t>Kw’alaams</w:t>
      </w:r>
      <w:proofErr w:type="spellEnd"/>
      <w:r w:rsidRPr="00DA7C13">
        <w:rPr>
          <w:i/>
          <w:sz w:val="20"/>
          <w:szCs w:val="20"/>
        </w:rPr>
        <w:t xml:space="preserve"> Indian Band, represented by Chief Councillor Gary Reece on his own behalf and on behalf of the members of the Lax </w:t>
      </w:r>
      <w:proofErr w:type="spellStart"/>
      <w:r w:rsidRPr="00DA7C13">
        <w:rPr>
          <w:i/>
          <w:sz w:val="20"/>
          <w:szCs w:val="20"/>
        </w:rPr>
        <w:t>Kw’alaams</w:t>
      </w:r>
      <w:proofErr w:type="spellEnd"/>
      <w:r w:rsidRPr="00DA7C13">
        <w:rPr>
          <w:i/>
          <w:sz w:val="20"/>
          <w:szCs w:val="20"/>
        </w:rPr>
        <w:t xml:space="preserve"> Indian Band et al. v. Attorney General of Canada et al. </w:t>
      </w:r>
      <w:r w:rsidRPr="00DA7C13">
        <w:rPr>
          <w:sz w:val="20"/>
          <w:szCs w:val="20"/>
        </w:rPr>
        <w:t>(B.C.) (33581)</w:t>
      </w:r>
    </w:p>
    <w:p w:rsidR="00CD6291" w:rsidRPr="00DD0158" w:rsidRDefault="00CD6291" w:rsidP="00CD6291">
      <w:pPr>
        <w:jc w:val="both"/>
        <w:rPr>
          <w:rFonts w:cs="Times New Roman"/>
          <w:b/>
          <w:sz w:val="20"/>
          <w:szCs w:val="20"/>
        </w:rPr>
      </w:pPr>
      <w:r w:rsidRPr="00DD0158">
        <w:rPr>
          <w:rFonts w:cs="Times New Roman"/>
          <w:b/>
          <w:sz w:val="20"/>
          <w:szCs w:val="20"/>
        </w:rPr>
        <w:t xml:space="preserve">Indexed as:  Lax </w:t>
      </w:r>
      <w:proofErr w:type="spellStart"/>
      <w:r w:rsidRPr="00DD0158">
        <w:rPr>
          <w:rFonts w:cs="Times New Roman"/>
          <w:b/>
          <w:sz w:val="20"/>
          <w:szCs w:val="20"/>
        </w:rPr>
        <w:t>Kw’alaams</w:t>
      </w:r>
      <w:proofErr w:type="spellEnd"/>
      <w:r w:rsidRPr="00DD0158">
        <w:rPr>
          <w:rFonts w:cs="Times New Roman"/>
          <w:b/>
          <w:sz w:val="20"/>
          <w:szCs w:val="20"/>
        </w:rPr>
        <w:t xml:space="preserve"> Indian Band </w:t>
      </w:r>
      <w:r w:rsidRPr="00DD0158">
        <w:rPr>
          <w:rFonts w:cs="Times New Roman"/>
          <w:b/>
          <w:i/>
          <w:sz w:val="20"/>
          <w:szCs w:val="20"/>
        </w:rPr>
        <w:t>v.</w:t>
      </w:r>
      <w:r w:rsidRPr="00DD0158">
        <w:rPr>
          <w:rFonts w:cs="Times New Roman"/>
          <w:b/>
          <w:sz w:val="20"/>
          <w:szCs w:val="20"/>
        </w:rPr>
        <w:t xml:space="preserve"> Canada (Attorney General)</w:t>
      </w:r>
      <w:r>
        <w:rPr>
          <w:rFonts w:cs="Times New Roman"/>
          <w:b/>
          <w:sz w:val="20"/>
          <w:szCs w:val="20"/>
        </w:rPr>
        <w:t xml:space="preserve"> /</w:t>
      </w:r>
    </w:p>
    <w:p w:rsidR="00CD6291" w:rsidRPr="00CD6291" w:rsidRDefault="00CD6291" w:rsidP="00CD6291">
      <w:pPr>
        <w:jc w:val="both"/>
        <w:rPr>
          <w:rFonts w:cs="Times New Roman"/>
          <w:b/>
          <w:sz w:val="20"/>
          <w:szCs w:val="20"/>
          <w:lang w:val="fr-CA"/>
        </w:rPr>
      </w:pPr>
      <w:r w:rsidRPr="00CD6291">
        <w:rPr>
          <w:rFonts w:cs="Times New Roman"/>
          <w:b/>
          <w:sz w:val="20"/>
          <w:szCs w:val="20"/>
          <w:lang w:val="fr-CA"/>
        </w:rPr>
        <w:t xml:space="preserve">Répertorié : Bande indienne des </w:t>
      </w:r>
      <w:proofErr w:type="spellStart"/>
      <w:r w:rsidRPr="00CD6291">
        <w:rPr>
          <w:rFonts w:cs="Times New Roman"/>
          <w:b/>
          <w:sz w:val="20"/>
          <w:szCs w:val="20"/>
          <w:lang w:val="fr-CA"/>
        </w:rPr>
        <w:t>Lax</w:t>
      </w:r>
      <w:proofErr w:type="spellEnd"/>
      <w:r w:rsidRPr="00CD6291">
        <w:rPr>
          <w:rFonts w:cs="Times New Roman"/>
          <w:b/>
          <w:sz w:val="20"/>
          <w:szCs w:val="20"/>
          <w:lang w:val="fr-CA"/>
        </w:rPr>
        <w:t xml:space="preserve"> </w:t>
      </w:r>
      <w:proofErr w:type="spellStart"/>
      <w:r w:rsidRPr="00CD6291">
        <w:rPr>
          <w:rFonts w:cs="Times New Roman"/>
          <w:b/>
          <w:sz w:val="20"/>
          <w:szCs w:val="20"/>
          <w:lang w:val="fr-CA"/>
        </w:rPr>
        <w:t>Kw’alaams</w:t>
      </w:r>
      <w:proofErr w:type="spellEnd"/>
      <w:r w:rsidRPr="00CD6291">
        <w:rPr>
          <w:rFonts w:cs="Times New Roman"/>
          <w:b/>
          <w:sz w:val="20"/>
          <w:szCs w:val="20"/>
          <w:lang w:val="fr-CA"/>
        </w:rPr>
        <w:t xml:space="preserve"> </w:t>
      </w:r>
      <w:r w:rsidRPr="00CD6291">
        <w:rPr>
          <w:rFonts w:cs="Times New Roman"/>
          <w:b/>
          <w:i/>
          <w:sz w:val="20"/>
          <w:szCs w:val="20"/>
          <w:lang w:val="fr-CA"/>
        </w:rPr>
        <w:t>c.</w:t>
      </w:r>
      <w:r w:rsidRPr="00CD6291">
        <w:rPr>
          <w:rFonts w:cs="Times New Roman"/>
          <w:b/>
          <w:sz w:val="20"/>
          <w:szCs w:val="20"/>
          <w:lang w:val="fr-CA"/>
        </w:rPr>
        <w:t xml:space="preserve"> Canada (Procureur général) </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7F387B">
        <w:rPr>
          <w:sz w:val="20"/>
        </w:rPr>
        <w:t>1</w:t>
      </w:r>
      <w:proofErr w:type="gramEnd"/>
      <w:r w:rsidRPr="003B3977">
        <w:rPr>
          <w:sz w:val="20"/>
        </w:rPr>
        <w:t xml:space="preserve"> SCC </w:t>
      </w:r>
      <w:r w:rsidR="00771241">
        <w:rPr>
          <w:sz w:val="20"/>
        </w:rPr>
        <w:t xml:space="preserve">55 </w:t>
      </w:r>
      <w:r w:rsidRPr="003B3977">
        <w:rPr>
          <w:sz w:val="20"/>
        </w:rPr>
        <w:t>/ Référence neutre : 201</w:t>
      </w:r>
      <w:r w:rsidR="007F387B">
        <w:rPr>
          <w:sz w:val="20"/>
        </w:rPr>
        <w:t>1</w:t>
      </w:r>
      <w:r w:rsidRPr="003B3977">
        <w:rPr>
          <w:sz w:val="20"/>
        </w:rPr>
        <w:t xml:space="preserve"> CSC </w:t>
      </w:r>
      <w:r w:rsidR="00771241">
        <w:rPr>
          <w:sz w:val="20"/>
        </w:rPr>
        <w:t>55</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00CD6291">
        <w:rPr>
          <w:rFonts w:cs="Times New Roman"/>
          <w:sz w:val="20"/>
          <w:szCs w:val="20"/>
          <w:lang w:val="fr-CA"/>
        </w:rPr>
        <w:t>February</w:t>
      </w:r>
      <w:proofErr w:type="spellEnd"/>
      <w:proofErr w:type="gramEnd"/>
      <w:r w:rsidR="00CD6291">
        <w:rPr>
          <w:rFonts w:cs="Times New Roman"/>
          <w:sz w:val="20"/>
          <w:szCs w:val="20"/>
          <w:lang w:val="fr-CA"/>
        </w:rPr>
        <w:t xml:space="preserve"> 17</w:t>
      </w:r>
      <w:r w:rsidRPr="003B3977">
        <w:rPr>
          <w:rFonts w:cs="Times New Roman"/>
          <w:sz w:val="20"/>
          <w:szCs w:val="20"/>
          <w:lang w:val="fr-CA"/>
        </w:rPr>
        <w:t>, 201</w:t>
      </w:r>
      <w:r w:rsidR="00CD6291">
        <w:rPr>
          <w:rFonts w:cs="Times New Roman"/>
          <w:sz w:val="20"/>
          <w:szCs w:val="20"/>
          <w:lang w:val="fr-CA"/>
        </w:rPr>
        <w:t>1</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771241">
        <w:rPr>
          <w:rFonts w:cs="Times New Roman"/>
          <w:sz w:val="20"/>
          <w:szCs w:val="20"/>
          <w:lang w:val="fr-CA"/>
        </w:rPr>
        <w:t>November</w:t>
      </w:r>
      <w:proofErr w:type="spellEnd"/>
      <w:r w:rsidR="00771241">
        <w:rPr>
          <w:rFonts w:cs="Times New Roman"/>
          <w:sz w:val="20"/>
          <w:szCs w:val="20"/>
          <w:lang w:val="fr-CA"/>
        </w:rPr>
        <w:t xml:space="preserve"> 10</w:t>
      </w:r>
      <w:r w:rsidRPr="003B3977">
        <w:rPr>
          <w:rFonts w:cs="Times New Roman"/>
          <w:sz w:val="20"/>
          <w:szCs w:val="20"/>
          <w:lang w:val="fr-CA"/>
        </w:rPr>
        <w:t>, 201</w:t>
      </w:r>
      <w:r w:rsidR="00771241">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CD6291">
        <w:rPr>
          <w:rFonts w:cs="Times New Roman"/>
          <w:sz w:val="20"/>
          <w:szCs w:val="20"/>
          <w:lang w:val="fr-CA"/>
        </w:rPr>
        <w:t>17 février</w:t>
      </w:r>
      <w:r w:rsidRPr="003B3977">
        <w:rPr>
          <w:rFonts w:cs="Times New Roman"/>
          <w:sz w:val="20"/>
          <w:szCs w:val="20"/>
          <w:lang w:val="fr-CA"/>
        </w:rPr>
        <w:t xml:space="preserve"> 201</w:t>
      </w:r>
      <w:r w:rsidR="00CD6291">
        <w:rPr>
          <w:rFonts w:cs="Times New Roman"/>
          <w:sz w:val="20"/>
          <w:szCs w:val="20"/>
          <w:lang w:val="fr-CA"/>
        </w:rPr>
        <w:t>1</w:t>
      </w:r>
      <w:r w:rsidRPr="003B3977">
        <w:rPr>
          <w:rFonts w:cs="Times New Roman"/>
          <w:sz w:val="20"/>
          <w:szCs w:val="20"/>
          <w:lang w:val="fr-CA"/>
        </w:rPr>
        <w:t xml:space="preserve"> / Jugement : Le </w:t>
      </w:r>
      <w:r w:rsidR="00771241">
        <w:rPr>
          <w:rFonts w:cs="Times New Roman"/>
          <w:sz w:val="20"/>
          <w:szCs w:val="20"/>
          <w:lang w:val="fr-CA"/>
        </w:rPr>
        <w:t>10</w:t>
      </w:r>
      <w:r w:rsidRPr="003B3977">
        <w:rPr>
          <w:rFonts w:cs="Times New Roman"/>
          <w:sz w:val="20"/>
          <w:szCs w:val="20"/>
          <w:lang w:val="fr-CA"/>
        </w:rPr>
        <w:t xml:space="preserve"> </w:t>
      </w:r>
      <w:r w:rsidR="00771241">
        <w:rPr>
          <w:rFonts w:cs="Times New Roman"/>
          <w:sz w:val="20"/>
          <w:szCs w:val="20"/>
          <w:lang w:val="fr-CA"/>
        </w:rPr>
        <w:t>n</w:t>
      </w:r>
      <w:r w:rsidRPr="003B3977">
        <w:rPr>
          <w:rFonts w:cs="Times New Roman"/>
          <w:sz w:val="20"/>
          <w:szCs w:val="20"/>
          <w:lang w:val="fr-CA"/>
        </w:rPr>
        <w:t>o</w:t>
      </w:r>
      <w:r w:rsidR="00771241">
        <w:rPr>
          <w:rFonts w:cs="Times New Roman"/>
          <w:sz w:val="20"/>
          <w:szCs w:val="20"/>
          <w:lang w:val="fr-CA"/>
        </w:rPr>
        <w:t>vemb</w:t>
      </w:r>
      <w:r w:rsidRPr="003B3977">
        <w:rPr>
          <w:rFonts w:cs="Times New Roman"/>
          <w:sz w:val="20"/>
          <w:szCs w:val="20"/>
          <w:lang w:val="fr-CA"/>
        </w:rPr>
        <w:t>re 201</w:t>
      </w:r>
      <w:r w:rsidR="00771241">
        <w:rPr>
          <w:rFonts w:cs="Times New Roman"/>
          <w:sz w:val="20"/>
          <w:szCs w:val="20"/>
          <w:lang w:val="fr-CA"/>
        </w:rPr>
        <w:t>1</w:t>
      </w:r>
    </w:p>
    <w:p w:rsidR="005C6840" w:rsidRPr="003B3977" w:rsidRDefault="004D631F" w:rsidP="005C6840">
      <w:pPr>
        <w:rPr>
          <w:rFonts w:cs="Times New Roman"/>
          <w:sz w:val="20"/>
          <w:szCs w:val="20"/>
          <w:lang w:val="fr-CA"/>
        </w:rPr>
      </w:pPr>
      <w:r w:rsidRPr="004D631F">
        <w:rPr>
          <w:rFonts w:cs="Times New Roman"/>
          <w:i/>
          <w:sz w:val="20"/>
          <w:szCs w:val="20"/>
        </w:rPr>
        <w:pict>
          <v:rect id="_x0000_i1068" style="width:480.95pt;height:1pt" o:hralign="center" o:hrstd="t" o:hrnoshade="t" o:hr="t" fillcolor="black [3213]" stroked="f"/>
        </w:pict>
      </w:r>
    </w:p>
    <w:p w:rsidR="005C6840" w:rsidRDefault="005C6840" w:rsidP="005C6840">
      <w:pPr>
        <w:rPr>
          <w:rFonts w:cs="Times New Roman"/>
          <w:sz w:val="20"/>
          <w:szCs w:val="20"/>
          <w:lang w:val="fr-CA"/>
        </w:rPr>
      </w:pPr>
    </w:p>
    <w:p w:rsidR="00CD6291" w:rsidRPr="00DD0158" w:rsidRDefault="00CD6291" w:rsidP="00CD6291">
      <w:pPr>
        <w:jc w:val="both"/>
        <w:rPr>
          <w:rFonts w:cs="Times New Roman"/>
          <w:sz w:val="20"/>
          <w:szCs w:val="20"/>
        </w:rPr>
      </w:pPr>
      <w:r w:rsidRPr="00DD0158">
        <w:rPr>
          <w:rFonts w:cs="Times New Roman"/>
          <w:sz w:val="20"/>
          <w:szCs w:val="20"/>
        </w:rPr>
        <w:t xml:space="preserve">Present:  </w:t>
      </w:r>
      <w:proofErr w:type="spellStart"/>
      <w:r w:rsidRPr="00DD0158">
        <w:rPr>
          <w:rFonts w:cs="Times New Roman"/>
          <w:sz w:val="20"/>
          <w:szCs w:val="20"/>
        </w:rPr>
        <w:t>McLachlin</w:t>
      </w:r>
      <w:proofErr w:type="spellEnd"/>
      <w:r w:rsidRPr="00DD0158">
        <w:rPr>
          <w:rFonts w:cs="Times New Roman"/>
          <w:sz w:val="20"/>
          <w:szCs w:val="20"/>
        </w:rPr>
        <w:t xml:space="preserve"> C.J. and </w:t>
      </w:r>
      <w:proofErr w:type="spellStart"/>
      <w:r w:rsidRPr="00DD0158">
        <w:rPr>
          <w:rFonts w:cs="Times New Roman"/>
          <w:sz w:val="20"/>
          <w:szCs w:val="20"/>
        </w:rPr>
        <w:t>Binnie</w:t>
      </w:r>
      <w:proofErr w:type="spellEnd"/>
      <w:r w:rsidRPr="00DD0158">
        <w:rPr>
          <w:rFonts w:cs="Times New Roman"/>
          <w:sz w:val="20"/>
          <w:szCs w:val="20"/>
        </w:rPr>
        <w:t xml:space="preserve">, </w:t>
      </w:r>
      <w:proofErr w:type="spellStart"/>
      <w:r w:rsidRPr="00DD0158">
        <w:rPr>
          <w:rFonts w:cs="Times New Roman"/>
          <w:sz w:val="20"/>
          <w:szCs w:val="20"/>
        </w:rPr>
        <w:t>LeBel</w:t>
      </w:r>
      <w:proofErr w:type="spellEnd"/>
      <w:r w:rsidRPr="00DD0158">
        <w:rPr>
          <w:rFonts w:cs="Times New Roman"/>
          <w:sz w:val="20"/>
          <w:szCs w:val="20"/>
        </w:rPr>
        <w:t xml:space="preserve">, </w:t>
      </w:r>
      <w:proofErr w:type="spellStart"/>
      <w:r w:rsidRPr="00DD0158">
        <w:rPr>
          <w:rFonts w:cs="Times New Roman"/>
          <w:sz w:val="20"/>
          <w:szCs w:val="20"/>
        </w:rPr>
        <w:t>Deschamps</w:t>
      </w:r>
      <w:proofErr w:type="spellEnd"/>
      <w:r w:rsidRPr="00DD0158">
        <w:rPr>
          <w:rFonts w:cs="Times New Roman"/>
          <w:sz w:val="20"/>
          <w:szCs w:val="20"/>
        </w:rPr>
        <w:t xml:space="preserve">, </w:t>
      </w:r>
      <w:proofErr w:type="spellStart"/>
      <w:r w:rsidRPr="00DD0158">
        <w:rPr>
          <w:rFonts w:cs="Times New Roman"/>
          <w:sz w:val="20"/>
          <w:szCs w:val="20"/>
        </w:rPr>
        <w:t>Abella</w:t>
      </w:r>
      <w:proofErr w:type="spellEnd"/>
      <w:r w:rsidRPr="00DD0158">
        <w:rPr>
          <w:rFonts w:cs="Times New Roman"/>
          <w:sz w:val="20"/>
          <w:szCs w:val="20"/>
        </w:rPr>
        <w:t xml:space="preserve">, </w:t>
      </w:r>
      <w:proofErr w:type="spellStart"/>
      <w:r w:rsidRPr="00DD0158">
        <w:rPr>
          <w:rFonts w:cs="Times New Roman"/>
          <w:sz w:val="20"/>
          <w:szCs w:val="20"/>
        </w:rPr>
        <w:t>Charron</w:t>
      </w:r>
      <w:proofErr w:type="spellEnd"/>
      <w:r w:rsidRPr="00DD0158">
        <w:rPr>
          <w:rFonts w:cs="Times New Roman"/>
          <w:sz w:val="20"/>
          <w:szCs w:val="20"/>
        </w:rPr>
        <w:t xml:space="preserve"> and Rothstein JJ.</w:t>
      </w:r>
    </w:p>
    <w:p w:rsidR="00CD6291" w:rsidRDefault="00CD6291" w:rsidP="00CD6291">
      <w:pPr>
        <w:pStyle w:val="SCCLowerCourtNameLowercase"/>
        <w:spacing w:line="240" w:lineRule="auto"/>
        <w:rPr>
          <w:sz w:val="20"/>
        </w:rPr>
      </w:pPr>
    </w:p>
    <w:p w:rsidR="00CD6291" w:rsidRPr="00DD0158" w:rsidRDefault="00CD6291" w:rsidP="00CD6291">
      <w:pPr>
        <w:pStyle w:val="SCCNormalDoubleSpacing"/>
        <w:widowControl w:val="0"/>
        <w:spacing w:line="240" w:lineRule="auto"/>
        <w:rPr>
          <w:i/>
          <w:sz w:val="20"/>
        </w:rPr>
      </w:pPr>
      <w:r w:rsidRPr="00DD0158">
        <w:rPr>
          <w:i/>
          <w:sz w:val="20"/>
        </w:rPr>
        <w:tab/>
        <w:t xml:space="preserve">Aboriginal law — Aboriginal rights — Fishing — Nature of </w:t>
      </w:r>
      <w:proofErr w:type="spellStart"/>
      <w:r w:rsidRPr="00DD0158">
        <w:rPr>
          <w:i/>
          <w:sz w:val="20"/>
        </w:rPr>
        <w:t>pre</w:t>
      </w:r>
      <w:r w:rsidRPr="00DD0158">
        <w:rPr>
          <w:i/>
          <w:sz w:val="20"/>
        </w:rPr>
        <w:noBreakHyphen/>
        <w:t>contact</w:t>
      </w:r>
      <w:proofErr w:type="spellEnd"/>
      <w:r w:rsidRPr="00DD0158">
        <w:rPr>
          <w:i/>
          <w:sz w:val="20"/>
        </w:rPr>
        <w:t xml:space="preserve"> practice — Evolution of </w:t>
      </w:r>
      <w:proofErr w:type="spellStart"/>
      <w:r w:rsidRPr="00DD0158">
        <w:rPr>
          <w:i/>
          <w:sz w:val="20"/>
        </w:rPr>
        <w:t>pre</w:t>
      </w:r>
      <w:r w:rsidRPr="00DD0158">
        <w:rPr>
          <w:i/>
          <w:sz w:val="20"/>
        </w:rPr>
        <w:noBreakHyphen/>
        <w:t>contact</w:t>
      </w:r>
      <w:proofErr w:type="spellEnd"/>
      <w:r w:rsidRPr="00DD0158">
        <w:rPr>
          <w:i/>
          <w:sz w:val="20"/>
        </w:rPr>
        <w:t xml:space="preserve"> practice — First Nations claiming rights to commercial harvesting and sale of all species of fish within their traditional waters —Whether </w:t>
      </w:r>
      <w:proofErr w:type="spellStart"/>
      <w:r w:rsidRPr="00DD0158">
        <w:rPr>
          <w:i/>
          <w:sz w:val="20"/>
        </w:rPr>
        <w:t>pre</w:t>
      </w:r>
      <w:r w:rsidRPr="00DD0158">
        <w:rPr>
          <w:i/>
          <w:sz w:val="20"/>
        </w:rPr>
        <w:noBreakHyphen/>
        <w:t>contact</w:t>
      </w:r>
      <w:proofErr w:type="spellEnd"/>
      <w:r w:rsidRPr="00DD0158">
        <w:rPr>
          <w:i/>
          <w:sz w:val="20"/>
        </w:rPr>
        <w:t xml:space="preserve"> trade in specific fish product could evolve into modern commercial fishery — Constitution Act, 1982, c. 35(1).</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widowControl w:val="0"/>
        <w:spacing w:line="240" w:lineRule="auto"/>
        <w:rPr>
          <w:i/>
          <w:sz w:val="20"/>
        </w:rPr>
      </w:pPr>
      <w:r w:rsidRPr="00DD0158">
        <w:rPr>
          <w:i/>
          <w:sz w:val="20"/>
        </w:rPr>
        <w:tab/>
        <w:t>Civil procedure — Pleadings — Aboriginal rights litigation — Whether Aboriginal rights claim should be characterized based on pleadings or a broader enquiry — Whether claim for declaration of “lesser” rights was properly presented in pleadings</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widowControl w:val="0"/>
        <w:spacing w:line="240" w:lineRule="auto"/>
        <w:rPr>
          <w:i/>
          <w:sz w:val="20"/>
        </w:rPr>
      </w:pPr>
      <w:r w:rsidRPr="00DD0158">
        <w:rPr>
          <w:i/>
          <w:sz w:val="20"/>
        </w:rPr>
        <w:tab/>
        <w:t xml:space="preserve">Aboriginal law — Fiduciary duty — </w:t>
      </w:r>
      <w:proofErr w:type="gramStart"/>
      <w:r w:rsidRPr="00DD0158">
        <w:rPr>
          <w:i/>
          <w:sz w:val="20"/>
        </w:rPr>
        <w:t>Whether</w:t>
      </w:r>
      <w:proofErr w:type="gramEnd"/>
      <w:r w:rsidRPr="00DD0158">
        <w:rPr>
          <w:i/>
          <w:sz w:val="20"/>
        </w:rPr>
        <w:t xml:space="preserve"> historical record supported existence of fiduciary duty to grant claimants right to modern commercial fishery.</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widowControl w:val="0"/>
        <w:spacing w:line="240" w:lineRule="auto"/>
        <w:rPr>
          <w:sz w:val="20"/>
        </w:rPr>
      </w:pPr>
      <w:r w:rsidRPr="00DD0158">
        <w:rPr>
          <w:sz w:val="20"/>
        </w:rPr>
        <w:tab/>
        <w:t xml:space="preserve">This appeal involves the claim of the Lax </w:t>
      </w:r>
      <w:proofErr w:type="spellStart"/>
      <w:r w:rsidRPr="00DD0158">
        <w:rPr>
          <w:sz w:val="20"/>
        </w:rPr>
        <w:t>Kw’alaams</w:t>
      </w:r>
      <w:proofErr w:type="spellEnd"/>
      <w:r w:rsidRPr="00DD0158">
        <w:rPr>
          <w:sz w:val="20"/>
        </w:rPr>
        <w:t xml:space="preserve"> and other First Nations (“the Lax </w:t>
      </w:r>
      <w:proofErr w:type="spellStart"/>
      <w:r w:rsidRPr="00DD0158">
        <w:rPr>
          <w:sz w:val="20"/>
        </w:rPr>
        <w:t>Kw’alaams</w:t>
      </w:r>
      <w:proofErr w:type="spellEnd"/>
      <w:r w:rsidRPr="00DD0158">
        <w:rPr>
          <w:sz w:val="20"/>
        </w:rPr>
        <w:t xml:space="preserve">”), whose ancestral lands stretch along the northwest coast of British Columbia between the estuaries of the </w:t>
      </w:r>
      <w:proofErr w:type="spellStart"/>
      <w:r w:rsidRPr="00DD0158">
        <w:rPr>
          <w:sz w:val="20"/>
        </w:rPr>
        <w:t>Nass</w:t>
      </w:r>
      <w:proofErr w:type="spellEnd"/>
      <w:r w:rsidRPr="00DD0158">
        <w:rPr>
          <w:sz w:val="20"/>
        </w:rPr>
        <w:t xml:space="preserve"> and lower Skeena Rivers, to the commercial harvesting and sale of “all species of fish” within their traditional waters.  Such an Aboriginal fishery would be within the protection of s. 35(1) of the </w:t>
      </w:r>
      <w:r w:rsidRPr="00DD0158">
        <w:rPr>
          <w:i/>
          <w:sz w:val="20"/>
        </w:rPr>
        <w:t>Constitution Act, 1982</w:t>
      </w:r>
      <w:r w:rsidRPr="00DD0158">
        <w:rPr>
          <w:sz w:val="20"/>
        </w:rPr>
        <w:t xml:space="preserve">.  The basis of the </w:t>
      </w:r>
      <w:proofErr w:type="spellStart"/>
      <w:r w:rsidRPr="00DD0158">
        <w:rPr>
          <w:sz w:val="20"/>
        </w:rPr>
        <w:t>pre</w:t>
      </w:r>
      <w:r w:rsidRPr="00DD0158">
        <w:rPr>
          <w:sz w:val="20"/>
        </w:rPr>
        <w:noBreakHyphen/>
        <w:t>contact</w:t>
      </w:r>
      <w:proofErr w:type="spellEnd"/>
      <w:r w:rsidRPr="00DD0158">
        <w:rPr>
          <w:sz w:val="20"/>
        </w:rPr>
        <w:t xml:space="preserve"> society’s culture and sustenance was the fishery.  It had a subsistence economy with some trade — primarily a gift exchange between kin at feasts and potlatches or the exchange of luxury goods.  The harvesting and consumption of salmon, halibut, herring spawn, seaweed, shellfish, and eulachon were integral to its distinctive culture, but trade in fish or fish products other than the grease derived from the </w:t>
      </w:r>
      <w:proofErr w:type="spellStart"/>
      <w:r w:rsidRPr="00DD0158">
        <w:rPr>
          <w:sz w:val="20"/>
        </w:rPr>
        <w:t>smelt</w:t>
      </w:r>
      <w:r w:rsidRPr="00DD0158">
        <w:rPr>
          <w:sz w:val="20"/>
        </w:rPr>
        <w:noBreakHyphen/>
        <w:t>like</w:t>
      </w:r>
      <w:proofErr w:type="spellEnd"/>
      <w:r w:rsidRPr="00DD0158">
        <w:rPr>
          <w:sz w:val="20"/>
        </w:rPr>
        <w:t xml:space="preserve"> species called the eulachon or candle fish (because when dried it could be burned like a candle) was held not to be integral to the distinctive culture of the </w:t>
      </w:r>
      <w:proofErr w:type="spellStart"/>
      <w:r w:rsidRPr="00DD0158">
        <w:rPr>
          <w:sz w:val="20"/>
        </w:rPr>
        <w:t>pre</w:t>
      </w:r>
      <w:r w:rsidRPr="00DD0158">
        <w:rPr>
          <w:sz w:val="20"/>
        </w:rPr>
        <w:noBreakHyphen/>
        <w:t>contact</w:t>
      </w:r>
      <w:proofErr w:type="spellEnd"/>
      <w:r w:rsidRPr="00DD0158">
        <w:rPr>
          <w:sz w:val="20"/>
        </w:rPr>
        <w:t xml:space="preserve"> society.  Eulachon grease was a preservative for perishable food stuffs such as berries, and much valued for that purpose.  Such other trade in fish or fish products as took place was described by the trial judge as “low volume, opportunistic, irregular</w:t>
      </w:r>
      <w:proofErr w:type="gramStart"/>
      <w:r w:rsidRPr="00DD0158">
        <w:rPr>
          <w:sz w:val="20"/>
        </w:rPr>
        <w:t>, .</w:t>
      </w:r>
      <w:proofErr w:type="gramEnd"/>
      <w:r w:rsidRPr="00DD0158">
        <w:rPr>
          <w:sz w:val="20"/>
        </w:rPr>
        <w:t xml:space="preserve"> . . and incidental to the fundamental </w:t>
      </w:r>
      <w:proofErr w:type="spellStart"/>
      <w:r w:rsidRPr="00DD0158">
        <w:rPr>
          <w:sz w:val="20"/>
        </w:rPr>
        <w:t>pre</w:t>
      </w:r>
      <w:r w:rsidRPr="00DD0158">
        <w:rPr>
          <w:sz w:val="20"/>
        </w:rPr>
        <w:noBreakHyphen/>
        <w:t>contact</w:t>
      </w:r>
      <w:proofErr w:type="spellEnd"/>
      <w:r w:rsidRPr="00DD0158">
        <w:rPr>
          <w:sz w:val="20"/>
        </w:rPr>
        <w:t xml:space="preserve"> . . . kinship relations”.</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widowControl w:val="0"/>
        <w:spacing w:line="240" w:lineRule="auto"/>
        <w:rPr>
          <w:sz w:val="20"/>
        </w:rPr>
      </w:pPr>
      <w:r w:rsidRPr="00DD0158">
        <w:rPr>
          <w:sz w:val="20"/>
        </w:rPr>
        <w:tab/>
        <w:t xml:space="preserve">The Lax </w:t>
      </w:r>
      <w:proofErr w:type="spellStart"/>
      <w:r w:rsidRPr="00DD0158">
        <w:rPr>
          <w:sz w:val="20"/>
        </w:rPr>
        <w:t>Kw’alaams</w:t>
      </w:r>
      <w:proofErr w:type="spellEnd"/>
      <w:r w:rsidRPr="00DD0158">
        <w:rPr>
          <w:sz w:val="20"/>
        </w:rPr>
        <w:t xml:space="preserve"> claimed not only the right to the commercial harvesting and sale of all species of fish within their traditional waters but asserted that the Crown has a fiduciary duty in that respect flowing from promises made in the reserve allocation process in the 1870s and 1880s.  Finally, towards the end of the trial, they claimed what they described as lesser Aboriginal rights, including a right to sufficient fish which, “when converted to money”, would enable them to “develop and maintain a prosperous economy”, and a right to a food, social and ceremonial fishery. </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widowControl w:val="0"/>
        <w:spacing w:line="240" w:lineRule="auto"/>
        <w:rPr>
          <w:sz w:val="20"/>
        </w:rPr>
      </w:pPr>
      <w:r w:rsidRPr="00DD0158">
        <w:rPr>
          <w:sz w:val="20"/>
        </w:rPr>
        <w:tab/>
        <w:t xml:space="preserve">The trial judge was not persuaded that the </w:t>
      </w:r>
      <w:proofErr w:type="spellStart"/>
      <w:r w:rsidRPr="00DD0158">
        <w:rPr>
          <w:sz w:val="20"/>
        </w:rPr>
        <w:t>pre</w:t>
      </w:r>
      <w:r w:rsidRPr="00DD0158">
        <w:rPr>
          <w:sz w:val="20"/>
        </w:rPr>
        <w:noBreakHyphen/>
        <w:t>contact</w:t>
      </w:r>
      <w:proofErr w:type="spellEnd"/>
      <w:r w:rsidRPr="00DD0158">
        <w:rPr>
          <w:sz w:val="20"/>
        </w:rPr>
        <w:t xml:space="preserve"> customs, practices, and traditions supported the claimed Aboriginal rights to commercial activities and dismissed the claims.  The Court of Appeal agreed and dismissed the appeal.</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widowControl w:val="0"/>
        <w:spacing w:line="240" w:lineRule="auto"/>
        <w:rPr>
          <w:sz w:val="20"/>
        </w:rPr>
      </w:pPr>
      <w:r w:rsidRPr="00DD0158">
        <w:rPr>
          <w:sz w:val="20"/>
        </w:rPr>
        <w:tab/>
      </w:r>
      <w:r w:rsidRPr="00DD0158">
        <w:rPr>
          <w:i/>
          <w:sz w:val="20"/>
        </w:rPr>
        <w:t>Held</w:t>
      </w:r>
      <w:r w:rsidRPr="00DD0158">
        <w:rPr>
          <w:sz w:val="20"/>
        </w:rPr>
        <w:t>:  The appeal should be dismissed.</w:t>
      </w:r>
    </w:p>
    <w:p w:rsidR="00CD6291" w:rsidRDefault="00CD6291" w:rsidP="00CD6291">
      <w:pPr>
        <w:pStyle w:val="SCCNormalDoubleSpacing"/>
        <w:widowControl w:val="0"/>
        <w:spacing w:line="240" w:lineRule="auto"/>
        <w:rPr>
          <w:sz w:val="20"/>
        </w:rPr>
      </w:pPr>
    </w:p>
    <w:p w:rsidR="00CD6291" w:rsidRDefault="00CD6291" w:rsidP="00CD6291">
      <w:pPr>
        <w:pStyle w:val="SCCNormalDoubleSpacing"/>
        <w:widowControl w:val="0"/>
        <w:spacing w:line="240" w:lineRule="auto"/>
        <w:rPr>
          <w:sz w:val="20"/>
        </w:rPr>
      </w:pPr>
      <w:r w:rsidRPr="00DD0158">
        <w:rPr>
          <w:sz w:val="20"/>
        </w:rPr>
        <w:tab/>
        <w:t xml:space="preserve">The practices, customs and traditions of the </w:t>
      </w:r>
      <w:proofErr w:type="spellStart"/>
      <w:r w:rsidRPr="00DD0158">
        <w:rPr>
          <w:sz w:val="20"/>
        </w:rPr>
        <w:t>pre</w:t>
      </w:r>
      <w:r w:rsidRPr="00DD0158">
        <w:rPr>
          <w:sz w:val="20"/>
        </w:rPr>
        <w:noBreakHyphen/>
        <w:t>contact</w:t>
      </w:r>
      <w:proofErr w:type="spellEnd"/>
      <w:r w:rsidRPr="00DD0158">
        <w:rPr>
          <w:sz w:val="20"/>
        </w:rPr>
        <w:t xml:space="preserve"> society do not provide an evidentiary springboard to a constitutionally protected Aboriginal right to harvest and sell all varieties of fish in a modern commercial fishery.  The </w:t>
      </w:r>
      <w:proofErr w:type="spellStart"/>
      <w:r w:rsidRPr="00DD0158">
        <w:rPr>
          <w:sz w:val="20"/>
        </w:rPr>
        <w:t>pre</w:t>
      </w:r>
      <w:r w:rsidRPr="00DD0158">
        <w:rPr>
          <w:sz w:val="20"/>
        </w:rPr>
        <w:noBreakHyphen/>
        <w:t>contact</w:t>
      </w:r>
      <w:proofErr w:type="spellEnd"/>
      <w:r w:rsidRPr="00DD0158">
        <w:rPr>
          <w:sz w:val="20"/>
        </w:rPr>
        <w:t xml:space="preserve"> society was not a trading people, except with respect to eulachon grease.  As the trial judge found, such sporadic trade as took place in other fish products was peripheral to the </w:t>
      </w:r>
      <w:proofErr w:type="spellStart"/>
      <w:r w:rsidRPr="00DD0158">
        <w:rPr>
          <w:sz w:val="20"/>
        </w:rPr>
        <w:t>pre</w:t>
      </w:r>
      <w:r w:rsidRPr="00DD0158">
        <w:rPr>
          <w:sz w:val="20"/>
        </w:rPr>
        <w:noBreakHyphen/>
        <w:t>contact</w:t>
      </w:r>
      <w:proofErr w:type="spellEnd"/>
      <w:r w:rsidRPr="00DD0158">
        <w:rPr>
          <w:sz w:val="20"/>
        </w:rPr>
        <w:t xml:space="preserve"> society and did not define what made </w:t>
      </w:r>
      <w:proofErr w:type="spellStart"/>
      <w:r w:rsidRPr="00DD0158">
        <w:rPr>
          <w:sz w:val="20"/>
        </w:rPr>
        <w:t>pre</w:t>
      </w:r>
      <w:r w:rsidRPr="00DD0158">
        <w:rPr>
          <w:sz w:val="20"/>
        </w:rPr>
        <w:noBreakHyphen/>
        <w:t>contact</w:t>
      </w:r>
      <w:proofErr w:type="spellEnd"/>
      <w:r w:rsidRPr="00DD0158">
        <w:rPr>
          <w:sz w:val="20"/>
        </w:rPr>
        <w:t xml:space="preserve"> society what it was.</w:t>
      </w:r>
      <w:r>
        <w:rPr>
          <w:sz w:val="20"/>
        </w:rPr>
        <w:br w:type="page"/>
      </w:r>
    </w:p>
    <w:p w:rsidR="00CD6291" w:rsidRPr="00DD0158" w:rsidRDefault="00CD6291" w:rsidP="00CD6291">
      <w:pPr>
        <w:pStyle w:val="SCCNormalDoubleSpacing"/>
        <w:widowControl w:val="0"/>
        <w:spacing w:line="240" w:lineRule="auto"/>
        <w:rPr>
          <w:sz w:val="20"/>
        </w:rPr>
      </w:pPr>
      <w:r w:rsidRPr="00DD0158">
        <w:rPr>
          <w:sz w:val="20"/>
        </w:rPr>
        <w:lastRenderedPageBreak/>
        <w:tab/>
        <w:t xml:space="preserve">The Lax </w:t>
      </w:r>
      <w:proofErr w:type="spellStart"/>
      <w:r w:rsidRPr="00DD0158">
        <w:rPr>
          <w:sz w:val="20"/>
        </w:rPr>
        <w:t>Kw’alaams</w:t>
      </w:r>
      <w:proofErr w:type="spellEnd"/>
      <w:r w:rsidRPr="00DD0158">
        <w:rPr>
          <w:sz w:val="20"/>
        </w:rPr>
        <w:t xml:space="preserve"> </w:t>
      </w:r>
      <w:proofErr w:type="gramStart"/>
      <w:r w:rsidRPr="00DD0158">
        <w:rPr>
          <w:sz w:val="20"/>
        </w:rPr>
        <w:t>contend</w:t>
      </w:r>
      <w:proofErr w:type="gramEnd"/>
      <w:r w:rsidRPr="00DD0158">
        <w:rPr>
          <w:sz w:val="20"/>
        </w:rPr>
        <w:t xml:space="preserve"> that the courts below erred in their approach to the characterization of the claim, and consequently failed to analyse comprehensively the evidence in its support.  In their view “before a court can characterize a claimed aboriginal right, it must </w:t>
      </w:r>
      <w:r w:rsidRPr="00DD0158">
        <w:rPr>
          <w:sz w:val="20"/>
          <w:u w:val="single"/>
        </w:rPr>
        <w:t>first</w:t>
      </w:r>
      <w:r w:rsidRPr="00DD0158">
        <w:rPr>
          <w:sz w:val="20"/>
        </w:rPr>
        <w:t xml:space="preserve"> inquire and make findings about the </w:t>
      </w:r>
      <w:proofErr w:type="spellStart"/>
      <w:r w:rsidRPr="00DD0158">
        <w:rPr>
          <w:sz w:val="20"/>
        </w:rPr>
        <w:t>pre</w:t>
      </w:r>
      <w:r w:rsidRPr="00DD0158">
        <w:rPr>
          <w:sz w:val="20"/>
        </w:rPr>
        <w:noBreakHyphen/>
        <w:t>contact</w:t>
      </w:r>
      <w:proofErr w:type="spellEnd"/>
      <w:r w:rsidRPr="00DD0158">
        <w:rPr>
          <w:sz w:val="20"/>
        </w:rPr>
        <w:t xml:space="preserve"> practices and way of life of the claimant group”.  This is not correct.  When dealing with </w:t>
      </w:r>
      <w:proofErr w:type="gramStart"/>
      <w:r w:rsidRPr="00DD0158">
        <w:rPr>
          <w:sz w:val="20"/>
        </w:rPr>
        <w:t>a</w:t>
      </w:r>
      <w:proofErr w:type="gramEnd"/>
      <w:r w:rsidRPr="00DD0158">
        <w:rPr>
          <w:sz w:val="20"/>
        </w:rPr>
        <w:t xml:space="preserve"> s. 35(1) claim, the court should begin by characterizing the claimed Aboriginal right based on the pleadings.  Making findings about the </w:t>
      </w:r>
      <w:proofErr w:type="spellStart"/>
      <w:r w:rsidRPr="00DD0158">
        <w:rPr>
          <w:sz w:val="20"/>
        </w:rPr>
        <w:t>pre</w:t>
      </w:r>
      <w:r w:rsidRPr="00DD0158">
        <w:rPr>
          <w:sz w:val="20"/>
        </w:rPr>
        <w:noBreakHyphen/>
        <w:t>contact</w:t>
      </w:r>
      <w:proofErr w:type="spellEnd"/>
      <w:r w:rsidRPr="00DD0158">
        <w:rPr>
          <w:sz w:val="20"/>
        </w:rPr>
        <w:t xml:space="preserve"> way of life of the claimant group before characterizing the claimed right — the “commission of inquiry” approach — is not suitable in civil litigation, even in Aboriginal cases, where procedural rules are generously interpreted to facilitate the resolution of the underlying controversies in the public interest.  Following that model would be illogical and contrary to authority, and would defy the relevant rules of civil procedure.  Although the necessary flexibility can be achieved within the ordinary rules of practice (including the amendment of pleadings), a defendant must be left in no doubt about precisely what is claimed.  Having characterized the claim, the court should determine whether the First Nation has proved the existence of the </w:t>
      </w:r>
      <w:proofErr w:type="spellStart"/>
      <w:r w:rsidRPr="00DD0158">
        <w:rPr>
          <w:sz w:val="20"/>
        </w:rPr>
        <w:t>pre</w:t>
      </w:r>
      <w:r w:rsidRPr="00DD0158">
        <w:rPr>
          <w:sz w:val="20"/>
        </w:rPr>
        <w:noBreakHyphen/>
        <w:t>contact</w:t>
      </w:r>
      <w:proofErr w:type="spellEnd"/>
      <w:r w:rsidRPr="00DD0158">
        <w:rPr>
          <w:sz w:val="20"/>
        </w:rPr>
        <w:t xml:space="preserve"> practice, tradition or custom advanced in the pleadings and that this practice was integral to the distinctive </w:t>
      </w:r>
      <w:proofErr w:type="spellStart"/>
      <w:r w:rsidRPr="00DD0158">
        <w:rPr>
          <w:sz w:val="20"/>
        </w:rPr>
        <w:t>pre</w:t>
      </w:r>
      <w:r w:rsidRPr="00DD0158">
        <w:rPr>
          <w:sz w:val="20"/>
        </w:rPr>
        <w:noBreakHyphen/>
        <w:t>contact</w:t>
      </w:r>
      <w:proofErr w:type="spellEnd"/>
      <w:r w:rsidRPr="00DD0158">
        <w:rPr>
          <w:sz w:val="20"/>
        </w:rPr>
        <w:t xml:space="preserve"> society.  Third, taking a generous though realistic approach, the court should determine whether the claimed modern right has a reasonable degree of continuity with the integral </w:t>
      </w:r>
      <w:proofErr w:type="spellStart"/>
      <w:r w:rsidRPr="00DD0158">
        <w:rPr>
          <w:sz w:val="20"/>
        </w:rPr>
        <w:t>pre</w:t>
      </w:r>
      <w:r w:rsidRPr="00DD0158">
        <w:rPr>
          <w:sz w:val="20"/>
        </w:rPr>
        <w:noBreakHyphen/>
        <w:t>contact</w:t>
      </w:r>
      <w:proofErr w:type="spellEnd"/>
      <w:r w:rsidRPr="00DD0158">
        <w:rPr>
          <w:sz w:val="20"/>
        </w:rPr>
        <w:t xml:space="preserve"> practice.  Finally, if the claimed right is found to </w:t>
      </w:r>
      <w:proofErr w:type="gramStart"/>
      <w:r w:rsidRPr="00DD0158">
        <w:rPr>
          <w:sz w:val="20"/>
        </w:rPr>
        <w:t>exist,</w:t>
      </w:r>
      <w:proofErr w:type="gramEnd"/>
      <w:r w:rsidRPr="00DD0158">
        <w:rPr>
          <w:sz w:val="20"/>
        </w:rPr>
        <w:t xml:space="preserve"> it should be delineated with regard to conservation goals and other relevant objectives.</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widowControl w:val="0"/>
        <w:spacing w:line="240" w:lineRule="auto"/>
        <w:rPr>
          <w:sz w:val="20"/>
        </w:rPr>
      </w:pPr>
      <w:r w:rsidRPr="00DD0158">
        <w:rPr>
          <w:sz w:val="20"/>
        </w:rPr>
        <w:tab/>
        <w:t xml:space="preserve">In this case, the attempt to build a modern commercial fishery on the narrow support of a limited ancestral trade in eulachon grease lacks sufficient continuity and proportionality.  While an Aboriginal right is subject to evolution both in terms of the subject matter and the method of its exercise, the claim in this case to a general commercial fishery would create a right qualitatively and quantitatively different from the </w:t>
      </w:r>
      <w:proofErr w:type="spellStart"/>
      <w:r w:rsidRPr="00DD0158">
        <w:rPr>
          <w:sz w:val="20"/>
        </w:rPr>
        <w:t>pre</w:t>
      </w:r>
      <w:r w:rsidRPr="00DD0158">
        <w:rPr>
          <w:sz w:val="20"/>
        </w:rPr>
        <w:noBreakHyphen/>
        <w:t>contact</w:t>
      </w:r>
      <w:proofErr w:type="spellEnd"/>
      <w:r w:rsidRPr="00DD0158">
        <w:rPr>
          <w:sz w:val="20"/>
        </w:rPr>
        <w:t xml:space="preserve"> trade in eulachon grease.  Qualitatively, trade in fish and fish products other than eulachon grease was peripheral to the </w:t>
      </w:r>
      <w:proofErr w:type="spellStart"/>
      <w:r w:rsidRPr="00DD0158">
        <w:rPr>
          <w:sz w:val="20"/>
        </w:rPr>
        <w:t>pre</w:t>
      </w:r>
      <w:r w:rsidRPr="00DD0158">
        <w:rPr>
          <w:sz w:val="20"/>
        </w:rPr>
        <w:noBreakHyphen/>
        <w:t>contact</w:t>
      </w:r>
      <w:proofErr w:type="spellEnd"/>
      <w:r w:rsidRPr="00DD0158">
        <w:rPr>
          <w:sz w:val="20"/>
        </w:rPr>
        <w:t xml:space="preserve"> society.  It is not enough to show that some element of trade was part of the </w:t>
      </w:r>
      <w:proofErr w:type="spellStart"/>
      <w:r w:rsidRPr="00DD0158">
        <w:rPr>
          <w:sz w:val="20"/>
        </w:rPr>
        <w:t>pre</w:t>
      </w:r>
      <w:r w:rsidRPr="00DD0158">
        <w:rPr>
          <w:sz w:val="20"/>
        </w:rPr>
        <w:noBreakHyphen/>
        <w:t>contact</w:t>
      </w:r>
      <w:proofErr w:type="spellEnd"/>
      <w:r w:rsidRPr="00DD0158">
        <w:rPr>
          <w:sz w:val="20"/>
        </w:rPr>
        <w:t xml:space="preserve"> way of life if it was not distinctive or integral to that way of life.  A general commercial fishery would represent an outcome qualitatively different from the </w:t>
      </w:r>
      <w:proofErr w:type="spellStart"/>
      <w:r w:rsidRPr="00DD0158">
        <w:rPr>
          <w:sz w:val="20"/>
        </w:rPr>
        <w:t>pre</w:t>
      </w:r>
      <w:r w:rsidRPr="00DD0158">
        <w:rPr>
          <w:sz w:val="20"/>
        </w:rPr>
        <w:noBreakHyphen/>
        <w:t>contact</w:t>
      </w:r>
      <w:proofErr w:type="spellEnd"/>
      <w:r w:rsidRPr="00DD0158">
        <w:rPr>
          <w:sz w:val="20"/>
        </w:rPr>
        <w:t xml:space="preserve"> activity on which it would ostensibly be </w:t>
      </w:r>
      <w:proofErr w:type="gramStart"/>
      <w:r w:rsidRPr="00DD0158">
        <w:rPr>
          <w:sz w:val="20"/>
        </w:rPr>
        <w:t>based,</w:t>
      </w:r>
      <w:proofErr w:type="gramEnd"/>
      <w:r w:rsidRPr="00DD0158">
        <w:rPr>
          <w:sz w:val="20"/>
        </w:rPr>
        <w:t xml:space="preserve"> and out of all proportion to its original importance to the </w:t>
      </w:r>
      <w:proofErr w:type="spellStart"/>
      <w:r w:rsidRPr="00DD0158">
        <w:rPr>
          <w:sz w:val="20"/>
        </w:rPr>
        <w:t>pre</w:t>
      </w:r>
      <w:r w:rsidRPr="00DD0158">
        <w:rPr>
          <w:sz w:val="20"/>
        </w:rPr>
        <w:noBreakHyphen/>
        <w:t>contact</w:t>
      </w:r>
      <w:proofErr w:type="spellEnd"/>
      <w:r w:rsidRPr="00DD0158">
        <w:rPr>
          <w:sz w:val="20"/>
        </w:rPr>
        <w:t xml:space="preserve"> economy.  Quantitatively, the short eulachon season and the laborious extraction method </w:t>
      </w:r>
      <w:proofErr w:type="gramStart"/>
      <w:r w:rsidRPr="00DD0158">
        <w:rPr>
          <w:sz w:val="20"/>
        </w:rPr>
        <w:t>was</w:t>
      </w:r>
      <w:proofErr w:type="gramEnd"/>
      <w:r w:rsidRPr="00DD0158">
        <w:rPr>
          <w:sz w:val="20"/>
        </w:rPr>
        <w:t xml:space="preserve"> likely of limited value relative to the overall </w:t>
      </w:r>
      <w:proofErr w:type="spellStart"/>
      <w:r w:rsidRPr="00DD0158">
        <w:rPr>
          <w:sz w:val="20"/>
        </w:rPr>
        <w:t>pre</w:t>
      </w:r>
      <w:r w:rsidRPr="00DD0158">
        <w:rPr>
          <w:sz w:val="20"/>
        </w:rPr>
        <w:noBreakHyphen/>
        <w:t>contact</w:t>
      </w:r>
      <w:proofErr w:type="spellEnd"/>
      <w:r w:rsidRPr="00DD0158">
        <w:rPr>
          <w:sz w:val="20"/>
        </w:rPr>
        <w:t xml:space="preserve"> fishing activity of the industrious and productive </w:t>
      </w:r>
      <w:proofErr w:type="spellStart"/>
      <w:r w:rsidRPr="00DD0158">
        <w:rPr>
          <w:sz w:val="20"/>
        </w:rPr>
        <w:t>pre</w:t>
      </w:r>
      <w:r w:rsidRPr="00DD0158">
        <w:rPr>
          <w:sz w:val="20"/>
        </w:rPr>
        <w:noBreakHyphen/>
        <w:t>contact</w:t>
      </w:r>
      <w:proofErr w:type="spellEnd"/>
      <w:r w:rsidRPr="00DD0158">
        <w:rPr>
          <w:sz w:val="20"/>
        </w:rPr>
        <w:t xml:space="preserve"> people.</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widowControl w:val="0"/>
        <w:spacing w:line="240" w:lineRule="auto"/>
        <w:rPr>
          <w:sz w:val="20"/>
        </w:rPr>
      </w:pPr>
      <w:r w:rsidRPr="00DD0158">
        <w:rPr>
          <w:sz w:val="20"/>
        </w:rPr>
        <w:tab/>
        <w:t xml:space="preserve">As to the claims to lesser rights, the conclusion that trade in fish apart from eulachon grease was not integral to the </w:t>
      </w:r>
      <w:proofErr w:type="spellStart"/>
      <w:r w:rsidRPr="00DD0158">
        <w:rPr>
          <w:sz w:val="20"/>
        </w:rPr>
        <w:t>pre</w:t>
      </w:r>
      <w:r w:rsidRPr="00DD0158">
        <w:rPr>
          <w:sz w:val="20"/>
        </w:rPr>
        <w:noBreakHyphen/>
        <w:t>contact</w:t>
      </w:r>
      <w:proofErr w:type="spellEnd"/>
      <w:r w:rsidRPr="00DD0158">
        <w:rPr>
          <w:sz w:val="20"/>
        </w:rPr>
        <w:t xml:space="preserve"> society was as fatal to these claims as it was to the greater commercial claim.  Further, had the claim to lesser rights been justified, it bristled with difficulty.  The Crown was entitled to proper notice of what was being sought and to test the evidence directed to that issue, but the focus of the pleadings and evidence was on the claim to a commercial fishery, not the lesser rights.  It was not clear what the claim meant, how it would be implemented, what standard of prosperity was sought, or the basis on which it would be quantified.  All of these matters had </w:t>
      </w:r>
      <w:proofErr w:type="spellStart"/>
      <w:r w:rsidRPr="00DD0158">
        <w:rPr>
          <w:sz w:val="20"/>
        </w:rPr>
        <w:t>far</w:t>
      </w:r>
      <w:r w:rsidRPr="00DD0158">
        <w:rPr>
          <w:sz w:val="20"/>
        </w:rPr>
        <w:noBreakHyphen/>
        <w:t>reaching</w:t>
      </w:r>
      <w:proofErr w:type="spellEnd"/>
      <w:r w:rsidRPr="00DD0158">
        <w:rPr>
          <w:sz w:val="20"/>
        </w:rPr>
        <w:t xml:space="preserve"> implications for fisheries management.</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widowControl w:val="0"/>
        <w:spacing w:line="240" w:lineRule="auto"/>
        <w:rPr>
          <w:sz w:val="20"/>
        </w:rPr>
      </w:pPr>
      <w:r w:rsidRPr="00DD0158">
        <w:rPr>
          <w:sz w:val="20"/>
        </w:rPr>
        <w:tab/>
        <w:t xml:space="preserve">As to the claim to an Aboriginal right to a fishery for food, social and ceremonial purposes, the Lax </w:t>
      </w:r>
      <w:proofErr w:type="spellStart"/>
      <w:r w:rsidRPr="00DD0158">
        <w:rPr>
          <w:sz w:val="20"/>
        </w:rPr>
        <w:t>Kw’alaams</w:t>
      </w:r>
      <w:proofErr w:type="spellEnd"/>
      <w:r w:rsidRPr="00DD0158">
        <w:rPr>
          <w:sz w:val="20"/>
        </w:rPr>
        <w:t xml:space="preserve"> presently hold communal Aboriginal licences in these respects.  Their entitlement seems not to be contentious, and, as courts generally do not make declarations in the absence of a live controversy, it was within the trial judge’s discretion to refuse to make such a declaration.</w:t>
      </w:r>
    </w:p>
    <w:p w:rsidR="00CD6291" w:rsidRDefault="00CD6291" w:rsidP="00CD6291">
      <w:pPr>
        <w:pStyle w:val="SCCNormalDoubleSpacing"/>
        <w:widowControl w:val="0"/>
        <w:spacing w:line="240" w:lineRule="auto"/>
        <w:rPr>
          <w:sz w:val="20"/>
        </w:rPr>
      </w:pPr>
    </w:p>
    <w:p w:rsidR="00CD6291" w:rsidRDefault="00CD6291" w:rsidP="00CD6291">
      <w:pPr>
        <w:pStyle w:val="SCCNormalDoubleSpacing"/>
        <w:widowControl w:val="0"/>
        <w:spacing w:line="240" w:lineRule="auto"/>
        <w:rPr>
          <w:sz w:val="20"/>
        </w:rPr>
      </w:pPr>
      <w:r w:rsidRPr="00DD0158">
        <w:rPr>
          <w:sz w:val="20"/>
        </w:rPr>
        <w:tab/>
        <w:t>The arguments based on fiduciary duty or the honour of the Crown necessarily fail in the absence of any substratum of relevant facts on which to base them.  The Crown had not made express or implied promises of any preferential access to the commercial fishery, and had made its intention to treat Aboriginal fishers in the same manner as other fishers clear.</w:t>
      </w:r>
    </w:p>
    <w:p w:rsidR="00CD6291" w:rsidRDefault="00CD6291" w:rsidP="00CD6291">
      <w:pPr>
        <w:pStyle w:val="SCCNormalDoubleSpacing"/>
        <w:widowControl w:val="0"/>
        <w:spacing w:line="240" w:lineRule="auto"/>
        <w:rPr>
          <w:sz w:val="20"/>
        </w:rPr>
      </w:pPr>
    </w:p>
    <w:p w:rsidR="00CD6291" w:rsidRPr="00DD0158" w:rsidRDefault="00CD6291" w:rsidP="00CD6291">
      <w:pPr>
        <w:pStyle w:val="SCCNormalDoubleSpacing"/>
        <w:spacing w:line="240" w:lineRule="auto"/>
        <w:rPr>
          <w:sz w:val="20"/>
        </w:rPr>
      </w:pPr>
      <w:r w:rsidRPr="00DD0158">
        <w:rPr>
          <w:sz w:val="20"/>
        </w:rPr>
        <w:tab/>
        <w:t xml:space="preserve">APPEAL from a judgment of the British Columbia Court of Appeal (Newbury, </w:t>
      </w:r>
      <w:proofErr w:type="spellStart"/>
      <w:r w:rsidRPr="00DD0158">
        <w:rPr>
          <w:sz w:val="20"/>
        </w:rPr>
        <w:t>Chiasson</w:t>
      </w:r>
      <w:proofErr w:type="spellEnd"/>
      <w:r w:rsidRPr="00DD0158">
        <w:rPr>
          <w:sz w:val="20"/>
        </w:rPr>
        <w:t xml:space="preserve"> and Bennett JJ.A.), 2009 BCCA 593, 281 B.C.A.C. 88, 475 W.A.C. 88, 314 D.L.R. (4th) 385, [2010] 1 C.N.L.R. 278, [2009] B.C.J. No. 2556 (QL), 2009 </w:t>
      </w:r>
      <w:proofErr w:type="spellStart"/>
      <w:r w:rsidRPr="00DD0158">
        <w:rPr>
          <w:sz w:val="20"/>
        </w:rPr>
        <w:t>CarswellBC</w:t>
      </w:r>
      <w:proofErr w:type="spellEnd"/>
      <w:r w:rsidRPr="00DD0158">
        <w:rPr>
          <w:sz w:val="20"/>
        </w:rPr>
        <w:t xml:space="preserve"> 3479, affirming a decision of </w:t>
      </w:r>
      <w:proofErr w:type="spellStart"/>
      <w:r w:rsidRPr="00DD0158">
        <w:rPr>
          <w:sz w:val="20"/>
        </w:rPr>
        <w:t>Satanove</w:t>
      </w:r>
      <w:proofErr w:type="spellEnd"/>
      <w:r w:rsidRPr="00DD0158">
        <w:rPr>
          <w:sz w:val="20"/>
        </w:rPr>
        <w:t xml:space="preserve"> J., 2008 BCSC 447, [2008] 3 C.N.L.R. 158, [2008] B.C.J. No. 652 (QL), 2008 </w:t>
      </w:r>
      <w:proofErr w:type="spellStart"/>
      <w:r w:rsidRPr="00DD0158">
        <w:rPr>
          <w:sz w:val="20"/>
        </w:rPr>
        <w:t>CarswellBC</w:t>
      </w:r>
      <w:proofErr w:type="spellEnd"/>
      <w:r w:rsidRPr="00DD0158">
        <w:rPr>
          <w:sz w:val="20"/>
        </w:rPr>
        <w:t xml:space="preserve"> 735.  Appeal dismissed. </w:t>
      </w:r>
    </w:p>
    <w:p w:rsidR="00CD6291" w:rsidRDefault="00CD6291" w:rsidP="00CD6291">
      <w:pPr>
        <w:pStyle w:val="SCCNormalDoubleSpacing"/>
        <w:spacing w:line="240" w:lineRule="auto"/>
        <w:rPr>
          <w:sz w:val="20"/>
        </w:rPr>
      </w:pPr>
    </w:p>
    <w:p w:rsidR="00CD6291" w:rsidRPr="00DD0158" w:rsidRDefault="00CD6291" w:rsidP="00CD6291">
      <w:pPr>
        <w:pStyle w:val="SCCNormalDoubleSpacing"/>
        <w:spacing w:line="240" w:lineRule="auto"/>
        <w:rPr>
          <w:sz w:val="20"/>
        </w:rPr>
      </w:pPr>
      <w:r w:rsidRPr="00DD0158">
        <w:rPr>
          <w:i/>
          <w:sz w:val="20"/>
        </w:rPr>
        <w:tab/>
      </w:r>
      <w:proofErr w:type="gramStart"/>
      <w:r w:rsidRPr="00DD0158">
        <w:rPr>
          <w:i/>
          <w:sz w:val="20"/>
        </w:rPr>
        <w:t>John R. Rich</w:t>
      </w:r>
      <w:r w:rsidRPr="00DD0158">
        <w:rPr>
          <w:sz w:val="20"/>
        </w:rPr>
        <w:t xml:space="preserve">, </w:t>
      </w:r>
      <w:r w:rsidRPr="00DD0158">
        <w:rPr>
          <w:i/>
          <w:sz w:val="20"/>
        </w:rPr>
        <w:t>F. Matthew Kirchner</w:t>
      </w:r>
      <w:r w:rsidRPr="00DD0158">
        <w:rPr>
          <w:sz w:val="20"/>
        </w:rPr>
        <w:t xml:space="preserve"> and </w:t>
      </w:r>
      <w:r w:rsidRPr="00DD0158">
        <w:rPr>
          <w:i/>
          <w:sz w:val="20"/>
        </w:rPr>
        <w:t xml:space="preserve">Lisa C. </w:t>
      </w:r>
      <w:proofErr w:type="spellStart"/>
      <w:r w:rsidRPr="00DD0158">
        <w:rPr>
          <w:i/>
          <w:sz w:val="20"/>
        </w:rPr>
        <w:t>Glowacki</w:t>
      </w:r>
      <w:proofErr w:type="spellEnd"/>
      <w:r w:rsidRPr="00DD0158">
        <w:rPr>
          <w:sz w:val="20"/>
        </w:rPr>
        <w:t>, for the appellants.</w:t>
      </w:r>
      <w:proofErr w:type="gramEnd"/>
    </w:p>
    <w:p w:rsidR="00CD6291" w:rsidRDefault="00CD6291" w:rsidP="00CD6291">
      <w:pPr>
        <w:pStyle w:val="SCCNormalDoubleSpacing"/>
        <w:spacing w:line="240" w:lineRule="auto"/>
        <w:rPr>
          <w:sz w:val="20"/>
        </w:rPr>
      </w:pPr>
    </w:p>
    <w:p w:rsidR="00CD6291" w:rsidRPr="00DD0158" w:rsidRDefault="00CD6291" w:rsidP="00CD6291">
      <w:pPr>
        <w:pStyle w:val="SCCNormalDoubleSpacing"/>
        <w:spacing w:line="240" w:lineRule="auto"/>
        <w:rPr>
          <w:sz w:val="20"/>
        </w:rPr>
      </w:pPr>
      <w:r w:rsidRPr="00DD0158">
        <w:rPr>
          <w:i/>
          <w:sz w:val="20"/>
        </w:rPr>
        <w:lastRenderedPageBreak/>
        <w:tab/>
      </w:r>
      <w:proofErr w:type="gramStart"/>
      <w:r w:rsidRPr="00DD0158">
        <w:rPr>
          <w:i/>
          <w:sz w:val="20"/>
        </w:rPr>
        <w:t>Cheryl J. Tobias, Q.C.</w:t>
      </w:r>
      <w:r w:rsidRPr="00DD0158">
        <w:rPr>
          <w:sz w:val="20"/>
        </w:rPr>
        <w:t xml:space="preserve">, </w:t>
      </w:r>
      <w:proofErr w:type="spellStart"/>
      <w:r w:rsidRPr="00DD0158">
        <w:rPr>
          <w:i/>
          <w:sz w:val="20"/>
        </w:rPr>
        <w:t>Sharlene</w:t>
      </w:r>
      <w:proofErr w:type="spellEnd"/>
      <w:r w:rsidRPr="00DD0158">
        <w:rPr>
          <w:i/>
          <w:sz w:val="20"/>
        </w:rPr>
        <w:t xml:space="preserve"> </w:t>
      </w:r>
      <w:proofErr w:type="spellStart"/>
      <w:r w:rsidRPr="00DD0158">
        <w:rPr>
          <w:i/>
          <w:sz w:val="20"/>
        </w:rPr>
        <w:t>Telles</w:t>
      </w:r>
      <w:r w:rsidRPr="00DD0158">
        <w:rPr>
          <w:i/>
          <w:sz w:val="20"/>
        </w:rPr>
        <w:noBreakHyphen/>
        <w:t>Langdon</w:t>
      </w:r>
      <w:proofErr w:type="spellEnd"/>
      <w:r w:rsidRPr="00DD0158">
        <w:rPr>
          <w:sz w:val="20"/>
        </w:rPr>
        <w:t xml:space="preserve"> and </w:t>
      </w:r>
      <w:r w:rsidRPr="00DD0158">
        <w:rPr>
          <w:i/>
          <w:sz w:val="20"/>
        </w:rPr>
        <w:t>James M. Mackenzie,</w:t>
      </w:r>
      <w:r w:rsidRPr="00DD0158">
        <w:rPr>
          <w:sz w:val="20"/>
        </w:rPr>
        <w:t xml:space="preserve"> for the respondent the Attorney General of Canada.</w:t>
      </w:r>
      <w:proofErr w:type="gramEnd"/>
    </w:p>
    <w:p w:rsidR="00CD6291" w:rsidRDefault="00CD6291" w:rsidP="00CD6291">
      <w:pPr>
        <w:pStyle w:val="SCCNormalDoubleSpacing"/>
        <w:spacing w:line="240" w:lineRule="auto"/>
        <w:rPr>
          <w:sz w:val="20"/>
        </w:rPr>
      </w:pPr>
    </w:p>
    <w:p w:rsidR="00CD6291" w:rsidRPr="00DD0158" w:rsidRDefault="00CD6291" w:rsidP="00CD6291">
      <w:pPr>
        <w:pStyle w:val="SCCNormalDoubleSpacing"/>
        <w:spacing w:line="240" w:lineRule="auto"/>
        <w:rPr>
          <w:sz w:val="20"/>
        </w:rPr>
      </w:pPr>
      <w:r w:rsidRPr="00DD0158">
        <w:rPr>
          <w:i/>
          <w:sz w:val="20"/>
        </w:rPr>
        <w:tab/>
        <w:t>Patrick G. Foy, Q.C.</w:t>
      </w:r>
      <w:r w:rsidRPr="00DD0158">
        <w:rPr>
          <w:sz w:val="20"/>
        </w:rPr>
        <w:t xml:space="preserve">, for the respondent Her Majesty </w:t>
      </w:r>
      <w:proofErr w:type="gramStart"/>
      <w:r w:rsidRPr="00DD0158">
        <w:rPr>
          <w:sz w:val="20"/>
        </w:rPr>
        <w:t>The</w:t>
      </w:r>
      <w:proofErr w:type="gramEnd"/>
      <w:r w:rsidRPr="00DD0158">
        <w:rPr>
          <w:sz w:val="20"/>
        </w:rPr>
        <w:t xml:space="preserve"> Queen in Right of the </w:t>
      </w:r>
      <w:r w:rsidRPr="00DD0158">
        <w:rPr>
          <w:i/>
          <w:sz w:val="20"/>
        </w:rPr>
        <w:t xml:space="preserve">Province </w:t>
      </w:r>
      <w:r w:rsidRPr="00DD0158">
        <w:rPr>
          <w:sz w:val="20"/>
        </w:rPr>
        <w:t>of British Columbia.</w:t>
      </w:r>
    </w:p>
    <w:p w:rsidR="00CD6291" w:rsidRDefault="00CD6291" w:rsidP="00CD6291">
      <w:pPr>
        <w:pStyle w:val="SCCNormalDoubleSpacing"/>
        <w:spacing w:line="240" w:lineRule="auto"/>
        <w:rPr>
          <w:sz w:val="20"/>
        </w:rPr>
      </w:pPr>
    </w:p>
    <w:p w:rsidR="00CD6291" w:rsidRPr="00DD0158" w:rsidRDefault="00CD6291" w:rsidP="00CD6291">
      <w:pPr>
        <w:pStyle w:val="SCCNormalDoubleSpacing"/>
        <w:spacing w:line="240" w:lineRule="auto"/>
        <w:rPr>
          <w:sz w:val="20"/>
        </w:rPr>
      </w:pPr>
      <w:r w:rsidRPr="00DD0158">
        <w:rPr>
          <w:i/>
          <w:sz w:val="20"/>
        </w:rPr>
        <w:tab/>
      </w:r>
      <w:proofErr w:type="spellStart"/>
      <w:proofErr w:type="gramStart"/>
      <w:r w:rsidRPr="00DD0158">
        <w:rPr>
          <w:i/>
          <w:sz w:val="20"/>
        </w:rPr>
        <w:t>Malliha</w:t>
      </w:r>
      <w:proofErr w:type="spellEnd"/>
      <w:r w:rsidRPr="00DD0158">
        <w:rPr>
          <w:i/>
          <w:sz w:val="20"/>
        </w:rPr>
        <w:t xml:space="preserve"> Wilson</w:t>
      </w:r>
      <w:r w:rsidRPr="00DD0158">
        <w:rPr>
          <w:sz w:val="20"/>
        </w:rPr>
        <w:t xml:space="preserve"> and </w:t>
      </w:r>
      <w:r w:rsidRPr="00DD0158">
        <w:rPr>
          <w:i/>
          <w:sz w:val="20"/>
        </w:rPr>
        <w:t>Michael E. Burke</w:t>
      </w:r>
      <w:r w:rsidRPr="00DD0158">
        <w:rPr>
          <w:sz w:val="20"/>
        </w:rPr>
        <w:t>, for the intervener the Attorney General of Ontario.</w:t>
      </w:r>
      <w:proofErr w:type="gramEnd"/>
      <w:r w:rsidRPr="00DD0158">
        <w:rPr>
          <w:sz w:val="20"/>
        </w:rPr>
        <w:t xml:space="preserve"> </w:t>
      </w:r>
    </w:p>
    <w:p w:rsidR="00CD6291" w:rsidRDefault="00CD6291" w:rsidP="00CD6291">
      <w:pPr>
        <w:pStyle w:val="SCCNormalDoubleSpacing"/>
        <w:spacing w:line="240" w:lineRule="auto"/>
        <w:rPr>
          <w:sz w:val="20"/>
        </w:rPr>
      </w:pPr>
    </w:p>
    <w:p w:rsidR="00CD6291" w:rsidRPr="00DD0158" w:rsidRDefault="00CD6291" w:rsidP="00CD6291">
      <w:pPr>
        <w:pStyle w:val="SCCNormalDoubleSpacing"/>
        <w:spacing w:line="240" w:lineRule="auto"/>
        <w:rPr>
          <w:sz w:val="20"/>
        </w:rPr>
      </w:pPr>
      <w:r w:rsidRPr="00DD0158">
        <w:rPr>
          <w:i/>
          <w:sz w:val="20"/>
        </w:rPr>
        <w:tab/>
      </w:r>
      <w:proofErr w:type="gramStart"/>
      <w:r w:rsidRPr="00DD0158">
        <w:rPr>
          <w:i/>
          <w:sz w:val="20"/>
        </w:rPr>
        <w:t xml:space="preserve">Maria </w:t>
      </w:r>
      <w:proofErr w:type="spellStart"/>
      <w:r w:rsidRPr="00DD0158">
        <w:rPr>
          <w:i/>
          <w:sz w:val="20"/>
        </w:rPr>
        <w:t>Morellato</w:t>
      </w:r>
      <w:proofErr w:type="spellEnd"/>
      <w:r w:rsidRPr="00DD0158">
        <w:rPr>
          <w:i/>
          <w:sz w:val="20"/>
        </w:rPr>
        <w:t>, Q.C.,</w:t>
      </w:r>
      <w:r w:rsidRPr="00DD0158">
        <w:rPr>
          <w:sz w:val="20"/>
        </w:rPr>
        <w:t xml:space="preserve"> and </w:t>
      </w:r>
      <w:r w:rsidRPr="00DD0158">
        <w:rPr>
          <w:i/>
          <w:sz w:val="20"/>
        </w:rPr>
        <w:t xml:space="preserve">Cheryl </w:t>
      </w:r>
      <w:proofErr w:type="spellStart"/>
      <w:r w:rsidRPr="00DD0158">
        <w:rPr>
          <w:i/>
          <w:sz w:val="20"/>
        </w:rPr>
        <w:t>Sharvit</w:t>
      </w:r>
      <w:proofErr w:type="spellEnd"/>
      <w:r w:rsidRPr="00DD0158">
        <w:rPr>
          <w:sz w:val="20"/>
        </w:rPr>
        <w:t xml:space="preserve">, for the intervener the </w:t>
      </w:r>
      <w:proofErr w:type="spellStart"/>
      <w:r w:rsidRPr="00DD0158">
        <w:rPr>
          <w:sz w:val="20"/>
        </w:rPr>
        <w:t>Metlakatla</w:t>
      </w:r>
      <w:proofErr w:type="spellEnd"/>
      <w:r w:rsidRPr="00DD0158">
        <w:rPr>
          <w:sz w:val="20"/>
        </w:rPr>
        <w:t xml:space="preserve"> Band.</w:t>
      </w:r>
      <w:proofErr w:type="gramEnd"/>
    </w:p>
    <w:p w:rsidR="00CD6291" w:rsidRDefault="00CD6291" w:rsidP="00CD6291">
      <w:pPr>
        <w:pStyle w:val="SCCNormalDoubleSpacing"/>
        <w:spacing w:line="240" w:lineRule="auto"/>
        <w:rPr>
          <w:sz w:val="20"/>
        </w:rPr>
      </w:pPr>
    </w:p>
    <w:p w:rsidR="00CD6291" w:rsidRPr="00DD0158" w:rsidRDefault="00CD6291" w:rsidP="00CD6291">
      <w:pPr>
        <w:pStyle w:val="SCCNormalDoubleSpacing"/>
        <w:spacing w:line="240" w:lineRule="auto"/>
        <w:rPr>
          <w:sz w:val="20"/>
        </w:rPr>
      </w:pPr>
      <w:r w:rsidRPr="00DD0158">
        <w:rPr>
          <w:i/>
          <w:sz w:val="20"/>
        </w:rPr>
        <w:tab/>
      </w:r>
      <w:proofErr w:type="gramStart"/>
      <w:r w:rsidRPr="00DD0158">
        <w:rPr>
          <w:i/>
          <w:sz w:val="20"/>
        </w:rPr>
        <w:t>J. Keith Lowes</w:t>
      </w:r>
      <w:r w:rsidRPr="00DD0158">
        <w:rPr>
          <w:sz w:val="20"/>
        </w:rPr>
        <w:t>, for the interveners the B.C. Wildlife Federation and the B.C. Seafood Alliance.</w:t>
      </w:r>
      <w:proofErr w:type="gramEnd"/>
    </w:p>
    <w:p w:rsidR="00CD6291" w:rsidRDefault="00CD6291" w:rsidP="00CD6291">
      <w:pPr>
        <w:pStyle w:val="SCCNormalDoubleSpacing"/>
        <w:spacing w:line="240" w:lineRule="auto"/>
        <w:rPr>
          <w:sz w:val="20"/>
        </w:rPr>
      </w:pPr>
    </w:p>
    <w:p w:rsidR="00CD6291" w:rsidRPr="00DD0158" w:rsidRDefault="00CD6291" w:rsidP="00CD6291">
      <w:pPr>
        <w:pStyle w:val="SCCNormalDoubleSpacing"/>
        <w:spacing w:line="240" w:lineRule="auto"/>
        <w:rPr>
          <w:sz w:val="20"/>
        </w:rPr>
      </w:pPr>
      <w:r w:rsidRPr="00DD0158">
        <w:rPr>
          <w:i/>
          <w:sz w:val="20"/>
        </w:rPr>
        <w:tab/>
      </w:r>
      <w:proofErr w:type="gramStart"/>
      <w:r w:rsidRPr="00DD0158">
        <w:rPr>
          <w:i/>
          <w:sz w:val="20"/>
        </w:rPr>
        <w:t>David M. Robbins</w:t>
      </w:r>
      <w:r w:rsidRPr="00DD0158">
        <w:rPr>
          <w:sz w:val="20"/>
        </w:rPr>
        <w:t xml:space="preserve"> and </w:t>
      </w:r>
      <w:r w:rsidRPr="00DD0158">
        <w:rPr>
          <w:i/>
          <w:sz w:val="20"/>
        </w:rPr>
        <w:t>Jay Nelson</w:t>
      </w:r>
      <w:r w:rsidRPr="00DD0158">
        <w:rPr>
          <w:sz w:val="20"/>
        </w:rPr>
        <w:t xml:space="preserve">, for the intervener the </w:t>
      </w:r>
      <w:proofErr w:type="spellStart"/>
      <w:r w:rsidRPr="00DD0158">
        <w:rPr>
          <w:sz w:val="20"/>
        </w:rPr>
        <w:t>Gitxaala</w:t>
      </w:r>
      <w:proofErr w:type="spellEnd"/>
      <w:r w:rsidRPr="00DD0158">
        <w:rPr>
          <w:sz w:val="20"/>
        </w:rPr>
        <w:t xml:space="preserve"> Nation.</w:t>
      </w:r>
      <w:proofErr w:type="gramEnd"/>
    </w:p>
    <w:p w:rsidR="00CD6291" w:rsidRDefault="00CD6291" w:rsidP="00CD6291">
      <w:pPr>
        <w:pStyle w:val="SCCNormalDoubleSpacing"/>
        <w:spacing w:line="240" w:lineRule="auto"/>
        <w:rPr>
          <w:sz w:val="20"/>
        </w:rPr>
      </w:pPr>
    </w:p>
    <w:p w:rsidR="00CD6291" w:rsidRPr="00DD0158" w:rsidRDefault="00CD6291" w:rsidP="00CD6291">
      <w:pPr>
        <w:pStyle w:val="SCCNormalDoubleSpacing"/>
        <w:spacing w:line="240" w:lineRule="auto"/>
        <w:rPr>
          <w:sz w:val="20"/>
        </w:rPr>
      </w:pPr>
      <w:r w:rsidRPr="00DD0158">
        <w:rPr>
          <w:i/>
          <w:sz w:val="20"/>
        </w:rPr>
        <w:tab/>
      </w:r>
      <w:proofErr w:type="gramStart"/>
      <w:r w:rsidRPr="00DD0158">
        <w:rPr>
          <w:i/>
          <w:sz w:val="20"/>
        </w:rPr>
        <w:t xml:space="preserve">Robert J. M. </w:t>
      </w:r>
      <w:proofErr w:type="spellStart"/>
      <w:r w:rsidRPr="00DD0158">
        <w:rPr>
          <w:i/>
          <w:sz w:val="20"/>
        </w:rPr>
        <w:t>Janes</w:t>
      </w:r>
      <w:proofErr w:type="spellEnd"/>
      <w:r w:rsidRPr="00DD0158">
        <w:rPr>
          <w:sz w:val="20"/>
        </w:rPr>
        <w:t xml:space="preserve"> and </w:t>
      </w:r>
      <w:r w:rsidRPr="00DD0158">
        <w:rPr>
          <w:i/>
          <w:sz w:val="20"/>
        </w:rPr>
        <w:t>Sarah E. Sharp</w:t>
      </w:r>
      <w:r w:rsidRPr="00DD0158">
        <w:rPr>
          <w:sz w:val="20"/>
        </w:rPr>
        <w:t xml:space="preserve">, for the intervener the </w:t>
      </w:r>
      <w:proofErr w:type="spellStart"/>
      <w:r w:rsidRPr="00DD0158">
        <w:rPr>
          <w:sz w:val="20"/>
        </w:rPr>
        <w:t>Te’Mexw</w:t>
      </w:r>
      <w:proofErr w:type="spellEnd"/>
      <w:r w:rsidRPr="00DD0158">
        <w:rPr>
          <w:sz w:val="20"/>
        </w:rPr>
        <w:t xml:space="preserve"> Treaty Association.</w:t>
      </w:r>
      <w:proofErr w:type="gramEnd"/>
    </w:p>
    <w:p w:rsidR="00CD6291" w:rsidRDefault="00CD6291" w:rsidP="00CD6291">
      <w:pPr>
        <w:pStyle w:val="SCCLawFirm"/>
        <w:spacing w:line="240" w:lineRule="auto"/>
        <w:rPr>
          <w:i w:val="0"/>
          <w:sz w:val="20"/>
        </w:rPr>
      </w:pPr>
    </w:p>
    <w:p w:rsidR="00CD6291" w:rsidRPr="00DD0158" w:rsidRDefault="00CD6291" w:rsidP="00CD6291">
      <w:pPr>
        <w:pStyle w:val="SCCLawFirm"/>
        <w:spacing w:line="240" w:lineRule="auto"/>
        <w:rPr>
          <w:sz w:val="20"/>
        </w:rPr>
      </w:pPr>
      <w:r w:rsidRPr="00DD0158">
        <w:rPr>
          <w:sz w:val="20"/>
        </w:rPr>
        <w:tab/>
        <w:t>Solicitors for the appellants:</w:t>
      </w:r>
      <w:proofErr w:type="gramStart"/>
      <w:r w:rsidRPr="00DD0158">
        <w:rPr>
          <w:sz w:val="20"/>
        </w:rPr>
        <w:t>  Ratcliff</w:t>
      </w:r>
      <w:proofErr w:type="gramEnd"/>
      <w:r w:rsidRPr="00DD0158">
        <w:rPr>
          <w:sz w:val="20"/>
        </w:rPr>
        <w:t xml:space="preserve"> &amp; Company, North Vancouver.</w:t>
      </w:r>
    </w:p>
    <w:p w:rsidR="00CD6291" w:rsidRDefault="00CD6291" w:rsidP="00CD6291">
      <w:pPr>
        <w:pStyle w:val="SCCLawFirm"/>
        <w:spacing w:line="240" w:lineRule="auto"/>
        <w:rPr>
          <w:i w:val="0"/>
          <w:sz w:val="20"/>
        </w:rPr>
      </w:pPr>
    </w:p>
    <w:p w:rsidR="00CD6291" w:rsidRPr="00DD0158" w:rsidRDefault="00CD6291" w:rsidP="00CD6291">
      <w:pPr>
        <w:pStyle w:val="SCCLawFirm"/>
        <w:spacing w:line="240" w:lineRule="auto"/>
        <w:rPr>
          <w:sz w:val="20"/>
        </w:rPr>
      </w:pPr>
      <w:r w:rsidRPr="00DD0158">
        <w:rPr>
          <w:sz w:val="20"/>
        </w:rPr>
        <w:tab/>
        <w:t>Solicitor for the respondent the Attorney General of Canada:  Department of Justice, Vancouver.</w:t>
      </w:r>
    </w:p>
    <w:p w:rsidR="00CD6291" w:rsidRDefault="00CD6291" w:rsidP="00CD6291">
      <w:pPr>
        <w:pStyle w:val="SCCLawFirm"/>
        <w:spacing w:line="240" w:lineRule="auto"/>
        <w:rPr>
          <w:i w:val="0"/>
          <w:sz w:val="20"/>
        </w:rPr>
      </w:pPr>
    </w:p>
    <w:p w:rsidR="00CD6291" w:rsidRPr="00DD0158" w:rsidRDefault="00CD6291" w:rsidP="00CD6291">
      <w:pPr>
        <w:pStyle w:val="SCCLawFirm"/>
        <w:spacing w:line="240" w:lineRule="auto"/>
        <w:rPr>
          <w:sz w:val="20"/>
        </w:rPr>
      </w:pPr>
      <w:r w:rsidRPr="00DD0158">
        <w:rPr>
          <w:sz w:val="20"/>
        </w:rPr>
        <w:tab/>
        <w:t xml:space="preserve">Solicitor for the respondent Her Majesty </w:t>
      </w:r>
      <w:proofErr w:type="gramStart"/>
      <w:r w:rsidRPr="00DD0158">
        <w:rPr>
          <w:sz w:val="20"/>
        </w:rPr>
        <w:t>The</w:t>
      </w:r>
      <w:proofErr w:type="gramEnd"/>
      <w:r w:rsidRPr="00DD0158">
        <w:rPr>
          <w:sz w:val="20"/>
        </w:rPr>
        <w:t xml:space="preserve"> Queen in Right of the Province</w:t>
      </w:r>
      <w:r w:rsidRPr="00DD0158">
        <w:rPr>
          <w:i w:val="0"/>
          <w:sz w:val="20"/>
        </w:rPr>
        <w:t xml:space="preserve"> </w:t>
      </w:r>
      <w:r w:rsidRPr="00DD0158">
        <w:rPr>
          <w:sz w:val="20"/>
        </w:rPr>
        <w:t>of British Columbia:  Attorney General of British Columbia, Victoria.</w:t>
      </w:r>
    </w:p>
    <w:p w:rsidR="00CD6291" w:rsidRDefault="00CD6291" w:rsidP="00CD6291">
      <w:pPr>
        <w:pStyle w:val="SCCLawFirm"/>
        <w:spacing w:line="240" w:lineRule="auto"/>
        <w:rPr>
          <w:i w:val="0"/>
          <w:sz w:val="20"/>
        </w:rPr>
      </w:pPr>
    </w:p>
    <w:p w:rsidR="00CD6291" w:rsidRPr="00DD0158" w:rsidRDefault="00CD6291" w:rsidP="00CD6291">
      <w:pPr>
        <w:pStyle w:val="SCCLawFirm"/>
        <w:spacing w:line="240" w:lineRule="auto"/>
        <w:rPr>
          <w:sz w:val="20"/>
        </w:rPr>
      </w:pPr>
      <w:r w:rsidRPr="00DD0158">
        <w:rPr>
          <w:sz w:val="20"/>
        </w:rPr>
        <w:tab/>
        <w:t>Solicitor for the intervener the Attorney General of Ontario:  Attorney General of Ontario, Toronto.</w:t>
      </w:r>
    </w:p>
    <w:p w:rsidR="00CD6291" w:rsidRDefault="00CD6291" w:rsidP="00CD6291">
      <w:pPr>
        <w:pStyle w:val="SCCLawFirm"/>
        <w:spacing w:line="240" w:lineRule="auto"/>
        <w:rPr>
          <w:i w:val="0"/>
          <w:sz w:val="20"/>
        </w:rPr>
      </w:pPr>
    </w:p>
    <w:p w:rsidR="00CD6291" w:rsidRPr="00DD0158" w:rsidRDefault="00CD6291" w:rsidP="00CD6291">
      <w:pPr>
        <w:pStyle w:val="SCCLawFirm"/>
        <w:spacing w:line="240" w:lineRule="auto"/>
        <w:rPr>
          <w:sz w:val="20"/>
        </w:rPr>
      </w:pPr>
      <w:r w:rsidRPr="00DD0158">
        <w:rPr>
          <w:sz w:val="20"/>
        </w:rPr>
        <w:tab/>
        <w:t xml:space="preserve">Solicitors for the intervener the </w:t>
      </w:r>
      <w:proofErr w:type="spellStart"/>
      <w:r w:rsidRPr="00DD0158">
        <w:rPr>
          <w:sz w:val="20"/>
        </w:rPr>
        <w:t>Metlakatla</w:t>
      </w:r>
      <w:proofErr w:type="spellEnd"/>
      <w:r w:rsidRPr="00DD0158">
        <w:rPr>
          <w:sz w:val="20"/>
        </w:rPr>
        <w:t xml:space="preserve"> Band:  </w:t>
      </w:r>
      <w:proofErr w:type="spellStart"/>
      <w:r w:rsidRPr="00DD0158">
        <w:rPr>
          <w:sz w:val="20"/>
        </w:rPr>
        <w:t>Mandell</w:t>
      </w:r>
      <w:proofErr w:type="spellEnd"/>
      <w:r w:rsidRPr="00DD0158">
        <w:rPr>
          <w:sz w:val="20"/>
        </w:rPr>
        <w:t xml:space="preserve"> </w:t>
      </w:r>
      <w:proofErr w:type="spellStart"/>
      <w:r w:rsidRPr="00DD0158">
        <w:rPr>
          <w:sz w:val="20"/>
        </w:rPr>
        <w:t>Pinder</w:t>
      </w:r>
      <w:proofErr w:type="spellEnd"/>
      <w:r w:rsidRPr="00DD0158">
        <w:rPr>
          <w:sz w:val="20"/>
        </w:rPr>
        <w:t>, Vancouver.</w:t>
      </w:r>
    </w:p>
    <w:p w:rsidR="00CD6291" w:rsidRDefault="00CD6291" w:rsidP="00CD6291">
      <w:pPr>
        <w:pStyle w:val="SCCLawFirm"/>
        <w:spacing w:line="240" w:lineRule="auto"/>
        <w:rPr>
          <w:i w:val="0"/>
          <w:sz w:val="20"/>
        </w:rPr>
      </w:pPr>
    </w:p>
    <w:p w:rsidR="00CD6291" w:rsidRPr="00DD0158" w:rsidRDefault="00CD6291" w:rsidP="00CD6291">
      <w:pPr>
        <w:pStyle w:val="SCCLawFirm"/>
        <w:spacing w:line="240" w:lineRule="auto"/>
        <w:rPr>
          <w:sz w:val="20"/>
        </w:rPr>
      </w:pPr>
      <w:r w:rsidRPr="00DD0158">
        <w:rPr>
          <w:sz w:val="20"/>
        </w:rPr>
        <w:tab/>
        <w:t>Solicitor for the interveners the B.C. Wildlife Federation and the B.C. Seafood Alliance:  J. Keith Lowes, Vancouver.</w:t>
      </w:r>
    </w:p>
    <w:p w:rsidR="00CD6291" w:rsidRDefault="00CD6291" w:rsidP="00CD6291">
      <w:pPr>
        <w:pStyle w:val="SCCLawFirm"/>
        <w:spacing w:line="240" w:lineRule="auto"/>
        <w:rPr>
          <w:i w:val="0"/>
          <w:sz w:val="20"/>
        </w:rPr>
      </w:pPr>
    </w:p>
    <w:p w:rsidR="00CD6291" w:rsidRPr="00DD0158" w:rsidRDefault="00CD6291" w:rsidP="00CD6291">
      <w:pPr>
        <w:pStyle w:val="SCCLawFirm"/>
        <w:spacing w:line="240" w:lineRule="auto"/>
        <w:rPr>
          <w:sz w:val="20"/>
        </w:rPr>
      </w:pPr>
      <w:r w:rsidRPr="00DD0158">
        <w:rPr>
          <w:sz w:val="20"/>
        </w:rPr>
        <w:tab/>
        <w:t xml:space="preserve">Solicitors for the intervener the </w:t>
      </w:r>
      <w:proofErr w:type="spellStart"/>
      <w:r w:rsidRPr="00DD0158">
        <w:rPr>
          <w:sz w:val="20"/>
        </w:rPr>
        <w:t>Gitxaala</w:t>
      </w:r>
      <w:proofErr w:type="spellEnd"/>
      <w:r w:rsidRPr="00DD0158">
        <w:rPr>
          <w:sz w:val="20"/>
        </w:rPr>
        <w:t xml:space="preserve"> Nation:</w:t>
      </w:r>
      <w:proofErr w:type="gramStart"/>
      <w:r w:rsidRPr="00DD0158">
        <w:rPr>
          <w:sz w:val="20"/>
        </w:rPr>
        <w:t>  Woodward</w:t>
      </w:r>
      <w:proofErr w:type="gramEnd"/>
      <w:r w:rsidRPr="00DD0158">
        <w:rPr>
          <w:sz w:val="20"/>
        </w:rPr>
        <w:t xml:space="preserve"> &amp; Company, Victoria.</w:t>
      </w:r>
    </w:p>
    <w:p w:rsidR="00CD6291" w:rsidRDefault="00CD6291" w:rsidP="00CD6291">
      <w:pPr>
        <w:pStyle w:val="SCCLawFirm"/>
        <w:spacing w:line="240" w:lineRule="auto"/>
        <w:rPr>
          <w:i w:val="0"/>
          <w:sz w:val="20"/>
        </w:rPr>
      </w:pPr>
    </w:p>
    <w:p w:rsidR="00CD6291" w:rsidRPr="00DD0158" w:rsidRDefault="00CD6291" w:rsidP="00CD6291">
      <w:pPr>
        <w:pStyle w:val="SCCLawFirm"/>
        <w:spacing w:line="240" w:lineRule="auto"/>
        <w:rPr>
          <w:sz w:val="20"/>
        </w:rPr>
      </w:pPr>
      <w:r w:rsidRPr="00DD0158">
        <w:rPr>
          <w:sz w:val="20"/>
        </w:rPr>
        <w:tab/>
        <w:t xml:space="preserve">Solicitors for the intervener the </w:t>
      </w:r>
      <w:proofErr w:type="spellStart"/>
      <w:r w:rsidRPr="00DD0158">
        <w:rPr>
          <w:sz w:val="20"/>
        </w:rPr>
        <w:t>Te’Mexw</w:t>
      </w:r>
      <w:proofErr w:type="spellEnd"/>
      <w:r w:rsidRPr="00DD0158">
        <w:rPr>
          <w:sz w:val="20"/>
        </w:rPr>
        <w:t xml:space="preserve"> Treaty Association:  </w:t>
      </w:r>
      <w:proofErr w:type="spellStart"/>
      <w:r w:rsidRPr="00DD0158">
        <w:rPr>
          <w:sz w:val="20"/>
        </w:rPr>
        <w:t>Janes</w:t>
      </w:r>
      <w:proofErr w:type="spellEnd"/>
      <w:r w:rsidRPr="00DD0158">
        <w:rPr>
          <w:sz w:val="20"/>
        </w:rPr>
        <w:t xml:space="preserve"> Freedman Kyle Law Corporation, Victoria.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CD6291" w:rsidRPr="00CD6291" w:rsidRDefault="00CD6291" w:rsidP="00CD6291">
      <w:pPr>
        <w:jc w:val="both"/>
        <w:rPr>
          <w:rFonts w:cs="Times New Roman"/>
          <w:sz w:val="20"/>
          <w:szCs w:val="20"/>
          <w:lang w:val="fr-CA"/>
        </w:rPr>
      </w:pPr>
      <w:r w:rsidRPr="00CD6291">
        <w:rPr>
          <w:rFonts w:cs="Times New Roman"/>
          <w:sz w:val="20"/>
          <w:szCs w:val="20"/>
          <w:lang w:val="fr-CA"/>
        </w:rPr>
        <w:t xml:space="preserve">Présents : La juge en chef </w:t>
      </w:r>
      <w:proofErr w:type="spellStart"/>
      <w:r w:rsidRPr="00CD6291">
        <w:rPr>
          <w:rFonts w:cs="Times New Roman"/>
          <w:sz w:val="20"/>
          <w:szCs w:val="20"/>
          <w:lang w:val="fr-CA"/>
        </w:rPr>
        <w:t>McLachlin</w:t>
      </w:r>
      <w:proofErr w:type="spellEnd"/>
      <w:r w:rsidRPr="00CD6291">
        <w:rPr>
          <w:rFonts w:cs="Times New Roman"/>
          <w:sz w:val="20"/>
          <w:szCs w:val="20"/>
          <w:lang w:val="fr-CA"/>
        </w:rPr>
        <w:t xml:space="preserve"> et les juges </w:t>
      </w:r>
      <w:proofErr w:type="spellStart"/>
      <w:r w:rsidRPr="00CD6291">
        <w:rPr>
          <w:rFonts w:cs="Times New Roman"/>
          <w:sz w:val="20"/>
          <w:szCs w:val="20"/>
          <w:lang w:val="fr-CA"/>
        </w:rPr>
        <w:t>Binnie</w:t>
      </w:r>
      <w:proofErr w:type="spellEnd"/>
      <w:r w:rsidRPr="00CD6291">
        <w:rPr>
          <w:rFonts w:cs="Times New Roman"/>
          <w:sz w:val="20"/>
          <w:szCs w:val="20"/>
          <w:lang w:val="fr-CA"/>
        </w:rPr>
        <w:t xml:space="preserve">, </w:t>
      </w:r>
      <w:proofErr w:type="spellStart"/>
      <w:r w:rsidRPr="00CD6291">
        <w:rPr>
          <w:rFonts w:cs="Times New Roman"/>
          <w:sz w:val="20"/>
          <w:szCs w:val="20"/>
          <w:lang w:val="fr-CA"/>
        </w:rPr>
        <w:t>LeBel</w:t>
      </w:r>
      <w:proofErr w:type="spellEnd"/>
      <w:r w:rsidRPr="00CD6291">
        <w:rPr>
          <w:rFonts w:cs="Times New Roman"/>
          <w:sz w:val="20"/>
          <w:szCs w:val="20"/>
          <w:lang w:val="fr-CA"/>
        </w:rPr>
        <w:t xml:space="preserve">, Deschamps, Abella, Charron et </w:t>
      </w:r>
      <w:proofErr w:type="spellStart"/>
      <w:r w:rsidRPr="00CD6291">
        <w:rPr>
          <w:rFonts w:cs="Times New Roman"/>
          <w:sz w:val="20"/>
          <w:szCs w:val="20"/>
          <w:lang w:val="fr-CA"/>
        </w:rPr>
        <w:t>Rothstein</w:t>
      </w:r>
      <w:proofErr w:type="spellEnd"/>
      <w:r w:rsidRPr="00CD6291">
        <w:rPr>
          <w:rFonts w:cs="Times New Roman"/>
          <w:sz w:val="20"/>
          <w:szCs w:val="20"/>
          <w:lang w:val="fr-CA"/>
        </w:rPr>
        <w:t>.</w:t>
      </w:r>
    </w:p>
    <w:p w:rsidR="00CD6291" w:rsidRPr="00CD6291" w:rsidRDefault="00CD6291" w:rsidP="00CD6291">
      <w:pPr>
        <w:pStyle w:val="SCCLowerCourtNameLowercase"/>
        <w:spacing w:line="240" w:lineRule="auto"/>
        <w:rPr>
          <w:sz w:val="20"/>
          <w:lang w:val="fr-CA"/>
        </w:rPr>
      </w:pPr>
    </w:p>
    <w:p w:rsidR="00CD6291" w:rsidRPr="00CD6291" w:rsidRDefault="00CD6291" w:rsidP="00CD6291">
      <w:pPr>
        <w:pStyle w:val="SCCNormalDoubleSpacing"/>
        <w:widowControl w:val="0"/>
        <w:spacing w:line="240" w:lineRule="auto"/>
        <w:rPr>
          <w:i/>
          <w:sz w:val="20"/>
          <w:lang w:val="fr-CA"/>
        </w:rPr>
      </w:pPr>
      <w:r w:rsidRPr="00CD6291">
        <w:rPr>
          <w:i/>
          <w:sz w:val="20"/>
          <w:lang w:val="fr-CA"/>
        </w:rPr>
        <w:tab/>
        <w:t xml:space="preserve">Droit des Autochtones — Droits ancestraux — Pêche — Nature de la pratique </w:t>
      </w:r>
      <w:proofErr w:type="spellStart"/>
      <w:r w:rsidRPr="00CD6291">
        <w:rPr>
          <w:i/>
          <w:sz w:val="20"/>
          <w:lang w:val="fr-CA"/>
        </w:rPr>
        <w:t>précontact</w:t>
      </w:r>
      <w:proofErr w:type="spellEnd"/>
      <w:r w:rsidRPr="00CD6291">
        <w:rPr>
          <w:i/>
          <w:sz w:val="20"/>
          <w:lang w:val="fr-CA"/>
        </w:rPr>
        <w:t xml:space="preserve"> — Évolution de la pratique </w:t>
      </w:r>
      <w:proofErr w:type="spellStart"/>
      <w:r w:rsidRPr="00CD6291">
        <w:rPr>
          <w:i/>
          <w:sz w:val="20"/>
          <w:lang w:val="fr-CA"/>
        </w:rPr>
        <w:t>précontact</w:t>
      </w:r>
      <w:proofErr w:type="spellEnd"/>
      <w:r w:rsidRPr="00CD6291">
        <w:rPr>
          <w:i/>
          <w:sz w:val="20"/>
          <w:lang w:val="fr-CA"/>
        </w:rPr>
        <w:t xml:space="preserve"> — Premières Nations revendiquant des droits de récolte et de vente commerciales de toutes les espèces de poisson vivant dans leurs eaux traditionnelles — Le commerce </w:t>
      </w:r>
      <w:proofErr w:type="spellStart"/>
      <w:r w:rsidRPr="00CD6291">
        <w:rPr>
          <w:i/>
          <w:sz w:val="20"/>
          <w:lang w:val="fr-CA"/>
        </w:rPr>
        <w:t>précontact</w:t>
      </w:r>
      <w:proofErr w:type="spellEnd"/>
      <w:r w:rsidRPr="00CD6291">
        <w:rPr>
          <w:i/>
          <w:sz w:val="20"/>
          <w:lang w:val="fr-CA"/>
        </w:rPr>
        <w:t xml:space="preserve"> d’un produit de la pêche particulier </w:t>
      </w:r>
      <w:proofErr w:type="spellStart"/>
      <w:r w:rsidRPr="00CD6291">
        <w:rPr>
          <w:i/>
          <w:sz w:val="20"/>
          <w:lang w:val="fr-CA"/>
        </w:rPr>
        <w:t>peut</w:t>
      </w:r>
      <w:r w:rsidRPr="00CD6291">
        <w:rPr>
          <w:i/>
          <w:sz w:val="20"/>
          <w:lang w:val="fr-CA"/>
        </w:rPr>
        <w:noBreakHyphen/>
        <w:t>il</w:t>
      </w:r>
      <w:proofErr w:type="spellEnd"/>
      <w:r w:rsidRPr="00CD6291">
        <w:rPr>
          <w:i/>
          <w:sz w:val="20"/>
          <w:lang w:val="fr-CA"/>
        </w:rPr>
        <w:t xml:space="preserve"> avoir évolué jusqu’à une pêche commerciale moderne? — Loi constitutionnelle de 1982, art. 35(1).</w:t>
      </w:r>
    </w:p>
    <w:p w:rsidR="00CD6291" w:rsidRPr="00CD6291" w:rsidRDefault="00CD6291" w:rsidP="00CD6291">
      <w:pPr>
        <w:pStyle w:val="SCCNormalDoubleSpacing"/>
        <w:widowControl w:val="0"/>
        <w:spacing w:line="240" w:lineRule="auto"/>
        <w:rPr>
          <w:sz w:val="20"/>
          <w:lang w:val="fr-CA"/>
        </w:rPr>
      </w:pPr>
    </w:p>
    <w:p w:rsidR="00CD6291" w:rsidRPr="00CD6291" w:rsidRDefault="00CD6291" w:rsidP="00CD6291">
      <w:pPr>
        <w:pStyle w:val="SCCNormalDoubleSpacing"/>
        <w:widowControl w:val="0"/>
        <w:spacing w:line="240" w:lineRule="auto"/>
        <w:rPr>
          <w:i/>
          <w:sz w:val="20"/>
          <w:lang w:val="fr-CA"/>
        </w:rPr>
      </w:pPr>
      <w:r w:rsidRPr="00CD6291">
        <w:rPr>
          <w:i/>
          <w:sz w:val="20"/>
          <w:lang w:val="fr-CA"/>
        </w:rPr>
        <w:tab/>
        <w:t xml:space="preserve">Procédure civile — Actes de procédure — Litige sur les droits ancestraux — La revendication d’un droit ancestral </w:t>
      </w:r>
      <w:proofErr w:type="spellStart"/>
      <w:r w:rsidRPr="00CD6291">
        <w:rPr>
          <w:i/>
          <w:sz w:val="20"/>
          <w:lang w:val="fr-CA"/>
        </w:rPr>
        <w:t>doit</w:t>
      </w:r>
      <w:r w:rsidRPr="00CD6291">
        <w:rPr>
          <w:i/>
          <w:sz w:val="20"/>
          <w:lang w:val="fr-CA"/>
        </w:rPr>
        <w:noBreakHyphen/>
        <w:t>elle</w:t>
      </w:r>
      <w:proofErr w:type="spellEnd"/>
      <w:r w:rsidRPr="00CD6291">
        <w:rPr>
          <w:i/>
          <w:sz w:val="20"/>
          <w:lang w:val="fr-CA"/>
        </w:rPr>
        <w:t xml:space="preserve"> être caractérisée sur le fondement des actes de procédure ou d’une enquête plus générale? — Une déclaration reconnaissant un droit « moindre » </w:t>
      </w:r>
      <w:proofErr w:type="spellStart"/>
      <w:r w:rsidRPr="00CD6291">
        <w:rPr>
          <w:i/>
          <w:sz w:val="20"/>
          <w:lang w:val="fr-CA"/>
        </w:rPr>
        <w:t>a</w:t>
      </w:r>
      <w:r w:rsidRPr="00CD6291">
        <w:rPr>
          <w:i/>
          <w:sz w:val="20"/>
          <w:lang w:val="fr-CA"/>
        </w:rPr>
        <w:noBreakHyphen/>
        <w:t>t</w:t>
      </w:r>
      <w:r w:rsidRPr="00CD6291">
        <w:rPr>
          <w:i/>
          <w:sz w:val="20"/>
          <w:lang w:val="fr-CA"/>
        </w:rPr>
        <w:noBreakHyphen/>
        <w:t>elle</w:t>
      </w:r>
      <w:proofErr w:type="spellEnd"/>
      <w:r w:rsidRPr="00CD6291">
        <w:rPr>
          <w:i/>
          <w:sz w:val="20"/>
          <w:lang w:val="fr-CA"/>
        </w:rPr>
        <w:t xml:space="preserve"> été dûment demandée dans la plaidoirie écrite? </w:t>
      </w:r>
    </w:p>
    <w:p w:rsidR="00CD6291" w:rsidRPr="00CD6291" w:rsidRDefault="00CD6291" w:rsidP="00CD6291">
      <w:pPr>
        <w:pStyle w:val="SCCNormalDoubleSpacing"/>
        <w:widowControl w:val="0"/>
        <w:spacing w:line="240" w:lineRule="auto"/>
        <w:rPr>
          <w:sz w:val="20"/>
          <w:lang w:val="fr-CA"/>
        </w:rPr>
      </w:pPr>
    </w:p>
    <w:p w:rsidR="00CD6291" w:rsidRPr="00CD6291" w:rsidRDefault="00CD6291" w:rsidP="00CD6291">
      <w:pPr>
        <w:pStyle w:val="SCCNormalDoubleSpacing"/>
        <w:widowControl w:val="0"/>
        <w:spacing w:line="240" w:lineRule="auto"/>
        <w:rPr>
          <w:i/>
          <w:sz w:val="20"/>
          <w:lang w:val="fr-CA"/>
        </w:rPr>
      </w:pPr>
      <w:r w:rsidRPr="00CD6291">
        <w:rPr>
          <w:i/>
          <w:sz w:val="20"/>
          <w:lang w:val="fr-CA"/>
        </w:rPr>
        <w:tab/>
        <w:t xml:space="preserve">Droit des Autochtones — Obligation fiduciaire — Les données historiques </w:t>
      </w:r>
      <w:proofErr w:type="spellStart"/>
      <w:r w:rsidRPr="00CD6291">
        <w:rPr>
          <w:i/>
          <w:sz w:val="20"/>
          <w:lang w:val="fr-CA"/>
        </w:rPr>
        <w:t>étayent</w:t>
      </w:r>
      <w:r w:rsidRPr="00CD6291">
        <w:rPr>
          <w:i/>
          <w:sz w:val="20"/>
          <w:lang w:val="fr-CA"/>
        </w:rPr>
        <w:noBreakHyphen/>
        <w:t>elles</w:t>
      </w:r>
      <w:proofErr w:type="spellEnd"/>
      <w:r w:rsidRPr="00CD6291">
        <w:rPr>
          <w:i/>
          <w:sz w:val="20"/>
          <w:lang w:val="fr-CA"/>
        </w:rPr>
        <w:t xml:space="preserve"> l’existence d’une obligation fiduciaire de reconnaître aux demandeurs le droit de pratiquer une pêche commerciale moderne?</w:t>
      </w:r>
    </w:p>
    <w:p w:rsidR="00CD6291" w:rsidRPr="00CD6291" w:rsidRDefault="00CD6291" w:rsidP="00CD6291">
      <w:pPr>
        <w:pStyle w:val="SCCNormalDoubleSpacing"/>
        <w:widowControl w:val="0"/>
        <w:spacing w:line="240" w:lineRule="auto"/>
        <w:rPr>
          <w:sz w:val="20"/>
          <w:lang w:val="fr-CA"/>
        </w:rPr>
      </w:pPr>
    </w:p>
    <w:p w:rsidR="00CD6291" w:rsidRPr="00CD6291" w:rsidRDefault="00CD6291" w:rsidP="00CD6291">
      <w:pPr>
        <w:pStyle w:val="SCCNormalDoubleSpacing"/>
        <w:widowControl w:val="0"/>
        <w:spacing w:line="240" w:lineRule="auto"/>
        <w:rPr>
          <w:sz w:val="20"/>
          <w:lang w:val="fr-CA"/>
        </w:rPr>
      </w:pPr>
      <w:r w:rsidRPr="00CD6291">
        <w:rPr>
          <w:sz w:val="20"/>
          <w:lang w:val="fr-CA"/>
        </w:rPr>
        <w:tab/>
        <w:t xml:space="preserve">Le pourvoi porte sur la revendication, par les </w:t>
      </w:r>
      <w:proofErr w:type="spellStart"/>
      <w:r w:rsidRPr="00CD6291">
        <w:rPr>
          <w:sz w:val="20"/>
          <w:lang w:val="fr-CA"/>
        </w:rPr>
        <w:t>Lax</w:t>
      </w:r>
      <w:proofErr w:type="spellEnd"/>
      <w:r w:rsidRPr="00CD6291">
        <w:rPr>
          <w:sz w:val="20"/>
          <w:lang w:val="fr-CA"/>
        </w:rPr>
        <w:t xml:space="preserve"> </w:t>
      </w:r>
      <w:proofErr w:type="spellStart"/>
      <w:r w:rsidRPr="00CD6291">
        <w:rPr>
          <w:sz w:val="20"/>
          <w:lang w:val="fr-CA"/>
        </w:rPr>
        <w:t>Kw’alaams</w:t>
      </w:r>
      <w:proofErr w:type="spellEnd"/>
      <w:r w:rsidRPr="00CD6291">
        <w:rPr>
          <w:sz w:val="20"/>
          <w:lang w:val="fr-CA"/>
        </w:rPr>
        <w:t xml:space="preserve"> et d’autres premières nations (« les </w:t>
      </w:r>
      <w:proofErr w:type="spellStart"/>
      <w:r w:rsidRPr="00CD6291">
        <w:rPr>
          <w:sz w:val="20"/>
          <w:lang w:val="fr-CA"/>
        </w:rPr>
        <w:t>Lax</w:t>
      </w:r>
      <w:proofErr w:type="spellEnd"/>
      <w:r w:rsidRPr="00CD6291">
        <w:rPr>
          <w:sz w:val="20"/>
          <w:lang w:val="fr-CA"/>
        </w:rPr>
        <w:t xml:space="preserve"> </w:t>
      </w:r>
      <w:proofErr w:type="spellStart"/>
      <w:r w:rsidRPr="00CD6291">
        <w:rPr>
          <w:sz w:val="20"/>
          <w:lang w:val="fr-CA"/>
        </w:rPr>
        <w:t>Kw’alaams</w:t>
      </w:r>
      <w:proofErr w:type="spellEnd"/>
      <w:r w:rsidRPr="00CD6291">
        <w:rPr>
          <w:sz w:val="20"/>
          <w:lang w:val="fr-CA"/>
        </w:rPr>
        <w:t xml:space="preserve"> ») — dont les terres ancestrales s’étendent le long de la côte </w:t>
      </w:r>
      <w:proofErr w:type="spellStart"/>
      <w:r w:rsidRPr="00CD6291">
        <w:rPr>
          <w:sz w:val="20"/>
          <w:lang w:val="fr-CA"/>
        </w:rPr>
        <w:t>nord</w:t>
      </w:r>
      <w:r w:rsidRPr="00CD6291">
        <w:rPr>
          <w:sz w:val="20"/>
          <w:lang w:val="fr-CA"/>
        </w:rPr>
        <w:noBreakHyphen/>
        <w:t>ouest</w:t>
      </w:r>
      <w:proofErr w:type="spellEnd"/>
      <w:r w:rsidRPr="00CD6291">
        <w:rPr>
          <w:sz w:val="20"/>
          <w:lang w:val="fr-CA"/>
        </w:rPr>
        <w:t xml:space="preserve"> de la </w:t>
      </w:r>
      <w:proofErr w:type="spellStart"/>
      <w:r w:rsidRPr="00CD6291">
        <w:rPr>
          <w:sz w:val="20"/>
          <w:lang w:val="fr-CA"/>
        </w:rPr>
        <w:t>Colombie</w:t>
      </w:r>
      <w:r w:rsidRPr="00CD6291">
        <w:rPr>
          <w:sz w:val="20"/>
          <w:lang w:val="fr-CA"/>
        </w:rPr>
        <w:noBreakHyphen/>
        <w:t>Britannique</w:t>
      </w:r>
      <w:proofErr w:type="spellEnd"/>
      <w:r w:rsidRPr="00CD6291">
        <w:rPr>
          <w:sz w:val="20"/>
          <w:lang w:val="fr-CA"/>
        </w:rPr>
        <w:t xml:space="preserve"> entre les estuaires de la rivière </w:t>
      </w:r>
      <w:proofErr w:type="spellStart"/>
      <w:r w:rsidRPr="00CD6291">
        <w:rPr>
          <w:sz w:val="20"/>
          <w:lang w:val="fr-CA"/>
        </w:rPr>
        <w:t>Nass</w:t>
      </w:r>
      <w:proofErr w:type="spellEnd"/>
      <w:r w:rsidRPr="00CD6291">
        <w:rPr>
          <w:sz w:val="20"/>
          <w:lang w:val="fr-CA"/>
        </w:rPr>
        <w:t xml:space="preserve"> et du cours inférieur de la rivière Skeena —, du droit de récolter et de vendre commercialement « toutes les espèces de poisson » vivant dans leurs eaux traditionnelles.  Pareille pêche autochtone serait protégée par le par. 35(1) de la </w:t>
      </w:r>
      <w:r w:rsidRPr="00CD6291">
        <w:rPr>
          <w:i/>
          <w:sz w:val="20"/>
          <w:lang w:val="fr-CA"/>
        </w:rPr>
        <w:t>Loi constitutionnelle de 1982</w:t>
      </w:r>
      <w:r w:rsidRPr="00CD6291">
        <w:rPr>
          <w:sz w:val="20"/>
          <w:lang w:val="fr-CA"/>
        </w:rPr>
        <w:t xml:space="preserve">.  Avant le contact avec les Européens, la subsistance et la culture de la société reposaient sur la pêche.  Elle pratiquait une économie de subsistance et se livrait à une forme </w:t>
      </w:r>
      <w:r w:rsidRPr="00CD6291">
        <w:rPr>
          <w:sz w:val="20"/>
          <w:lang w:val="fr-CA"/>
        </w:rPr>
        <w:lastRenderedPageBreak/>
        <w:t>de commerce — principalement des échanges de cadeaux entre parents lors de festins et de potlatchs, ou des échanges de biens de luxe.  La récolte et la consommation du saumon, du flétan, du rogue de hareng, des algues, des crustacés et de l’</w:t>
      </w:r>
      <w:proofErr w:type="spellStart"/>
      <w:r w:rsidRPr="00CD6291">
        <w:rPr>
          <w:sz w:val="20"/>
          <w:lang w:val="fr-CA"/>
        </w:rPr>
        <w:t>eulakane</w:t>
      </w:r>
      <w:proofErr w:type="spellEnd"/>
      <w:r w:rsidRPr="00CD6291">
        <w:rPr>
          <w:sz w:val="20"/>
          <w:lang w:val="fr-CA"/>
        </w:rPr>
        <w:t xml:space="preserve"> faisaient intégrante de leur culture distinctive, mais il a été statué que le commerce du poisson ou des produits de la pêche, sauf celui d’une graisse extraite d’un poisson qui ressemble à l’éperlan, l’</w:t>
      </w:r>
      <w:proofErr w:type="spellStart"/>
      <w:r w:rsidRPr="00CD6291">
        <w:rPr>
          <w:sz w:val="20"/>
          <w:lang w:val="fr-CA"/>
        </w:rPr>
        <w:t>eulakane</w:t>
      </w:r>
      <w:proofErr w:type="spellEnd"/>
      <w:r w:rsidRPr="00CD6291">
        <w:rPr>
          <w:sz w:val="20"/>
          <w:lang w:val="fr-CA"/>
        </w:rPr>
        <w:t xml:space="preserve"> ou </w:t>
      </w:r>
      <w:proofErr w:type="spellStart"/>
      <w:r w:rsidRPr="00CD6291">
        <w:rPr>
          <w:sz w:val="20"/>
          <w:lang w:val="fr-CA"/>
        </w:rPr>
        <w:t>poisson</w:t>
      </w:r>
      <w:r w:rsidRPr="00CD6291">
        <w:rPr>
          <w:sz w:val="20"/>
          <w:lang w:val="fr-CA"/>
        </w:rPr>
        <w:noBreakHyphen/>
        <w:t>chandelle</w:t>
      </w:r>
      <w:proofErr w:type="spellEnd"/>
      <w:r w:rsidRPr="00CD6291">
        <w:rPr>
          <w:sz w:val="20"/>
          <w:lang w:val="fr-CA"/>
        </w:rPr>
        <w:t xml:space="preserve"> (parce qu’on peut le brûler comme une chandelle une fois séché), ne faisait pas partie intégrante de la culture distinctive de la société </w:t>
      </w:r>
      <w:proofErr w:type="spellStart"/>
      <w:r w:rsidRPr="00CD6291">
        <w:rPr>
          <w:sz w:val="20"/>
          <w:lang w:val="fr-CA"/>
        </w:rPr>
        <w:t>précontact</w:t>
      </w:r>
      <w:proofErr w:type="spellEnd"/>
      <w:r w:rsidRPr="00CD6291">
        <w:rPr>
          <w:sz w:val="20"/>
          <w:lang w:val="fr-CA"/>
        </w:rPr>
        <w:t>.  La graisse d’</w:t>
      </w:r>
      <w:proofErr w:type="spellStart"/>
      <w:r w:rsidRPr="00CD6291">
        <w:rPr>
          <w:sz w:val="20"/>
          <w:lang w:val="fr-CA"/>
        </w:rPr>
        <w:t>eulakane</w:t>
      </w:r>
      <w:proofErr w:type="spellEnd"/>
      <w:r w:rsidRPr="00CD6291">
        <w:rPr>
          <w:sz w:val="20"/>
          <w:lang w:val="fr-CA"/>
        </w:rPr>
        <w:t xml:space="preserve"> servait à conserver des denrées périssables comme les baies et on lui attachait une grande valeur pour cette raison.  La juge du procès a décrit le commerce d’autres espèces de poisson et produits de la pêche, tel qu’il était pratiqué, en disant qu’il « était de faible envergure et irrégulier, découlait d’occasions </w:t>
      </w:r>
      <w:proofErr w:type="gramStart"/>
      <w:r w:rsidRPr="00CD6291">
        <w:rPr>
          <w:sz w:val="20"/>
          <w:lang w:val="fr-CA"/>
        </w:rPr>
        <w:t>fortuites .</w:t>
      </w:r>
      <w:proofErr w:type="gramEnd"/>
      <w:r w:rsidRPr="00CD6291">
        <w:rPr>
          <w:sz w:val="20"/>
          <w:lang w:val="fr-CA"/>
        </w:rPr>
        <w:t> . . et était purement accessoire aux rapports entre parents . . . avant le contact avec les Européens ».</w:t>
      </w:r>
    </w:p>
    <w:p w:rsidR="00CD6291" w:rsidRPr="00CD6291" w:rsidRDefault="00CD6291" w:rsidP="00CD6291">
      <w:pPr>
        <w:pStyle w:val="SCCNormalDoubleSpacing"/>
        <w:widowControl w:val="0"/>
        <w:spacing w:line="240" w:lineRule="auto"/>
        <w:rPr>
          <w:sz w:val="20"/>
          <w:lang w:val="fr-CA"/>
        </w:rPr>
      </w:pPr>
    </w:p>
    <w:p w:rsidR="00CD6291" w:rsidRPr="00CD6291" w:rsidRDefault="00CD6291" w:rsidP="00CD6291">
      <w:pPr>
        <w:pStyle w:val="SCCNormalDoubleSpacing"/>
        <w:widowControl w:val="0"/>
        <w:spacing w:line="240" w:lineRule="auto"/>
        <w:rPr>
          <w:sz w:val="20"/>
          <w:lang w:val="fr-CA"/>
        </w:rPr>
      </w:pPr>
      <w:r w:rsidRPr="00CD6291">
        <w:rPr>
          <w:sz w:val="20"/>
          <w:lang w:val="fr-CA"/>
        </w:rPr>
        <w:tab/>
        <w:t xml:space="preserve">Les </w:t>
      </w:r>
      <w:proofErr w:type="spellStart"/>
      <w:r w:rsidRPr="00CD6291">
        <w:rPr>
          <w:sz w:val="20"/>
          <w:lang w:val="fr-CA"/>
        </w:rPr>
        <w:t>Lax</w:t>
      </w:r>
      <w:proofErr w:type="spellEnd"/>
      <w:r w:rsidRPr="00CD6291">
        <w:rPr>
          <w:sz w:val="20"/>
          <w:lang w:val="fr-CA"/>
        </w:rPr>
        <w:t xml:space="preserve"> </w:t>
      </w:r>
      <w:proofErr w:type="spellStart"/>
      <w:r w:rsidRPr="00CD6291">
        <w:rPr>
          <w:sz w:val="20"/>
          <w:lang w:val="fr-CA"/>
        </w:rPr>
        <w:t>Kw’alaams</w:t>
      </w:r>
      <w:proofErr w:type="spellEnd"/>
      <w:r w:rsidRPr="00CD6291">
        <w:rPr>
          <w:sz w:val="20"/>
          <w:lang w:val="fr-CA"/>
        </w:rPr>
        <w:t xml:space="preserve"> ont non seulement revendiqué le droit à la récolte et à la vente commerciales de toutes les espèces de poisson vivant dans leurs eaux traditionnelles, mais aussi affirmé que la Couronne a une obligation fiduciaire à cet égard en raison de promesses faites lors de l’attribution des réserves dans les années 1870 et 1880.  Enfin, vers la fin du procès, ils ont revendiqué ce qu’ils ont qualifié de droits ancestraux moindres, notamment le droit de pêcher suffisamment de poisson pour que ces prises, « une fois converties en argent », leur permettent de </w:t>
      </w:r>
      <w:r w:rsidRPr="00011CF1">
        <w:rPr>
          <w:sz w:val="20"/>
          <w:lang w:val="fr-FR"/>
        </w:rPr>
        <w:t>« développer et de maintenir une économie prospère » et le droit de pêcher à des fins alimentaires, sociales et rituelles.</w:t>
      </w:r>
    </w:p>
    <w:p w:rsidR="00CD6291" w:rsidRPr="00CD6291" w:rsidRDefault="00CD6291" w:rsidP="00CD6291">
      <w:pPr>
        <w:pStyle w:val="SCCNormalDoubleSpacing"/>
        <w:widowControl w:val="0"/>
        <w:spacing w:line="240" w:lineRule="auto"/>
        <w:rPr>
          <w:sz w:val="20"/>
          <w:lang w:val="fr-CA"/>
        </w:rPr>
      </w:pPr>
    </w:p>
    <w:p w:rsidR="00CD6291" w:rsidRPr="00CD6291" w:rsidRDefault="00CD6291" w:rsidP="00CD6291">
      <w:pPr>
        <w:pStyle w:val="SCCNormalDoubleSpacing"/>
        <w:widowControl w:val="0"/>
        <w:spacing w:line="240" w:lineRule="auto"/>
        <w:rPr>
          <w:sz w:val="20"/>
          <w:lang w:val="fr-CA"/>
        </w:rPr>
      </w:pPr>
      <w:r w:rsidRPr="00CD6291">
        <w:rPr>
          <w:sz w:val="20"/>
          <w:lang w:val="fr-CA"/>
        </w:rPr>
        <w:tab/>
        <w:t xml:space="preserve">La juge du procès n’était pas convaincue </w:t>
      </w:r>
      <w:r w:rsidRPr="00011CF1">
        <w:rPr>
          <w:sz w:val="20"/>
          <w:lang w:val="fr-FR"/>
        </w:rPr>
        <w:t xml:space="preserve">que les coutumes, pratiques et traditions </w:t>
      </w:r>
      <w:proofErr w:type="spellStart"/>
      <w:r w:rsidRPr="00011CF1">
        <w:rPr>
          <w:sz w:val="20"/>
          <w:lang w:val="fr-FR"/>
        </w:rPr>
        <w:t>précontact</w:t>
      </w:r>
      <w:proofErr w:type="spellEnd"/>
      <w:r w:rsidRPr="00011CF1">
        <w:rPr>
          <w:sz w:val="20"/>
          <w:lang w:val="fr-FR"/>
        </w:rPr>
        <w:t xml:space="preserve"> étayaient l’existence d’un droit ancestral à des activités commerciales et elle a rejeté les revendications.  La Cour d’appel était d’accord avec elle et elle a rejeté l’appel.  </w:t>
      </w:r>
    </w:p>
    <w:p w:rsidR="00CD6291" w:rsidRPr="00CD6291" w:rsidRDefault="00CD6291" w:rsidP="00CD6291">
      <w:pPr>
        <w:pStyle w:val="SCCNormalDoubleSpacing"/>
        <w:widowControl w:val="0"/>
        <w:spacing w:line="240" w:lineRule="auto"/>
        <w:rPr>
          <w:i/>
          <w:sz w:val="20"/>
          <w:lang w:val="fr-CA"/>
        </w:rPr>
      </w:pPr>
    </w:p>
    <w:p w:rsidR="00CD6291" w:rsidRPr="00CD6291" w:rsidRDefault="00CD6291" w:rsidP="00CD6291">
      <w:pPr>
        <w:pStyle w:val="SCCNormalDoubleSpacing"/>
        <w:widowControl w:val="0"/>
        <w:spacing w:line="240" w:lineRule="auto"/>
        <w:rPr>
          <w:sz w:val="20"/>
          <w:lang w:val="fr-CA"/>
        </w:rPr>
      </w:pPr>
      <w:r w:rsidRPr="00CD6291">
        <w:rPr>
          <w:i/>
          <w:sz w:val="20"/>
          <w:lang w:val="fr-CA"/>
        </w:rPr>
        <w:tab/>
        <w:t>Arrêt :</w:t>
      </w:r>
      <w:r w:rsidRPr="00CD6291">
        <w:rPr>
          <w:sz w:val="20"/>
          <w:lang w:val="fr-CA"/>
        </w:rPr>
        <w:t xml:space="preserve"> Le pourvoi est rejeté.</w:t>
      </w:r>
    </w:p>
    <w:p w:rsidR="00CD6291" w:rsidRPr="00CD6291" w:rsidRDefault="00CD6291" w:rsidP="00CD6291">
      <w:pPr>
        <w:pStyle w:val="SCCNormalDoubleSpacing"/>
        <w:widowControl w:val="0"/>
        <w:spacing w:line="240" w:lineRule="auto"/>
        <w:rPr>
          <w:sz w:val="20"/>
          <w:lang w:val="fr-CA"/>
        </w:rPr>
      </w:pPr>
    </w:p>
    <w:p w:rsidR="00CD6291" w:rsidRPr="00CD6291" w:rsidRDefault="00CD6291" w:rsidP="00CD6291">
      <w:pPr>
        <w:pStyle w:val="SCCNormalDoubleSpacing"/>
        <w:widowControl w:val="0"/>
        <w:spacing w:line="240" w:lineRule="auto"/>
        <w:rPr>
          <w:sz w:val="20"/>
          <w:lang w:val="fr-CA"/>
        </w:rPr>
      </w:pPr>
      <w:r w:rsidRPr="00CD6291">
        <w:rPr>
          <w:sz w:val="20"/>
          <w:lang w:val="fr-CA"/>
        </w:rPr>
        <w:tab/>
        <w:t>Les pratiques</w:t>
      </w:r>
      <w:r w:rsidRPr="00011CF1">
        <w:rPr>
          <w:sz w:val="20"/>
          <w:lang w:val="fr-FR"/>
        </w:rPr>
        <w:t xml:space="preserve">, coutumes et traditions de la société </w:t>
      </w:r>
      <w:proofErr w:type="spellStart"/>
      <w:r w:rsidRPr="00011CF1">
        <w:rPr>
          <w:sz w:val="20"/>
          <w:lang w:val="fr-FR"/>
        </w:rPr>
        <w:t>précontact</w:t>
      </w:r>
      <w:proofErr w:type="spellEnd"/>
      <w:r w:rsidRPr="00011CF1">
        <w:rPr>
          <w:sz w:val="20"/>
          <w:lang w:val="fr-FR"/>
        </w:rPr>
        <w:t xml:space="preserve"> ne peuvent servir de tremplin, sur le plan de la preuve, à un droit ancestral protégé constitutionnellement de récolter et de vendre toutes les sortes de poisson par la pratique d’une pêche commerciale moderne</w:t>
      </w:r>
      <w:r w:rsidRPr="00CD6291">
        <w:rPr>
          <w:sz w:val="20"/>
          <w:lang w:val="fr-CA"/>
        </w:rPr>
        <w:t xml:space="preserve">.  La société </w:t>
      </w:r>
      <w:proofErr w:type="spellStart"/>
      <w:r w:rsidRPr="00CD6291">
        <w:rPr>
          <w:sz w:val="20"/>
          <w:lang w:val="fr-CA"/>
        </w:rPr>
        <w:t>précontact</w:t>
      </w:r>
      <w:proofErr w:type="spellEnd"/>
      <w:r w:rsidRPr="00CD6291">
        <w:rPr>
          <w:sz w:val="20"/>
          <w:lang w:val="fr-CA"/>
        </w:rPr>
        <w:t xml:space="preserve"> n’était pas un peuple qui faisait du commerce, sauf en ce qui concerne l’</w:t>
      </w:r>
      <w:proofErr w:type="spellStart"/>
      <w:r w:rsidRPr="00CD6291">
        <w:rPr>
          <w:sz w:val="20"/>
          <w:lang w:val="fr-CA"/>
        </w:rPr>
        <w:t>eulakane</w:t>
      </w:r>
      <w:proofErr w:type="spellEnd"/>
      <w:r w:rsidRPr="00CD6291">
        <w:rPr>
          <w:sz w:val="20"/>
          <w:lang w:val="fr-CA"/>
        </w:rPr>
        <w:t xml:space="preserve">.  La juge du procès a conclu que le commerce sporadique des autres produits de la pêche, tel qu’il était pratiqué, était accessoire à la société </w:t>
      </w:r>
      <w:proofErr w:type="spellStart"/>
      <w:r w:rsidRPr="00CD6291">
        <w:rPr>
          <w:sz w:val="20"/>
          <w:lang w:val="fr-CA"/>
        </w:rPr>
        <w:t>précontact</w:t>
      </w:r>
      <w:proofErr w:type="spellEnd"/>
      <w:r w:rsidRPr="00CD6291">
        <w:rPr>
          <w:sz w:val="20"/>
          <w:lang w:val="fr-CA"/>
        </w:rPr>
        <w:t xml:space="preserve"> et ne faisait pas d’elle ce qu’elle était. </w:t>
      </w:r>
    </w:p>
    <w:p w:rsidR="00CD6291" w:rsidRPr="00CD6291" w:rsidRDefault="00CD6291" w:rsidP="00CD6291">
      <w:pPr>
        <w:pStyle w:val="SCCNormalDoubleSpacing"/>
        <w:spacing w:line="240" w:lineRule="auto"/>
        <w:rPr>
          <w:sz w:val="20"/>
          <w:lang w:val="fr-CA"/>
        </w:rPr>
      </w:pPr>
    </w:p>
    <w:p w:rsidR="00CD6291" w:rsidRPr="00CD6291" w:rsidRDefault="00CD6291" w:rsidP="00CD6291">
      <w:pPr>
        <w:pStyle w:val="SCCNormalDoubleSpacing"/>
        <w:spacing w:line="240" w:lineRule="auto"/>
        <w:rPr>
          <w:sz w:val="20"/>
          <w:lang w:val="fr-CA"/>
        </w:rPr>
      </w:pPr>
      <w:r w:rsidRPr="00CD6291">
        <w:rPr>
          <w:sz w:val="20"/>
          <w:lang w:val="fr-CA"/>
        </w:rPr>
        <w:tab/>
        <w:t xml:space="preserve">Les </w:t>
      </w:r>
      <w:proofErr w:type="spellStart"/>
      <w:r w:rsidRPr="00CD6291">
        <w:rPr>
          <w:sz w:val="20"/>
          <w:lang w:val="fr-CA"/>
        </w:rPr>
        <w:t>Lax</w:t>
      </w:r>
      <w:proofErr w:type="spellEnd"/>
      <w:r w:rsidRPr="00CD6291">
        <w:rPr>
          <w:sz w:val="20"/>
          <w:lang w:val="fr-CA"/>
        </w:rPr>
        <w:t xml:space="preserve"> </w:t>
      </w:r>
      <w:proofErr w:type="spellStart"/>
      <w:r w:rsidRPr="00CD6291">
        <w:rPr>
          <w:sz w:val="20"/>
          <w:lang w:val="fr-CA"/>
        </w:rPr>
        <w:t>Kw’alaams</w:t>
      </w:r>
      <w:proofErr w:type="spellEnd"/>
      <w:r w:rsidRPr="00CD6291">
        <w:rPr>
          <w:sz w:val="20"/>
          <w:lang w:val="fr-CA"/>
        </w:rPr>
        <w:t xml:space="preserve"> soutiennent que les juridictions inférieures ont utilisé une méthode erronée pour caractériser la revendication </w:t>
      </w:r>
      <w:r w:rsidRPr="00011CF1">
        <w:rPr>
          <w:sz w:val="20"/>
          <w:lang w:val="fr-FR"/>
        </w:rPr>
        <w:t xml:space="preserve">et que, par conséquent, elles n’ont pas analysé de façon exhaustive la preuve produite pour l’étayer.  Selon eux, « avant de caractériser un droit ancestral revendiqué, le tribunal doit </w:t>
      </w:r>
      <w:r w:rsidRPr="00011CF1">
        <w:rPr>
          <w:sz w:val="20"/>
          <w:u w:val="single"/>
          <w:lang w:val="fr-FR"/>
        </w:rPr>
        <w:t>d’abord</w:t>
      </w:r>
      <w:r w:rsidRPr="00011CF1">
        <w:rPr>
          <w:sz w:val="20"/>
          <w:lang w:val="fr-FR"/>
        </w:rPr>
        <w:t xml:space="preserve"> procéder à une enquête et tirer des conclusions sur les pratiques et le mode de vie </w:t>
      </w:r>
      <w:proofErr w:type="spellStart"/>
      <w:r w:rsidRPr="00011CF1">
        <w:rPr>
          <w:sz w:val="20"/>
          <w:lang w:val="fr-FR"/>
        </w:rPr>
        <w:t>précontact</w:t>
      </w:r>
      <w:proofErr w:type="spellEnd"/>
      <w:r w:rsidRPr="00011CF1">
        <w:rPr>
          <w:sz w:val="20"/>
          <w:lang w:val="fr-FR"/>
        </w:rPr>
        <w:t xml:space="preserve"> du groupe de demandeurs ».  Cela est inexact.  Le tribunal saisi d’une revendication fondée sur le par. 35(1) doit commencer par caractériser le droit ancestral revendiqué à partir des actes de procédure.  Tirer des conclusions sur le mode de vie </w:t>
      </w:r>
      <w:proofErr w:type="spellStart"/>
      <w:r w:rsidRPr="00011CF1">
        <w:rPr>
          <w:sz w:val="20"/>
          <w:lang w:val="fr-FR"/>
        </w:rPr>
        <w:t>précontact</w:t>
      </w:r>
      <w:proofErr w:type="spellEnd"/>
      <w:r w:rsidRPr="00011CF1">
        <w:rPr>
          <w:sz w:val="20"/>
          <w:lang w:val="fr-FR"/>
        </w:rPr>
        <w:t xml:space="preserve"> du groupe de demandeurs avant de caractériser le droit revendiqué </w:t>
      </w:r>
      <w:r w:rsidRPr="00CD6291">
        <w:rPr>
          <w:sz w:val="20"/>
          <w:lang w:val="fr-CA"/>
        </w:rPr>
        <w:t xml:space="preserve">— soit, suivre la méthode apparentée à une « commission d’enquête » — </w:t>
      </w:r>
      <w:r w:rsidRPr="00011CF1">
        <w:rPr>
          <w:sz w:val="20"/>
          <w:lang w:val="fr-FR"/>
        </w:rPr>
        <w:t xml:space="preserve">ne convient pas dans un procès civil, même dans les affaires autochtones où les règles de procédure sont interprétées de façon libérale, pour faciliter la résolution des controverses </w:t>
      </w:r>
      <w:proofErr w:type="spellStart"/>
      <w:r w:rsidRPr="00011CF1">
        <w:rPr>
          <w:sz w:val="20"/>
          <w:lang w:val="fr-FR"/>
        </w:rPr>
        <w:t>sous</w:t>
      </w:r>
      <w:r w:rsidRPr="00011CF1">
        <w:rPr>
          <w:sz w:val="20"/>
          <w:lang w:val="fr-FR"/>
        </w:rPr>
        <w:noBreakHyphen/>
        <w:t>jacentes</w:t>
      </w:r>
      <w:proofErr w:type="spellEnd"/>
      <w:r w:rsidRPr="00011CF1">
        <w:rPr>
          <w:sz w:val="20"/>
          <w:lang w:val="fr-FR"/>
        </w:rPr>
        <w:t xml:space="preserve"> dans l’intérêt public</w:t>
      </w:r>
      <w:r w:rsidRPr="00CD6291">
        <w:rPr>
          <w:sz w:val="20"/>
          <w:lang w:val="fr-CA"/>
        </w:rPr>
        <w:t>.  Appliquer cette méthode serait illogique, en discordance avec la jurisprudence et contraire aux les règles de procédure civile applicables.  Bien que</w:t>
      </w:r>
      <w:r w:rsidRPr="00011CF1">
        <w:rPr>
          <w:sz w:val="20"/>
          <w:lang w:val="fr-FR"/>
        </w:rPr>
        <w:t xml:space="preserve"> les règles de pratique ordinaires offrent la flexibilité voulue (y compris par la modification des actes de procédure), il ne faut laisser aucun doute au défendeur quant à ce qui est demandé précisément</w:t>
      </w:r>
      <w:r w:rsidRPr="00CD6291">
        <w:rPr>
          <w:sz w:val="20"/>
          <w:lang w:val="fr-CA"/>
        </w:rPr>
        <w:t xml:space="preserve">.  Une fois la revendication caractérisée, le tribunal doit déterminer si la première nation a établi l’existence de la pratique, tradition ou coutume </w:t>
      </w:r>
      <w:proofErr w:type="spellStart"/>
      <w:r w:rsidRPr="00CD6291">
        <w:rPr>
          <w:sz w:val="20"/>
          <w:lang w:val="fr-CA"/>
        </w:rPr>
        <w:t>précontact</w:t>
      </w:r>
      <w:proofErr w:type="spellEnd"/>
      <w:r w:rsidRPr="00CD6291">
        <w:rPr>
          <w:sz w:val="20"/>
          <w:lang w:val="fr-CA"/>
        </w:rPr>
        <w:t xml:space="preserve"> invoquée dans la procédure écrite et le fait que cette pratique faisait partie intégrante de la société distinctive avant son contact avec les Européens.  Troisièmement, le tribunal doit déterminer, en adoptant une approche libérale, mais réaliste, s’il y a une continuité raisonnable entre le droit contemporain revendiqué et </w:t>
      </w:r>
      <w:proofErr w:type="gramStart"/>
      <w:r w:rsidRPr="00CD6291">
        <w:rPr>
          <w:sz w:val="20"/>
          <w:lang w:val="fr-CA"/>
        </w:rPr>
        <w:t>la</w:t>
      </w:r>
      <w:proofErr w:type="gramEnd"/>
      <w:r w:rsidRPr="00CD6291">
        <w:rPr>
          <w:sz w:val="20"/>
          <w:lang w:val="fr-CA"/>
        </w:rPr>
        <w:t xml:space="preserve"> pratique </w:t>
      </w:r>
      <w:proofErr w:type="spellStart"/>
      <w:r w:rsidRPr="00CD6291">
        <w:rPr>
          <w:sz w:val="20"/>
          <w:lang w:val="fr-CA"/>
        </w:rPr>
        <w:t>précontact</w:t>
      </w:r>
      <w:proofErr w:type="spellEnd"/>
      <w:r w:rsidRPr="00CD6291">
        <w:rPr>
          <w:sz w:val="20"/>
          <w:lang w:val="fr-CA"/>
        </w:rPr>
        <w:t xml:space="preserve"> faisant partie intégrante de la société.  Enfin, </w:t>
      </w:r>
      <w:r w:rsidRPr="00011CF1">
        <w:rPr>
          <w:sz w:val="20"/>
          <w:lang w:val="fr-FR"/>
        </w:rPr>
        <w:t>si l’on constate l’existence du</w:t>
      </w:r>
      <w:r w:rsidRPr="00CD6291">
        <w:rPr>
          <w:sz w:val="20"/>
          <w:lang w:val="fr-CA"/>
        </w:rPr>
        <w:t xml:space="preserve"> droit revendiqué, il faut en déterminer la teneur en tenant compte des objectifs de conservation et des autres objectifs pertinents.</w:t>
      </w:r>
    </w:p>
    <w:p w:rsidR="00CD6291" w:rsidRPr="00CD6291" w:rsidRDefault="00CD6291" w:rsidP="00CD6291">
      <w:pPr>
        <w:pStyle w:val="SCCNormalDoubleSpacing"/>
        <w:widowControl w:val="0"/>
        <w:spacing w:line="240" w:lineRule="auto"/>
        <w:rPr>
          <w:sz w:val="20"/>
          <w:lang w:val="fr-CA"/>
        </w:rPr>
      </w:pPr>
    </w:p>
    <w:p w:rsidR="00CD6291" w:rsidRPr="00011CF1" w:rsidRDefault="00CD6291" w:rsidP="00CD6291">
      <w:pPr>
        <w:pStyle w:val="SCCNormalDoubleSpacing"/>
        <w:widowControl w:val="0"/>
        <w:spacing w:line="240" w:lineRule="auto"/>
        <w:rPr>
          <w:sz w:val="20"/>
          <w:lang w:val="fr-FR"/>
        </w:rPr>
      </w:pPr>
      <w:r w:rsidRPr="00CD6291">
        <w:rPr>
          <w:sz w:val="20"/>
          <w:lang w:val="fr-CA"/>
        </w:rPr>
        <w:tab/>
        <w:t>En l’espèce, la tentative d’instaurer une pêche commerciale moderne sur un fondement aussi étroit que le commerce ancestral limité de la graisse d’</w:t>
      </w:r>
      <w:proofErr w:type="spellStart"/>
      <w:r w:rsidRPr="00CD6291">
        <w:rPr>
          <w:sz w:val="20"/>
          <w:lang w:val="fr-CA"/>
        </w:rPr>
        <w:t>eulakane</w:t>
      </w:r>
      <w:proofErr w:type="spellEnd"/>
      <w:r w:rsidRPr="00CD6291">
        <w:rPr>
          <w:sz w:val="20"/>
          <w:lang w:val="fr-CA"/>
        </w:rPr>
        <w:t xml:space="preserve"> ne comporte pas la continuité et la proportionnalité voulues.  Bien qu’un droit ancestral soit susceptible d’évoluer, quant à son objet et à son mode d’exercice, la revendication en l’espèce d’un droit de pêche commerciale générale créerait un droit différent du commerce </w:t>
      </w:r>
      <w:proofErr w:type="spellStart"/>
      <w:r w:rsidRPr="00CD6291">
        <w:rPr>
          <w:sz w:val="20"/>
          <w:lang w:val="fr-CA"/>
        </w:rPr>
        <w:t>précontact</w:t>
      </w:r>
      <w:proofErr w:type="spellEnd"/>
      <w:r w:rsidRPr="00CD6291">
        <w:rPr>
          <w:sz w:val="20"/>
          <w:lang w:val="fr-CA"/>
        </w:rPr>
        <w:t xml:space="preserve"> de la graisse d’</w:t>
      </w:r>
      <w:proofErr w:type="spellStart"/>
      <w:r w:rsidRPr="00CD6291">
        <w:rPr>
          <w:sz w:val="20"/>
          <w:lang w:val="fr-CA"/>
        </w:rPr>
        <w:t>eulakane</w:t>
      </w:r>
      <w:proofErr w:type="spellEnd"/>
      <w:r w:rsidRPr="00CD6291">
        <w:rPr>
          <w:sz w:val="20"/>
          <w:lang w:val="fr-CA"/>
        </w:rPr>
        <w:t xml:space="preserve"> sur les plans qualitatif et quantitatif.  Sur le plan qualitatif, le commerce </w:t>
      </w:r>
      <w:r w:rsidRPr="00011CF1">
        <w:rPr>
          <w:sz w:val="20"/>
          <w:lang w:val="fr-FR"/>
        </w:rPr>
        <w:t>d’autres espèces de poisson ou produits de la pêche que la graisse d’</w:t>
      </w:r>
      <w:proofErr w:type="spellStart"/>
      <w:r w:rsidRPr="00011CF1">
        <w:rPr>
          <w:sz w:val="20"/>
          <w:lang w:val="fr-FR"/>
        </w:rPr>
        <w:t>eulakane</w:t>
      </w:r>
      <w:proofErr w:type="spellEnd"/>
      <w:r w:rsidRPr="00011CF1">
        <w:rPr>
          <w:sz w:val="20"/>
          <w:lang w:val="fr-FR"/>
        </w:rPr>
        <w:t xml:space="preserve"> était accessoire à la société </w:t>
      </w:r>
      <w:proofErr w:type="spellStart"/>
      <w:r w:rsidRPr="00011CF1">
        <w:rPr>
          <w:sz w:val="20"/>
          <w:lang w:val="fr-FR"/>
        </w:rPr>
        <w:t>précontact</w:t>
      </w:r>
      <w:proofErr w:type="spellEnd"/>
      <w:r w:rsidRPr="00011CF1">
        <w:rPr>
          <w:sz w:val="20"/>
          <w:lang w:val="fr-FR"/>
        </w:rPr>
        <w:t xml:space="preserve">.  Il ne suffit pas de démontrer qu’une certaine </w:t>
      </w:r>
      <w:r w:rsidRPr="00011CF1">
        <w:rPr>
          <w:sz w:val="20"/>
          <w:lang w:val="fr-FR"/>
        </w:rPr>
        <w:lastRenderedPageBreak/>
        <w:t xml:space="preserve">forme de commerce faisait partie du mode de vie </w:t>
      </w:r>
      <w:proofErr w:type="spellStart"/>
      <w:r w:rsidRPr="00011CF1">
        <w:rPr>
          <w:sz w:val="20"/>
          <w:lang w:val="fr-FR"/>
        </w:rPr>
        <w:t>précontact</w:t>
      </w:r>
      <w:proofErr w:type="spellEnd"/>
      <w:r w:rsidRPr="00011CF1">
        <w:rPr>
          <w:sz w:val="20"/>
          <w:lang w:val="fr-FR"/>
        </w:rPr>
        <w:t xml:space="preserve">, si elle n’en était pas un élément distinctif ou n’en faisait pas partie intégrante.  Une pêche commerciale générale constituerait un résultat différent sur le plan qualitatif de l’activité </w:t>
      </w:r>
      <w:proofErr w:type="spellStart"/>
      <w:r w:rsidRPr="00011CF1">
        <w:rPr>
          <w:sz w:val="20"/>
          <w:lang w:val="fr-FR"/>
        </w:rPr>
        <w:t>précontact</w:t>
      </w:r>
      <w:proofErr w:type="spellEnd"/>
      <w:r w:rsidRPr="00011CF1">
        <w:rPr>
          <w:sz w:val="20"/>
          <w:lang w:val="fr-FR"/>
        </w:rPr>
        <w:t xml:space="preserve"> sur laquelle elle reposerait censément et hors de proportion avec son importance dans l’économie </w:t>
      </w:r>
      <w:proofErr w:type="spellStart"/>
      <w:r w:rsidRPr="00011CF1">
        <w:rPr>
          <w:sz w:val="20"/>
          <w:lang w:val="fr-FR"/>
        </w:rPr>
        <w:t>précontact</w:t>
      </w:r>
      <w:proofErr w:type="spellEnd"/>
      <w:r w:rsidRPr="00011CF1">
        <w:rPr>
          <w:sz w:val="20"/>
          <w:lang w:val="fr-FR"/>
        </w:rPr>
        <w:t>.  Sur le plan quantitatif, la courte durée de la saison de la pêche à l’</w:t>
      </w:r>
      <w:proofErr w:type="spellStart"/>
      <w:r w:rsidRPr="00011CF1">
        <w:rPr>
          <w:sz w:val="20"/>
          <w:lang w:val="fr-FR"/>
        </w:rPr>
        <w:t>eulakane</w:t>
      </w:r>
      <w:proofErr w:type="spellEnd"/>
      <w:r w:rsidRPr="00011CF1">
        <w:rPr>
          <w:sz w:val="20"/>
          <w:lang w:val="fr-FR"/>
        </w:rPr>
        <w:t xml:space="preserve"> et la méthode laborieuse d’extraction de la graisse avaient une valeur limitée par rapport à l’ensemble de la pêche </w:t>
      </w:r>
      <w:proofErr w:type="spellStart"/>
      <w:r w:rsidRPr="00011CF1">
        <w:rPr>
          <w:sz w:val="20"/>
          <w:lang w:val="fr-FR"/>
        </w:rPr>
        <w:t>précontact</w:t>
      </w:r>
      <w:proofErr w:type="spellEnd"/>
      <w:r w:rsidRPr="00011CF1">
        <w:rPr>
          <w:sz w:val="20"/>
          <w:lang w:val="fr-FR"/>
        </w:rPr>
        <w:t xml:space="preserve"> pratiquée par le peuple </w:t>
      </w:r>
      <w:proofErr w:type="spellStart"/>
      <w:r w:rsidRPr="00011CF1">
        <w:rPr>
          <w:sz w:val="20"/>
          <w:lang w:val="fr-FR"/>
        </w:rPr>
        <w:t>précontact</w:t>
      </w:r>
      <w:proofErr w:type="spellEnd"/>
      <w:r w:rsidRPr="00011CF1">
        <w:rPr>
          <w:sz w:val="20"/>
          <w:lang w:val="fr-FR"/>
        </w:rPr>
        <w:t xml:space="preserve"> vaillant et ingénieux.</w:t>
      </w:r>
    </w:p>
    <w:p w:rsidR="00CD6291" w:rsidRPr="00CD6291" w:rsidRDefault="00CD6291" w:rsidP="00CD6291">
      <w:pPr>
        <w:pStyle w:val="SCCNormalDoubleSpacing"/>
        <w:widowControl w:val="0"/>
        <w:spacing w:line="240" w:lineRule="auto"/>
        <w:rPr>
          <w:sz w:val="20"/>
          <w:lang w:val="fr-CA"/>
        </w:rPr>
      </w:pPr>
    </w:p>
    <w:p w:rsidR="00CD6291" w:rsidRPr="00CD6291" w:rsidRDefault="00CD6291" w:rsidP="00CD6291">
      <w:pPr>
        <w:pStyle w:val="SCCNormalDoubleSpacing"/>
        <w:widowControl w:val="0"/>
        <w:spacing w:line="240" w:lineRule="auto"/>
        <w:rPr>
          <w:sz w:val="20"/>
          <w:lang w:val="fr-CA"/>
        </w:rPr>
      </w:pPr>
      <w:r w:rsidRPr="00CD6291">
        <w:rPr>
          <w:sz w:val="20"/>
          <w:lang w:val="fr-CA"/>
        </w:rPr>
        <w:tab/>
        <w:t xml:space="preserve">En ce qui concerne la revendication de droits moindres, la conclusion que le commerce </w:t>
      </w:r>
      <w:r w:rsidRPr="00011CF1">
        <w:rPr>
          <w:sz w:val="20"/>
          <w:lang w:val="fr-FR"/>
        </w:rPr>
        <w:t>d’autres poissons que l’</w:t>
      </w:r>
      <w:proofErr w:type="spellStart"/>
      <w:r w:rsidRPr="00011CF1">
        <w:rPr>
          <w:sz w:val="20"/>
          <w:lang w:val="fr-FR"/>
        </w:rPr>
        <w:t>eulakane</w:t>
      </w:r>
      <w:proofErr w:type="spellEnd"/>
      <w:r w:rsidRPr="00011CF1">
        <w:rPr>
          <w:sz w:val="20"/>
          <w:lang w:val="fr-FR"/>
        </w:rPr>
        <w:t xml:space="preserve"> ne faisait pas partie intégrante de la société </w:t>
      </w:r>
      <w:proofErr w:type="spellStart"/>
      <w:r w:rsidRPr="00011CF1">
        <w:rPr>
          <w:sz w:val="20"/>
          <w:lang w:val="fr-FR"/>
        </w:rPr>
        <w:t>précontact</w:t>
      </w:r>
      <w:proofErr w:type="spellEnd"/>
      <w:r w:rsidRPr="00CD6291">
        <w:rPr>
          <w:sz w:val="20"/>
          <w:lang w:val="fr-CA"/>
        </w:rPr>
        <w:t xml:space="preserve"> portait </w:t>
      </w:r>
      <w:r w:rsidRPr="00011CF1">
        <w:rPr>
          <w:sz w:val="20"/>
          <w:lang w:val="fr-FR"/>
        </w:rPr>
        <w:t>un coup aussi fatal à cette revendication qu’à celle d’un droit commercial plus étendu</w:t>
      </w:r>
      <w:r w:rsidRPr="00CD6291">
        <w:rPr>
          <w:sz w:val="20"/>
          <w:lang w:val="fr-CA"/>
        </w:rPr>
        <w:t>.  De plus, si la revendication de droits moindres avait été justifiée, elle comportait</w:t>
      </w:r>
      <w:r w:rsidRPr="00011CF1">
        <w:rPr>
          <w:sz w:val="20"/>
          <w:lang w:val="fr-FR"/>
        </w:rPr>
        <w:t xml:space="preserve"> de nombreuses difficultés</w:t>
      </w:r>
      <w:r w:rsidRPr="00CD6291">
        <w:rPr>
          <w:sz w:val="20"/>
          <w:lang w:val="fr-CA"/>
        </w:rPr>
        <w:t xml:space="preserve">.  La Couronne avait le droit d’être informée correctement de ce qui était demandé et de mettre à l’épreuve les éléments présentés à l’appui, mais </w:t>
      </w:r>
      <w:r w:rsidRPr="00011CF1">
        <w:rPr>
          <w:sz w:val="20"/>
          <w:lang w:val="fr-FR"/>
        </w:rPr>
        <w:t xml:space="preserve">les actes de procédure et la preuve étaient centrés sur la revendication du droit de pêcher commercialement, et non de droits moindres.  </w:t>
      </w:r>
      <w:r w:rsidRPr="00CD6291">
        <w:rPr>
          <w:sz w:val="20"/>
          <w:lang w:val="fr-CA"/>
        </w:rPr>
        <w:t xml:space="preserve">On ne savait pas avec certitude ce que signifiait la revendication, comment elle serait mise en œuvre, quelle était la norme de prospérité proposée ni sur quel fondement elle serait établie.  Toutes ces questions avaient de très grandes conséquences sur la gestion des pêches. </w:t>
      </w:r>
    </w:p>
    <w:p w:rsidR="00CD6291" w:rsidRPr="00CD6291" w:rsidRDefault="00CD6291" w:rsidP="00CD6291">
      <w:pPr>
        <w:pStyle w:val="SCCNormalDoubleSpacing"/>
        <w:widowControl w:val="0"/>
        <w:spacing w:line="240" w:lineRule="auto"/>
        <w:rPr>
          <w:sz w:val="20"/>
          <w:lang w:val="fr-CA"/>
        </w:rPr>
      </w:pPr>
    </w:p>
    <w:p w:rsidR="00CD6291" w:rsidRPr="00CD6291" w:rsidRDefault="00CD6291" w:rsidP="00CD6291">
      <w:pPr>
        <w:pStyle w:val="SCCNormalDoubleSpacing"/>
        <w:widowControl w:val="0"/>
        <w:spacing w:line="240" w:lineRule="auto"/>
        <w:rPr>
          <w:sz w:val="20"/>
          <w:lang w:val="fr-CA"/>
        </w:rPr>
      </w:pPr>
      <w:r w:rsidRPr="00CD6291">
        <w:rPr>
          <w:sz w:val="20"/>
          <w:lang w:val="fr-CA"/>
        </w:rPr>
        <w:tab/>
        <w:t xml:space="preserve">En ce qui a trait à la revendication du droit ancestral de pêcher à des fins alimentaires, sociales et rituelles, les </w:t>
      </w:r>
      <w:proofErr w:type="spellStart"/>
      <w:r w:rsidRPr="00CD6291">
        <w:rPr>
          <w:sz w:val="20"/>
          <w:lang w:val="fr-CA"/>
        </w:rPr>
        <w:t>Lax</w:t>
      </w:r>
      <w:proofErr w:type="spellEnd"/>
      <w:r w:rsidRPr="00CD6291">
        <w:rPr>
          <w:sz w:val="20"/>
          <w:lang w:val="fr-CA"/>
        </w:rPr>
        <w:t xml:space="preserve"> </w:t>
      </w:r>
      <w:proofErr w:type="spellStart"/>
      <w:r w:rsidRPr="00CD6291">
        <w:rPr>
          <w:sz w:val="20"/>
          <w:lang w:val="fr-CA"/>
        </w:rPr>
        <w:t>Kw’alaams</w:t>
      </w:r>
      <w:proofErr w:type="spellEnd"/>
      <w:r w:rsidRPr="00CD6291">
        <w:rPr>
          <w:sz w:val="20"/>
          <w:lang w:val="fr-CA"/>
        </w:rPr>
        <w:t xml:space="preserve"> détiennent actuellement des permis de pêche communautaire des Autochtones à ces fins.  Leur droit ne semble pas être litigieux et, comme e</w:t>
      </w:r>
      <w:r w:rsidRPr="00011CF1">
        <w:rPr>
          <w:sz w:val="20"/>
          <w:lang w:val="fr-FR"/>
        </w:rPr>
        <w:t>n règle générale les tribunaux ne font pas de déclaration en l’absence de litige actuel, le refus de faire pareille déclaration relevait du pouvoir discrétionnaire de la juge du procès</w:t>
      </w:r>
      <w:r w:rsidRPr="00CD6291">
        <w:rPr>
          <w:sz w:val="20"/>
          <w:lang w:val="fr-CA"/>
        </w:rPr>
        <w:t>.</w:t>
      </w:r>
    </w:p>
    <w:p w:rsidR="00CD6291" w:rsidRDefault="00CD6291" w:rsidP="00CD6291">
      <w:pPr>
        <w:pStyle w:val="ParaNoNdepar-AltN"/>
        <w:widowControl w:val="0"/>
        <w:numPr>
          <w:ilvl w:val="0"/>
          <w:numId w:val="0"/>
        </w:numPr>
        <w:tabs>
          <w:tab w:val="left" w:pos="1170"/>
        </w:tabs>
        <w:spacing w:before="0" w:after="0" w:line="240" w:lineRule="auto"/>
        <w:rPr>
          <w:rFonts w:cs="Times New Roman"/>
          <w:sz w:val="20"/>
          <w:szCs w:val="20"/>
          <w:lang w:val="fr-CA"/>
        </w:rPr>
      </w:pPr>
    </w:p>
    <w:p w:rsidR="00CD6291" w:rsidRDefault="00CD6291" w:rsidP="00CD6291">
      <w:pPr>
        <w:pStyle w:val="ParaNoNdepar-AltN"/>
        <w:widowControl w:val="0"/>
        <w:numPr>
          <w:ilvl w:val="0"/>
          <w:numId w:val="0"/>
        </w:numPr>
        <w:spacing w:before="0" w:after="0" w:line="240" w:lineRule="auto"/>
        <w:rPr>
          <w:rFonts w:cs="Times New Roman"/>
          <w:sz w:val="20"/>
          <w:szCs w:val="20"/>
          <w:lang w:val="fr-CA"/>
        </w:rPr>
      </w:pPr>
      <w:r w:rsidRPr="00011CF1">
        <w:rPr>
          <w:rFonts w:cs="Times New Roman"/>
          <w:sz w:val="20"/>
          <w:szCs w:val="20"/>
          <w:lang w:val="fr-CA"/>
        </w:rPr>
        <w:tab/>
        <w:t xml:space="preserve">Les arguments </w:t>
      </w:r>
      <w:r w:rsidRPr="00011CF1">
        <w:rPr>
          <w:rFonts w:cs="Times New Roman"/>
          <w:sz w:val="20"/>
          <w:szCs w:val="20"/>
          <w:lang w:val="fr-FR"/>
        </w:rPr>
        <w:t>fondés sur des obligations fiduciaires ou l’honneur de la Couronne doivent forcément être rejetés puisqu’il n’existe aucun fondement factuel pertinent sur lequel les appuyer</w:t>
      </w:r>
      <w:r w:rsidRPr="00011CF1">
        <w:rPr>
          <w:rFonts w:cs="Times New Roman"/>
          <w:sz w:val="20"/>
          <w:szCs w:val="20"/>
          <w:lang w:val="fr-CA"/>
        </w:rPr>
        <w:t>.  La Couronne n’avait fait aucune promesse expresse ou implicite d’un quelconque droit préférentiel de pêcher commercialement et avait exprimé sans équivoque son intention d’accorder aux pêcheurs Autochtones le même traitement qu’aux autres pêcheurs.</w:t>
      </w:r>
    </w:p>
    <w:p w:rsidR="00CD6291" w:rsidRDefault="00CD6291" w:rsidP="00CD6291">
      <w:pPr>
        <w:pStyle w:val="ParaNoNdepar-AltN"/>
        <w:widowControl w:val="0"/>
        <w:numPr>
          <w:ilvl w:val="0"/>
          <w:numId w:val="0"/>
        </w:numPr>
        <w:tabs>
          <w:tab w:val="left" w:pos="1170"/>
        </w:tabs>
        <w:spacing w:before="0" w:after="0" w:line="240" w:lineRule="auto"/>
        <w:rPr>
          <w:rFonts w:cs="Times New Roman"/>
          <w:sz w:val="20"/>
          <w:szCs w:val="20"/>
          <w:lang w:val="fr-CA"/>
        </w:rPr>
      </w:pPr>
    </w:p>
    <w:p w:rsidR="00CD6291" w:rsidRPr="00CD6291" w:rsidRDefault="00CD6291" w:rsidP="00CD6291">
      <w:pPr>
        <w:pStyle w:val="SCCNormalDoubleSpacing"/>
        <w:spacing w:line="240" w:lineRule="auto"/>
        <w:rPr>
          <w:sz w:val="20"/>
          <w:lang w:val="fr-CA"/>
        </w:rPr>
      </w:pPr>
      <w:r w:rsidRPr="00CD6291">
        <w:rPr>
          <w:sz w:val="20"/>
          <w:lang w:val="fr-CA"/>
        </w:rPr>
        <w:tab/>
        <w:t xml:space="preserve">POURVOI contre un arrêt de la Cour d’appel de la </w:t>
      </w:r>
      <w:proofErr w:type="spellStart"/>
      <w:r w:rsidRPr="00CD6291">
        <w:rPr>
          <w:sz w:val="20"/>
          <w:lang w:val="fr-CA"/>
        </w:rPr>
        <w:t>Colombie</w:t>
      </w:r>
      <w:r w:rsidRPr="00CD6291">
        <w:rPr>
          <w:sz w:val="20"/>
          <w:lang w:val="fr-CA"/>
        </w:rPr>
        <w:noBreakHyphen/>
        <w:t>Britannique</w:t>
      </w:r>
      <w:proofErr w:type="spellEnd"/>
      <w:r w:rsidRPr="00CD6291">
        <w:rPr>
          <w:sz w:val="20"/>
          <w:lang w:val="fr-CA"/>
        </w:rPr>
        <w:t xml:space="preserve"> (les juges Newbury, Chiasson et Bennett), 2009 BCCA 593, 281 B.C.A.C. 88, 475 W.A.C. 88, 314 D.L.R. (4th) 385, [2010] 1 C.N.L.R. 278, [2009] B.C.J. No. 2556 (QL), 2009 </w:t>
      </w:r>
      <w:proofErr w:type="spellStart"/>
      <w:r w:rsidRPr="00CD6291">
        <w:rPr>
          <w:sz w:val="20"/>
          <w:lang w:val="fr-CA"/>
        </w:rPr>
        <w:t>CarswellBC</w:t>
      </w:r>
      <w:proofErr w:type="spellEnd"/>
      <w:r w:rsidRPr="00CD6291">
        <w:rPr>
          <w:sz w:val="20"/>
          <w:lang w:val="fr-CA"/>
        </w:rPr>
        <w:t xml:space="preserve"> 3479, qui a confirmé une décision de la juge </w:t>
      </w:r>
      <w:proofErr w:type="spellStart"/>
      <w:r w:rsidRPr="00CD6291">
        <w:rPr>
          <w:sz w:val="20"/>
          <w:lang w:val="fr-CA"/>
        </w:rPr>
        <w:t>Satanove</w:t>
      </w:r>
      <w:proofErr w:type="spellEnd"/>
      <w:r w:rsidRPr="00CD6291">
        <w:rPr>
          <w:sz w:val="20"/>
          <w:lang w:val="fr-CA"/>
        </w:rPr>
        <w:t xml:space="preserve">, 2008 BCSC 447, [2008] 3 C.N.L.R. 158, [2008] B.C.J. No. 652 (QL), 2008 </w:t>
      </w:r>
      <w:proofErr w:type="spellStart"/>
      <w:r w:rsidRPr="00CD6291">
        <w:rPr>
          <w:sz w:val="20"/>
          <w:lang w:val="fr-CA"/>
        </w:rPr>
        <w:t>CarswellBC</w:t>
      </w:r>
      <w:proofErr w:type="spellEnd"/>
      <w:r w:rsidRPr="00CD6291">
        <w:rPr>
          <w:sz w:val="20"/>
          <w:lang w:val="fr-CA"/>
        </w:rPr>
        <w:t xml:space="preserve"> 735.  Pourvoi rejeté.</w:t>
      </w:r>
    </w:p>
    <w:p w:rsidR="00CD6291" w:rsidRPr="00CD6291" w:rsidRDefault="00CD6291" w:rsidP="00CD6291">
      <w:pPr>
        <w:pStyle w:val="SCCNormalDoubleSpacing"/>
        <w:spacing w:line="240" w:lineRule="auto"/>
        <w:rPr>
          <w:sz w:val="20"/>
          <w:lang w:val="fr-CA"/>
        </w:rPr>
      </w:pPr>
    </w:p>
    <w:p w:rsidR="00CD6291" w:rsidRPr="00CD6291" w:rsidRDefault="00CD6291" w:rsidP="00CD6291">
      <w:pPr>
        <w:pStyle w:val="SCCNormalDoubleSpacing"/>
        <w:spacing w:line="240" w:lineRule="auto"/>
        <w:rPr>
          <w:sz w:val="20"/>
          <w:lang w:val="fr-CA"/>
        </w:rPr>
      </w:pPr>
      <w:r w:rsidRPr="00CD6291">
        <w:rPr>
          <w:i/>
          <w:sz w:val="20"/>
          <w:lang w:val="fr-CA"/>
        </w:rPr>
        <w:tab/>
        <w:t xml:space="preserve">John R. </w:t>
      </w:r>
      <w:proofErr w:type="spellStart"/>
      <w:r w:rsidRPr="00CD6291">
        <w:rPr>
          <w:i/>
          <w:sz w:val="20"/>
          <w:lang w:val="fr-CA"/>
        </w:rPr>
        <w:t>Rich</w:t>
      </w:r>
      <w:proofErr w:type="spellEnd"/>
      <w:r w:rsidRPr="00CD6291">
        <w:rPr>
          <w:sz w:val="20"/>
          <w:lang w:val="fr-CA"/>
        </w:rPr>
        <w:t xml:space="preserve">, </w:t>
      </w:r>
      <w:r w:rsidRPr="00CD6291">
        <w:rPr>
          <w:i/>
          <w:sz w:val="20"/>
          <w:lang w:val="fr-CA"/>
        </w:rPr>
        <w:t>F. Matthew Kirchner</w:t>
      </w:r>
      <w:r w:rsidRPr="00CD6291">
        <w:rPr>
          <w:sz w:val="20"/>
          <w:lang w:val="fr-CA"/>
        </w:rPr>
        <w:t xml:space="preserve"> et </w:t>
      </w:r>
      <w:r w:rsidRPr="00CD6291">
        <w:rPr>
          <w:i/>
          <w:sz w:val="20"/>
          <w:lang w:val="fr-CA"/>
        </w:rPr>
        <w:t xml:space="preserve">Lisa C. </w:t>
      </w:r>
      <w:proofErr w:type="spellStart"/>
      <w:r w:rsidRPr="00CD6291">
        <w:rPr>
          <w:i/>
          <w:sz w:val="20"/>
          <w:lang w:val="fr-CA"/>
        </w:rPr>
        <w:t>Glowacki</w:t>
      </w:r>
      <w:proofErr w:type="spellEnd"/>
      <w:r w:rsidRPr="00CD6291">
        <w:rPr>
          <w:sz w:val="20"/>
          <w:lang w:val="fr-CA"/>
        </w:rPr>
        <w:t>, pour les appelants.</w:t>
      </w:r>
    </w:p>
    <w:p w:rsidR="00CD6291" w:rsidRPr="00CD6291" w:rsidRDefault="00CD6291" w:rsidP="00CD6291">
      <w:pPr>
        <w:pStyle w:val="SCCNormalDoubleSpacing"/>
        <w:spacing w:line="240" w:lineRule="auto"/>
        <w:rPr>
          <w:sz w:val="20"/>
          <w:lang w:val="fr-CA"/>
        </w:rPr>
      </w:pPr>
    </w:p>
    <w:p w:rsidR="00CD6291" w:rsidRPr="00CD6291" w:rsidRDefault="00CD6291" w:rsidP="00CD6291">
      <w:pPr>
        <w:pStyle w:val="SCCNormalDoubleSpacing"/>
        <w:spacing w:line="240" w:lineRule="auto"/>
        <w:rPr>
          <w:sz w:val="20"/>
          <w:lang w:val="fr-CA"/>
        </w:rPr>
      </w:pPr>
      <w:r w:rsidRPr="00CD6291">
        <w:rPr>
          <w:i/>
          <w:sz w:val="20"/>
          <w:lang w:val="fr-CA"/>
        </w:rPr>
        <w:tab/>
        <w:t>Cheryl J. Tobias, c.r.</w:t>
      </w:r>
      <w:r w:rsidRPr="00CD6291">
        <w:rPr>
          <w:sz w:val="20"/>
          <w:lang w:val="fr-CA"/>
        </w:rPr>
        <w:t xml:space="preserve">, </w:t>
      </w:r>
      <w:proofErr w:type="spellStart"/>
      <w:r w:rsidRPr="00CD6291">
        <w:rPr>
          <w:i/>
          <w:sz w:val="20"/>
          <w:lang w:val="fr-CA"/>
        </w:rPr>
        <w:t>Sharlene</w:t>
      </w:r>
      <w:proofErr w:type="spellEnd"/>
      <w:r w:rsidRPr="00CD6291">
        <w:rPr>
          <w:i/>
          <w:sz w:val="20"/>
          <w:lang w:val="fr-CA"/>
        </w:rPr>
        <w:t xml:space="preserve"> </w:t>
      </w:r>
      <w:proofErr w:type="spellStart"/>
      <w:r w:rsidRPr="00CD6291">
        <w:rPr>
          <w:i/>
          <w:sz w:val="20"/>
          <w:lang w:val="fr-CA"/>
        </w:rPr>
        <w:t>Telles</w:t>
      </w:r>
      <w:r w:rsidRPr="00CD6291">
        <w:rPr>
          <w:i/>
          <w:sz w:val="20"/>
          <w:lang w:val="fr-CA"/>
        </w:rPr>
        <w:noBreakHyphen/>
        <w:t>Langdon</w:t>
      </w:r>
      <w:proofErr w:type="spellEnd"/>
      <w:r w:rsidRPr="00CD6291">
        <w:rPr>
          <w:sz w:val="20"/>
          <w:lang w:val="fr-CA"/>
        </w:rPr>
        <w:t xml:space="preserve"> et </w:t>
      </w:r>
      <w:r w:rsidRPr="00CD6291">
        <w:rPr>
          <w:i/>
          <w:sz w:val="20"/>
          <w:lang w:val="fr-CA"/>
        </w:rPr>
        <w:t>James M. Mackenzie</w:t>
      </w:r>
      <w:proofErr w:type="gramStart"/>
      <w:r w:rsidRPr="00CD6291">
        <w:rPr>
          <w:i/>
          <w:sz w:val="20"/>
          <w:lang w:val="fr-CA"/>
        </w:rPr>
        <w:t>,</w:t>
      </w:r>
      <w:r w:rsidRPr="00CD6291">
        <w:rPr>
          <w:sz w:val="20"/>
          <w:lang w:val="fr-CA"/>
        </w:rPr>
        <w:t>,</w:t>
      </w:r>
      <w:proofErr w:type="gramEnd"/>
      <w:r w:rsidRPr="00CD6291">
        <w:rPr>
          <w:sz w:val="20"/>
          <w:lang w:val="fr-CA"/>
        </w:rPr>
        <w:t xml:space="preserve"> pour l’intimé le procureur général du Canada.</w:t>
      </w:r>
    </w:p>
    <w:p w:rsidR="00CD6291" w:rsidRPr="00CD6291" w:rsidRDefault="00CD6291" w:rsidP="00CD6291">
      <w:pPr>
        <w:pStyle w:val="SCCNormalDoubleSpacing"/>
        <w:spacing w:line="240" w:lineRule="auto"/>
        <w:rPr>
          <w:sz w:val="20"/>
          <w:lang w:val="fr-CA"/>
        </w:rPr>
      </w:pPr>
    </w:p>
    <w:p w:rsidR="00CD6291" w:rsidRPr="00CD6291" w:rsidRDefault="00CD6291" w:rsidP="00CD6291">
      <w:pPr>
        <w:pStyle w:val="SCCNormalDoubleSpacing"/>
        <w:spacing w:line="240" w:lineRule="auto"/>
        <w:rPr>
          <w:sz w:val="20"/>
          <w:lang w:val="fr-CA"/>
        </w:rPr>
      </w:pPr>
      <w:r w:rsidRPr="00CD6291">
        <w:rPr>
          <w:i/>
          <w:sz w:val="20"/>
          <w:lang w:val="fr-CA"/>
        </w:rPr>
        <w:tab/>
        <w:t>Patrick G. Foy, c.r.</w:t>
      </w:r>
      <w:r w:rsidRPr="00CD6291">
        <w:rPr>
          <w:sz w:val="20"/>
          <w:lang w:val="fr-CA"/>
        </w:rPr>
        <w:t xml:space="preserve">, pour l’intimée Sa Majesté la Reine du chef de la Province de la </w:t>
      </w:r>
      <w:proofErr w:type="spellStart"/>
      <w:r w:rsidRPr="00CD6291">
        <w:rPr>
          <w:sz w:val="20"/>
          <w:lang w:val="fr-CA"/>
        </w:rPr>
        <w:t>Colombie</w:t>
      </w:r>
      <w:r w:rsidRPr="00CD6291">
        <w:rPr>
          <w:sz w:val="20"/>
          <w:lang w:val="fr-CA"/>
        </w:rPr>
        <w:noBreakHyphen/>
        <w:t>Britannique</w:t>
      </w:r>
      <w:proofErr w:type="spellEnd"/>
      <w:r w:rsidRPr="00CD6291">
        <w:rPr>
          <w:sz w:val="20"/>
          <w:lang w:val="fr-CA"/>
        </w:rPr>
        <w:t>.</w:t>
      </w:r>
    </w:p>
    <w:p w:rsidR="00CD6291" w:rsidRPr="00CD6291" w:rsidRDefault="00CD6291" w:rsidP="00CD6291">
      <w:pPr>
        <w:pStyle w:val="SCCNormalDoubleSpacing"/>
        <w:spacing w:line="240" w:lineRule="auto"/>
        <w:rPr>
          <w:sz w:val="20"/>
          <w:lang w:val="fr-CA"/>
        </w:rPr>
      </w:pPr>
    </w:p>
    <w:p w:rsidR="00CD6291" w:rsidRPr="00CD6291" w:rsidRDefault="00CD6291" w:rsidP="00CD6291">
      <w:pPr>
        <w:pStyle w:val="SCCNormalDoubleSpacing"/>
        <w:spacing w:line="240" w:lineRule="auto"/>
        <w:rPr>
          <w:sz w:val="20"/>
          <w:lang w:val="fr-CA"/>
        </w:rPr>
      </w:pPr>
      <w:r w:rsidRPr="00CD6291">
        <w:rPr>
          <w:i/>
          <w:sz w:val="20"/>
          <w:lang w:val="fr-CA"/>
        </w:rPr>
        <w:tab/>
      </w:r>
      <w:proofErr w:type="spellStart"/>
      <w:r w:rsidRPr="00CD6291">
        <w:rPr>
          <w:i/>
          <w:sz w:val="20"/>
          <w:lang w:val="fr-CA"/>
        </w:rPr>
        <w:t>Malliha</w:t>
      </w:r>
      <w:proofErr w:type="spellEnd"/>
      <w:r w:rsidRPr="00CD6291">
        <w:rPr>
          <w:i/>
          <w:sz w:val="20"/>
          <w:lang w:val="fr-CA"/>
        </w:rPr>
        <w:t xml:space="preserve"> Wilson</w:t>
      </w:r>
      <w:r w:rsidRPr="00CD6291">
        <w:rPr>
          <w:sz w:val="20"/>
          <w:lang w:val="fr-CA"/>
        </w:rPr>
        <w:t xml:space="preserve"> et </w:t>
      </w:r>
      <w:r w:rsidRPr="00CD6291">
        <w:rPr>
          <w:i/>
          <w:sz w:val="20"/>
          <w:lang w:val="fr-CA"/>
        </w:rPr>
        <w:t>Michael E. Burke</w:t>
      </w:r>
      <w:r w:rsidRPr="00CD6291">
        <w:rPr>
          <w:sz w:val="20"/>
          <w:lang w:val="fr-CA"/>
        </w:rPr>
        <w:t>, pour l'intervenant le procureur général de l'Ontario.</w:t>
      </w:r>
    </w:p>
    <w:p w:rsidR="00CD6291" w:rsidRPr="00CD6291" w:rsidRDefault="00CD6291" w:rsidP="00CD6291">
      <w:pPr>
        <w:pStyle w:val="SCCNormalDoubleSpacing"/>
        <w:spacing w:line="240" w:lineRule="auto"/>
        <w:rPr>
          <w:sz w:val="20"/>
          <w:lang w:val="fr-CA"/>
        </w:rPr>
      </w:pPr>
    </w:p>
    <w:p w:rsidR="00CD6291" w:rsidRPr="00CD6291" w:rsidRDefault="00CD6291" w:rsidP="00CD6291">
      <w:pPr>
        <w:pStyle w:val="SCCNormalDoubleSpacing"/>
        <w:spacing w:line="240" w:lineRule="auto"/>
        <w:rPr>
          <w:sz w:val="20"/>
          <w:lang w:val="fr-CA"/>
        </w:rPr>
      </w:pPr>
      <w:r w:rsidRPr="00CD6291">
        <w:rPr>
          <w:i/>
          <w:sz w:val="20"/>
          <w:lang w:val="fr-CA"/>
        </w:rPr>
        <w:tab/>
        <w:t xml:space="preserve">Maria </w:t>
      </w:r>
      <w:proofErr w:type="spellStart"/>
      <w:r w:rsidRPr="00CD6291">
        <w:rPr>
          <w:i/>
          <w:sz w:val="20"/>
          <w:lang w:val="fr-CA"/>
        </w:rPr>
        <w:t>Morellato</w:t>
      </w:r>
      <w:proofErr w:type="spellEnd"/>
      <w:r w:rsidRPr="00CD6291">
        <w:rPr>
          <w:i/>
          <w:sz w:val="20"/>
          <w:lang w:val="fr-CA"/>
        </w:rPr>
        <w:t>, c.r.,</w:t>
      </w:r>
      <w:r w:rsidRPr="00CD6291">
        <w:rPr>
          <w:sz w:val="20"/>
          <w:lang w:val="fr-CA"/>
        </w:rPr>
        <w:t xml:space="preserve"> et </w:t>
      </w:r>
      <w:r w:rsidRPr="00CD6291">
        <w:rPr>
          <w:i/>
          <w:sz w:val="20"/>
          <w:lang w:val="fr-CA"/>
        </w:rPr>
        <w:t xml:space="preserve">Cheryl </w:t>
      </w:r>
      <w:proofErr w:type="spellStart"/>
      <w:r w:rsidRPr="00CD6291">
        <w:rPr>
          <w:i/>
          <w:sz w:val="20"/>
          <w:lang w:val="fr-CA"/>
        </w:rPr>
        <w:t>Sharvit</w:t>
      </w:r>
      <w:proofErr w:type="spellEnd"/>
      <w:r w:rsidRPr="00CD6291">
        <w:rPr>
          <w:sz w:val="20"/>
          <w:lang w:val="fr-CA"/>
        </w:rPr>
        <w:t xml:space="preserve">, pour l’intervenante la Bande de </w:t>
      </w:r>
      <w:proofErr w:type="spellStart"/>
      <w:r w:rsidRPr="00CD6291">
        <w:rPr>
          <w:sz w:val="20"/>
          <w:lang w:val="fr-CA"/>
        </w:rPr>
        <w:t>Metlakatla</w:t>
      </w:r>
      <w:proofErr w:type="spellEnd"/>
      <w:r w:rsidRPr="00CD6291">
        <w:rPr>
          <w:sz w:val="20"/>
          <w:lang w:val="fr-CA"/>
        </w:rPr>
        <w:t>.</w:t>
      </w:r>
    </w:p>
    <w:p w:rsidR="00CD6291" w:rsidRPr="00CD6291" w:rsidRDefault="00CD6291" w:rsidP="00CD6291">
      <w:pPr>
        <w:pStyle w:val="SCCNormalDoubleSpacing"/>
        <w:spacing w:line="240" w:lineRule="auto"/>
        <w:rPr>
          <w:sz w:val="20"/>
          <w:lang w:val="fr-CA"/>
        </w:rPr>
      </w:pPr>
    </w:p>
    <w:p w:rsidR="00CD6291" w:rsidRPr="00CD6291" w:rsidRDefault="00CD6291" w:rsidP="00CD6291">
      <w:pPr>
        <w:pStyle w:val="SCCNormalDoubleSpacing"/>
        <w:spacing w:line="240" w:lineRule="auto"/>
        <w:rPr>
          <w:sz w:val="20"/>
          <w:lang w:val="fr-CA"/>
        </w:rPr>
      </w:pPr>
      <w:r w:rsidRPr="00CD6291">
        <w:rPr>
          <w:i/>
          <w:sz w:val="20"/>
          <w:lang w:val="fr-CA"/>
        </w:rPr>
        <w:tab/>
        <w:t xml:space="preserve">J. Keith </w:t>
      </w:r>
      <w:proofErr w:type="spellStart"/>
      <w:r w:rsidRPr="00CD6291">
        <w:rPr>
          <w:i/>
          <w:sz w:val="20"/>
          <w:lang w:val="fr-CA"/>
        </w:rPr>
        <w:t>Lowes</w:t>
      </w:r>
      <w:proofErr w:type="spellEnd"/>
      <w:r w:rsidRPr="00CD6291">
        <w:rPr>
          <w:sz w:val="20"/>
          <w:lang w:val="fr-CA"/>
        </w:rPr>
        <w:t xml:space="preserve">, pour les intervenantes B.C. </w:t>
      </w:r>
      <w:proofErr w:type="spellStart"/>
      <w:r w:rsidRPr="00CD6291">
        <w:rPr>
          <w:sz w:val="20"/>
          <w:lang w:val="fr-CA"/>
        </w:rPr>
        <w:t>Wildlife</w:t>
      </w:r>
      <w:proofErr w:type="spellEnd"/>
      <w:r w:rsidRPr="00CD6291">
        <w:rPr>
          <w:sz w:val="20"/>
          <w:lang w:val="fr-CA"/>
        </w:rPr>
        <w:t xml:space="preserve"> </w:t>
      </w:r>
      <w:proofErr w:type="spellStart"/>
      <w:r w:rsidRPr="00CD6291">
        <w:rPr>
          <w:sz w:val="20"/>
          <w:lang w:val="fr-CA"/>
        </w:rPr>
        <w:t>Federation</w:t>
      </w:r>
      <w:proofErr w:type="spellEnd"/>
      <w:r w:rsidRPr="00CD6291">
        <w:rPr>
          <w:sz w:val="20"/>
          <w:lang w:val="fr-CA"/>
        </w:rPr>
        <w:t xml:space="preserve"> et B.C. </w:t>
      </w:r>
      <w:proofErr w:type="spellStart"/>
      <w:r w:rsidRPr="00CD6291">
        <w:rPr>
          <w:sz w:val="20"/>
          <w:lang w:val="fr-CA"/>
        </w:rPr>
        <w:t>Seafood</w:t>
      </w:r>
      <w:proofErr w:type="spellEnd"/>
      <w:r w:rsidRPr="00CD6291">
        <w:rPr>
          <w:sz w:val="20"/>
          <w:lang w:val="fr-CA"/>
        </w:rPr>
        <w:t xml:space="preserve"> Alliance.</w:t>
      </w:r>
    </w:p>
    <w:p w:rsidR="00CD6291" w:rsidRPr="00CD6291" w:rsidRDefault="00CD6291" w:rsidP="00CD6291">
      <w:pPr>
        <w:pStyle w:val="SCCNormalDoubleSpacing"/>
        <w:spacing w:line="240" w:lineRule="auto"/>
        <w:rPr>
          <w:sz w:val="20"/>
          <w:lang w:val="fr-CA"/>
        </w:rPr>
      </w:pPr>
    </w:p>
    <w:p w:rsidR="00CD6291" w:rsidRPr="00CD6291" w:rsidRDefault="00CD6291" w:rsidP="00CD6291">
      <w:pPr>
        <w:pStyle w:val="SCCNormalDoubleSpacing"/>
        <w:spacing w:line="240" w:lineRule="auto"/>
        <w:rPr>
          <w:sz w:val="20"/>
          <w:lang w:val="fr-CA"/>
        </w:rPr>
      </w:pPr>
      <w:r w:rsidRPr="00CD6291">
        <w:rPr>
          <w:i/>
          <w:sz w:val="20"/>
          <w:lang w:val="fr-CA"/>
        </w:rPr>
        <w:tab/>
        <w:t>David M. Robbins</w:t>
      </w:r>
      <w:r w:rsidRPr="00CD6291">
        <w:rPr>
          <w:sz w:val="20"/>
          <w:lang w:val="fr-CA"/>
        </w:rPr>
        <w:t xml:space="preserve"> et </w:t>
      </w:r>
      <w:r w:rsidRPr="00CD6291">
        <w:rPr>
          <w:i/>
          <w:sz w:val="20"/>
          <w:lang w:val="fr-CA"/>
        </w:rPr>
        <w:t>Jay Nelson</w:t>
      </w:r>
      <w:r w:rsidRPr="00CD6291">
        <w:rPr>
          <w:sz w:val="20"/>
          <w:lang w:val="fr-CA"/>
        </w:rPr>
        <w:t xml:space="preserve">, pour l’intervenante la Nation </w:t>
      </w:r>
      <w:proofErr w:type="spellStart"/>
      <w:r w:rsidRPr="00CD6291">
        <w:rPr>
          <w:sz w:val="20"/>
          <w:lang w:val="fr-CA"/>
        </w:rPr>
        <w:t>Gitxaala</w:t>
      </w:r>
      <w:proofErr w:type="spellEnd"/>
      <w:r w:rsidRPr="00CD6291">
        <w:rPr>
          <w:sz w:val="20"/>
          <w:lang w:val="fr-CA"/>
        </w:rPr>
        <w:t>.</w:t>
      </w:r>
    </w:p>
    <w:p w:rsidR="00CD6291" w:rsidRPr="00CD6291" w:rsidRDefault="00CD6291" w:rsidP="00CD6291">
      <w:pPr>
        <w:pStyle w:val="SCCNormalDoubleSpacing"/>
        <w:spacing w:line="240" w:lineRule="auto"/>
        <w:rPr>
          <w:sz w:val="20"/>
          <w:lang w:val="fr-CA"/>
        </w:rPr>
      </w:pPr>
    </w:p>
    <w:p w:rsidR="00CD6291" w:rsidRPr="00CD6291" w:rsidRDefault="00CD6291" w:rsidP="00CD6291">
      <w:pPr>
        <w:pStyle w:val="SCCNormalDoubleSpacing"/>
        <w:spacing w:line="240" w:lineRule="auto"/>
        <w:rPr>
          <w:sz w:val="20"/>
          <w:lang w:val="fr-CA"/>
        </w:rPr>
      </w:pPr>
      <w:r w:rsidRPr="00CD6291">
        <w:rPr>
          <w:i/>
          <w:sz w:val="20"/>
          <w:lang w:val="fr-CA"/>
        </w:rPr>
        <w:tab/>
        <w:t xml:space="preserve">Robert J. M. </w:t>
      </w:r>
      <w:proofErr w:type="spellStart"/>
      <w:r w:rsidRPr="00CD6291">
        <w:rPr>
          <w:i/>
          <w:sz w:val="20"/>
          <w:lang w:val="fr-CA"/>
        </w:rPr>
        <w:t>Janes</w:t>
      </w:r>
      <w:proofErr w:type="spellEnd"/>
      <w:r w:rsidRPr="00CD6291">
        <w:rPr>
          <w:sz w:val="20"/>
          <w:lang w:val="fr-CA"/>
        </w:rPr>
        <w:t xml:space="preserve"> et </w:t>
      </w:r>
      <w:r w:rsidRPr="00CD6291">
        <w:rPr>
          <w:i/>
          <w:sz w:val="20"/>
          <w:lang w:val="fr-CA"/>
        </w:rPr>
        <w:t>Sarah E. Sharp</w:t>
      </w:r>
      <w:r w:rsidRPr="00CD6291">
        <w:rPr>
          <w:sz w:val="20"/>
          <w:lang w:val="fr-CA"/>
        </w:rPr>
        <w:t xml:space="preserve">, pour l’intervenante l’Association du traité des </w:t>
      </w:r>
      <w:proofErr w:type="spellStart"/>
      <w:r w:rsidRPr="00CD6291">
        <w:rPr>
          <w:sz w:val="20"/>
          <w:lang w:val="fr-CA"/>
        </w:rPr>
        <w:t>Te’Mexw</w:t>
      </w:r>
      <w:proofErr w:type="spellEnd"/>
      <w:r w:rsidRPr="00CD6291">
        <w:rPr>
          <w:sz w:val="20"/>
          <w:lang w:val="fr-CA"/>
        </w:rPr>
        <w:t>.</w:t>
      </w:r>
    </w:p>
    <w:p w:rsidR="00CD6291" w:rsidRPr="00CD6291" w:rsidRDefault="00CD6291" w:rsidP="00CD6291">
      <w:pPr>
        <w:pStyle w:val="SCCLawFirm"/>
        <w:spacing w:line="240" w:lineRule="auto"/>
        <w:rPr>
          <w:i w:val="0"/>
          <w:sz w:val="20"/>
          <w:lang w:val="fr-CA"/>
        </w:rPr>
      </w:pPr>
    </w:p>
    <w:p w:rsidR="00CD6291" w:rsidRPr="00CD6291" w:rsidRDefault="00CD6291" w:rsidP="00CD6291">
      <w:pPr>
        <w:pStyle w:val="SCCLawFirm"/>
        <w:spacing w:line="240" w:lineRule="auto"/>
        <w:rPr>
          <w:sz w:val="20"/>
          <w:lang w:val="fr-CA"/>
        </w:rPr>
      </w:pPr>
      <w:r w:rsidRPr="00CD6291">
        <w:rPr>
          <w:sz w:val="20"/>
          <w:lang w:val="fr-CA"/>
        </w:rPr>
        <w:tab/>
        <w:t>Procureurs des appelants : </w:t>
      </w:r>
      <w:proofErr w:type="spellStart"/>
      <w:r w:rsidRPr="00CD6291">
        <w:rPr>
          <w:sz w:val="20"/>
          <w:lang w:val="fr-CA"/>
        </w:rPr>
        <w:t>Ratcliff</w:t>
      </w:r>
      <w:proofErr w:type="spellEnd"/>
      <w:r w:rsidRPr="00CD6291">
        <w:rPr>
          <w:sz w:val="20"/>
          <w:lang w:val="fr-CA"/>
        </w:rPr>
        <w:t xml:space="preserve"> &amp; </w:t>
      </w:r>
      <w:proofErr w:type="spellStart"/>
      <w:r w:rsidRPr="00CD6291">
        <w:rPr>
          <w:sz w:val="20"/>
          <w:lang w:val="fr-CA"/>
        </w:rPr>
        <w:t>Company</w:t>
      </w:r>
      <w:proofErr w:type="spellEnd"/>
      <w:r w:rsidRPr="00CD6291">
        <w:rPr>
          <w:sz w:val="20"/>
          <w:lang w:val="fr-CA"/>
        </w:rPr>
        <w:t xml:space="preserve">, </w:t>
      </w:r>
      <w:proofErr w:type="spellStart"/>
      <w:r w:rsidRPr="00CD6291">
        <w:rPr>
          <w:sz w:val="20"/>
          <w:lang w:val="fr-CA"/>
        </w:rPr>
        <w:t>North</w:t>
      </w:r>
      <w:proofErr w:type="spellEnd"/>
      <w:r w:rsidRPr="00CD6291">
        <w:rPr>
          <w:sz w:val="20"/>
          <w:lang w:val="fr-CA"/>
        </w:rPr>
        <w:t xml:space="preserve"> Vancouver.</w:t>
      </w:r>
    </w:p>
    <w:p w:rsidR="00CD6291" w:rsidRPr="00CD6291" w:rsidRDefault="00CD6291" w:rsidP="00CD6291">
      <w:pPr>
        <w:pStyle w:val="SCCLawFirm"/>
        <w:spacing w:line="240" w:lineRule="auto"/>
        <w:rPr>
          <w:i w:val="0"/>
          <w:sz w:val="20"/>
          <w:lang w:val="fr-CA"/>
        </w:rPr>
      </w:pPr>
    </w:p>
    <w:p w:rsidR="00CD6291" w:rsidRPr="00CD6291" w:rsidRDefault="00CD6291" w:rsidP="00CD6291">
      <w:pPr>
        <w:pStyle w:val="SCCLawFirm"/>
        <w:spacing w:line="240" w:lineRule="auto"/>
        <w:rPr>
          <w:sz w:val="20"/>
          <w:lang w:val="fr-CA"/>
        </w:rPr>
      </w:pPr>
      <w:r w:rsidRPr="00CD6291">
        <w:rPr>
          <w:sz w:val="20"/>
          <w:lang w:val="fr-CA"/>
        </w:rPr>
        <w:tab/>
        <w:t>Procureur de l’intimé le procureur général du Canada : Ministère de la Justice, Vancouver.</w:t>
      </w:r>
    </w:p>
    <w:p w:rsidR="00CD6291" w:rsidRPr="00CD6291" w:rsidRDefault="00CD6291" w:rsidP="00CD6291">
      <w:pPr>
        <w:pStyle w:val="SCCLawFirm"/>
        <w:spacing w:line="240" w:lineRule="auto"/>
        <w:rPr>
          <w:i w:val="0"/>
          <w:sz w:val="20"/>
          <w:lang w:val="fr-CA"/>
        </w:rPr>
      </w:pPr>
    </w:p>
    <w:p w:rsidR="00CD6291" w:rsidRPr="00CD6291" w:rsidRDefault="00CD6291" w:rsidP="00CD6291">
      <w:pPr>
        <w:pStyle w:val="SCCLawFirm"/>
        <w:spacing w:line="240" w:lineRule="auto"/>
        <w:rPr>
          <w:sz w:val="20"/>
          <w:lang w:val="fr-CA"/>
        </w:rPr>
      </w:pPr>
      <w:r w:rsidRPr="00CD6291">
        <w:rPr>
          <w:sz w:val="20"/>
          <w:lang w:val="fr-CA"/>
        </w:rPr>
        <w:tab/>
        <w:t xml:space="preserve">Procureur de l’intimée Sa Majesté la Reine du Chef de la Province de la </w:t>
      </w:r>
      <w:proofErr w:type="spellStart"/>
      <w:r w:rsidRPr="00CD6291">
        <w:rPr>
          <w:sz w:val="20"/>
          <w:lang w:val="fr-CA"/>
        </w:rPr>
        <w:t>Colombie</w:t>
      </w:r>
      <w:r w:rsidRPr="00CD6291">
        <w:rPr>
          <w:sz w:val="20"/>
          <w:lang w:val="fr-CA"/>
        </w:rPr>
        <w:noBreakHyphen/>
        <w:t>Britannique</w:t>
      </w:r>
      <w:proofErr w:type="spellEnd"/>
      <w:r w:rsidRPr="00CD6291">
        <w:rPr>
          <w:sz w:val="20"/>
          <w:lang w:val="fr-CA"/>
        </w:rPr>
        <w:t xml:space="preserve"> : Procureur général de la </w:t>
      </w:r>
      <w:proofErr w:type="spellStart"/>
      <w:r w:rsidRPr="00CD6291">
        <w:rPr>
          <w:sz w:val="20"/>
          <w:lang w:val="fr-CA"/>
        </w:rPr>
        <w:t>Colombie</w:t>
      </w:r>
      <w:r w:rsidRPr="00CD6291">
        <w:rPr>
          <w:sz w:val="20"/>
          <w:lang w:val="fr-CA"/>
        </w:rPr>
        <w:noBreakHyphen/>
        <w:t>Britannique</w:t>
      </w:r>
      <w:proofErr w:type="spellEnd"/>
      <w:r w:rsidRPr="00CD6291">
        <w:rPr>
          <w:sz w:val="20"/>
          <w:lang w:val="fr-CA"/>
        </w:rPr>
        <w:t>, Victoria.</w:t>
      </w:r>
    </w:p>
    <w:p w:rsidR="00CD6291" w:rsidRPr="00CD6291" w:rsidRDefault="00CD6291" w:rsidP="00CD6291">
      <w:pPr>
        <w:pStyle w:val="SCCLawFirm"/>
        <w:spacing w:line="240" w:lineRule="auto"/>
        <w:rPr>
          <w:i w:val="0"/>
          <w:sz w:val="20"/>
          <w:lang w:val="fr-CA"/>
        </w:rPr>
      </w:pPr>
    </w:p>
    <w:p w:rsidR="00CD6291" w:rsidRPr="00CD6291" w:rsidRDefault="00CD6291" w:rsidP="00CD6291">
      <w:pPr>
        <w:pStyle w:val="SCCLawFirm"/>
        <w:spacing w:line="240" w:lineRule="auto"/>
        <w:rPr>
          <w:sz w:val="20"/>
          <w:lang w:val="fr-CA"/>
        </w:rPr>
      </w:pPr>
      <w:r w:rsidRPr="00CD6291">
        <w:rPr>
          <w:sz w:val="20"/>
          <w:lang w:val="fr-CA"/>
        </w:rPr>
        <w:lastRenderedPageBreak/>
        <w:tab/>
        <w:t>Procureur de l’intervenant le procureur général de l’Ontario : Procureur général de l’Ontario, Toronto.</w:t>
      </w:r>
    </w:p>
    <w:p w:rsidR="00CD6291" w:rsidRPr="00CD6291" w:rsidRDefault="00CD6291" w:rsidP="00CD6291">
      <w:pPr>
        <w:pStyle w:val="SCCLawFirm"/>
        <w:spacing w:line="240" w:lineRule="auto"/>
        <w:rPr>
          <w:i w:val="0"/>
          <w:sz w:val="20"/>
          <w:lang w:val="fr-CA"/>
        </w:rPr>
      </w:pPr>
    </w:p>
    <w:p w:rsidR="00CD6291" w:rsidRPr="00CD6291" w:rsidRDefault="00CD6291" w:rsidP="00CD6291">
      <w:pPr>
        <w:pStyle w:val="SCCLawFirm"/>
        <w:spacing w:line="240" w:lineRule="auto"/>
        <w:rPr>
          <w:sz w:val="20"/>
          <w:lang w:val="fr-CA"/>
        </w:rPr>
      </w:pPr>
      <w:r w:rsidRPr="00CD6291">
        <w:rPr>
          <w:sz w:val="20"/>
          <w:lang w:val="fr-CA"/>
        </w:rPr>
        <w:tab/>
        <w:t xml:space="preserve">Procureurs de l’intervenante la Bande de </w:t>
      </w:r>
      <w:proofErr w:type="spellStart"/>
      <w:r w:rsidRPr="00CD6291">
        <w:rPr>
          <w:sz w:val="20"/>
          <w:lang w:val="fr-CA"/>
        </w:rPr>
        <w:t>Metlakatla</w:t>
      </w:r>
      <w:proofErr w:type="spellEnd"/>
      <w:r w:rsidRPr="00CD6291">
        <w:rPr>
          <w:sz w:val="20"/>
          <w:lang w:val="fr-CA"/>
        </w:rPr>
        <w:t> : </w:t>
      </w:r>
      <w:proofErr w:type="spellStart"/>
      <w:r w:rsidRPr="00CD6291">
        <w:rPr>
          <w:sz w:val="20"/>
          <w:lang w:val="fr-CA"/>
        </w:rPr>
        <w:t>Mandell</w:t>
      </w:r>
      <w:proofErr w:type="spellEnd"/>
      <w:r w:rsidRPr="00CD6291">
        <w:rPr>
          <w:sz w:val="20"/>
          <w:lang w:val="fr-CA"/>
        </w:rPr>
        <w:t xml:space="preserve"> </w:t>
      </w:r>
      <w:proofErr w:type="spellStart"/>
      <w:r w:rsidRPr="00CD6291">
        <w:rPr>
          <w:sz w:val="20"/>
          <w:lang w:val="fr-CA"/>
        </w:rPr>
        <w:t>Pinder</w:t>
      </w:r>
      <w:proofErr w:type="spellEnd"/>
      <w:r w:rsidRPr="00CD6291">
        <w:rPr>
          <w:sz w:val="20"/>
          <w:lang w:val="fr-CA"/>
        </w:rPr>
        <w:t>, Vancouver.</w:t>
      </w:r>
    </w:p>
    <w:p w:rsidR="00CD6291" w:rsidRPr="00CD6291" w:rsidRDefault="00CD6291" w:rsidP="00CD6291">
      <w:pPr>
        <w:pStyle w:val="SCCLawFirm"/>
        <w:spacing w:line="240" w:lineRule="auto"/>
        <w:rPr>
          <w:i w:val="0"/>
          <w:sz w:val="20"/>
          <w:lang w:val="fr-CA"/>
        </w:rPr>
      </w:pPr>
    </w:p>
    <w:p w:rsidR="00CD6291" w:rsidRPr="00CD6291" w:rsidRDefault="00CD6291" w:rsidP="00CD6291">
      <w:pPr>
        <w:pStyle w:val="SCCLawFirm"/>
        <w:spacing w:line="240" w:lineRule="auto"/>
        <w:rPr>
          <w:sz w:val="20"/>
          <w:lang w:val="fr-CA"/>
        </w:rPr>
      </w:pPr>
      <w:r w:rsidRPr="00CD6291">
        <w:rPr>
          <w:sz w:val="20"/>
          <w:lang w:val="fr-CA"/>
        </w:rPr>
        <w:tab/>
        <w:t xml:space="preserve">Procureur des intervenantes B.C. </w:t>
      </w:r>
      <w:proofErr w:type="spellStart"/>
      <w:r w:rsidRPr="00CD6291">
        <w:rPr>
          <w:sz w:val="20"/>
          <w:lang w:val="fr-CA"/>
        </w:rPr>
        <w:t>Wildlife</w:t>
      </w:r>
      <w:proofErr w:type="spellEnd"/>
      <w:r w:rsidRPr="00CD6291">
        <w:rPr>
          <w:sz w:val="20"/>
          <w:lang w:val="fr-CA"/>
        </w:rPr>
        <w:t xml:space="preserve"> </w:t>
      </w:r>
      <w:proofErr w:type="spellStart"/>
      <w:r w:rsidRPr="00CD6291">
        <w:rPr>
          <w:sz w:val="20"/>
          <w:lang w:val="fr-CA"/>
        </w:rPr>
        <w:t>Federation</w:t>
      </w:r>
      <w:proofErr w:type="spellEnd"/>
      <w:r w:rsidRPr="00CD6291">
        <w:rPr>
          <w:sz w:val="20"/>
          <w:lang w:val="fr-CA"/>
        </w:rPr>
        <w:t xml:space="preserve"> et B.C. </w:t>
      </w:r>
      <w:proofErr w:type="spellStart"/>
      <w:r w:rsidRPr="00CD6291">
        <w:rPr>
          <w:sz w:val="20"/>
          <w:lang w:val="fr-CA"/>
        </w:rPr>
        <w:t>Seafood</w:t>
      </w:r>
      <w:proofErr w:type="spellEnd"/>
      <w:r w:rsidRPr="00CD6291">
        <w:rPr>
          <w:sz w:val="20"/>
          <w:lang w:val="fr-CA"/>
        </w:rPr>
        <w:t xml:space="preserve"> Alliance : J. Keith </w:t>
      </w:r>
      <w:proofErr w:type="spellStart"/>
      <w:r w:rsidRPr="00CD6291">
        <w:rPr>
          <w:sz w:val="20"/>
          <w:lang w:val="fr-CA"/>
        </w:rPr>
        <w:t>Lowes</w:t>
      </w:r>
      <w:proofErr w:type="spellEnd"/>
      <w:r w:rsidRPr="00CD6291">
        <w:rPr>
          <w:sz w:val="20"/>
          <w:lang w:val="fr-CA"/>
        </w:rPr>
        <w:t>, Vancouver.</w:t>
      </w:r>
    </w:p>
    <w:p w:rsidR="00CD6291" w:rsidRPr="00CD6291" w:rsidRDefault="00CD6291" w:rsidP="00CD6291">
      <w:pPr>
        <w:pStyle w:val="SCCLawFirm"/>
        <w:spacing w:line="240" w:lineRule="auto"/>
        <w:rPr>
          <w:i w:val="0"/>
          <w:sz w:val="20"/>
          <w:lang w:val="fr-CA"/>
        </w:rPr>
      </w:pPr>
    </w:p>
    <w:p w:rsidR="00CD6291" w:rsidRPr="00CD6291" w:rsidRDefault="00CD6291" w:rsidP="00CD6291">
      <w:pPr>
        <w:pStyle w:val="SCCLawFirm"/>
        <w:spacing w:line="240" w:lineRule="auto"/>
        <w:rPr>
          <w:sz w:val="20"/>
          <w:lang w:val="fr-CA"/>
        </w:rPr>
      </w:pPr>
      <w:r w:rsidRPr="00CD6291">
        <w:rPr>
          <w:sz w:val="20"/>
          <w:lang w:val="fr-CA"/>
        </w:rPr>
        <w:tab/>
        <w:t xml:space="preserve">Procureurs de l’intervenante la Nation </w:t>
      </w:r>
      <w:proofErr w:type="spellStart"/>
      <w:r w:rsidRPr="00CD6291">
        <w:rPr>
          <w:sz w:val="20"/>
          <w:lang w:val="fr-CA"/>
        </w:rPr>
        <w:t>Gitxaala</w:t>
      </w:r>
      <w:proofErr w:type="spellEnd"/>
      <w:r w:rsidRPr="00CD6291">
        <w:rPr>
          <w:sz w:val="20"/>
          <w:lang w:val="fr-CA"/>
        </w:rPr>
        <w:t xml:space="preserve"> : Woodward &amp; </w:t>
      </w:r>
      <w:proofErr w:type="spellStart"/>
      <w:r w:rsidRPr="00CD6291">
        <w:rPr>
          <w:sz w:val="20"/>
          <w:lang w:val="fr-CA"/>
        </w:rPr>
        <w:t>Company</w:t>
      </w:r>
      <w:proofErr w:type="spellEnd"/>
      <w:r w:rsidRPr="00CD6291">
        <w:rPr>
          <w:sz w:val="20"/>
          <w:lang w:val="fr-CA"/>
        </w:rPr>
        <w:t>, Victoria.</w:t>
      </w:r>
    </w:p>
    <w:p w:rsidR="00CD6291" w:rsidRPr="00CD6291" w:rsidRDefault="00CD6291" w:rsidP="00CD6291">
      <w:pPr>
        <w:pStyle w:val="SCCLawFirm"/>
        <w:spacing w:line="240" w:lineRule="auto"/>
        <w:rPr>
          <w:i w:val="0"/>
          <w:sz w:val="20"/>
          <w:lang w:val="fr-CA"/>
        </w:rPr>
      </w:pPr>
    </w:p>
    <w:p w:rsidR="00CD6291" w:rsidRPr="00CD6291" w:rsidRDefault="00CD6291" w:rsidP="00CD6291">
      <w:pPr>
        <w:pStyle w:val="SCCLawFirm"/>
        <w:spacing w:line="240" w:lineRule="auto"/>
        <w:rPr>
          <w:sz w:val="20"/>
          <w:lang w:val="fr-CA"/>
        </w:rPr>
      </w:pPr>
      <w:r w:rsidRPr="00CD6291">
        <w:rPr>
          <w:sz w:val="20"/>
          <w:lang w:val="fr-CA"/>
        </w:rPr>
        <w:tab/>
        <w:t xml:space="preserve">Procureurs de l’intervenante l’Association du traité des </w:t>
      </w:r>
      <w:proofErr w:type="spellStart"/>
      <w:r w:rsidRPr="00CD6291">
        <w:rPr>
          <w:sz w:val="20"/>
          <w:lang w:val="fr-CA"/>
        </w:rPr>
        <w:t>Te’Mexw</w:t>
      </w:r>
      <w:proofErr w:type="spellEnd"/>
      <w:r w:rsidRPr="00CD6291">
        <w:rPr>
          <w:sz w:val="20"/>
          <w:lang w:val="fr-CA"/>
        </w:rPr>
        <w:t> : </w:t>
      </w:r>
      <w:proofErr w:type="spellStart"/>
      <w:r w:rsidRPr="00CD6291">
        <w:rPr>
          <w:sz w:val="20"/>
          <w:lang w:val="fr-CA"/>
        </w:rPr>
        <w:t>Janes</w:t>
      </w:r>
      <w:proofErr w:type="spellEnd"/>
      <w:r w:rsidRPr="00CD6291">
        <w:rPr>
          <w:sz w:val="20"/>
          <w:lang w:val="fr-CA"/>
        </w:rPr>
        <w:t xml:space="preserve"> </w:t>
      </w:r>
      <w:proofErr w:type="spellStart"/>
      <w:r w:rsidRPr="00CD6291">
        <w:rPr>
          <w:sz w:val="20"/>
          <w:lang w:val="fr-CA"/>
        </w:rPr>
        <w:t>Freedman</w:t>
      </w:r>
      <w:proofErr w:type="spellEnd"/>
      <w:r w:rsidRPr="00CD6291">
        <w:rPr>
          <w:sz w:val="20"/>
          <w:lang w:val="fr-CA"/>
        </w:rPr>
        <w:t xml:space="preserve"> Kyle Law Corporation, Victoria.</w:t>
      </w:r>
    </w:p>
    <w:p w:rsidR="00CD6291" w:rsidRDefault="00CD6291" w:rsidP="005C6840">
      <w:pPr>
        <w:jc w:val="both"/>
        <w:rPr>
          <w:rFonts w:cs="Times New Roman"/>
          <w:sz w:val="20"/>
          <w:szCs w:val="20"/>
          <w:lang w:val="fr-CA"/>
        </w:rPr>
      </w:pPr>
    </w:p>
    <w:p w:rsidR="003B3977" w:rsidRDefault="004D631F" w:rsidP="00CD6291">
      <w:pPr>
        <w:rPr>
          <w:sz w:val="20"/>
          <w:szCs w:val="20"/>
        </w:rPr>
      </w:pPr>
      <w:r w:rsidRPr="004D631F">
        <w:rPr>
          <w:rFonts w:cs="Times New Roman"/>
          <w:sz w:val="20"/>
          <w:szCs w:val="20"/>
          <w:lang w:val="fr-CA"/>
        </w:rPr>
        <w:pict>
          <v:rect id="_x0000_i1069"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576" w:footer="960" w:gutter="0"/>
          <w:cols w:space="720"/>
          <w:titlePg/>
          <w:docGrid w:linePitch="272"/>
        </w:sectPr>
      </w:pPr>
    </w:p>
    <w:p w:rsidR="00E903A1" w:rsidRPr="002E0C7E" w:rsidRDefault="004D631F"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93057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3057E">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3057E">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DECEMBER - DÉCEMBRE</w:t>
            </w:r>
          </w:p>
        </w:tc>
      </w:tr>
      <w:tr w:rsidR="00E903A1" w:rsidRPr="002E0C7E" w:rsidTr="0093057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M</w:t>
            </w:r>
          </w:p>
          <w:p w:rsidR="00E903A1" w:rsidRPr="002E0C7E" w:rsidRDefault="00E903A1" w:rsidP="0093057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W</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F</w:t>
            </w:r>
          </w:p>
          <w:p w:rsidR="00E903A1" w:rsidRPr="002E0C7E" w:rsidRDefault="00E903A1" w:rsidP="0093057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M</w:t>
            </w:r>
          </w:p>
          <w:p w:rsidR="00E903A1" w:rsidRPr="002E0C7E" w:rsidRDefault="00E903A1" w:rsidP="0093057E">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W</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F</w:t>
            </w:r>
          </w:p>
          <w:p w:rsidR="00E903A1" w:rsidRPr="002E0C7E" w:rsidRDefault="00E903A1" w:rsidP="0093057E">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M</w:t>
            </w:r>
          </w:p>
          <w:p w:rsidR="00E903A1" w:rsidRPr="002E0C7E" w:rsidRDefault="00E903A1" w:rsidP="0093057E">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W</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F</w:t>
            </w:r>
          </w:p>
          <w:p w:rsidR="00E903A1" w:rsidRPr="002E0C7E" w:rsidRDefault="00E903A1" w:rsidP="0093057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S</w:t>
            </w:r>
          </w:p>
        </w:tc>
      </w:tr>
      <w:tr w:rsidR="00E903A1" w:rsidRPr="002E0C7E" w:rsidTr="0093057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w:t>
            </w:r>
          </w:p>
        </w:tc>
      </w:tr>
      <w:tr w:rsidR="00E903A1" w:rsidRPr="002E0C7E" w:rsidTr="0093057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w:t>
            </w:r>
          </w:p>
          <w:p w:rsidR="00E903A1" w:rsidRPr="002E0C7E" w:rsidRDefault="00E903A1" w:rsidP="0093057E">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H</w:t>
            </w:r>
          </w:p>
          <w:p w:rsidR="00E903A1" w:rsidRPr="002E0C7E" w:rsidRDefault="00E903A1" w:rsidP="0093057E">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w:t>
            </w:r>
          </w:p>
          <w:p w:rsidR="00E903A1" w:rsidRPr="002E0C7E" w:rsidRDefault="00E903A1" w:rsidP="0093057E">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10</w:t>
            </w:r>
          </w:p>
        </w:tc>
      </w:tr>
      <w:tr w:rsidR="00E903A1" w:rsidRPr="002E0C7E" w:rsidTr="0093057E">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H</w:t>
            </w:r>
          </w:p>
          <w:p w:rsidR="00E903A1" w:rsidRPr="002E0C7E" w:rsidRDefault="00E903A1" w:rsidP="0093057E">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w:t>
            </w:r>
          </w:p>
          <w:p w:rsidR="00E903A1" w:rsidRPr="002E0C7E" w:rsidRDefault="00E903A1" w:rsidP="0093057E">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17</w:t>
            </w:r>
          </w:p>
        </w:tc>
      </w:tr>
      <w:tr w:rsidR="00E903A1" w:rsidRPr="002E0C7E" w:rsidTr="0093057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24</w:t>
            </w:r>
          </w:p>
        </w:tc>
      </w:tr>
      <w:tr w:rsidR="00E903A1" w:rsidRPr="002E0C7E" w:rsidTr="0093057E">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23</w:t>
            </w:r>
          </w:p>
          <w:p w:rsidR="00E903A1" w:rsidRPr="002E0C7E" w:rsidRDefault="00E903A1" w:rsidP="0093057E">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24</w:t>
            </w:r>
          </w:p>
          <w:p w:rsidR="00E903A1" w:rsidRPr="002E0C7E" w:rsidRDefault="00E903A1" w:rsidP="0093057E">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H</w:t>
            </w:r>
          </w:p>
          <w:p w:rsidR="00E903A1" w:rsidRPr="002E0C7E" w:rsidRDefault="00E903A1" w:rsidP="0093057E">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H</w:t>
            </w:r>
          </w:p>
          <w:p w:rsidR="00E903A1" w:rsidRPr="002E0C7E" w:rsidRDefault="00E903A1" w:rsidP="0093057E">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93057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3057E">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3057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MARCH - MARS</w:t>
            </w:r>
          </w:p>
        </w:tc>
      </w:tr>
      <w:tr w:rsidR="00E903A1" w:rsidRPr="002E0C7E" w:rsidTr="0093057E">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M</w:t>
            </w:r>
          </w:p>
          <w:p w:rsidR="00E903A1" w:rsidRPr="002E0C7E" w:rsidRDefault="00E903A1" w:rsidP="0093057E">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W</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F</w:t>
            </w:r>
          </w:p>
          <w:p w:rsidR="00E903A1" w:rsidRPr="002E0C7E" w:rsidRDefault="00E903A1" w:rsidP="0093057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M</w:t>
            </w:r>
          </w:p>
          <w:p w:rsidR="00E903A1" w:rsidRPr="002E0C7E" w:rsidRDefault="00E903A1" w:rsidP="0093057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W</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F</w:t>
            </w:r>
          </w:p>
          <w:p w:rsidR="00E903A1" w:rsidRPr="002E0C7E" w:rsidRDefault="00E903A1" w:rsidP="0093057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M</w:t>
            </w:r>
          </w:p>
          <w:p w:rsidR="00E903A1" w:rsidRPr="002E0C7E" w:rsidRDefault="00E903A1" w:rsidP="0093057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W</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F</w:t>
            </w:r>
          </w:p>
          <w:p w:rsidR="00E903A1" w:rsidRPr="002E0C7E" w:rsidRDefault="00E903A1" w:rsidP="0093057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S</w:t>
            </w:r>
          </w:p>
        </w:tc>
      </w:tr>
      <w:tr w:rsidR="00E903A1" w:rsidRPr="002E0C7E" w:rsidTr="0093057E">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H</w:t>
            </w:r>
          </w:p>
          <w:p w:rsidR="00E903A1" w:rsidRPr="002E0C7E" w:rsidRDefault="00E903A1" w:rsidP="0093057E">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w:t>
            </w:r>
          </w:p>
        </w:tc>
      </w:tr>
      <w:tr w:rsidR="00E903A1" w:rsidRPr="002E0C7E" w:rsidTr="0093057E">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w:t>
            </w:r>
          </w:p>
          <w:p w:rsidR="00E903A1" w:rsidRPr="002E0C7E" w:rsidRDefault="00E903A1" w:rsidP="0093057E">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w:t>
            </w:r>
          </w:p>
          <w:p w:rsidR="00E903A1" w:rsidRPr="002E0C7E" w:rsidRDefault="00E903A1" w:rsidP="0093057E">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10</w:t>
            </w:r>
          </w:p>
        </w:tc>
      </w:tr>
      <w:tr w:rsidR="00E903A1" w:rsidRPr="002E0C7E" w:rsidTr="0093057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w:t>
            </w:r>
          </w:p>
          <w:p w:rsidR="00E903A1" w:rsidRPr="002E0C7E" w:rsidRDefault="00E903A1" w:rsidP="0093057E">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17</w:t>
            </w:r>
          </w:p>
        </w:tc>
      </w:tr>
      <w:tr w:rsidR="00E903A1" w:rsidRPr="002E0C7E" w:rsidTr="0093057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24</w:t>
            </w:r>
          </w:p>
        </w:tc>
      </w:tr>
      <w:tr w:rsidR="00E903A1" w:rsidRPr="002E0C7E" w:rsidTr="0093057E">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93057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3057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3057E">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JUNE - JUIN</w:t>
            </w:r>
          </w:p>
        </w:tc>
      </w:tr>
      <w:tr w:rsidR="00E903A1" w:rsidRPr="002E0C7E" w:rsidTr="0093057E">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M</w:t>
            </w:r>
          </w:p>
          <w:p w:rsidR="00E903A1" w:rsidRPr="002E0C7E" w:rsidRDefault="00E903A1" w:rsidP="0093057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W</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F</w:t>
            </w:r>
          </w:p>
          <w:p w:rsidR="00E903A1" w:rsidRPr="002E0C7E" w:rsidRDefault="00E903A1" w:rsidP="0093057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M</w:t>
            </w:r>
          </w:p>
          <w:p w:rsidR="00E903A1" w:rsidRPr="002E0C7E" w:rsidRDefault="00E903A1" w:rsidP="0093057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W</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F</w:t>
            </w:r>
          </w:p>
          <w:p w:rsidR="00E903A1" w:rsidRPr="002E0C7E" w:rsidRDefault="00E903A1" w:rsidP="0093057E">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M</w:t>
            </w:r>
          </w:p>
          <w:p w:rsidR="00E903A1" w:rsidRPr="002E0C7E" w:rsidRDefault="00E903A1" w:rsidP="0093057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W</w:t>
            </w:r>
          </w:p>
          <w:p w:rsidR="00E903A1" w:rsidRPr="002E0C7E" w:rsidRDefault="00E903A1" w:rsidP="0093057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T</w:t>
            </w:r>
          </w:p>
          <w:p w:rsidR="00E903A1" w:rsidRPr="002E0C7E" w:rsidRDefault="00E903A1" w:rsidP="0093057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F</w:t>
            </w:r>
          </w:p>
          <w:p w:rsidR="00E903A1" w:rsidRPr="002E0C7E" w:rsidRDefault="00E903A1" w:rsidP="0093057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s</w:t>
            </w:r>
          </w:p>
          <w:p w:rsidR="00E903A1" w:rsidRPr="002E0C7E" w:rsidRDefault="00E903A1" w:rsidP="0093057E">
            <w:pPr>
              <w:widowControl w:val="0"/>
              <w:jc w:val="center"/>
              <w:rPr>
                <w:rFonts w:ascii="Arial" w:hAnsi="Arial"/>
                <w:sz w:val="14"/>
              </w:rPr>
            </w:pPr>
            <w:r w:rsidRPr="002E0C7E">
              <w:rPr>
                <w:rFonts w:ascii="Arial" w:hAnsi="Arial"/>
                <w:sz w:val="14"/>
              </w:rPr>
              <w:t>s</w:t>
            </w:r>
          </w:p>
        </w:tc>
      </w:tr>
      <w:tr w:rsidR="00E903A1" w:rsidRPr="002E0C7E" w:rsidTr="0093057E">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H</w:t>
            </w:r>
          </w:p>
          <w:p w:rsidR="00E903A1" w:rsidRPr="002E0C7E" w:rsidRDefault="00E903A1" w:rsidP="0093057E">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b/>
                <w:sz w:val="14"/>
              </w:rPr>
            </w:pPr>
          </w:p>
          <w:p w:rsidR="00E903A1" w:rsidRPr="002E0C7E" w:rsidRDefault="00E903A1" w:rsidP="0093057E">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w:t>
            </w:r>
          </w:p>
        </w:tc>
      </w:tr>
      <w:tr w:rsidR="00E903A1" w:rsidRPr="002E0C7E" w:rsidTr="0093057E">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H</w:t>
            </w:r>
          </w:p>
          <w:p w:rsidR="00E903A1" w:rsidRPr="002E0C7E" w:rsidRDefault="00E903A1" w:rsidP="0093057E">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w:t>
            </w:r>
          </w:p>
          <w:p w:rsidR="00E903A1" w:rsidRPr="002E0C7E" w:rsidRDefault="00E903A1" w:rsidP="0093057E">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w:t>
            </w:r>
          </w:p>
          <w:p w:rsidR="00E903A1" w:rsidRPr="002E0C7E" w:rsidRDefault="00E903A1" w:rsidP="0093057E">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M</w:t>
            </w:r>
          </w:p>
          <w:p w:rsidR="00E903A1" w:rsidRPr="002E0C7E" w:rsidRDefault="00E903A1" w:rsidP="0093057E">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9</w:t>
            </w:r>
          </w:p>
        </w:tc>
      </w:tr>
      <w:tr w:rsidR="00E903A1" w:rsidRPr="002E0C7E" w:rsidTr="0093057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16</w:t>
            </w:r>
          </w:p>
        </w:tc>
      </w:tr>
      <w:tr w:rsidR="00E903A1" w:rsidRPr="002E0C7E" w:rsidTr="0093057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b/>
                <w:sz w:val="14"/>
              </w:rPr>
              <w:t>H</w:t>
            </w:r>
          </w:p>
          <w:p w:rsidR="00E903A1" w:rsidRPr="002E0C7E" w:rsidRDefault="00E903A1" w:rsidP="0093057E">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23</w:t>
            </w:r>
          </w:p>
        </w:tc>
      </w:tr>
      <w:tr w:rsidR="00E903A1" w:rsidRPr="002E0C7E" w:rsidTr="0093057E">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r w:rsidRPr="002E0C7E">
              <w:rPr>
                <w:rFonts w:ascii="Arial" w:hAnsi="Arial"/>
                <w:sz w:val="14"/>
              </w:rPr>
              <w:t xml:space="preserve">    </w:t>
            </w:r>
          </w:p>
          <w:p w:rsidR="00E903A1" w:rsidRPr="002E0C7E" w:rsidRDefault="00E903A1" w:rsidP="0093057E">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3057E">
            <w:pPr>
              <w:widowControl w:val="0"/>
              <w:jc w:val="center"/>
              <w:rPr>
                <w:rFonts w:ascii="Arial" w:hAnsi="Arial"/>
                <w:sz w:val="14"/>
              </w:rPr>
            </w:pPr>
          </w:p>
          <w:p w:rsidR="00E903A1" w:rsidRPr="002E0C7E" w:rsidRDefault="00E903A1" w:rsidP="0093057E">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93057E">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93057E">
            <w:pPr>
              <w:widowControl w:val="0"/>
              <w:rPr>
                <w:rFonts w:ascii="Arial" w:hAnsi="Arial"/>
                <w:sz w:val="16"/>
              </w:rPr>
            </w:pPr>
            <w:r w:rsidRPr="002E0C7E">
              <w:rPr>
                <w:rFonts w:ascii="Arial" w:hAnsi="Arial"/>
                <w:sz w:val="16"/>
              </w:rPr>
              <w:t>Sittings of the court:</w:t>
            </w:r>
          </w:p>
          <w:p w:rsidR="00E903A1" w:rsidRPr="002E0C7E" w:rsidRDefault="00E903A1" w:rsidP="0093057E">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93057E">
            <w:pPr>
              <w:widowControl w:val="0"/>
              <w:rPr>
                <w:rFonts w:ascii="Arial" w:hAnsi="Arial"/>
                <w:sz w:val="16"/>
              </w:rPr>
            </w:pPr>
          </w:p>
          <w:p w:rsidR="00E903A1" w:rsidRPr="002E0C7E" w:rsidRDefault="00E903A1" w:rsidP="0093057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93057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93057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93057E">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9305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7BD" w:rsidRDefault="007D17BD" w:rsidP="00A87207">
      <w:r>
        <w:separator/>
      </w:r>
    </w:p>
  </w:endnote>
  <w:endnote w:type="continuationSeparator" w:id="0">
    <w:p w:rsidR="007D17BD" w:rsidRDefault="007D17B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pPr>
      <w:pStyle w:val="Footer"/>
      <w:rPr>
        <w:lang w:val="fr-CA"/>
      </w:rPr>
    </w:pPr>
    <w:r w:rsidRPr="004D631F">
      <w:rPr>
        <w:lang w:val="fr-CA"/>
      </w:rPr>
      <w:pict>
        <v:rect id="_x0000_i1044" style="width:480.95pt;height:1pt" o:hralign="center" o:hrstd="t" o:hrnoshade="t" o:hr="t" fillcolor="black [3213]" stroked="f"/>
      </w:pict>
    </w:r>
  </w:p>
  <w:p w:rsidR="007D17BD" w:rsidRDefault="007D17BD" w:rsidP="00245129">
    <w:pPr>
      <w:tabs>
        <w:tab w:val="center" w:pos="4680"/>
      </w:tabs>
    </w:pPr>
    <w:r>
      <w:tab/>
    </w:r>
    <w:r w:rsidRPr="0009648D">
      <w:t xml:space="preserve">- </w:t>
    </w:r>
    <w:fldSimple w:instr=" PAGE   \* MERGEFORMAT ">
      <w:r w:rsidR="00E35DA8">
        <w:rPr>
          <w:noProof/>
        </w:rPr>
        <w:t>1645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17BD" w:rsidRDefault="007D17B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755F22">
    <w:pPr>
      <w:tabs>
        <w:tab w:val="left" w:pos="-1440"/>
        <w:tab w:val="left" w:pos="-720"/>
      </w:tabs>
    </w:pPr>
    <w:r>
      <w:pict>
        <v:rect id="_x0000_i1049" style="width:480.95pt;height:1pt" o:hralign="center" o:hrstd="t" o:hrnoshade="t" o:hr="t" fillcolor="black [3213]" stroked="f"/>
      </w:pict>
    </w:r>
  </w:p>
  <w:p w:rsidR="007D17BD" w:rsidRDefault="007D17BD" w:rsidP="00EB2B90">
    <w:pPr>
      <w:tabs>
        <w:tab w:val="center" w:pos="4680"/>
      </w:tabs>
    </w:pPr>
    <w:r>
      <w:tab/>
      <w:t xml:space="preserve">- </w:t>
    </w:r>
    <w:fldSimple w:instr=" PAGE   \* MERGEFORMAT ">
      <w:r w:rsidR="00E35DA8">
        <w:rPr>
          <w:noProof/>
        </w:rPr>
        <w:t>1650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EB2B90">
    <w:pPr>
      <w:tabs>
        <w:tab w:val="center" w:pos="4680"/>
      </w:tabs>
    </w:pPr>
    <w:r>
      <w:pict>
        <v:rect id="_x0000_i1050" style="width:480.95pt;height:1pt" o:hralign="center" o:hrstd="t" o:hrnoshade="t" o:hr="t" fillcolor="black [3213]" stroked="f"/>
      </w:pict>
    </w:r>
  </w:p>
  <w:p w:rsidR="007D17BD" w:rsidRPr="0031432F" w:rsidRDefault="007D17BD" w:rsidP="00EB2B90">
    <w:pPr>
      <w:tabs>
        <w:tab w:val="center" w:pos="4680"/>
      </w:tabs>
    </w:pPr>
    <w:r>
      <w:tab/>
      <w:t xml:space="preserve">- </w:t>
    </w:r>
    <w:fldSimple w:instr=" PAGE   \* MERGEFORMAT ">
      <w:r w:rsidR="00E35DA8">
        <w:rPr>
          <w:noProof/>
        </w:rPr>
        <w:t>1649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17BD" w:rsidRDefault="007D17B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631F">
      <w:rPr>
        <w:lang w:val="fr-CA"/>
      </w:rPr>
      <w:pict>
        <v:rect id="_x0000_i1055" style="width:480.95pt;height:1pt" o:hralign="center" o:hrstd="t" o:hrnoshade="t" o:hr="t" fillcolor="black [3213]" stroked="f"/>
      </w:pict>
    </w:r>
  </w:p>
  <w:p w:rsidR="007D17BD" w:rsidRDefault="007D17BD"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pPr>
      <w:pStyle w:val="Footer"/>
      <w:rPr>
        <w:lang w:val="fr-CA"/>
      </w:rPr>
    </w:pPr>
    <w:r w:rsidRPr="004D631F">
      <w:rPr>
        <w:lang w:val="fr-CA"/>
      </w:rPr>
      <w:pict>
        <v:rect id="_x0000_i1056" style="width:480.95pt;height:1pt" o:hralign="center" o:hrstd="t" o:hrnoshade="t" o:hr="t" fillcolor="black [3213]" stroked="f"/>
      </w:pict>
    </w:r>
  </w:p>
  <w:p w:rsidR="007D17BD" w:rsidRDefault="007D17BD" w:rsidP="00EB2B90">
    <w:pPr>
      <w:tabs>
        <w:tab w:val="center" w:pos="4680"/>
      </w:tabs>
    </w:pPr>
    <w:r>
      <w:tab/>
      <w:t xml:space="preserve">- </w:t>
    </w:r>
    <w:fldSimple w:instr=" PAGE   \* MERGEFORMAT ">
      <w:r w:rsidR="00E35DA8">
        <w:rPr>
          <w:noProof/>
        </w:rPr>
        <w:t>1651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17BD" w:rsidRDefault="007D17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17BD" w:rsidRDefault="007D17BD">
    <w:pPr>
      <w:widowControl w:val="0"/>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631F">
      <w:rPr>
        <w:lang w:val="fr-CA"/>
      </w:rPr>
      <w:pict>
        <v:rect id="_x0000_i1058" style="width:480.95pt;height:1pt" o:hralign="center" o:hrstd="t" o:hrnoshade="t" o:hr="t" fillcolor="black [3213]" stroked="f"/>
      </w:pict>
    </w:r>
  </w:p>
  <w:p w:rsidR="007D17BD" w:rsidRDefault="007D17BD" w:rsidP="00697C62">
    <w:pPr>
      <w:tabs>
        <w:tab w:val="center" w:pos="4680"/>
      </w:tabs>
    </w:pPr>
    <w:r>
      <w:tab/>
      <w:t xml:space="preserve">- </w:t>
    </w:r>
    <w:r w:rsidR="004D631F" w:rsidRPr="00B74FED">
      <w:rPr>
        <w:szCs w:val="24"/>
      </w:rPr>
      <w:fldChar w:fldCharType="begin"/>
    </w:r>
    <w:r w:rsidRPr="00B74FED">
      <w:rPr>
        <w:szCs w:val="24"/>
      </w:rPr>
      <w:instrText xml:space="preserve"> PAGE   \* MERGEFORMAT </w:instrText>
    </w:r>
    <w:r w:rsidR="004D631F" w:rsidRPr="00B74FED">
      <w:rPr>
        <w:szCs w:val="24"/>
      </w:rPr>
      <w:fldChar w:fldCharType="separate"/>
    </w:r>
    <w:r>
      <w:rPr>
        <w:noProof/>
        <w:szCs w:val="24"/>
      </w:rPr>
      <w:t>1664</w:t>
    </w:r>
    <w:r w:rsidR="004D631F" w:rsidRPr="00B74FED">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802863">
    <w:pPr>
      <w:widowControl w:val="0"/>
      <w:tabs>
        <w:tab w:val="left" w:pos="-1440"/>
        <w:tab w:val="left" w:pos="-720"/>
      </w:tabs>
    </w:pPr>
    <w:r w:rsidRPr="004D631F">
      <w:rPr>
        <w:lang w:val="fr-CA"/>
      </w:rPr>
      <w:pict>
        <v:rect id="_x0000_i1059" style="width:480.95pt;height:1pt" o:hralign="center" o:hrstd="t" o:hrnoshade="t" o:hr="t" fillcolor="black [3213]" stroked="f"/>
      </w:pict>
    </w:r>
  </w:p>
  <w:p w:rsidR="007D17BD" w:rsidRPr="00180897" w:rsidRDefault="007D17BD" w:rsidP="00697C62">
    <w:pPr>
      <w:tabs>
        <w:tab w:val="center" w:pos="4680"/>
      </w:tabs>
    </w:pPr>
    <w:r>
      <w:tab/>
      <w:t xml:space="preserve">- </w:t>
    </w:r>
    <w:r w:rsidR="004D631F" w:rsidRPr="00B74FED">
      <w:rPr>
        <w:szCs w:val="24"/>
      </w:rPr>
      <w:fldChar w:fldCharType="begin"/>
    </w:r>
    <w:r w:rsidRPr="00B74FED">
      <w:rPr>
        <w:szCs w:val="24"/>
      </w:rPr>
      <w:instrText xml:space="preserve"> PAGE   \* MERGEFORMAT </w:instrText>
    </w:r>
    <w:r w:rsidR="004D631F" w:rsidRPr="00B74FED">
      <w:rPr>
        <w:szCs w:val="24"/>
      </w:rPr>
      <w:fldChar w:fldCharType="separate"/>
    </w:r>
    <w:r w:rsidR="00E35DA8">
      <w:rPr>
        <w:noProof/>
        <w:szCs w:val="24"/>
      </w:rPr>
      <w:t>1652</w:t>
    </w:r>
    <w:r w:rsidR="004D631F" w:rsidRPr="00B74FED">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17BD" w:rsidRDefault="007D17BD">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732DB7">
    <w:r>
      <w:pict>
        <v:rect id="_x0000_i1063" style="width:480.95pt;height:1pt" o:hralign="center" o:hrstd="t" o:hrnoshade="t" o:hr="t" fillcolor="black" stroked="f"/>
      </w:pict>
    </w:r>
  </w:p>
  <w:p w:rsidR="007D17BD" w:rsidRDefault="007D17BD">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pPr>
      <w:pStyle w:val="Footer"/>
    </w:pPr>
    <w:r>
      <w:pict>
        <v:rect id="_x0000_i1064" style="width:480.95pt;height:1pt" o:hralign="center" o:hrstd="t" o:hrnoshade="t" o:hr="t" fillcolor="black" stroked="f"/>
      </w:pict>
    </w:r>
  </w:p>
  <w:p w:rsidR="007D17BD" w:rsidRPr="00283C52" w:rsidRDefault="007D17BD">
    <w:pPr>
      <w:pStyle w:val="Footer"/>
    </w:pPr>
    <w:r>
      <w:tab/>
    </w:r>
    <w:r w:rsidRPr="00283C52">
      <w:t xml:space="preserve">- </w:t>
    </w:r>
    <w:r w:rsidRPr="00283C52">
      <w:pgNum/>
    </w:r>
    <w:r w:rsidRPr="00283C52">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17BD" w:rsidRDefault="007D17B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732DB7">
    <w:r>
      <w:pict>
        <v:rect id="_x0000_i1066" style="width:480.95pt;height:1pt" o:hralign="center" o:hrstd="t" o:hrnoshade="t" o:hr="t" fillcolor="black" stroked="f"/>
      </w:pict>
    </w:r>
  </w:p>
  <w:p w:rsidR="007D17BD" w:rsidRDefault="007D17BD">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pPr>
      <w:pStyle w:val="Footer"/>
    </w:pPr>
    <w:r>
      <w:pict>
        <v:rect id="_x0000_i1067" style="width:480.95pt;height:1pt" o:hralign="center" o:hrstd="t" o:hrnoshade="t" o:hr="t" fillcolor="black [3213]" stroked="f"/>
      </w:pict>
    </w:r>
  </w:p>
  <w:p w:rsidR="007D17BD" w:rsidRPr="003C2C0F" w:rsidRDefault="007D17BD" w:rsidP="00697C62">
    <w:pPr>
      <w:tabs>
        <w:tab w:val="center" w:pos="4680"/>
      </w:tabs>
    </w:pPr>
    <w:r>
      <w:tab/>
      <w:t xml:space="preserve">- </w:t>
    </w:r>
    <w:fldSimple w:instr=" PAGE   \* MERGEFORMAT ">
      <w:r w:rsidR="00E35DA8">
        <w:rPr>
          <w:noProof/>
        </w:rPr>
        <w:t>1656</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17BD" w:rsidRDefault="007D17BD">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17BD" w:rsidRDefault="004D63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7D17BD" w:rsidRDefault="007D17BD" w:rsidP="00782AE4">
    <w:pPr>
      <w:tabs>
        <w:tab w:val="center" w:pos="4680"/>
      </w:tabs>
    </w:pPr>
    <w:r>
      <w:tab/>
      <w:t xml:space="preserve">- </w:t>
    </w:r>
    <w:r w:rsidR="004D631F" w:rsidRPr="001775C1">
      <w:rPr>
        <w:szCs w:val="24"/>
      </w:rPr>
      <w:fldChar w:fldCharType="begin"/>
    </w:r>
    <w:r w:rsidRPr="001775C1">
      <w:rPr>
        <w:szCs w:val="24"/>
      </w:rPr>
      <w:instrText xml:space="preserve"> PAGE   \* MERGEFORMAT </w:instrText>
    </w:r>
    <w:r w:rsidR="004D631F" w:rsidRPr="001775C1">
      <w:rPr>
        <w:szCs w:val="24"/>
      </w:rPr>
      <w:fldChar w:fldCharType="separate"/>
    </w:r>
    <w:r w:rsidR="00E35DA8">
      <w:rPr>
        <w:noProof/>
        <w:szCs w:val="24"/>
      </w:rPr>
      <w:t>1662</w:t>
    </w:r>
    <w:r w:rsidR="004D631F" w:rsidRPr="001775C1">
      <w:rPr>
        <w:szCs w:val="24"/>
      </w:rPr>
      <w:fldChar w:fldCharType="end"/>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782AE4">
    <w:pPr>
      <w:tabs>
        <w:tab w:val="center" w:pos="4680"/>
      </w:tabs>
    </w:pPr>
    <w:r>
      <w:pict>
        <v:rect id="_x0000_i1071" style="width:480.95pt;height:1pt" o:hralign="center" o:hrstd="t" o:hrnoshade="t" o:hr="t" fillcolor="black [3213]" stroked="f"/>
      </w:pict>
    </w:r>
  </w:p>
  <w:p w:rsidR="007D17BD" w:rsidRDefault="007D17BD" w:rsidP="00782AE4">
    <w:pPr>
      <w:tabs>
        <w:tab w:val="center" w:pos="4680"/>
      </w:tabs>
    </w:pPr>
    <w:r>
      <w:tab/>
      <w:t xml:space="preserve">- </w:t>
    </w:r>
    <w:r w:rsidR="004D631F" w:rsidRPr="001775C1">
      <w:rPr>
        <w:szCs w:val="24"/>
      </w:rPr>
      <w:fldChar w:fldCharType="begin"/>
    </w:r>
    <w:r w:rsidRPr="001775C1">
      <w:rPr>
        <w:szCs w:val="24"/>
      </w:rPr>
      <w:instrText xml:space="preserve"> PAGE   \* MERGEFORMAT </w:instrText>
    </w:r>
    <w:r w:rsidR="004D631F" w:rsidRPr="001775C1">
      <w:rPr>
        <w:szCs w:val="24"/>
      </w:rPr>
      <w:fldChar w:fldCharType="separate"/>
    </w:r>
    <w:r w:rsidR="00E35DA8">
      <w:rPr>
        <w:noProof/>
        <w:szCs w:val="24"/>
      </w:rPr>
      <w:t>1657</w:t>
    </w:r>
    <w:r w:rsidR="004D631F" w:rsidRPr="001775C1">
      <w:rPr>
        <w:szCs w:val="24"/>
      </w:rPr>
      <w:fldChar w:fldCharType="end"/>
    </w:r>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Pr="00924065" w:rsidRDefault="007D17BD"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A87207">
    <w:pPr>
      <w:pStyle w:val="Footer"/>
    </w:pPr>
    <w:r>
      <w:pict>
        <v:rect id="_x0000_i1034" style="width:480.95pt;height:1pt" o:hralign="center" o:hrstd="t" o:hrnoshade="t" o:hr="t" fillcolor="black [3213]" stroked="f"/>
      </w:pict>
    </w:r>
  </w:p>
  <w:p w:rsidR="007D17BD" w:rsidRPr="00B7374B" w:rsidRDefault="007D17BD" w:rsidP="00B7374B">
    <w:pPr>
      <w:tabs>
        <w:tab w:val="center" w:pos="4680"/>
      </w:tabs>
      <w:rPr>
        <w:szCs w:val="24"/>
      </w:rPr>
    </w:pPr>
    <w:r w:rsidRPr="00954D22">
      <w:rPr>
        <w:szCs w:val="24"/>
      </w:rPr>
      <w:tab/>
      <w:t xml:space="preserve">- </w:t>
    </w:r>
    <w:r w:rsidR="004D631F" w:rsidRPr="00954D22">
      <w:rPr>
        <w:szCs w:val="24"/>
      </w:rPr>
      <w:fldChar w:fldCharType="begin"/>
    </w:r>
    <w:r w:rsidRPr="00954D22">
      <w:rPr>
        <w:szCs w:val="24"/>
      </w:rPr>
      <w:instrText xml:space="preserve"> PAGE   \* MERGEFORMAT </w:instrText>
    </w:r>
    <w:r w:rsidR="004D631F" w:rsidRPr="00954D22">
      <w:rPr>
        <w:szCs w:val="24"/>
      </w:rPr>
      <w:fldChar w:fldCharType="separate"/>
    </w:r>
    <w:r w:rsidR="00E35DA8">
      <w:rPr>
        <w:noProof/>
        <w:szCs w:val="24"/>
      </w:rPr>
      <w:t>1643</w:t>
    </w:r>
    <w:r w:rsidR="004D631F"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755F22">
    <w:pPr>
      <w:tabs>
        <w:tab w:val="left" w:pos="-1440"/>
        <w:tab w:val="left" w:pos="-720"/>
      </w:tabs>
    </w:pPr>
    <w:r>
      <w:pict>
        <v:rect id="_x0000_i1035" style="width:480.95pt;height:1pt" o:hralign="center" o:hrstd="t" o:hrnoshade="t" o:hr="t" fillcolor="black [3213]" stroked="f"/>
      </w:pict>
    </w:r>
  </w:p>
  <w:p w:rsidR="007D17BD" w:rsidRPr="00954D22" w:rsidRDefault="007D17BD" w:rsidP="00B7374B">
    <w:pPr>
      <w:tabs>
        <w:tab w:val="center" w:pos="4680"/>
      </w:tabs>
      <w:rPr>
        <w:szCs w:val="24"/>
      </w:rPr>
    </w:pPr>
    <w:r w:rsidRPr="00954D22">
      <w:rPr>
        <w:szCs w:val="24"/>
      </w:rPr>
      <w:tab/>
      <w:t xml:space="preserve">- </w:t>
    </w:r>
    <w:r w:rsidR="004D631F">
      <w:rPr>
        <w:szCs w:val="24"/>
      </w:rPr>
      <w:fldChar w:fldCharType="begin"/>
    </w:r>
    <w:r>
      <w:rPr>
        <w:szCs w:val="24"/>
      </w:rPr>
      <w:instrText xml:space="preserve"> PAGE   \* MERGEFORMAT </w:instrText>
    </w:r>
    <w:r w:rsidR="004D631F">
      <w:rPr>
        <w:szCs w:val="24"/>
      </w:rPr>
      <w:fldChar w:fldCharType="separate"/>
    </w:r>
    <w:r w:rsidR="00E35DA8">
      <w:rPr>
        <w:noProof/>
        <w:szCs w:val="24"/>
      </w:rPr>
      <w:t>1642</w:t>
    </w:r>
    <w:r w:rsidR="004D631F">
      <w:rPr>
        <w:szCs w:val="24"/>
      </w:rPr>
      <w:fldChar w:fldCharType="end"/>
    </w:r>
    <w:r w:rsidRPr="00954D22">
      <w:rPr>
        <w:szCs w:val="24"/>
      </w:rPr>
      <w:t xml:space="preserve"> -</w:t>
    </w:r>
  </w:p>
  <w:p w:rsidR="007D17BD" w:rsidRDefault="007D17B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A87207">
    <w:pPr>
      <w:pStyle w:val="Footer"/>
    </w:pPr>
    <w:r>
      <w:pict>
        <v:rect id="_x0000_i1037" style="width:480.95pt;height:1pt" o:hralign="center" o:hrstd="t" o:hrnoshade="t" o:hr="t" fillcolor="black [3213]" stroked="f"/>
      </w:pict>
    </w:r>
  </w:p>
  <w:p w:rsidR="007D17BD" w:rsidRPr="00B7374B" w:rsidRDefault="007D17BD" w:rsidP="00B7374B">
    <w:pPr>
      <w:tabs>
        <w:tab w:val="center" w:pos="4680"/>
      </w:tabs>
      <w:rPr>
        <w:szCs w:val="24"/>
      </w:rPr>
    </w:pPr>
    <w:r w:rsidRPr="00954D22">
      <w:rPr>
        <w:szCs w:val="24"/>
      </w:rPr>
      <w:tab/>
      <w:t xml:space="preserve">- </w:t>
    </w:r>
    <w:r w:rsidR="004D631F" w:rsidRPr="00954D22">
      <w:rPr>
        <w:szCs w:val="24"/>
      </w:rPr>
      <w:fldChar w:fldCharType="begin"/>
    </w:r>
    <w:r w:rsidRPr="00954D22">
      <w:rPr>
        <w:szCs w:val="24"/>
      </w:rPr>
      <w:instrText xml:space="preserve"> PAGE   \* MERGEFORMAT </w:instrText>
    </w:r>
    <w:r w:rsidR="004D631F" w:rsidRPr="00954D22">
      <w:rPr>
        <w:szCs w:val="24"/>
      </w:rPr>
      <w:fldChar w:fldCharType="separate"/>
    </w:r>
    <w:r>
      <w:rPr>
        <w:noProof/>
        <w:szCs w:val="24"/>
      </w:rPr>
      <w:t>1645</w:t>
    </w:r>
    <w:r w:rsidR="004D631F"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7D17BD" w:rsidRPr="00954D22" w:rsidRDefault="007D17BD" w:rsidP="00B7374B">
    <w:pPr>
      <w:tabs>
        <w:tab w:val="center" w:pos="4680"/>
      </w:tabs>
      <w:rPr>
        <w:szCs w:val="24"/>
      </w:rPr>
    </w:pPr>
    <w:r w:rsidRPr="00954D22">
      <w:rPr>
        <w:szCs w:val="24"/>
      </w:rPr>
      <w:tab/>
      <w:t xml:space="preserve">- </w:t>
    </w:r>
    <w:r w:rsidR="004D631F" w:rsidRPr="00954D22">
      <w:rPr>
        <w:szCs w:val="24"/>
      </w:rPr>
      <w:fldChar w:fldCharType="begin"/>
    </w:r>
    <w:r w:rsidRPr="00954D22">
      <w:rPr>
        <w:szCs w:val="24"/>
      </w:rPr>
      <w:instrText xml:space="preserve"> PAGE   \* MERGEFORMAT </w:instrText>
    </w:r>
    <w:r w:rsidR="004D631F" w:rsidRPr="00954D22">
      <w:rPr>
        <w:szCs w:val="24"/>
      </w:rPr>
      <w:fldChar w:fldCharType="separate"/>
    </w:r>
    <w:r w:rsidR="00E35DA8">
      <w:rPr>
        <w:noProof/>
        <w:szCs w:val="24"/>
      </w:rPr>
      <w:t>1644</w:t>
    </w:r>
    <w:r w:rsidR="004D631F"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17BD" w:rsidRDefault="007D17B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4D63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631F">
      <w:rPr>
        <w:lang w:val="fr-CA"/>
      </w:rPr>
      <w:pict>
        <v:rect id="_x0000_i1043" style="width:480.95pt;height:1pt" o:hralign="center" o:hrstd="t" o:hrnoshade="t" o:hr="t" fillcolor="black [3213]" stroked="f"/>
      </w:pict>
    </w:r>
  </w:p>
  <w:p w:rsidR="007D17BD" w:rsidRPr="0009648D" w:rsidRDefault="007D17BD" w:rsidP="00ED7E83">
    <w:pPr>
      <w:tabs>
        <w:tab w:val="center" w:pos="4680"/>
      </w:tabs>
    </w:pPr>
    <w:r>
      <w:tab/>
    </w:r>
    <w:r w:rsidRPr="0009648D">
      <w:t xml:space="preserve">- </w:t>
    </w:r>
    <w:fldSimple w:instr=" PAGE   \* MERGEFORMAT ">
      <w:r w:rsidR="00E35DA8">
        <w:rPr>
          <w:noProof/>
        </w:rPr>
        <w:t>1648</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7BD" w:rsidRDefault="007D17BD" w:rsidP="00A87207">
      <w:r>
        <w:separator/>
      </w:r>
    </w:p>
  </w:footnote>
  <w:footnote w:type="continuationSeparator" w:id="0">
    <w:p w:rsidR="007D17BD" w:rsidRDefault="007D17B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D17BD">
      <w:tc>
        <w:tcPr>
          <w:tcW w:w="423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D17BD" w:rsidRDefault="007D17B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17BD" w:rsidRDefault="007D17B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D17BD">
      <w:trPr>
        <w:gridAfter w:val="2"/>
        <w:wAfter w:w="5250" w:type="dxa"/>
      </w:trPr>
      <w:tc>
        <w:tcPr>
          <w:tcW w:w="4230" w:type="dxa"/>
          <w:tcMar>
            <w:left w:w="0" w:type="dxa"/>
            <w:right w:w="0" w:type="dxa"/>
          </w:tcMar>
        </w:tcPr>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D17BD" w:rsidRPr="00755F22" w:rsidTr="00245129">
      <w:tc>
        <w:tcPr>
          <w:tcW w:w="4230" w:type="dxa"/>
          <w:tcMar>
            <w:left w:w="0" w:type="dxa"/>
            <w:right w:w="0" w:type="dxa"/>
          </w:tcMar>
        </w:tcPr>
        <w:p w:rsidR="007D17BD" w:rsidRPr="00755F22" w:rsidRDefault="007D17BD" w:rsidP="00831CA9">
          <w:pPr>
            <w:keepNext/>
            <w:keepLines/>
            <w:rPr>
              <w:sz w:val="20"/>
              <w:szCs w:val="20"/>
            </w:rPr>
          </w:pPr>
          <w:r w:rsidRPr="00755F22">
            <w:rPr>
              <w:sz w:val="20"/>
              <w:szCs w:val="20"/>
            </w:rPr>
            <w:t>MOTIONS</w:t>
          </w:r>
        </w:p>
      </w:tc>
      <w:tc>
        <w:tcPr>
          <w:tcW w:w="1170" w:type="dxa"/>
          <w:tcMar>
            <w:left w:w="0" w:type="dxa"/>
            <w:right w:w="0" w:type="dxa"/>
          </w:tcMar>
        </w:tcPr>
        <w:p w:rsidR="007D17BD" w:rsidRPr="00755F22" w:rsidRDefault="007D17BD" w:rsidP="00831CA9">
          <w:pPr>
            <w:keepLines/>
            <w:jc w:val="center"/>
            <w:rPr>
              <w:sz w:val="20"/>
              <w:szCs w:val="20"/>
            </w:rPr>
          </w:pPr>
        </w:p>
        <w:p w:rsidR="007D17BD" w:rsidRPr="00755F22" w:rsidRDefault="007D17BD" w:rsidP="00831CA9">
          <w:pPr>
            <w:keepLines/>
            <w:tabs>
              <w:tab w:val="left" w:pos="-1440"/>
              <w:tab w:val="left" w:pos="-720"/>
            </w:tabs>
            <w:jc w:val="center"/>
            <w:rPr>
              <w:sz w:val="20"/>
              <w:szCs w:val="20"/>
            </w:rPr>
          </w:pPr>
        </w:p>
      </w:tc>
      <w:tc>
        <w:tcPr>
          <w:tcW w:w="4080" w:type="dxa"/>
          <w:tcMar>
            <w:left w:w="0" w:type="dxa"/>
            <w:right w:w="0" w:type="dxa"/>
          </w:tcMar>
        </w:tcPr>
        <w:p w:rsidR="007D17BD" w:rsidRPr="00BA6468" w:rsidRDefault="007D17BD" w:rsidP="00BA6468">
          <w:pPr>
            <w:keepLines/>
            <w:rPr>
              <w:sz w:val="20"/>
              <w:szCs w:val="20"/>
              <w:lang w:val="fr-CA"/>
            </w:rPr>
          </w:pPr>
          <w:r w:rsidRPr="00BA6468">
            <w:rPr>
              <w:sz w:val="20"/>
              <w:szCs w:val="20"/>
              <w:lang w:val="fr-CA"/>
            </w:rPr>
            <w:t>REQUÊTES</w:t>
          </w:r>
        </w:p>
      </w:tc>
    </w:tr>
  </w:tbl>
  <w:p w:rsidR="007D17BD" w:rsidRDefault="007D17BD"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D17BD" w:rsidRPr="00FD7538">
      <w:tc>
        <w:tcPr>
          <w:tcW w:w="420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17BD" w:rsidRPr="00B01A03" w:rsidRDefault="007D17B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D17BD" w:rsidRPr="00B01A03"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D17BD" w:rsidRPr="00B01A03"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7D17BD" w:rsidRPr="00FD7538" w:rsidTr="00245129">
      <w:tc>
        <w:tcPr>
          <w:tcW w:w="4200" w:type="dxa"/>
          <w:tcMar>
            <w:left w:w="0" w:type="dxa"/>
            <w:right w:w="0" w:type="dxa"/>
          </w:tcMar>
        </w:tcPr>
        <w:p w:rsidR="007D17BD" w:rsidRPr="00F40249" w:rsidRDefault="007D17B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D17BD" w:rsidRDefault="007D17BD" w:rsidP="00102926">
          <w:pPr>
            <w:keepNext/>
            <w:keepLines/>
            <w:tabs>
              <w:tab w:val="left" w:pos="-1440"/>
              <w:tab w:val="left" w:pos="-720"/>
            </w:tabs>
            <w:jc w:val="center"/>
            <w:rPr>
              <w:sz w:val="20"/>
              <w:szCs w:val="20"/>
            </w:rPr>
          </w:pPr>
        </w:p>
        <w:p w:rsidR="007D17BD" w:rsidRDefault="007D17BD" w:rsidP="00102926">
          <w:pPr>
            <w:keepNext/>
            <w:keepLines/>
            <w:tabs>
              <w:tab w:val="left" w:pos="-1440"/>
              <w:tab w:val="left" w:pos="-720"/>
            </w:tabs>
            <w:jc w:val="center"/>
            <w:rPr>
              <w:sz w:val="20"/>
              <w:szCs w:val="20"/>
            </w:rPr>
          </w:pPr>
        </w:p>
        <w:p w:rsidR="007D17BD" w:rsidRPr="00F40249" w:rsidRDefault="007D17BD" w:rsidP="00102926">
          <w:pPr>
            <w:keepNext/>
            <w:keepLines/>
            <w:tabs>
              <w:tab w:val="left" w:pos="-1440"/>
              <w:tab w:val="left" w:pos="-720"/>
            </w:tabs>
            <w:jc w:val="center"/>
            <w:rPr>
              <w:sz w:val="20"/>
              <w:szCs w:val="20"/>
            </w:rPr>
          </w:pPr>
        </w:p>
      </w:tc>
      <w:tc>
        <w:tcPr>
          <w:tcW w:w="4230" w:type="dxa"/>
          <w:tcMar>
            <w:left w:w="0" w:type="dxa"/>
            <w:right w:w="0" w:type="dxa"/>
          </w:tcMar>
        </w:tcPr>
        <w:p w:rsidR="007D17BD" w:rsidRPr="00F40249" w:rsidRDefault="007D17B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D17BD" w:rsidRPr="00B01A03" w:rsidRDefault="007D17B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D17BD" w:rsidRPr="00FD7538">
      <w:tc>
        <w:tcPr>
          <w:tcW w:w="4200" w:type="dxa"/>
          <w:tcMar>
            <w:left w:w="0" w:type="dxa"/>
            <w:right w:w="0" w:type="dxa"/>
          </w:tcMar>
        </w:tcPr>
        <w:p w:rsidR="007D17BD" w:rsidRDefault="007D17B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D17BD" w:rsidRDefault="007D17B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D17BD" w:rsidRDefault="007D17B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17BD" w:rsidRPr="009256DC" w:rsidRDefault="007D17B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D17BD" w:rsidRPr="009256DC" w:rsidRDefault="007D17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D17BD" w:rsidRPr="009256DC" w:rsidRDefault="007D17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17BD" w:rsidRPr="00FD7538" w:rsidTr="00245129">
      <w:tc>
        <w:tcPr>
          <w:tcW w:w="4200" w:type="dxa"/>
          <w:tcMar>
            <w:left w:w="0" w:type="dxa"/>
            <w:right w:w="0" w:type="dxa"/>
          </w:tcMar>
        </w:tcPr>
        <w:p w:rsidR="007D17BD" w:rsidRPr="00802863" w:rsidRDefault="007D17BD"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7D17BD" w:rsidRPr="00802863" w:rsidRDefault="007D17BD" w:rsidP="00802863">
          <w:pPr>
            <w:keepNext/>
            <w:keepLines/>
            <w:widowControl w:val="0"/>
            <w:tabs>
              <w:tab w:val="left" w:pos="-1440"/>
              <w:tab w:val="left" w:pos="-720"/>
            </w:tabs>
            <w:jc w:val="center"/>
            <w:rPr>
              <w:sz w:val="20"/>
              <w:szCs w:val="20"/>
            </w:rPr>
          </w:pPr>
        </w:p>
        <w:p w:rsidR="007D17BD" w:rsidRPr="00802863" w:rsidRDefault="007D17BD" w:rsidP="00802863">
          <w:pPr>
            <w:keepNext/>
            <w:keepLines/>
            <w:widowControl w:val="0"/>
            <w:tabs>
              <w:tab w:val="left" w:pos="-1440"/>
              <w:tab w:val="left" w:pos="-720"/>
            </w:tabs>
            <w:jc w:val="center"/>
            <w:rPr>
              <w:sz w:val="20"/>
              <w:szCs w:val="20"/>
            </w:rPr>
          </w:pPr>
        </w:p>
        <w:p w:rsidR="007D17BD" w:rsidRPr="00802863" w:rsidRDefault="007D17BD"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D17BD" w:rsidRPr="00802863" w:rsidRDefault="007D17BD"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7D17BD" w:rsidRPr="009256DC" w:rsidRDefault="007D17BD"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D17BD" w:rsidRPr="00FD7538">
      <w:tc>
        <w:tcPr>
          <w:tcW w:w="420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17BD" w:rsidRPr="00283C52" w:rsidRDefault="007D17B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D17BD" w:rsidRPr="00283C52"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D17BD" w:rsidRPr="00283C52"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17BD" w:rsidRPr="00FD7538" w:rsidTr="00245129">
      <w:tc>
        <w:tcPr>
          <w:tcW w:w="4200" w:type="dxa"/>
          <w:tcMar>
            <w:left w:w="0" w:type="dxa"/>
            <w:right w:w="0" w:type="dxa"/>
          </w:tcMar>
        </w:tcPr>
        <w:p w:rsidR="007D17BD" w:rsidRPr="00732DB7" w:rsidRDefault="007D17B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D17BD" w:rsidRPr="00732DB7" w:rsidRDefault="007D17BD" w:rsidP="00732DB7">
          <w:pPr>
            <w:keepNext/>
            <w:keepLines/>
            <w:tabs>
              <w:tab w:val="left" w:pos="-1440"/>
              <w:tab w:val="left" w:pos="-720"/>
            </w:tabs>
            <w:jc w:val="center"/>
            <w:rPr>
              <w:sz w:val="20"/>
              <w:szCs w:val="20"/>
            </w:rPr>
          </w:pPr>
        </w:p>
        <w:p w:rsidR="007D17BD" w:rsidRPr="00732DB7" w:rsidRDefault="007D17BD" w:rsidP="00732DB7">
          <w:pPr>
            <w:keepNext/>
            <w:keepLines/>
            <w:tabs>
              <w:tab w:val="left" w:pos="-1440"/>
              <w:tab w:val="left" w:pos="-720"/>
            </w:tabs>
            <w:jc w:val="center"/>
            <w:rPr>
              <w:sz w:val="20"/>
              <w:szCs w:val="20"/>
            </w:rPr>
          </w:pPr>
        </w:p>
        <w:p w:rsidR="007D17BD" w:rsidRPr="00732DB7" w:rsidRDefault="007D17BD" w:rsidP="00732DB7">
          <w:pPr>
            <w:keepNext/>
            <w:keepLines/>
            <w:tabs>
              <w:tab w:val="left" w:pos="-1440"/>
              <w:tab w:val="left" w:pos="-720"/>
            </w:tabs>
            <w:jc w:val="center"/>
            <w:rPr>
              <w:sz w:val="20"/>
              <w:szCs w:val="20"/>
            </w:rPr>
          </w:pPr>
        </w:p>
      </w:tc>
      <w:tc>
        <w:tcPr>
          <w:tcW w:w="4080" w:type="dxa"/>
          <w:tcMar>
            <w:left w:w="0" w:type="dxa"/>
            <w:right w:w="0" w:type="dxa"/>
          </w:tcMar>
        </w:tcPr>
        <w:p w:rsidR="007D17BD" w:rsidRPr="00732DB7" w:rsidRDefault="007D17B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D17BD" w:rsidRPr="00283C52" w:rsidRDefault="007D17B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D17BD" w:rsidRPr="00FD7538">
      <w:tc>
        <w:tcPr>
          <w:tcW w:w="420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D17BD" w:rsidRPr="003C2C0F" w:rsidRDefault="007D17B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D17BD" w:rsidRPr="003C2C0F"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D17BD" w:rsidRPr="003C2C0F"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17BD" w:rsidRPr="00FD7538" w:rsidTr="00245129">
      <w:tc>
        <w:tcPr>
          <w:tcW w:w="4200" w:type="dxa"/>
          <w:tcMar>
            <w:left w:w="0" w:type="dxa"/>
            <w:right w:w="0" w:type="dxa"/>
          </w:tcMar>
        </w:tcPr>
        <w:p w:rsidR="007D17BD" w:rsidRPr="00FF6EEC" w:rsidRDefault="007D17BD" w:rsidP="00FF6EEC">
          <w:pPr>
            <w:rPr>
              <w:sz w:val="20"/>
              <w:szCs w:val="20"/>
            </w:rPr>
          </w:pPr>
          <w:r w:rsidRPr="00FF6EEC">
            <w:rPr>
              <w:sz w:val="20"/>
              <w:szCs w:val="20"/>
            </w:rPr>
            <w:t>PRONOUNCEMENTS OF APPEALS RESERVED</w:t>
          </w:r>
        </w:p>
      </w:tc>
      <w:tc>
        <w:tcPr>
          <w:tcW w:w="1200" w:type="dxa"/>
          <w:tcMar>
            <w:left w:w="0" w:type="dxa"/>
            <w:right w:w="0" w:type="dxa"/>
          </w:tcMar>
        </w:tcPr>
        <w:p w:rsidR="007D17BD" w:rsidRPr="00FF6EEC" w:rsidRDefault="007D17BD" w:rsidP="00FF6EEC">
          <w:pPr>
            <w:jc w:val="center"/>
            <w:rPr>
              <w:sz w:val="20"/>
              <w:szCs w:val="20"/>
            </w:rPr>
          </w:pPr>
        </w:p>
        <w:p w:rsidR="007D17BD" w:rsidRPr="00FF6EEC" w:rsidRDefault="007D17BD" w:rsidP="00FF6EEC">
          <w:pPr>
            <w:jc w:val="center"/>
            <w:rPr>
              <w:sz w:val="20"/>
              <w:szCs w:val="20"/>
            </w:rPr>
          </w:pPr>
        </w:p>
        <w:p w:rsidR="007D17BD" w:rsidRPr="00FF6EEC" w:rsidRDefault="007D17BD" w:rsidP="00FF6EEC">
          <w:pPr>
            <w:jc w:val="center"/>
            <w:rPr>
              <w:sz w:val="20"/>
              <w:szCs w:val="20"/>
            </w:rPr>
          </w:pPr>
        </w:p>
      </w:tc>
      <w:tc>
        <w:tcPr>
          <w:tcW w:w="4080" w:type="dxa"/>
          <w:tcMar>
            <w:left w:w="0" w:type="dxa"/>
            <w:right w:w="0" w:type="dxa"/>
          </w:tcMar>
        </w:tcPr>
        <w:p w:rsidR="007D17BD" w:rsidRPr="00FF6EEC" w:rsidRDefault="007D17BD" w:rsidP="00FF6EEC">
          <w:pPr>
            <w:rPr>
              <w:sz w:val="20"/>
              <w:szCs w:val="20"/>
              <w:lang w:val="fr-CA"/>
            </w:rPr>
          </w:pPr>
          <w:r w:rsidRPr="00FF6EEC">
            <w:rPr>
              <w:sz w:val="20"/>
              <w:szCs w:val="20"/>
              <w:lang w:val="fr-CA"/>
            </w:rPr>
            <w:t>JUGEMENTS RENDUS SUR LES APPELS EN DÉLIBÉRÉ</w:t>
          </w:r>
        </w:p>
      </w:tc>
    </w:tr>
  </w:tbl>
  <w:p w:rsidR="007D17BD" w:rsidRPr="003C2C0F" w:rsidRDefault="007D17B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D17BD">
      <w:tc>
        <w:tcPr>
          <w:tcW w:w="423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D17BD" w:rsidRDefault="007D17B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D17BD"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D17BD" w:rsidRPr="00782AE4" w:rsidTr="00245129">
      <w:tc>
        <w:tcPr>
          <w:tcW w:w="4230" w:type="dxa"/>
          <w:tcMar>
            <w:left w:w="0" w:type="dxa"/>
            <w:right w:w="0" w:type="dxa"/>
          </w:tcMar>
        </w:tcPr>
        <w:p w:rsidR="007D17BD" w:rsidRPr="00782AE4" w:rsidRDefault="007D17BD" w:rsidP="00102926">
          <w:pPr>
            <w:keepNext/>
            <w:keepLines/>
            <w:tabs>
              <w:tab w:val="left" w:pos="-1440"/>
              <w:tab w:val="left" w:pos="-720"/>
            </w:tabs>
            <w:rPr>
              <w:sz w:val="20"/>
              <w:szCs w:val="20"/>
            </w:rPr>
          </w:pPr>
          <w:r w:rsidRPr="00782AE4">
            <w:rPr>
              <w:sz w:val="20"/>
              <w:szCs w:val="20"/>
            </w:rPr>
            <w:t xml:space="preserve">HEADNOTES OF RECENT </w:t>
          </w:r>
        </w:p>
        <w:p w:rsidR="007D17BD" w:rsidRPr="00782AE4"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D17BD" w:rsidRDefault="007D17BD" w:rsidP="00102926">
          <w:pPr>
            <w:keepNext/>
            <w:keepLines/>
            <w:tabs>
              <w:tab w:val="left" w:pos="-1440"/>
              <w:tab w:val="left" w:pos="-720"/>
            </w:tabs>
            <w:jc w:val="center"/>
            <w:rPr>
              <w:sz w:val="20"/>
              <w:szCs w:val="20"/>
            </w:rPr>
          </w:pPr>
        </w:p>
        <w:p w:rsidR="007D17BD" w:rsidRDefault="007D17BD" w:rsidP="00102926">
          <w:pPr>
            <w:keepNext/>
            <w:keepLines/>
            <w:tabs>
              <w:tab w:val="left" w:pos="-1440"/>
              <w:tab w:val="left" w:pos="-720"/>
            </w:tabs>
            <w:jc w:val="center"/>
            <w:rPr>
              <w:sz w:val="20"/>
              <w:szCs w:val="20"/>
            </w:rPr>
          </w:pPr>
        </w:p>
        <w:p w:rsidR="007D17BD" w:rsidRPr="00782AE4" w:rsidRDefault="007D17BD" w:rsidP="00102926">
          <w:pPr>
            <w:keepNext/>
            <w:keepLines/>
            <w:tabs>
              <w:tab w:val="left" w:pos="-1440"/>
              <w:tab w:val="left" w:pos="-720"/>
            </w:tabs>
            <w:jc w:val="center"/>
            <w:rPr>
              <w:sz w:val="20"/>
              <w:szCs w:val="20"/>
            </w:rPr>
          </w:pPr>
        </w:p>
      </w:tc>
      <w:tc>
        <w:tcPr>
          <w:tcW w:w="4080" w:type="dxa"/>
          <w:tcMar>
            <w:left w:w="0" w:type="dxa"/>
            <w:right w:w="0" w:type="dxa"/>
          </w:tcMar>
        </w:tcPr>
        <w:p w:rsidR="007D17BD" w:rsidRPr="00102926"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D17BD" w:rsidRPr="00782AE4" w:rsidRDefault="007D17BD" w:rsidP="00102926">
          <w:pPr>
            <w:keepLines/>
            <w:tabs>
              <w:tab w:val="left" w:pos="-1440"/>
              <w:tab w:val="left" w:pos="-720"/>
            </w:tabs>
            <w:rPr>
              <w:sz w:val="20"/>
              <w:szCs w:val="20"/>
            </w:rPr>
          </w:pPr>
          <w:r w:rsidRPr="00102926">
            <w:rPr>
              <w:sz w:val="20"/>
              <w:szCs w:val="20"/>
              <w:lang w:val="fr-CA"/>
            </w:rPr>
            <w:t>RÉCENTS</w:t>
          </w:r>
        </w:p>
      </w:tc>
    </w:tr>
  </w:tbl>
  <w:p w:rsidR="007D17BD" w:rsidRDefault="007D17B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D17BD" w:rsidRPr="0044776A" w:rsidTr="00245129">
      <w:tc>
        <w:tcPr>
          <w:tcW w:w="4290" w:type="dxa"/>
          <w:tcMar>
            <w:left w:w="0" w:type="dxa"/>
            <w:right w:w="0" w:type="dxa"/>
          </w:tcMar>
        </w:tcPr>
        <w:p w:rsidR="007D17BD" w:rsidRPr="0044776A" w:rsidRDefault="007D17B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D17BD" w:rsidRPr="0044776A" w:rsidRDefault="007D17BD" w:rsidP="002E2327">
          <w:pPr>
            <w:keepNext/>
            <w:keepLines/>
            <w:tabs>
              <w:tab w:val="left" w:pos="-1440"/>
              <w:tab w:val="left" w:pos="-720"/>
            </w:tabs>
            <w:jc w:val="center"/>
            <w:rPr>
              <w:sz w:val="20"/>
              <w:szCs w:val="20"/>
            </w:rPr>
          </w:pPr>
        </w:p>
        <w:p w:rsidR="007D17BD" w:rsidRPr="0044776A" w:rsidRDefault="007D17BD" w:rsidP="002E2327">
          <w:pPr>
            <w:keepNext/>
            <w:keepLines/>
            <w:tabs>
              <w:tab w:val="left" w:pos="-1440"/>
              <w:tab w:val="left" w:pos="-720"/>
            </w:tabs>
            <w:jc w:val="center"/>
            <w:rPr>
              <w:sz w:val="20"/>
              <w:szCs w:val="20"/>
            </w:rPr>
          </w:pPr>
        </w:p>
        <w:p w:rsidR="007D17BD" w:rsidRPr="0044776A" w:rsidRDefault="007D17BD" w:rsidP="002E2327">
          <w:pPr>
            <w:keepNext/>
            <w:keepLines/>
            <w:tabs>
              <w:tab w:val="left" w:pos="-1440"/>
              <w:tab w:val="left" w:pos="-720"/>
            </w:tabs>
            <w:jc w:val="center"/>
            <w:rPr>
              <w:sz w:val="20"/>
              <w:szCs w:val="20"/>
            </w:rPr>
          </w:pPr>
        </w:p>
      </w:tc>
      <w:tc>
        <w:tcPr>
          <w:tcW w:w="4320" w:type="dxa"/>
          <w:tcMar>
            <w:left w:w="0" w:type="dxa"/>
            <w:right w:w="0" w:type="dxa"/>
          </w:tcMar>
        </w:tcPr>
        <w:p w:rsidR="007D17BD" w:rsidRPr="0044776A" w:rsidRDefault="007D17BD" w:rsidP="002E2327">
          <w:pPr>
            <w:keepLines/>
            <w:rPr>
              <w:sz w:val="20"/>
              <w:szCs w:val="20"/>
              <w:lang w:val="fr-CA"/>
            </w:rPr>
          </w:pPr>
          <w:r w:rsidRPr="0044776A">
            <w:rPr>
              <w:sz w:val="20"/>
              <w:szCs w:val="20"/>
              <w:lang w:val="fr-CA"/>
            </w:rPr>
            <w:t>DEMANDES D'AUTORISATION D'APPEL DÉPOSÉES</w:t>
          </w:r>
        </w:p>
      </w:tc>
    </w:tr>
  </w:tbl>
  <w:p w:rsidR="007D17BD" w:rsidRDefault="007D17B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17BD" w:rsidRPr="00FD7538" w:rsidTr="00245129">
      <w:tc>
        <w:tcPr>
          <w:tcW w:w="4200" w:type="dxa"/>
          <w:tcMar>
            <w:left w:w="0" w:type="dxa"/>
            <w:right w:w="0" w:type="dxa"/>
          </w:tcMar>
        </w:tcPr>
        <w:p w:rsidR="007D17BD" w:rsidRPr="0044776A" w:rsidRDefault="007D17BD" w:rsidP="0044776A">
          <w:pPr>
            <w:keepNext/>
            <w:keepLines/>
            <w:widowControl w:val="0"/>
            <w:rPr>
              <w:sz w:val="20"/>
              <w:szCs w:val="20"/>
            </w:rPr>
          </w:pPr>
          <w:r>
            <w:rPr>
              <w:sz w:val="20"/>
              <w:szCs w:val="20"/>
            </w:rPr>
            <w:t>APPLICATIONS FOR LEAVE</w:t>
          </w:r>
        </w:p>
        <w:p w:rsidR="007D17BD" w:rsidRPr="0044776A" w:rsidRDefault="007D17B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D17BD" w:rsidRPr="0044776A" w:rsidRDefault="007D17BD" w:rsidP="0044776A">
          <w:pPr>
            <w:keepNext/>
            <w:keepLines/>
            <w:widowControl w:val="0"/>
            <w:jc w:val="center"/>
            <w:rPr>
              <w:sz w:val="20"/>
              <w:szCs w:val="20"/>
            </w:rPr>
          </w:pPr>
        </w:p>
        <w:p w:rsidR="007D17BD" w:rsidRPr="0044776A" w:rsidRDefault="007D17BD" w:rsidP="0044776A">
          <w:pPr>
            <w:keepNext/>
            <w:keepLines/>
            <w:widowControl w:val="0"/>
            <w:jc w:val="center"/>
            <w:rPr>
              <w:sz w:val="20"/>
              <w:szCs w:val="20"/>
            </w:rPr>
          </w:pPr>
        </w:p>
        <w:p w:rsidR="007D17BD" w:rsidRPr="0044776A" w:rsidRDefault="007D17BD" w:rsidP="0044776A">
          <w:pPr>
            <w:keepNext/>
            <w:keepLines/>
            <w:widowControl w:val="0"/>
            <w:jc w:val="center"/>
            <w:rPr>
              <w:sz w:val="20"/>
              <w:szCs w:val="20"/>
            </w:rPr>
          </w:pPr>
        </w:p>
      </w:tc>
      <w:tc>
        <w:tcPr>
          <w:tcW w:w="4080" w:type="dxa"/>
          <w:tcMar>
            <w:left w:w="0" w:type="dxa"/>
            <w:right w:w="0" w:type="dxa"/>
          </w:tcMar>
        </w:tcPr>
        <w:p w:rsidR="007D17BD" w:rsidRPr="0044776A" w:rsidRDefault="007D17BD" w:rsidP="0044776A">
          <w:pPr>
            <w:keepLines/>
            <w:widowControl w:val="0"/>
            <w:rPr>
              <w:sz w:val="20"/>
              <w:szCs w:val="20"/>
              <w:lang w:val="fr-CA"/>
            </w:rPr>
          </w:pPr>
          <w:r w:rsidRPr="0044776A">
            <w:rPr>
              <w:sz w:val="20"/>
              <w:szCs w:val="20"/>
              <w:lang w:val="fr-CA"/>
            </w:rPr>
            <w:t>DEMANDES SOUMISES À LA COUR DEPUIS LA DERNIÈRE PARUTION</w:t>
          </w:r>
        </w:p>
        <w:p w:rsidR="007D17BD" w:rsidRPr="0044776A" w:rsidRDefault="007D17BD" w:rsidP="0044776A">
          <w:pPr>
            <w:widowControl w:val="0"/>
            <w:rPr>
              <w:sz w:val="20"/>
              <w:szCs w:val="20"/>
              <w:lang w:val="fr-CA"/>
            </w:rPr>
          </w:pPr>
        </w:p>
      </w:tc>
    </w:tr>
  </w:tbl>
  <w:p w:rsidR="007D17BD" w:rsidRPr="002E2327" w:rsidRDefault="007D17B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BD" w:rsidRDefault="007D17B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D17BD" w:rsidRPr="00FD7538">
      <w:tc>
        <w:tcPr>
          <w:tcW w:w="4200" w:type="dxa"/>
          <w:tcMar>
            <w:left w:w="0" w:type="dxa"/>
            <w:right w:w="0" w:type="dxa"/>
          </w:tcMar>
        </w:tcPr>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D17BD"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D17BD" w:rsidRDefault="007D17B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17BD" w:rsidRPr="00FF6BA5" w:rsidRDefault="007D17B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D17BD" w:rsidRPr="00FF6BA5"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D17BD" w:rsidRPr="00FF6BA5"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D17BD" w:rsidRPr="00FF6BA5" w:rsidRDefault="007D1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17BD" w:rsidRPr="00FD7538" w:rsidTr="00245129">
      <w:tc>
        <w:tcPr>
          <w:tcW w:w="4200" w:type="dxa"/>
          <w:tcMar>
            <w:left w:w="0" w:type="dxa"/>
            <w:right w:w="0" w:type="dxa"/>
          </w:tcMar>
        </w:tcPr>
        <w:p w:rsidR="007D17BD" w:rsidRPr="00755F22"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D17BD" w:rsidRPr="00755F22" w:rsidRDefault="007D17B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D17BD" w:rsidRPr="00755F22" w:rsidRDefault="007D17B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D17BD" w:rsidRPr="00755F22" w:rsidRDefault="007D17B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D17BD" w:rsidRPr="00755F22" w:rsidRDefault="007D17B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D17BD" w:rsidRPr="00755F22" w:rsidRDefault="007D17B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D17BD" w:rsidRPr="00FF6BA5" w:rsidRDefault="007D17B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ED12812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3571"/>
  </w:hdrShapeDefaults>
  <w:footnotePr>
    <w:footnote w:id="-1"/>
    <w:footnote w:id="0"/>
  </w:footnotePr>
  <w:endnotePr>
    <w:endnote w:id="-1"/>
    <w:endnote w:id="0"/>
  </w:endnotePr>
  <w:compat/>
  <w:rsids>
    <w:rsidRoot w:val="00E51CF8"/>
    <w:rsid w:val="000013ED"/>
    <w:rsid w:val="0003223B"/>
    <w:rsid w:val="000327B2"/>
    <w:rsid w:val="00044068"/>
    <w:rsid w:val="00096BD9"/>
    <w:rsid w:val="000B3C9A"/>
    <w:rsid w:val="000B40A2"/>
    <w:rsid w:val="000C0ACD"/>
    <w:rsid w:val="000F3FED"/>
    <w:rsid w:val="00102926"/>
    <w:rsid w:val="0010587F"/>
    <w:rsid w:val="00111C6B"/>
    <w:rsid w:val="00115C9E"/>
    <w:rsid w:val="0013369E"/>
    <w:rsid w:val="00164E6D"/>
    <w:rsid w:val="00180A01"/>
    <w:rsid w:val="00197E62"/>
    <w:rsid w:val="001A273F"/>
    <w:rsid w:val="001A663B"/>
    <w:rsid w:val="001B5C23"/>
    <w:rsid w:val="001D0D5F"/>
    <w:rsid w:val="001D0FF0"/>
    <w:rsid w:val="001D6B8C"/>
    <w:rsid w:val="001F1F83"/>
    <w:rsid w:val="002021A9"/>
    <w:rsid w:val="002139A7"/>
    <w:rsid w:val="00215F7C"/>
    <w:rsid w:val="0022323B"/>
    <w:rsid w:val="00231761"/>
    <w:rsid w:val="002410B8"/>
    <w:rsid w:val="00242AEE"/>
    <w:rsid w:val="00245129"/>
    <w:rsid w:val="00245879"/>
    <w:rsid w:val="0025746D"/>
    <w:rsid w:val="002607EA"/>
    <w:rsid w:val="00263BC7"/>
    <w:rsid w:val="00267FD5"/>
    <w:rsid w:val="002868D0"/>
    <w:rsid w:val="002B031F"/>
    <w:rsid w:val="002B0415"/>
    <w:rsid w:val="002B516C"/>
    <w:rsid w:val="002D72EB"/>
    <w:rsid w:val="002E2327"/>
    <w:rsid w:val="002E3583"/>
    <w:rsid w:val="002E5576"/>
    <w:rsid w:val="002F799C"/>
    <w:rsid w:val="00331B52"/>
    <w:rsid w:val="003359D3"/>
    <w:rsid w:val="00355967"/>
    <w:rsid w:val="00380525"/>
    <w:rsid w:val="00382C47"/>
    <w:rsid w:val="00384384"/>
    <w:rsid w:val="0039693C"/>
    <w:rsid w:val="003B3977"/>
    <w:rsid w:val="003C63DA"/>
    <w:rsid w:val="00403394"/>
    <w:rsid w:val="00403FC5"/>
    <w:rsid w:val="00432989"/>
    <w:rsid w:val="00434FB3"/>
    <w:rsid w:val="00440E24"/>
    <w:rsid w:val="0044776A"/>
    <w:rsid w:val="004517AC"/>
    <w:rsid w:val="00460AFC"/>
    <w:rsid w:val="0047471F"/>
    <w:rsid w:val="00477D23"/>
    <w:rsid w:val="0049060E"/>
    <w:rsid w:val="004946FB"/>
    <w:rsid w:val="004B66B4"/>
    <w:rsid w:val="004C1AAC"/>
    <w:rsid w:val="004D631F"/>
    <w:rsid w:val="004E66CF"/>
    <w:rsid w:val="004F090E"/>
    <w:rsid w:val="004F1D60"/>
    <w:rsid w:val="005140EA"/>
    <w:rsid w:val="00527CC7"/>
    <w:rsid w:val="00544115"/>
    <w:rsid w:val="00560041"/>
    <w:rsid w:val="00571CA4"/>
    <w:rsid w:val="00582136"/>
    <w:rsid w:val="005C6840"/>
    <w:rsid w:val="005E6013"/>
    <w:rsid w:val="005F263E"/>
    <w:rsid w:val="00600252"/>
    <w:rsid w:val="00612A40"/>
    <w:rsid w:val="00620D84"/>
    <w:rsid w:val="0063016C"/>
    <w:rsid w:val="0065380B"/>
    <w:rsid w:val="00664BB0"/>
    <w:rsid w:val="00675479"/>
    <w:rsid w:val="00685C6A"/>
    <w:rsid w:val="00697C62"/>
    <w:rsid w:val="006A0A04"/>
    <w:rsid w:val="006A329B"/>
    <w:rsid w:val="006A7EB8"/>
    <w:rsid w:val="006B6926"/>
    <w:rsid w:val="006C3F47"/>
    <w:rsid w:val="006C5F7A"/>
    <w:rsid w:val="006E06AF"/>
    <w:rsid w:val="006F350F"/>
    <w:rsid w:val="00732DB7"/>
    <w:rsid w:val="0074238B"/>
    <w:rsid w:val="0074578D"/>
    <w:rsid w:val="00755F22"/>
    <w:rsid w:val="0076364F"/>
    <w:rsid w:val="00766E4A"/>
    <w:rsid w:val="00771241"/>
    <w:rsid w:val="007820CE"/>
    <w:rsid w:val="00782AE4"/>
    <w:rsid w:val="00790457"/>
    <w:rsid w:val="0079724F"/>
    <w:rsid w:val="007A3EAE"/>
    <w:rsid w:val="007A6638"/>
    <w:rsid w:val="007C04FC"/>
    <w:rsid w:val="007D17BD"/>
    <w:rsid w:val="007D3E0F"/>
    <w:rsid w:val="007F387B"/>
    <w:rsid w:val="00802863"/>
    <w:rsid w:val="00815B3C"/>
    <w:rsid w:val="0082783A"/>
    <w:rsid w:val="00831CA9"/>
    <w:rsid w:val="008435FE"/>
    <w:rsid w:val="00850E1F"/>
    <w:rsid w:val="0085476B"/>
    <w:rsid w:val="0087440A"/>
    <w:rsid w:val="0088733B"/>
    <w:rsid w:val="00890FEB"/>
    <w:rsid w:val="008D292F"/>
    <w:rsid w:val="008E03DC"/>
    <w:rsid w:val="00924065"/>
    <w:rsid w:val="0093057E"/>
    <w:rsid w:val="00930D68"/>
    <w:rsid w:val="00932DB4"/>
    <w:rsid w:val="00940CAD"/>
    <w:rsid w:val="00941A4B"/>
    <w:rsid w:val="00946242"/>
    <w:rsid w:val="0095096B"/>
    <w:rsid w:val="00970CD3"/>
    <w:rsid w:val="009723FA"/>
    <w:rsid w:val="00984546"/>
    <w:rsid w:val="00996510"/>
    <w:rsid w:val="009A73D1"/>
    <w:rsid w:val="009D1F15"/>
    <w:rsid w:val="009D555E"/>
    <w:rsid w:val="00A0355E"/>
    <w:rsid w:val="00A12E47"/>
    <w:rsid w:val="00A356C0"/>
    <w:rsid w:val="00A375D1"/>
    <w:rsid w:val="00A51D10"/>
    <w:rsid w:val="00A52A83"/>
    <w:rsid w:val="00A6552C"/>
    <w:rsid w:val="00A66770"/>
    <w:rsid w:val="00A87207"/>
    <w:rsid w:val="00A935AA"/>
    <w:rsid w:val="00AB2201"/>
    <w:rsid w:val="00AB4E88"/>
    <w:rsid w:val="00AE2D0B"/>
    <w:rsid w:val="00AF1715"/>
    <w:rsid w:val="00AF3904"/>
    <w:rsid w:val="00AF56FF"/>
    <w:rsid w:val="00B010C0"/>
    <w:rsid w:val="00B16700"/>
    <w:rsid w:val="00B225BE"/>
    <w:rsid w:val="00B4740D"/>
    <w:rsid w:val="00B61629"/>
    <w:rsid w:val="00B7374B"/>
    <w:rsid w:val="00B83EA3"/>
    <w:rsid w:val="00B90DC0"/>
    <w:rsid w:val="00BA116A"/>
    <w:rsid w:val="00BA5582"/>
    <w:rsid w:val="00BA6468"/>
    <w:rsid w:val="00BD06DA"/>
    <w:rsid w:val="00BD4217"/>
    <w:rsid w:val="00BF25F3"/>
    <w:rsid w:val="00C1697B"/>
    <w:rsid w:val="00C16CB3"/>
    <w:rsid w:val="00C3001A"/>
    <w:rsid w:val="00C50A5C"/>
    <w:rsid w:val="00C50FDF"/>
    <w:rsid w:val="00C612D0"/>
    <w:rsid w:val="00C679D1"/>
    <w:rsid w:val="00C73E1B"/>
    <w:rsid w:val="00C759B4"/>
    <w:rsid w:val="00C77713"/>
    <w:rsid w:val="00CB43D5"/>
    <w:rsid w:val="00CC4D84"/>
    <w:rsid w:val="00CD106E"/>
    <w:rsid w:val="00CD6291"/>
    <w:rsid w:val="00CF4388"/>
    <w:rsid w:val="00D64901"/>
    <w:rsid w:val="00D76BDF"/>
    <w:rsid w:val="00D862C1"/>
    <w:rsid w:val="00D900D9"/>
    <w:rsid w:val="00D900E7"/>
    <w:rsid w:val="00D93B50"/>
    <w:rsid w:val="00D94670"/>
    <w:rsid w:val="00DA46F6"/>
    <w:rsid w:val="00DD0B49"/>
    <w:rsid w:val="00DE1CAD"/>
    <w:rsid w:val="00DE7EFF"/>
    <w:rsid w:val="00E06DFA"/>
    <w:rsid w:val="00E20A0A"/>
    <w:rsid w:val="00E356C7"/>
    <w:rsid w:val="00E35DA8"/>
    <w:rsid w:val="00E51CF8"/>
    <w:rsid w:val="00E64FA7"/>
    <w:rsid w:val="00E770CB"/>
    <w:rsid w:val="00E801D1"/>
    <w:rsid w:val="00E903A1"/>
    <w:rsid w:val="00E940EB"/>
    <w:rsid w:val="00E9683E"/>
    <w:rsid w:val="00EB2B90"/>
    <w:rsid w:val="00ED7E83"/>
    <w:rsid w:val="00EF4B63"/>
    <w:rsid w:val="00F0068D"/>
    <w:rsid w:val="00F0576D"/>
    <w:rsid w:val="00F14E6D"/>
    <w:rsid w:val="00F15EA8"/>
    <w:rsid w:val="00F16C8D"/>
    <w:rsid w:val="00F26C61"/>
    <w:rsid w:val="00F33CCE"/>
    <w:rsid w:val="00F373F1"/>
    <w:rsid w:val="00F40249"/>
    <w:rsid w:val="00F526C8"/>
    <w:rsid w:val="00F71C69"/>
    <w:rsid w:val="00F9518C"/>
    <w:rsid w:val="00FA316E"/>
    <w:rsid w:val="00FA59EF"/>
    <w:rsid w:val="00FB19A2"/>
    <w:rsid w:val="00FD7538"/>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LowerCourtNameLowercase">
    <w:name w:val="SCC.LowerCourtNameLowercase"/>
    <w:basedOn w:val="SCCNormalDoubleSpacing"/>
    <w:next w:val="SCCNormalDoubleSpacing"/>
    <w:rsid w:val="00CD6291"/>
    <w:pPr>
      <w:tabs>
        <w:tab w:val="left" w:pos="1168"/>
      </w:tabs>
    </w:pPr>
    <w:rPr>
      <w:smallCaps/>
    </w:rPr>
  </w:style>
  <w:style w:type="paragraph" w:customStyle="1" w:styleId="ParaNoNdepar-AltN">
    <w:name w:val="Para. No. / Nº de par. - Alt N"/>
    <w:qFormat/>
    <w:rsid w:val="00CD6291"/>
    <w:pPr>
      <w:numPr>
        <w:numId w:val="2"/>
      </w:numPr>
      <w:tabs>
        <w:tab w:val="clear" w:pos="1152"/>
        <w:tab w:val="left" w:pos="1166"/>
      </w:tabs>
      <w:spacing w:before="480" w:after="480" w:line="480" w:lineRule="auto"/>
      <w:jc w:val="both"/>
    </w:pPr>
    <w:rPr>
      <w:rFonts w:eastAsiaTheme="minorEastAsia"/>
      <w:lang w:val="en-CA"/>
    </w:rPr>
  </w:style>
  <w:style w:type="paragraph" w:customStyle="1" w:styleId="SCCFileNumber">
    <w:name w:val="SCC.FileNumber"/>
    <w:basedOn w:val="Normal"/>
    <w:next w:val="Normal"/>
    <w:link w:val="SCCFileNumberChar"/>
    <w:rsid w:val="008435FE"/>
    <w:pPr>
      <w:jc w:val="center"/>
    </w:pPr>
    <w:rPr>
      <w:b/>
      <w:szCs w:val="24"/>
      <w:lang w:val="fr-CA"/>
    </w:rPr>
  </w:style>
  <w:style w:type="character" w:customStyle="1" w:styleId="SCCFileNumberChar">
    <w:name w:val="SCC.FileNumber Char"/>
    <w:basedOn w:val="DefaultParagraphFont"/>
    <w:link w:val="SCCFileNumber"/>
    <w:rsid w:val="008435FE"/>
    <w:rPr>
      <w:b/>
      <w:szCs w:val="24"/>
      <w:lang w:val="fr-CA"/>
    </w:rPr>
  </w:style>
  <w:style w:type="paragraph" w:customStyle="1" w:styleId="SCCLsoc">
    <w:name w:val="SCC.Lsoc"/>
    <w:basedOn w:val="Normal"/>
    <w:next w:val="Normal"/>
    <w:link w:val="SCCLsocChar"/>
    <w:rsid w:val="008435FE"/>
    <w:pPr>
      <w:jc w:val="center"/>
    </w:pPr>
    <w:rPr>
      <w:b/>
      <w:szCs w:val="24"/>
      <w:u w:val="single"/>
      <w:lang w:val="fr-CA"/>
    </w:rPr>
  </w:style>
  <w:style w:type="character" w:customStyle="1" w:styleId="SCCLsocChar">
    <w:name w:val="SCC.Lsoc Char"/>
    <w:basedOn w:val="DefaultParagraphFont"/>
    <w:link w:val="SCCLsoc"/>
    <w:rsid w:val="008435FE"/>
    <w:rPr>
      <w:b/>
      <w:szCs w:val="24"/>
      <w:u w:val="single"/>
      <w:lang w:val="fr-CA"/>
    </w:rPr>
  </w:style>
  <w:style w:type="paragraph" w:customStyle="1" w:styleId="SCCCoram">
    <w:name w:val="SCC.Coram"/>
    <w:basedOn w:val="Normal"/>
    <w:next w:val="Normal"/>
    <w:link w:val="SCCCoramChar"/>
    <w:rsid w:val="008435FE"/>
    <w:pPr>
      <w:jc w:val="center"/>
    </w:pPr>
    <w:rPr>
      <w:szCs w:val="24"/>
      <w:u w:val="single"/>
      <w:lang w:val="fr-CA"/>
    </w:rPr>
  </w:style>
  <w:style w:type="character" w:customStyle="1" w:styleId="SCCCoramChar">
    <w:name w:val="SCC.Coram Char"/>
    <w:basedOn w:val="DefaultParagraphFont"/>
    <w:link w:val="SCCCoram"/>
    <w:rsid w:val="008435FE"/>
    <w:rPr>
      <w:szCs w:val="24"/>
      <w:u w:val="single"/>
      <w:lang w:val="fr-CA"/>
    </w:rPr>
  </w:style>
  <w:style w:type="paragraph" w:customStyle="1" w:styleId="SCCShortJudgment">
    <w:name w:val="SCC.ShortJudgment"/>
    <w:basedOn w:val="Normal"/>
    <w:qFormat/>
    <w:rsid w:val="008435FE"/>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7774</Words>
  <Characters>44316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2011-11-10T19:14:00Z</dcterms:created>
  <dcterms:modified xsi:type="dcterms:W3CDTF">2011-11-16T16:09:00Z</dcterms:modified>
</cp:coreProperties>
</file>