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608D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608D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608D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8608D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608D5" w:rsidTr="002E5576">
        <w:tc>
          <w:tcPr>
            <w:tcW w:w="4518" w:type="dxa"/>
          </w:tcPr>
          <w:p w:rsidR="00BF25F3" w:rsidRPr="002E2327" w:rsidRDefault="008754B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754B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517AED" w:rsidP="00F0068D">
      <w:pPr>
        <w:pBdr>
          <w:bottom w:val="single" w:sz="6" w:space="1" w:color="auto"/>
        </w:pBdr>
        <w:tabs>
          <w:tab w:val="center" w:pos="4680"/>
          <w:tab w:val="right" w:pos="9360"/>
        </w:tabs>
        <w:rPr>
          <w:lang w:val="fr-CA"/>
        </w:rPr>
      </w:pPr>
      <w:proofErr w:type="spellStart"/>
      <w:r>
        <w:rPr>
          <w:lang w:val="fr-CA"/>
        </w:rPr>
        <w:t>December</w:t>
      </w:r>
      <w:proofErr w:type="spellEnd"/>
      <w:r w:rsidR="00440E24" w:rsidRPr="00675479">
        <w:rPr>
          <w:lang w:val="fr-CA"/>
        </w:rPr>
        <w:t xml:space="preserve"> 2, 201</w:t>
      </w:r>
      <w:r w:rsidR="003359D3">
        <w:rPr>
          <w:lang w:val="fr-CA"/>
        </w:rPr>
        <w:t>1</w:t>
      </w:r>
      <w:r w:rsidR="00F0068D" w:rsidRPr="00675479">
        <w:rPr>
          <w:lang w:val="fr-CA"/>
        </w:rPr>
        <w:tab/>
        <w:t>1</w:t>
      </w:r>
      <w:r>
        <w:rPr>
          <w:lang w:val="fr-CA"/>
        </w:rPr>
        <w:t>772</w:t>
      </w:r>
      <w:r w:rsidR="00F0068D" w:rsidRPr="00675479">
        <w:rPr>
          <w:lang w:val="fr-CA"/>
        </w:rPr>
        <w:t xml:space="preserve"> - </w:t>
      </w:r>
      <w:r w:rsidR="00A83F53">
        <w:rPr>
          <w:lang w:val="fr-CA"/>
        </w:rPr>
        <w:t>1809</w:t>
      </w:r>
      <w:r w:rsidR="00440E24" w:rsidRPr="00675479">
        <w:rPr>
          <w:lang w:val="fr-CA"/>
        </w:rPr>
        <w:tab/>
      </w:r>
      <w:r w:rsidR="00440E24" w:rsidRPr="002E2327">
        <w:rPr>
          <w:lang w:val="fr-CA"/>
        </w:rPr>
        <w:t>Le 2</w:t>
      </w:r>
      <w:r>
        <w:rPr>
          <w:lang w:val="fr-CA"/>
        </w:rPr>
        <w:t xml:space="preserve"> décembre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8608D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117827">
            <w:pPr>
              <w:tabs>
                <w:tab w:val="right" w:pos="9360"/>
              </w:tabs>
              <w:rPr>
                <w:rFonts w:cs="Times New Roman"/>
                <w:sz w:val="20"/>
                <w:szCs w:val="20"/>
              </w:rPr>
            </w:pPr>
          </w:p>
        </w:tc>
        <w:tc>
          <w:tcPr>
            <w:tcW w:w="1980" w:type="dxa"/>
          </w:tcPr>
          <w:p w:rsidR="0095096B" w:rsidRPr="002E2327" w:rsidRDefault="00F81266" w:rsidP="0095096B">
            <w:pPr>
              <w:jc w:val="center"/>
              <w:rPr>
                <w:rFonts w:cs="Times New Roman"/>
                <w:sz w:val="20"/>
                <w:szCs w:val="20"/>
              </w:rPr>
            </w:pPr>
            <w:r>
              <w:rPr>
                <w:rFonts w:cs="Times New Roman"/>
                <w:sz w:val="20"/>
                <w:szCs w:val="20"/>
              </w:rPr>
              <w:t xml:space="preserve">1772 </w:t>
            </w:r>
            <w:r w:rsidR="008754B5" w:rsidRPr="002E2327">
              <w:rPr>
                <w:rFonts w:cs="Times New Roman"/>
                <w:sz w:val="20"/>
                <w:szCs w:val="20"/>
              </w:rPr>
              <w:fldChar w:fldCharType="begin"/>
            </w:r>
            <w:r w:rsidR="0095096B" w:rsidRPr="002E2327">
              <w:rPr>
                <w:rFonts w:cs="Times New Roman"/>
                <w:sz w:val="20"/>
                <w:szCs w:val="20"/>
              </w:rPr>
              <w:instrText xml:space="preserve"> SEQ CHAPTER \h \r 1</w:instrText>
            </w:r>
            <w:r w:rsidR="008754B5" w:rsidRPr="002E2327">
              <w:rPr>
                <w:rFonts w:cs="Times New Roman"/>
                <w:sz w:val="20"/>
                <w:szCs w:val="20"/>
              </w:rPr>
              <w:fldChar w:fldCharType="end"/>
            </w:r>
            <w:r w:rsidR="0095096B" w:rsidRPr="002E2327">
              <w:rPr>
                <w:rFonts w:cs="Times New Roman"/>
                <w:sz w:val="20"/>
                <w:szCs w:val="20"/>
              </w:rPr>
              <w:t>-</w:t>
            </w:r>
            <w:r w:rsidR="00B159C8">
              <w:rPr>
                <w:rFonts w:cs="Times New Roman"/>
                <w:sz w:val="20"/>
                <w:szCs w:val="20"/>
              </w:rPr>
              <w:t xml:space="preserve"> 1773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12F86" w:rsidP="0095096B">
            <w:pPr>
              <w:jc w:val="center"/>
              <w:rPr>
                <w:rFonts w:cs="Times New Roman"/>
                <w:sz w:val="20"/>
                <w:szCs w:val="20"/>
              </w:rPr>
            </w:pPr>
            <w:r>
              <w:rPr>
                <w:rFonts w:cs="Times New Roman"/>
                <w:sz w:val="20"/>
                <w:szCs w:val="20"/>
              </w:rPr>
              <w:t>1774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D4F3A" w:rsidP="0095096B">
            <w:pPr>
              <w:jc w:val="center"/>
              <w:rPr>
                <w:rFonts w:cs="Times New Roman"/>
                <w:sz w:val="20"/>
                <w:szCs w:val="20"/>
              </w:rPr>
            </w:pPr>
            <w:r>
              <w:rPr>
                <w:rFonts w:cs="Times New Roman"/>
                <w:sz w:val="20"/>
                <w:szCs w:val="20"/>
              </w:rPr>
              <w:t xml:space="preserve">1775 </w:t>
            </w:r>
            <w:r w:rsidR="0095096B" w:rsidRPr="002E2327">
              <w:rPr>
                <w:rFonts w:cs="Times New Roman"/>
                <w:sz w:val="20"/>
                <w:szCs w:val="20"/>
              </w:rPr>
              <w:t>-</w:t>
            </w:r>
            <w:r>
              <w:rPr>
                <w:rFonts w:cs="Times New Roman"/>
                <w:sz w:val="20"/>
                <w:szCs w:val="20"/>
              </w:rPr>
              <w:t xml:space="preserve"> 179</w:t>
            </w:r>
            <w:r w:rsidR="00A27223">
              <w:rPr>
                <w:rFonts w:cs="Times New Roman"/>
                <w:sz w:val="20"/>
                <w:szCs w:val="20"/>
              </w:rPr>
              <w:t>2</w:t>
            </w:r>
          </w:p>
          <w:p w:rsidR="0095096B" w:rsidRDefault="0095096B" w:rsidP="0095096B">
            <w:pPr>
              <w:jc w:val="center"/>
              <w:rPr>
                <w:rFonts w:cs="Times New Roman"/>
                <w:sz w:val="20"/>
                <w:szCs w:val="20"/>
              </w:rPr>
            </w:pPr>
          </w:p>
          <w:p w:rsidR="00117827" w:rsidRPr="002E2327" w:rsidRDefault="00117827" w:rsidP="0095096B">
            <w:pPr>
              <w:jc w:val="center"/>
              <w:rPr>
                <w:rFonts w:cs="Times New Roman"/>
                <w:sz w:val="20"/>
                <w:szCs w:val="20"/>
              </w:rPr>
            </w:pPr>
          </w:p>
          <w:p w:rsidR="0095096B" w:rsidRPr="002E2327" w:rsidRDefault="001D4F3A" w:rsidP="0095096B">
            <w:pPr>
              <w:jc w:val="center"/>
              <w:rPr>
                <w:rFonts w:cs="Times New Roman"/>
                <w:sz w:val="20"/>
                <w:szCs w:val="20"/>
              </w:rPr>
            </w:pPr>
            <w:r>
              <w:rPr>
                <w:rFonts w:cs="Times New Roman"/>
                <w:sz w:val="20"/>
                <w:szCs w:val="20"/>
              </w:rPr>
              <w:t>179</w:t>
            </w:r>
            <w:r w:rsidR="00A27223">
              <w:rPr>
                <w:rFonts w:cs="Times New Roman"/>
                <w:sz w:val="20"/>
                <w:szCs w:val="20"/>
              </w:rPr>
              <w:t>3</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179</w:t>
            </w:r>
            <w:r w:rsidR="00A27223">
              <w:rPr>
                <w:rFonts w:cs="Times New Roman"/>
                <w:sz w:val="20"/>
                <w:szCs w:val="20"/>
              </w:rPr>
              <w:t>9</w:t>
            </w:r>
          </w:p>
          <w:p w:rsidR="0095096B" w:rsidRPr="002E2327" w:rsidRDefault="0095096B" w:rsidP="0095096B">
            <w:pPr>
              <w:jc w:val="center"/>
              <w:rPr>
                <w:rFonts w:cs="Times New Roman"/>
                <w:sz w:val="20"/>
                <w:szCs w:val="20"/>
              </w:rPr>
            </w:pPr>
          </w:p>
          <w:p w:rsidR="0095096B" w:rsidRPr="002E2327" w:rsidRDefault="001D4F3A" w:rsidP="0095096B">
            <w:pPr>
              <w:jc w:val="center"/>
              <w:rPr>
                <w:rFonts w:cs="Times New Roman"/>
                <w:sz w:val="20"/>
                <w:szCs w:val="20"/>
              </w:rPr>
            </w:pPr>
            <w:r>
              <w:rPr>
                <w:rFonts w:cs="Times New Roman"/>
                <w:sz w:val="20"/>
                <w:szCs w:val="20"/>
              </w:rPr>
              <w:t>18</w:t>
            </w:r>
            <w:r w:rsidR="00A27223">
              <w:rPr>
                <w:rFonts w:cs="Times New Roman"/>
                <w:sz w:val="20"/>
                <w:szCs w:val="20"/>
              </w:rPr>
              <w:t>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D4F3A" w:rsidP="0095096B">
            <w:pPr>
              <w:jc w:val="center"/>
              <w:rPr>
                <w:rFonts w:cs="Times New Roman"/>
                <w:sz w:val="20"/>
                <w:szCs w:val="20"/>
              </w:rPr>
            </w:pPr>
            <w:r>
              <w:rPr>
                <w:rFonts w:cs="Times New Roman"/>
                <w:sz w:val="20"/>
                <w:szCs w:val="20"/>
              </w:rPr>
              <w:t>1</w:t>
            </w:r>
            <w:r w:rsidR="00A27223">
              <w:rPr>
                <w:rFonts w:cs="Times New Roman"/>
                <w:sz w:val="20"/>
                <w:szCs w:val="20"/>
              </w:rPr>
              <w:t>801</w:t>
            </w:r>
          </w:p>
          <w:p w:rsidR="0095096B" w:rsidRDefault="0095096B" w:rsidP="0095096B">
            <w:pPr>
              <w:jc w:val="center"/>
              <w:rPr>
                <w:rFonts w:cs="Times New Roman"/>
                <w:sz w:val="20"/>
                <w:szCs w:val="20"/>
              </w:rPr>
            </w:pPr>
          </w:p>
          <w:p w:rsidR="00117827" w:rsidRPr="002E2327" w:rsidRDefault="00117827" w:rsidP="0095096B">
            <w:pPr>
              <w:jc w:val="center"/>
              <w:rPr>
                <w:rFonts w:cs="Times New Roman"/>
                <w:sz w:val="20"/>
                <w:szCs w:val="20"/>
              </w:rPr>
            </w:pPr>
          </w:p>
          <w:p w:rsidR="0095096B" w:rsidRPr="002E2327" w:rsidRDefault="001D4F3A" w:rsidP="0095096B">
            <w:pPr>
              <w:jc w:val="center"/>
              <w:rPr>
                <w:rFonts w:cs="Times New Roman"/>
                <w:sz w:val="20"/>
                <w:szCs w:val="20"/>
              </w:rPr>
            </w:pPr>
            <w:r>
              <w:rPr>
                <w:rFonts w:cs="Times New Roman"/>
                <w:sz w:val="20"/>
                <w:szCs w:val="20"/>
              </w:rPr>
              <w:t>180</w:t>
            </w:r>
            <w:r w:rsidR="00A27223">
              <w:rPr>
                <w:rFonts w:cs="Times New Roman"/>
                <w:sz w:val="20"/>
                <w:szCs w:val="20"/>
              </w:rPr>
              <w:t>2</w:t>
            </w:r>
            <w:r>
              <w:rPr>
                <w:rFonts w:cs="Times New Roman"/>
                <w:sz w:val="20"/>
                <w:szCs w:val="20"/>
              </w:rPr>
              <w:t xml:space="preserve"> </w:t>
            </w:r>
            <w:r w:rsidR="0095096B" w:rsidRPr="002E2327">
              <w:rPr>
                <w:rFonts w:cs="Times New Roman"/>
                <w:sz w:val="20"/>
                <w:szCs w:val="20"/>
              </w:rPr>
              <w:t>-</w:t>
            </w:r>
            <w:r w:rsidR="002444EC">
              <w:rPr>
                <w:rFonts w:cs="Times New Roman"/>
                <w:sz w:val="20"/>
                <w:szCs w:val="20"/>
              </w:rPr>
              <w:t xml:space="preserve"> 1808</w:t>
            </w:r>
          </w:p>
          <w:p w:rsidR="0095096B" w:rsidRPr="002E2327" w:rsidRDefault="0095096B" w:rsidP="0095096B">
            <w:pPr>
              <w:jc w:val="center"/>
              <w:rPr>
                <w:rFonts w:cs="Times New Roman"/>
                <w:sz w:val="20"/>
                <w:szCs w:val="20"/>
              </w:rPr>
            </w:pPr>
          </w:p>
          <w:p w:rsidR="0095096B" w:rsidRPr="002E2327" w:rsidRDefault="002444EC" w:rsidP="0095096B">
            <w:pPr>
              <w:jc w:val="center"/>
              <w:rPr>
                <w:rFonts w:cs="Times New Roman"/>
                <w:sz w:val="20"/>
                <w:szCs w:val="20"/>
              </w:rPr>
            </w:pPr>
            <w:r>
              <w:rPr>
                <w:rFonts w:cs="Times New Roman"/>
                <w:sz w:val="20"/>
                <w:szCs w:val="20"/>
              </w:rPr>
              <w:t>1809</w:t>
            </w:r>
          </w:p>
          <w:p w:rsidR="00A87207" w:rsidRPr="002E2327" w:rsidRDefault="00A87207" w:rsidP="00117827">
            <w:pPr>
              <w:tabs>
                <w:tab w:val="right" w:pos="9360"/>
              </w:tabs>
              <w:jc w:val="center"/>
              <w:rPr>
                <w:rFonts w:cs="Times New Roman"/>
                <w:sz w:val="20"/>
                <w:szCs w:val="20"/>
              </w:rPr>
            </w:pPr>
          </w:p>
        </w:tc>
        <w:tc>
          <w:tcPr>
            <w:tcW w:w="3888" w:type="dxa"/>
          </w:tcPr>
          <w:p w:rsidR="0095096B" w:rsidRPr="002E2327" w:rsidRDefault="008754B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117827" w:rsidRDefault="00117827"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117827">
            <w:pPr>
              <w:tabs>
                <w:tab w:val="right" w:pos="9360"/>
              </w:tabs>
              <w:rPr>
                <w:rFonts w:cs="Times New Roman"/>
                <w:sz w:val="20"/>
                <w:szCs w:val="20"/>
                <w:lang w:val="fr-CA"/>
              </w:rPr>
            </w:pPr>
          </w:p>
        </w:tc>
      </w:tr>
    </w:tbl>
    <w:p w:rsidR="0095096B" w:rsidRPr="001D4F3A" w:rsidRDefault="0095096B" w:rsidP="0095096B">
      <w:pPr>
        <w:tabs>
          <w:tab w:val="right" w:pos="9360"/>
        </w:tabs>
        <w:rPr>
          <w:lang w:val="fr-CA"/>
        </w:rPr>
      </w:pPr>
    </w:p>
    <w:p w:rsidR="00117827" w:rsidRPr="001D4F3A" w:rsidRDefault="00117827" w:rsidP="0095096B">
      <w:pPr>
        <w:tabs>
          <w:tab w:val="right" w:pos="9360"/>
        </w:tabs>
        <w:rPr>
          <w:lang w:val="fr-CA"/>
        </w:rPr>
      </w:pPr>
    </w:p>
    <w:p w:rsidR="00117827" w:rsidRPr="001D4F3A" w:rsidRDefault="00117827" w:rsidP="0095096B">
      <w:pPr>
        <w:tabs>
          <w:tab w:val="right" w:pos="9360"/>
        </w:tabs>
        <w:rPr>
          <w:lang w:val="fr-CA"/>
        </w:rPr>
      </w:pPr>
    </w:p>
    <w:p w:rsidR="00117827" w:rsidRPr="001D4F3A" w:rsidRDefault="00117827" w:rsidP="0095096B">
      <w:pPr>
        <w:tabs>
          <w:tab w:val="right" w:pos="9360"/>
        </w:tabs>
        <w:rPr>
          <w:lang w:val="fr-CA"/>
        </w:rPr>
      </w:pPr>
    </w:p>
    <w:p w:rsidR="00117827" w:rsidRPr="001D4F3A" w:rsidRDefault="00117827" w:rsidP="0095096B">
      <w:pPr>
        <w:tabs>
          <w:tab w:val="right" w:pos="9360"/>
        </w:tabs>
        <w:rPr>
          <w:lang w:val="fr-CA"/>
        </w:rPr>
      </w:pPr>
    </w:p>
    <w:p w:rsidR="00117827" w:rsidRPr="001D4F3A" w:rsidRDefault="00117827" w:rsidP="0095096B">
      <w:pPr>
        <w:tabs>
          <w:tab w:val="right" w:pos="9360"/>
        </w:tabs>
        <w:rPr>
          <w:lang w:val="fr-CA"/>
        </w:rPr>
      </w:pPr>
    </w:p>
    <w:tbl>
      <w:tblPr>
        <w:tblStyle w:val="TableGrid"/>
        <w:tblW w:w="0" w:type="auto"/>
        <w:tblLook w:val="04A0"/>
      </w:tblPr>
      <w:tblGrid>
        <w:gridCol w:w="9576"/>
      </w:tblGrid>
      <w:tr w:rsidR="0079724F" w:rsidRPr="008608D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FB00A7" w:rsidRDefault="00FB00A7" w:rsidP="003B3977">
            <w:pPr>
              <w:rPr>
                <w:b/>
                <w:sz w:val="20"/>
                <w:szCs w:val="20"/>
                <w:lang w:val="fr-CA"/>
              </w:rPr>
            </w:pPr>
            <w:r w:rsidRPr="00FB00A7">
              <w:rPr>
                <w:b/>
                <w:sz w:val="20"/>
                <w:szCs w:val="20"/>
                <w:lang w:val="fr-CA"/>
              </w:rPr>
              <w:t>Marine Services International Limited et al.</w:t>
            </w:r>
          </w:p>
          <w:p w:rsidR="00242AEE" w:rsidRPr="00FB00A7" w:rsidRDefault="00242AEE" w:rsidP="003B3977">
            <w:pPr>
              <w:tabs>
                <w:tab w:val="left" w:pos="-1440"/>
                <w:tab w:val="left" w:pos="-720"/>
              </w:tabs>
              <w:rPr>
                <w:sz w:val="20"/>
                <w:szCs w:val="20"/>
              </w:rPr>
            </w:pPr>
            <w:r w:rsidRPr="00FB00A7">
              <w:rPr>
                <w:sz w:val="20"/>
                <w:szCs w:val="20"/>
                <w:lang w:val="fr-CA"/>
              </w:rPr>
              <w:tab/>
            </w:r>
            <w:r w:rsidR="00FB00A7" w:rsidRPr="00FB00A7">
              <w:rPr>
                <w:sz w:val="20"/>
                <w:szCs w:val="20"/>
              </w:rPr>
              <w:t>Peter O’Flaherty</w:t>
            </w:r>
          </w:p>
          <w:p w:rsidR="00242AEE" w:rsidRPr="00FB00A7" w:rsidRDefault="00242AEE" w:rsidP="003B3977">
            <w:pPr>
              <w:tabs>
                <w:tab w:val="left" w:pos="-1440"/>
                <w:tab w:val="left" w:pos="-720"/>
              </w:tabs>
              <w:rPr>
                <w:sz w:val="20"/>
                <w:szCs w:val="20"/>
              </w:rPr>
            </w:pPr>
            <w:r w:rsidRPr="00FB00A7">
              <w:rPr>
                <w:sz w:val="20"/>
                <w:szCs w:val="20"/>
              </w:rPr>
              <w:tab/>
            </w:r>
            <w:r w:rsidR="00FB00A7" w:rsidRPr="00FB00A7">
              <w:rPr>
                <w:sz w:val="20"/>
                <w:szCs w:val="20"/>
              </w:rPr>
              <w:t>Goodland O’Flaherty</w:t>
            </w:r>
          </w:p>
          <w:p w:rsidR="00242AEE" w:rsidRPr="00FB00A7"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FB00A7">
              <w:rPr>
                <w:sz w:val="20"/>
                <w:szCs w:val="20"/>
              </w:rPr>
              <w:tab/>
            </w:r>
            <w:r w:rsidRPr="00A935AA">
              <w:rPr>
                <w:sz w:val="20"/>
                <w:szCs w:val="20"/>
              </w:rPr>
              <w:t>v. (3</w:t>
            </w:r>
            <w:r w:rsidR="00517AED">
              <w:rPr>
                <w:sz w:val="20"/>
                <w:szCs w:val="20"/>
              </w:rPr>
              <w:t>4</w:t>
            </w:r>
            <w:r w:rsidR="00FB00A7">
              <w:rPr>
                <w:sz w:val="20"/>
                <w:szCs w:val="20"/>
              </w:rPr>
              <w:t>429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FB00A7" w:rsidP="003B3977">
            <w:pPr>
              <w:tabs>
                <w:tab w:val="left" w:pos="-1440"/>
                <w:tab w:val="left" w:pos="-720"/>
              </w:tabs>
              <w:rPr>
                <w:b/>
                <w:sz w:val="20"/>
                <w:szCs w:val="20"/>
              </w:rPr>
            </w:pPr>
            <w:r>
              <w:rPr>
                <w:b/>
                <w:sz w:val="20"/>
                <w:szCs w:val="20"/>
              </w:rPr>
              <w:t xml:space="preserve">The Estate of Joseph Ryan, by </w:t>
            </w:r>
            <w:proofErr w:type="spellStart"/>
            <w:r>
              <w:rPr>
                <w:b/>
                <w:sz w:val="20"/>
                <w:szCs w:val="20"/>
              </w:rPr>
              <w:t>it’s</w:t>
            </w:r>
            <w:proofErr w:type="spellEnd"/>
            <w:r>
              <w:rPr>
                <w:b/>
                <w:sz w:val="20"/>
                <w:szCs w:val="20"/>
              </w:rPr>
              <w:t xml:space="preserve"> </w:t>
            </w:r>
            <w:proofErr w:type="spellStart"/>
            <w:r>
              <w:rPr>
                <w:b/>
                <w:sz w:val="20"/>
                <w:szCs w:val="20"/>
              </w:rPr>
              <w:t>Administratrix</w:t>
            </w:r>
            <w:proofErr w:type="spellEnd"/>
            <w:r>
              <w:rPr>
                <w:b/>
                <w:sz w:val="20"/>
                <w:szCs w:val="20"/>
              </w:rPr>
              <w:t xml:space="preserve">, Yvonne Ryan et al. </w:t>
            </w:r>
            <w:r w:rsidR="00517AED">
              <w:rPr>
                <w:b/>
                <w:sz w:val="20"/>
                <w:szCs w:val="20"/>
              </w:rPr>
              <w:t>(</w:t>
            </w:r>
            <w:r>
              <w:rPr>
                <w:b/>
                <w:sz w:val="20"/>
                <w:szCs w:val="20"/>
              </w:rPr>
              <w:t>N.L.</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FB00A7">
              <w:rPr>
                <w:sz w:val="20"/>
                <w:szCs w:val="20"/>
              </w:rPr>
              <w:t>Corwin Mills, Q.C.</w:t>
            </w:r>
          </w:p>
          <w:p w:rsidR="00242AEE" w:rsidRPr="00A935AA" w:rsidRDefault="00242AEE" w:rsidP="003B3977">
            <w:pPr>
              <w:tabs>
                <w:tab w:val="left" w:pos="-1440"/>
                <w:tab w:val="left" w:pos="-720"/>
              </w:tabs>
              <w:rPr>
                <w:sz w:val="20"/>
                <w:szCs w:val="20"/>
              </w:rPr>
            </w:pPr>
            <w:r w:rsidRPr="00A935AA">
              <w:rPr>
                <w:sz w:val="20"/>
                <w:szCs w:val="20"/>
              </w:rPr>
              <w:tab/>
            </w:r>
            <w:r w:rsidR="00FB00A7">
              <w:rPr>
                <w:sz w:val="20"/>
                <w:szCs w:val="20"/>
              </w:rPr>
              <w:t>Mills Pittman PLC Inc.</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FB00A7">
              <w:rPr>
                <w:sz w:val="20"/>
                <w:szCs w:val="20"/>
              </w:rPr>
              <w:t>09</w:t>
            </w:r>
            <w:r w:rsidRPr="00A935AA">
              <w:rPr>
                <w:sz w:val="20"/>
                <w:szCs w:val="20"/>
              </w:rPr>
              <w:t>.</w:t>
            </w:r>
            <w:r w:rsidR="00FB00A7">
              <w:rPr>
                <w:sz w:val="20"/>
                <w:szCs w:val="20"/>
              </w:rPr>
              <w:t>09</w:t>
            </w:r>
            <w:r w:rsidRPr="00A935AA">
              <w:rPr>
                <w:sz w:val="20"/>
                <w:szCs w:val="20"/>
              </w:rPr>
              <w:t>.201</w:t>
            </w:r>
            <w:r w:rsidR="00517AED">
              <w:rPr>
                <w:sz w:val="20"/>
                <w:szCs w:val="20"/>
              </w:rPr>
              <w:t>1</w:t>
            </w:r>
          </w:p>
          <w:p w:rsidR="00242AEE" w:rsidRPr="00A935AA" w:rsidRDefault="008754B5" w:rsidP="003B3977">
            <w:pPr>
              <w:rPr>
                <w:sz w:val="20"/>
                <w:szCs w:val="20"/>
              </w:rPr>
            </w:pPr>
            <w:r w:rsidRPr="008754B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FB00A7" w:rsidP="003B3977">
            <w:pPr>
              <w:keepNext/>
              <w:keepLines/>
              <w:tabs>
                <w:tab w:val="left" w:pos="-1440"/>
                <w:tab w:val="left" w:pos="-720"/>
              </w:tabs>
              <w:rPr>
                <w:b/>
                <w:sz w:val="20"/>
                <w:szCs w:val="20"/>
              </w:rPr>
            </w:pPr>
            <w:r>
              <w:rPr>
                <w:b/>
                <w:sz w:val="20"/>
                <w:szCs w:val="20"/>
              </w:rPr>
              <w:t xml:space="preserve">Daniel W. </w:t>
            </w:r>
            <w:proofErr w:type="spellStart"/>
            <w:r>
              <w:rPr>
                <w:b/>
                <w:sz w:val="20"/>
                <w:szCs w:val="20"/>
              </w:rPr>
              <w:t>Onischuk</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FB00A7">
              <w:rPr>
                <w:sz w:val="20"/>
                <w:szCs w:val="20"/>
              </w:rPr>
              <w:t xml:space="preserve">Daniel W. </w:t>
            </w:r>
            <w:proofErr w:type="spellStart"/>
            <w:r w:rsidR="00FB00A7">
              <w:rPr>
                <w:sz w:val="20"/>
                <w:szCs w:val="20"/>
              </w:rPr>
              <w:t>Onischuk</w:t>
            </w:r>
            <w:proofErr w:type="spellEnd"/>
          </w:p>
          <w:p w:rsidR="00242AEE" w:rsidRPr="00A935AA" w:rsidRDefault="00242AEE" w:rsidP="003B3977">
            <w:pPr>
              <w:keepNext/>
              <w:keepLines/>
              <w:tabs>
                <w:tab w:val="left" w:pos="-1440"/>
                <w:tab w:val="left" w:pos="-720"/>
              </w:tabs>
              <w:rPr>
                <w:sz w:val="20"/>
                <w:szCs w:val="20"/>
              </w:rPr>
            </w:pPr>
          </w:p>
          <w:p w:rsidR="00242AEE" w:rsidRPr="00FB00A7" w:rsidRDefault="00242AEE" w:rsidP="003B3977">
            <w:pPr>
              <w:keepNext/>
              <w:keepLines/>
              <w:tabs>
                <w:tab w:val="left" w:pos="-1440"/>
                <w:tab w:val="left" w:pos="-720"/>
              </w:tabs>
              <w:rPr>
                <w:sz w:val="20"/>
                <w:szCs w:val="20"/>
              </w:rPr>
            </w:pPr>
            <w:r w:rsidRPr="00A935AA">
              <w:rPr>
                <w:sz w:val="20"/>
                <w:szCs w:val="20"/>
              </w:rPr>
              <w:tab/>
            </w:r>
            <w:r w:rsidRPr="00FB00A7">
              <w:rPr>
                <w:sz w:val="20"/>
                <w:szCs w:val="20"/>
              </w:rPr>
              <w:t>v. (3</w:t>
            </w:r>
            <w:r w:rsidR="00517AED" w:rsidRPr="00FB00A7">
              <w:rPr>
                <w:sz w:val="20"/>
                <w:szCs w:val="20"/>
              </w:rPr>
              <w:t>4</w:t>
            </w:r>
            <w:r w:rsidR="00FB00A7">
              <w:rPr>
                <w:sz w:val="20"/>
                <w:szCs w:val="20"/>
              </w:rPr>
              <w:t>528</w:t>
            </w:r>
            <w:r w:rsidRPr="00FB00A7">
              <w:rPr>
                <w:sz w:val="20"/>
                <w:szCs w:val="20"/>
              </w:rPr>
              <w:t>)</w:t>
            </w:r>
          </w:p>
          <w:p w:rsidR="00242AEE" w:rsidRPr="00FB00A7" w:rsidRDefault="00242AEE" w:rsidP="003B3977">
            <w:pPr>
              <w:keepNext/>
              <w:keepLines/>
              <w:tabs>
                <w:tab w:val="left" w:pos="-1440"/>
                <w:tab w:val="left" w:pos="-720"/>
              </w:tabs>
              <w:rPr>
                <w:sz w:val="20"/>
                <w:szCs w:val="20"/>
              </w:rPr>
            </w:pPr>
          </w:p>
          <w:p w:rsidR="00242AEE" w:rsidRPr="00FB00A7" w:rsidRDefault="00FB00A7" w:rsidP="003B3977">
            <w:pPr>
              <w:keepNext/>
              <w:keepLines/>
              <w:tabs>
                <w:tab w:val="left" w:pos="-1440"/>
                <w:tab w:val="left" w:pos="-720"/>
              </w:tabs>
              <w:rPr>
                <w:b/>
                <w:sz w:val="20"/>
                <w:szCs w:val="20"/>
              </w:rPr>
            </w:pPr>
            <w:r>
              <w:rPr>
                <w:b/>
                <w:sz w:val="20"/>
                <w:szCs w:val="20"/>
              </w:rPr>
              <w:t>Her Majesty the Queen in Right of Alberta et</w:t>
            </w:r>
            <w:r w:rsidR="005F46BD">
              <w:rPr>
                <w:b/>
                <w:sz w:val="20"/>
                <w:szCs w:val="20"/>
              </w:rPr>
              <w:t> </w:t>
            </w:r>
            <w:r>
              <w:rPr>
                <w:b/>
                <w:sz w:val="20"/>
                <w:szCs w:val="20"/>
              </w:rPr>
              <w:t xml:space="preserve">al. </w:t>
            </w:r>
            <w:r w:rsidR="00242AEE" w:rsidRPr="00FB00A7">
              <w:rPr>
                <w:b/>
                <w:sz w:val="20"/>
                <w:szCs w:val="20"/>
              </w:rPr>
              <w:t>(</w:t>
            </w:r>
            <w:r>
              <w:rPr>
                <w:b/>
                <w:sz w:val="20"/>
                <w:szCs w:val="20"/>
              </w:rPr>
              <w:t>F</w:t>
            </w:r>
            <w:r w:rsidR="00242AEE" w:rsidRPr="00FB00A7">
              <w:rPr>
                <w:b/>
                <w:sz w:val="20"/>
                <w:szCs w:val="20"/>
              </w:rPr>
              <w:t>.</w:t>
            </w:r>
            <w:r>
              <w:rPr>
                <w:b/>
                <w:sz w:val="20"/>
                <w:szCs w:val="20"/>
              </w:rPr>
              <w:t>C.</w:t>
            </w:r>
            <w:r w:rsidR="00242AEE" w:rsidRPr="00FB00A7">
              <w:rPr>
                <w:b/>
                <w:sz w:val="20"/>
                <w:szCs w:val="20"/>
              </w:rPr>
              <w:t>)</w:t>
            </w:r>
          </w:p>
          <w:p w:rsidR="00242AEE" w:rsidRPr="00FB00A7" w:rsidRDefault="00517AED" w:rsidP="003B3977">
            <w:pPr>
              <w:keepNext/>
              <w:keepLines/>
              <w:tabs>
                <w:tab w:val="left" w:pos="-1440"/>
                <w:tab w:val="left" w:pos="-720"/>
              </w:tabs>
              <w:rPr>
                <w:sz w:val="20"/>
                <w:szCs w:val="20"/>
              </w:rPr>
            </w:pPr>
            <w:r w:rsidRPr="00FB00A7">
              <w:rPr>
                <w:sz w:val="20"/>
                <w:szCs w:val="20"/>
              </w:rPr>
              <w:tab/>
            </w:r>
            <w:r w:rsidR="00FB00A7">
              <w:rPr>
                <w:sz w:val="20"/>
                <w:szCs w:val="20"/>
              </w:rPr>
              <w:t>Peter Barber</w:t>
            </w:r>
          </w:p>
          <w:p w:rsidR="00242AEE" w:rsidRPr="00FB00A7" w:rsidRDefault="00242AEE" w:rsidP="003B3977">
            <w:pPr>
              <w:keepNext/>
              <w:keepLines/>
              <w:tabs>
                <w:tab w:val="left" w:pos="-1440"/>
                <w:tab w:val="left" w:pos="-720"/>
              </w:tabs>
              <w:rPr>
                <w:sz w:val="20"/>
                <w:szCs w:val="20"/>
              </w:rPr>
            </w:pPr>
            <w:r w:rsidRPr="00FB00A7">
              <w:rPr>
                <w:sz w:val="20"/>
                <w:szCs w:val="20"/>
              </w:rPr>
              <w:tab/>
            </w:r>
            <w:r w:rsidR="00FB00A7">
              <w:rPr>
                <w:sz w:val="20"/>
                <w:szCs w:val="20"/>
              </w:rPr>
              <w:t>A.G. of Alberta</w:t>
            </w:r>
          </w:p>
          <w:p w:rsidR="00242AEE" w:rsidRPr="00FB00A7" w:rsidRDefault="00242AEE" w:rsidP="003B3977">
            <w:pPr>
              <w:keepNext/>
              <w:keepLines/>
              <w:tabs>
                <w:tab w:val="left" w:pos="-1440"/>
                <w:tab w:val="left" w:pos="-720"/>
              </w:tabs>
              <w:rPr>
                <w:sz w:val="20"/>
                <w:szCs w:val="20"/>
              </w:rPr>
            </w:pPr>
          </w:p>
          <w:p w:rsidR="00242AEE" w:rsidRPr="00A935AA" w:rsidRDefault="00242AEE" w:rsidP="00FB00A7">
            <w:pPr>
              <w:rPr>
                <w:sz w:val="20"/>
                <w:szCs w:val="20"/>
              </w:rPr>
            </w:pPr>
            <w:r w:rsidRPr="00A935AA">
              <w:rPr>
                <w:sz w:val="20"/>
                <w:szCs w:val="20"/>
              </w:rPr>
              <w:t>FILING DATE: 2</w:t>
            </w:r>
            <w:r w:rsidR="00FB00A7">
              <w:rPr>
                <w:sz w:val="20"/>
                <w:szCs w:val="20"/>
              </w:rPr>
              <w:t>7</w:t>
            </w:r>
            <w:r w:rsidRPr="00A935AA">
              <w:rPr>
                <w:sz w:val="20"/>
                <w:szCs w:val="20"/>
              </w:rPr>
              <w:t>.</w:t>
            </w:r>
            <w:r w:rsidR="00517AED">
              <w:rPr>
                <w:sz w:val="20"/>
                <w:szCs w:val="20"/>
              </w:rPr>
              <w:t>1</w:t>
            </w:r>
            <w:r w:rsidR="00FB00A7">
              <w:rPr>
                <w:sz w:val="20"/>
                <w:szCs w:val="20"/>
              </w:rPr>
              <w:t>0</w:t>
            </w:r>
            <w:r w:rsidRPr="00A935AA">
              <w:rPr>
                <w:sz w:val="20"/>
                <w:szCs w:val="20"/>
              </w:rPr>
              <w:t>.201</w:t>
            </w:r>
            <w:r w:rsidR="00517AED">
              <w:rPr>
                <w:sz w:val="20"/>
                <w:szCs w:val="20"/>
              </w:rPr>
              <w:t>1</w:t>
            </w:r>
            <w:r w:rsidR="008754B5" w:rsidRPr="008754B5">
              <w:rPr>
                <w:sz w:val="20"/>
                <w:szCs w:val="20"/>
                <w:lang w:val="fr-CA"/>
              </w:rPr>
              <w:pict>
                <v:rect id="_x0000_i1026" style="width:108pt;height:1pt" o:hrpct="0" o:hralign="center" o:hrstd="t" o:hrnoshade="t" o:hr="t" fillcolor="black [3213]" stroked="f"/>
              </w:pict>
            </w:r>
          </w:p>
        </w:tc>
      </w:tr>
      <w:tr w:rsidR="00517AED" w:rsidRPr="00A935AA" w:rsidTr="003B3977">
        <w:tc>
          <w:tcPr>
            <w:tcW w:w="4320" w:type="dxa"/>
            <w:shd w:val="clear" w:color="auto" w:fill="auto"/>
          </w:tcPr>
          <w:p w:rsidR="00517AED" w:rsidRPr="00527B7A" w:rsidRDefault="00517AED" w:rsidP="00047877">
            <w:pPr>
              <w:rPr>
                <w:b/>
                <w:sz w:val="20"/>
                <w:szCs w:val="20"/>
                <w:lang w:val="fr-CA"/>
              </w:rPr>
            </w:pPr>
          </w:p>
          <w:p w:rsidR="00FB00A7" w:rsidRPr="00527B7A" w:rsidRDefault="00FB00A7" w:rsidP="00047877">
            <w:pPr>
              <w:rPr>
                <w:b/>
                <w:sz w:val="20"/>
                <w:szCs w:val="20"/>
                <w:lang w:val="fr-CA"/>
              </w:rPr>
            </w:pPr>
            <w:r w:rsidRPr="00527B7A">
              <w:rPr>
                <w:b/>
                <w:sz w:val="20"/>
                <w:szCs w:val="20"/>
                <w:lang w:val="fr-CA"/>
              </w:rPr>
              <w:t xml:space="preserve">Antonella </w:t>
            </w:r>
            <w:proofErr w:type="spellStart"/>
            <w:r w:rsidRPr="00527B7A">
              <w:rPr>
                <w:b/>
                <w:sz w:val="20"/>
                <w:szCs w:val="20"/>
                <w:lang w:val="fr-CA"/>
              </w:rPr>
              <w:t>Morsi</w:t>
            </w:r>
            <w:proofErr w:type="spellEnd"/>
            <w:r w:rsidRPr="00527B7A">
              <w:rPr>
                <w:b/>
                <w:sz w:val="20"/>
                <w:szCs w:val="20"/>
                <w:lang w:val="fr-CA"/>
              </w:rPr>
              <w:t xml:space="preserve"> et al. </w:t>
            </w:r>
          </w:p>
          <w:p w:rsidR="00517AED" w:rsidRPr="00527B7A" w:rsidRDefault="00517AED" w:rsidP="00047877">
            <w:pPr>
              <w:tabs>
                <w:tab w:val="left" w:pos="-1440"/>
                <w:tab w:val="left" w:pos="-720"/>
              </w:tabs>
              <w:rPr>
                <w:sz w:val="20"/>
                <w:szCs w:val="20"/>
                <w:lang w:val="fr-CA"/>
              </w:rPr>
            </w:pPr>
            <w:r w:rsidRPr="00527B7A">
              <w:rPr>
                <w:sz w:val="20"/>
                <w:szCs w:val="20"/>
                <w:lang w:val="fr-CA"/>
              </w:rPr>
              <w:tab/>
            </w:r>
            <w:r w:rsidR="00FB00A7" w:rsidRPr="00527B7A">
              <w:rPr>
                <w:sz w:val="20"/>
                <w:szCs w:val="20"/>
                <w:lang w:val="fr-CA"/>
              </w:rPr>
              <w:t>David R. Neill</w:t>
            </w:r>
          </w:p>
          <w:p w:rsidR="00517AED" w:rsidRPr="00A935AA" w:rsidRDefault="00517AED" w:rsidP="00047877">
            <w:pPr>
              <w:tabs>
                <w:tab w:val="left" w:pos="-1440"/>
                <w:tab w:val="left" w:pos="-720"/>
              </w:tabs>
              <w:rPr>
                <w:sz w:val="20"/>
                <w:szCs w:val="20"/>
              </w:rPr>
            </w:pPr>
            <w:r w:rsidRPr="00527B7A">
              <w:rPr>
                <w:sz w:val="20"/>
                <w:szCs w:val="20"/>
                <w:lang w:val="fr-CA"/>
              </w:rPr>
              <w:tab/>
            </w:r>
            <w:r w:rsidR="00FB00A7">
              <w:rPr>
                <w:sz w:val="20"/>
                <w:szCs w:val="20"/>
              </w:rPr>
              <w:t>Thomson Rogers</w:t>
            </w:r>
          </w:p>
          <w:p w:rsidR="00517AED" w:rsidRPr="00A935AA" w:rsidRDefault="00517AED" w:rsidP="00047877">
            <w:pPr>
              <w:tabs>
                <w:tab w:val="left" w:pos="-1440"/>
                <w:tab w:val="left" w:pos="-720"/>
              </w:tabs>
              <w:rPr>
                <w:sz w:val="20"/>
                <w:szCs w:val="20"/>
              </w:rPr>
            </w:pPr>
          </w:p>
          <w:p w:rsidR="00517AED" w:rsidRPr="00A935AA" w:rsidRDefault="00517AED" w:rsidP="00047877">
            <w:pPr>
              <w:tabs>
                <w:tab w:val="left" w:pos="-1440"/>
                <w:tab w:val="left" w:pos="-720"/>
              </w:tabs>
              <w:rPr>
                <w:sz w:val="20"/>
                <w:szCs w:val="20"/>
              </w:rPr>
            </w:pPr>
            <w:r w:rsidRPr="00A935AA">
              <w:rPr>
                <w:sz w:val="20"/>
                <w:szCs w:val="20"/>
              </w:rPr>
              <w:tab/>
              <w:t>v. (3</w:t>
            </w:r>
            <w:r>
              <w:rPr>
                <w:sz w:val="20"/>
                <w:szCs w:val="20"/>
              </w:rPr>
              <w:t>4</w:t>
            </w:r>
            <w:r w:rsidR="00FB00A7">
              <w:rPr>
                <w:sz w:val="20"/>
                <w:szCs w:val="20"/>
              </w:rPr>
              <w:t>515</w:t>
            </w:r>
            <w:r w:rsidRPr="00A935AA">
              <w:rPr>
                <w:sz w:val="20"/>
                <w:szCs w:val="20"/>
              </w:rPr>
              <w:t>)</w:t>
            </w:r>
          </w:p>
          <w:p w:rsidR="00517AED" w:rsidRPr="00A935AA" w:rsidRDefault="00517AED" w:rsidP="00047877">
            <w:pPr>
              <w:tabs>
                <w:tab w:val="left" w:pos="-1440"/>
                <w:tab w:val="left" w:pos="-720"/>
              </w:tabs>
              <w:rPr>
                <w:sz w:val="20"/>
                <w:szCs w:val="20"/>
              </w:rPr>
            </w:pPr>
          </w:p>
          <w:p w:rsidR="00517AED" w:rsidRPr="00527B7A" w:rsidRDefault="00FB00A7" w:rsidP="00047877">
            <w:pPr>
              <w:tabs>
                <w:tab w:val="left" w:pos="-1440"/>
                <w:tab w:val="left" w:pos="-720"/>
              </w:tabs>
              <w:rPr>
                <w:b/>
                <w:sz w:val="20"/>
                <w:szCs w:val="20"/>
              </w:rPr>
            </w:pPr>
            <w:proofErr w:type="spellStart"/>
            <w:r w:rsidRPr="00527B7A">
              <w:rPr>
                <w:b/>
                <w:sz w:val="20"/>
                <w:szCs w:val="20"/>
              </w:rPr>
              <w:t>Fermar</w:t>
            </w:r>
            <w:proofErr w:type="spellEnd"/>
            <w:r w:rsidRPr="00527B7A">
              <w:rPr>
                <w:b/>
                <w:sz w:val="20"/>
                <w:szCs w:val="20"/>
              </w:rPr>
              <w:t xml:space="preserve"> Paving Limited et al. </w:t>
            </w:r>
            <w:r w:rsidR="00517AED" w:rsidRPr="00527B7A">
              <w:rPr>
                <w:b/>
                <w:sz w:val="20"/>
                <w:szCs w:val="20"/>
              </w:rPr>
              <w:t>(</w:t>
            </w:r>
            <w:r w:rsidRPr="00527B7A">
              <w:rPr>
                <w:b/>
                <w:sz w:val="20"/>
                <w:szCs w:val="20"/>
              </w:rPr>
              <w:t>Ont.</w:t>
            </w:r>
            <w:r w:rsidR="00517AED" w:rsidRPr="00527B7A">
              <w:rPr>
                <w:b/>
                <w:sz w:val="20"/>
                <w:szCs w:val="20"/>
              </w:rPr>
              <w:t>)</w:t>
            </w:r>
          </w:p>
          <w:p w:rsidR="00517AED" w:rsidRPr="00FB00A7" w:rsidRDefault="00517AED" w:rsidP="00047877">
            <w:pPr>
              <w:tabs>
                <w:tab w:val="left" w:pos="-1440"/>
                <w:tab w:val="left" w:pos="-720"/>
              </w:tabs>
              <w:rPr>
                <w:sz w:val="20"/>
                <w:szCs w:val="20"/>
              </w:rPr>
            </w:pPr>
            <w:r w:rsidRPr="00527B7A">
              <w:rPr>
                <w:sz w:val="20"/>
                <w:szCs w:val="20"/>
              </w:rPr>
              <w:tab/>
            </w:r>
            <w:r w:rsidR="00FB00A7" w:rsidRPr="00FB00A7">
              <w:rPr>
                <w:sz w:val="20"/>
                <w:szCs w:val="20"/>
              </w:rPr>
              <w:t>Donald H. Rogers</w:t>
            </w:r>
            <w:r w:rsidR="002938DC">
              <w:rPr>
                <w:sz w:val="20"/>
                <w:szCs w:val="20"/>
              </w:rPr>
              <w:t>. Q.C.</w:t>
            </w:r>
          </w:p>
          <w:p w:rsidR="00517AED" w:rsidRPr="00FB00A7" w:rsidRDefault="00517AED" w:rsidP="00047877">
            <w:pPr>
              <w:tabs>
                <w:tab w:val="left" w:pos="-1440"/>
                <w:tab w:val="left" w:pos="-720"/>
              </w:tabs>
              <w:rPr>
                <w:sz w:val="20"/>
                <w:szCs w:val="20"/>
              </w:rPr>
            </w:pPr>
            <w:r w:rsidRPr="00FB00A7">
              <w:rPr>
                <w:sz w:val="20"/>
                <w:szCs w:val="20"/>
              </w:rPr>
              <w:tab/>
            </w:r>
            <w:r w:rsidR="00FB00A7" w:rsidRPr="00FB00A7">
              <w:rPr>
                <w:sz w:val="20"/>
                <w:szCs w:val="20"/>
              </w:rPr>
              <w:t>Rogers Partners LLP</w:t>
            </w:r>
          </w:p>
          <w:p w:rsidR="00517AED" w:rsidRPr="00FB00A7" w:rsidRDefault="00517AED" w:rsidP="00047877">
            <w:pPr>
              <w:tabs>
                <w:tab w:val="left" w:pos="-1440"/>
                <w:tab w:val="left" w:pos="-720"/>
              </w:tabs>
              <w:rPr>
                <w:sz w:val="20"/>
                <w:szCs w:val="20"/>
              </w:rPr>
            </w:pPr>
          </w:p>
          <w:p w:rsidR="00517AED" w:rsidRPr="00A935AA" w:rsidRDefault="00517AED" w:rsidP="00047877">
            <w:pPr>
              <w:rPr>
                <w:sz w:val="20"/>
                <w:szCs w:val="20"/>
              </w:rPr>
            </w:pPr>
            <w:r w:rsidRPr="00A935AA">
              <w:rPr>
                <w:sz w:val="20"/>
                <w:szCs w:val="20"/>
              </w:rPr>
              <w:t xml:space="preserve">FILING DATE: </w:t>
            </w:r>
            <w:r w:rsidR="00FB00A7">
              <w:rPr>
                <w:sz w:val="20"/>
                <w:szCs w:val="20"/>
              </w:rPr>
              <w:t>04</w:t>
            </w:r>
            <w:r w:rsidRPr="00A935AA">
              <w:rPr>
                <w:sz w:val="20"/>
                <w:szCs w:val="20"/>
              </w:rPr>
              <w:t>.</w:t>
            </w:r>
            <w:r>
              <w:rPr>
                <w:sz w:val="20"/>
                <w:szCs w:val="20"/>
              </w:rPr>
              <w:t>11</w:t>
            </w:r>
            <w:r w:rsidRPr="00A935AA">
              <w:rPr>
                <w:sz w:val="20"/>
                <w:szCs w:val="20"/>
              </w:rPr>
              <w:t>.201</w:t>
            </w:r>
            <w:r>
              <w:rPr>
                <w:sz w:val="20"/>
                <w:szCs w:val="20"/>
              </w:rPr>
              <w:t>1</w:t>
            </w:r>
          </w:p>
          <w:p w:rsidR="00517AED" w:rsidRPr="00A935AA" w:rsidRDefault="008754B5" w:rsidP="00047877">
            <w:pPr>
              <w:rPr>
                <w:sz w:val="20"/>
                <w:szCs w:val="20"/>
              </w:rPr>
            </w:pPr>
            <w:r w:rsidRPr="008754B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Default="00517AED" w:rsidP="00242AEE">
            <w:pPr>
              <w:jc w:val="center"/>
              <w:rPr>
                <w:sz w:val="20"/>
                <w:szCs w:val="20"/>
              </w:rPr>
            </w:pPr>
          </w:p>
          <w:p w:rsidR="00FB00A7" w:rsidRPr="00A935AA" w:rsidRDefault="00FB00A7" w:rsidP="00242AEE">
            <w:pPr>
              <w:jc w:val="center"/>
              <w:rPr>
                <w:sz w:val="20"/>
                <w:szCs w:val="20"/>
              </w:rPr>
            </w:pPr>
          </w:p>
          <w:p w:rsidR="00517AED" w:rsidRPr="00A935AA" w:rsidRDefault="00517AED" w:rsidP="00242AEE">
            <w:pPr>
              <w:jc w:val="center"/>
              <w:rPr>
                <w:sz w:val="20"/>
                <w:szCs w:val="20"/>
              </w:rPr>
            </w:pPr>
          </w:p>
        </w:tc>
        <w:tc>
          <w:tcPr>
            <w:tcW w:w="4320" w:type="dxa"/>
            <w:shd w:val="clear" w:color="auto" w:fill="auto"/>
          </w:tcPr>
          <w:p w:rsidR="00517AED" w:rsidRPr="00A935AA" w:rsidRDefault="00FB00A7" w:rsidP="00047877">
            <w:pPr>
              <w:keepNext/>
              <w:keepLines/>
              <w:tabs>
                <w:tab w:val="left" w:pos="-1440"/>
                <w:tab w:val="left" w:pos="-720"/>
              </w:tabs>
              <w:rPr>
                <w:b/>
                <w:sz w:val="20"/>
                <w:szCs w:val="20"/>
              </w:rPr>
            </w:pPr>
            <w:r>
              <w:rPr>
                <w:b/>
                <w:sz w:val="20"/>
                <w:szCs w:val="20"/>
              </w:rPr>
              <w:t>United Steel Workers</w:t>
            </w:r>
          </w:p>
          <w:p w:rsidR="00517AED" w:rsidRPr="00A935AA" w:rsidRDefault="00517AED" w:rsidP="00047877">
            <w:pPr>
              <w:keepNext/>
              <w:keepLines/>
              <w:tabs>
                <w:tab w:val="left" w:pos="-1440"/>
                <w:tab w:val="left" w:pos="-720"/>
              </w:tabs>
              <w:rPr>
                <w:sz w:val="20"/>
                <w:szCs w:val="20"/>
              </w:rPr>
            </w:pPr>
            <w:r w:rsidRPr="00A935AA">
              <w:rPr>
                <w:sz w:val="20"/>
                <w:szCs w:val="20"/>
              </w:rPr>
              <w:tab/>
            </w:r>
            <w:r w:rsidR="00FB00A7">
              <w:rPr>
                <w:sz w:val="20"/>
                <w:szCs w:val="20"/>
              </w:rPr>
              <w:t>Darrell L. Brown</w:t>
            </w:r>
          </w:p>
          <w:p w:rsidR="00517AED" w:rsidRPr="00A935AA" w:rsidRDefault="00517AED" w:rsidP="00047877">
            <w:pPr>
              <w:keepNext/>
              <w:keepLines/>
              <w:tabs>
                <w:tab w:val="left" w:pos="-1440"/>
                <w:tab w:val="left" w:pos="-720"/>
              </w:tabs>
              <w:rPr>
                <w:sz w:val="20"/>
                <w:szCs w:val="20"/>
              </w:rPr>
            </w:pPr>
            <w:r w:rsidRPr="00A935AA">
              <w:rPr>
                <w:sz w:val="20"/>
                <w:szCs w:val="20"/>
              </w:rPr>
              <w:tab/>
            </w:r>
            <w:r w:rsidR="00FB00A7">
              <w:rPr>
                <w:sz w:val="20"/>
                <w:szCs w:val="20"/>
              </w:rPr>
              <w:t xml:space="preserve">Sack </w:t>
            </w:r>
            <w:proofErr w:type="spellStart"/>
            <w:r w:rsidR="00FB00A7">
              <w:rPr>
                <w:sz w:val="20"/>
                <w:szCs w:val="20"/>
              </w:rPr>
              <w:t>Goldblatt</w:t>
            </w:r>
            <w:proofErr w:type="spellEnd"/>
            <w:r w:rsidR="00FB00A7">
              <w:rPr>
                <w:sz w:val="20"/>
                <w:szCs w:val="20"/>
              </w:rPr>
              <w:t xml:space="preserve"> Mitchell LLP</w:t>
            </w:r>
          </w:p>
          <w:p w:rsidR="00517AED" w:rsidRPr="00A935AA" w:rsidRDefault="00517AED" w:rsidP="00047877">
            <w:pPr>
              <w:keepNext/>
              <w:keepLines/>
              <w:tabs>
                <w:tab w:val="left" w:pos="-1440"/>
                <w:tab w:val="left" w:pos="-720"/>
              </w:tabs>
              <w:rPr>
                <w:sz w:val="20"/>
                <w:szCs w:val="20"/>
              </w:rPr>
            </w:pPr>
          </w:p>
          <w:p w:rsidR="00517AED" w:rsidRPr="00FB00A7" w:rsidRDefault="00517AED" w:rsidP="00047877">
            <w:pPr>
              <w:keepNext/>
              <w:keepLines/>
              <w:tabs>
                <w:tab w:val="left" w:pos="-1440"/>
                <w:tab w:val="left" w:pos="-720"/>
              </w:tabs>
              <w:rPr>
                <w:sz w:val="20"/>
                <w:szCs w:val="20"/>
              </w:rPr>
            </w:pPr>
            <w:r w:rsidRPr="00A935AA">
              <w:rPr>
                <w:sz w:val="20"/>
                <w:szCs w:val="20"/>
              </w:rPr>
              <w:tab/>
            </w:r>
            <w:r w:rsidRPr="00FB00A7">
              <w:rPr>
                <w:sz w:val="20"/>
                <w:szCs w:val="20"/>
              </w:rPr>
              <w:t>v. (34</w:t>
            </w:r>
            <w:r w:rsidR="00FB00A7">
              <w:rPr>
                <w:sz w:val="20"/>
                <w:szCs w:val="20"/>
              </w:rPr>
              <w:t>308</w:t>
            </w:r>
            <w:r w:rsidRPr="00FB00A7">
              <w:rPr>
                <w:sz w:val="20"/>
                <w:szCs w:val="20"/>
              </w:rPr>
              <w:t>)</w:t>
            </w:r>
          </w:p>
          <w:p w:rsidR="00517AED" w:rsidRPr="00FB00A7" w:rsidRDefault="00517AED" w:rsidP="00047877">
            <w:pPr>
              <w:keepNext/>
              <w:keepLines/>
              <w:tabs>
                <w:tab w:val="left" w:pos="-1440"/>
                <w:tab w:val="left" w:pos="-720"/>
              </w:tabs>
              <w:rPr>
                <w:sz w:val="20"/>
                <w:szCs w:val="20"/>
              </w:rPr>
            </w:pPr>
          </w:p>
          <w:p w:rsidR="00517AED" w:rsidRPr="00FB00A7" w:rsidRDefault="00FB00A7" w:rsidP="00047877">
            <w:pPr>
              <w:keepNext/>
              <w:keepLines/>
              <w:tabs>
                <w:tab w:val="left" w:pos="-1440"/>
                <w:tab w:val="left" w:pos="-720"/>
              </w:tabs>
              <w:rPr>
                <w:b/>
                <w:sz w:val="20"/>
                <w:szCs w:val="20"/>
              </w:rPr>
            </w:pPr>
            <w:proofErr w:type="spellStart"/>
            <w:r>
              <w:rPr>
                <w:b/>
                <w:sz w:val="20"/>
                <w:szCs w:val="20"/>
              </w:rPr>
              <w:t>Morneau</w:t>
            </w:r>
            <w:proofErr w:type="spellEnd"/>
            <w:r>
              <w:rPr>
                <w:b/>
                <w:sz w:val="20"/>
                <w:szCs w:val="20"/>
              </w:rPr>
              <w:t xml:space="preserve"> </w:t>
            </w:r>
            <w:proofErr w:type="spellStart"/>
            <w:r>
              <w:rPr>
                <w:b/>
                <w:sz w:val="20"/>
                <w:szCs w:val="20"/>
              </w:rPr>
              <w:t>Sobeco</w:t>
            </w:r>
            <w:proofErr w:type="spellEnd"/>
            <w:r>
              <w:rPr>
                <w:b/>
                <w:sz w:val="20"/>
                <w:szCs w:val="20"/>
              </w:rPr>
              <w:t xml:space="preserve"> Limited Partnership et al. </w:t>
            </w:r>
            <w:r w:rsidR="00517AED" w:rsidRPr="00FB00A7">
              <w:rPr>
                <w:b/>
                <w:sz w:val="20"/>
                <w:szCs w:val="20"/>
              </w:rPr>
              <w:t>(Ont.)</w:t>
            </w:r>
          </w:p>
          <w:p w:rsidR="00517AED" w:rsidRPr="00FB00A7" w:rsidRDefault="00517AED" w:rsidP="00047877">
            <w:pPr>
              <w:keepNext/>
              <w:keepLines/>
              <w:tabs>
                <w:tab w:val="left" w:pos="-1440"/>
                <w:tab w:val="left" w:pos="-720"/>
              </w:tabs>
              <w:rPr>
                <w:sz w:val="20"/>
                <w:szCs w:val="20"/>
              </w:rPr>
            </w:pPr>
            <w:r w:rsidRPr="00FB00A7">
              <w:rPr>
                <w:sz w:val="20"/>
                <w:szCs w:val="20"/>
              </w:rPr>
              <w:tab/>
            </w:r>
            <w:r w:rsidR="00FB00A7">
              <w:rPr>
                <w:sz w:val="20"/>
                <w:szCs w:val="20"/>
              </w:rPr>
              <w:t>Hugh O’Reilly</w:t>
            </w:r>
          </w:p>
          <w:p w:rsidR="00517AED" w:rsidRPr="00FB00A7" w:rsidRDefault="00517AED" w:rsidP="00047877">
            <w:pPr>
              <w:keepNext/>
              <w:keepLines/>
              <w:tabs>
                <w:tab w:val="left" w:pos="-1440"/>
                <w:tab w:val="left" w:pos="-720"/>
              </w:tabs>
              <w:rPr>
                <w:sz w:val="20"/>
                <w:szCs w:val="20"/>
              </w:rPr>
            </w:pPr>
            <w:r w:rsidRPr="00FB00A7">
              <w:rPr>
                <w:sz w:val="20"/>
                <w:szCs w:val="20"/>
              </w:rPr>
              <w:tab/>
            </w:r>
            <w:proofErr w:type="spellStart"/>
            <w:r w:rsidR="00FB00A7">
              <w:rPr>
                <w:sz w:val="20"/>
                <w:szCs w:val="20"/>
              </w:rPr>
              <w:t>Cavalluzzo</w:t>
            </w:r>
            <w:proofErr w:type="spellEnd"/>
            <w:r w:rsidR="00FB00A7">
              <w:rPr>
                <w:sz w:val="20"/>
                <w:szCs w:val="20"/>
              </w:rPr>
              <w:t xml:space="preserve"> Hayes </w:t>
            </w:r>
            <w:proofErr w:type="spellStart"/>
            <w:r w:rsidR="00FB00A7">
              <w:rPr>
                <w:sz w:val="20"/>
                <w:szCs w:val="20"/>
              </w:rPr>
              <w:t>Shilton</w:t>
            </w:r>
            <w:proofErr w:type="spellEnd"/>
            <w:r w:rsidR="00FB00A7">
              <w:rPr>
                <w:sz w:val="20"/>
                <w:szCs w:val="20"/>
              </w:rPr>
              <w:t xml:space="preserve"> McIntyre &amp; </w:t>
            </w:r>
            <w:r w:rsidR="00FB00A7">
              <w:rPr>
                <w:sz w:val="20"/>
                <w:szCs w:val="20"/>
              </w:rPr>
              <w:tab/>
              <w:t>Cornish LLP</w:t>
            </w:r>
          </w:p>
          <w:p w:rsidR="00517AED" w:rsidRPr="00FB00A7" w:rsidRDefault="00517AED" w:rsidP="00047877">
            <w:pPr>
              <w:keepNext/>
              <w:keepLines/>
              <w:tabs>
                <w:tab w:val="left" w:pos="-1440"/>
                <w:tab w:val="left" w:pos="-720"/>
              </w:tabs>
              <w:rPr>
                <w:sz w:val="20"/>
                <w:szCs w:val="20"/>
              </w:rPr>
            </w:pPr>
          </w:p>
          <w:p w:rsidR="00517AED" w:rsidRPr="00A935AA" w:rsidRDefault="00517AED" w:rsidP="00FB00A7">
            <w:pPr>
              <w:rPr>
                <w:sz w:val="20"/>
                <w:szCs w:val="20"/>
              </w:rPr>
            </w:pPr>
            <w:r w:rsidRPr="00A935AA">
              <w:rPr>
                <w:sz w:val="20"/>
                <w:szCs w:val="20"/>
              </w:rPr>
              <w:t xml:space="preserve">FILING DATE: </w:t>
            </w:r>
            <w:r w:rsidR="00FB00A7">
              <w:rPr>
                <w:sz w:val="20"/>
                <w:szCs w:val="20"/>
              </w:rPr>
              <w:t>07</w:t>
            </w:r>
            <w:r w:rsidRPr="00A935AA">
              <w:rPr>
                <w:sz w:val="20"/>
                <w:szCs w:val="20"/>
              </w:rPr>
              <w:t>.</w:t>
            </w:r>
            <w:r>
              <w:rPr>
                <w:sz w:val="20"/>
                <w:szCs w:val="20"/>
              </w:rPr>
              <w:t>11</w:t>
            </w:r>
            <w:r w:rsidRPr="00A935AA">
              <w:rPr>
                <w:sz w:val="20"/>
                <w:szCs w:val="20"/>
              </w:rPr>
              <w:t>.201</w:t>
            </w:r>
            <w:r>
              <w:rPr>
                <w:sz w:val="20"/>
                <w:szCs w:val="20"/>
              </w:rPr>
              <w:t>1</w:t>
            </w:r>
            <w:r w:rsidR="008754B5" w:rsidRPr="008754B5">
              <w:rPr>
                <w:sz w:val="20"/>
                <w:szCs w:val="20"/>
                <w:lang w:val="fr-CA"/>
              </w:rPr>
              <w:pict>
                <v:rect id="_x0000_i1028" style="width:108pt;height:1pt" o:hrpct="0" o:hralign="center" o:hrstd="t" o:hrnoshade="t" o:hr="t" fillcolor="black [3213]" stroked="f"/>
              </w:pict>
            </w:r>
          </w:p>
        </w:tc>
      </w:tr>
      <w:tr w:rsidR="00517AED" w:rsidRPr="00A935AA" w:rsidTr="003B3977">
        <w:tc>
          <w:tcPr>
            <w:tcW w:w="4320" w:type="dxa"/>
            <w:shd w:val="clear" w:color="auto" w:fill="auto"/>
          </w:tcPr>
          <w:p w:rsidR="00517AED" w:rsidRPr="00C54E0F" w:rsidRDefault="00C54E0F" w:rsidP="00047877">
            <w:pPr>
              <w:rPr>
                <w:b/>
                <w:sz w:val="20"/>
                <w:szCs w:val="20"/>
                <w:lang w:val="fr-CA"/>
              </w:rPr>
            </w:pPr>
            <w:r w:rsidRPr="00C54E0F">
              <w:rPr>
                <w:b/>
                <w:sz w:val="20"/>
                <w:szCs w:val="20"/>
                <w:lang w:val="fr-CA"/>
              </w:rPr>
              <w:t xml:space="preserve">Syndicat Canadien de la </w:t>
            </w:r>
            <w:proofErr w:type="spellStart"/>
            <w:r w:rsidRPr="00C54E0F">
              <w:rPr>
                <w:b/>
                <w:sz w:val="20"/>
                <w:szCs w:val="20"/>
                <w:lang w:val="fr-CA"/>
              </w:rPr>
              <w:t>function</w:t>
            </w:r>
            <w:proofErr w:type="spellEnd"/>
            <w:r w:rsidRPr="00C54E0F">
              <w:rPr>
                <w:b/>
                <w:sz w:val="20"/>
                <w:szCs w:val="20"/>
                <w:lang w:val="fr-CA"/>
              </w:rPr>
              <w:t xml:space="preserve"> publique, section locale 1450 et autre</w:t>
            </w:r>
          </w:p>
          <w:p w:rsidR="00517AED" w:rsidRPr="00527B7A" w:rsidRDefault="00517AED" w:rsidP="00047877">
            <w:pPr>
              <w:tabs>
                <w:tab w:val="left" w:pos="-1440"/>
                <w:tab w:val="left" w:pos="-720"/>
              </w:tabs>
              <w:rPr>
                <w:sz w:val="20"/>
                <w:szCs w:val="20"/>
                <w:lang w:val="fr-CA"/>
              </w:rPr>
            </w:pPr>
            <w:r w:rsidRPr="00C54E0F">
              <w:rPr>
                <w:sz w:val="20"/>
                <w:szCs w:val="20"/>
                <w:lang w:val="fr-CA"/>
              </w:rPr>
              <w:tab/>
            </w:r>
            <w:r w:rsidR="00C54E0F" w:rsidRPr="00527B7A">
              <w:rPr>
                <w:sz w:val="20"/>
                <w:szCs w:val="20"/>
                <w:lang w:val="fr-CA"/>
              </w:rPr>
              <w:t>Yves Mo</w:t>
            </w:r>
            <w:r w:rsidR="00FB00A7" w:rsidRPr="00527B7A">
              <w:rPr>
                <w:sz w:val="20"/>
                <w:szCs w:val="20"/>
                <w:lang w:val="fr-CA"/>
              </w:rPr>
              <w:t>r</w:t>
            </w:r>
            <w:r w:rsidR="00C54E0F" w:rsidRPr="00527B7A">
              <w:rPr>
                <w:sz w:val="20"/>
                <w:szCs w:val="20"/>
                <w:lang w:val="fr-CA"/>
              </w:rPr>
              <w:t>i</w:t>
            </w:r>
            <w:r w:rsidR="00FB00A7" w:rsidRPr="00527B7A">
              <w:rPr>
                <w:sz w:val="20"/>
                <w:szCs w:val="20"/>
                <w:lang w:val="fr-CA"/>
              </w:rPr>
              <w:t>n</w:t>
            </w:r>
          </w:p>
          <w:p w:rsidR="00C54E0F" w:rsidRPr="00FD4E31" w:rsidRDefault="00C54E0F" w:rsidP="00047877">
            <w:pPr>
              <w:tabs>
                <w:tab w:val="left" w:pos="-1440"/>
                <w:tab w:val="left" w:pos="-720"/>
              </w:tabs>
              <w:rPr>
                <w:sz w:val="20"/>
                <w:szCs w:val="20"/>
                <w:lang w:val="fr-CA"/>
              </w:rPr>
            </w:pPr>
            <w:r w:rsidRPr="00527B7A">
              <w:rPr>
                <w:sz w:val="20"/>
                <w:szCs w:val="20"/>
                <w:lang w:val="fr-CA"/>
              </w:rPr>
              <w:tab/>
            </w:r>
            <w:r w:rsidRPr="00FD4E31">
              <w:rPr>
                <w:sz w:val="20"/>
                <w:szCs w:val="20"/>
                <w:lang w:val="fr-CA"/>
              </w:rPr>
              <w:t>Lamoureux, Morin, Lamoureux</w:t>
            </w:r>
          </w:p>
          <w:p w:rsidR="00517AED" w:rsidRPr="00FD4E31" w:rsidRDefault="00517AED" w:rsidP="00047877">
            <w:pPr>
              <w:tabs>
                <w:tab w:val="left" w:pos="-1440"/>
                <w:tab w:val="left" w:pos="-720"/>
              </w:tabs>
              <w:rPr>
                <w:sz w:val="20"/>
                <w:szCs w:val="20"/>
                <w:lang w:val="fr-CA"/>
              </w:rPr>
            </w:pPr>
          </w:p>
          <w:p w:rsidR="00517AED" w:rsidRPr="00FD4E31" w:rsidRDefault="00517AED" w:rsidP="00047877">
            <w:pPr>
              <w:tabs>
                <w:tab w:val="left" w:pos="-1440"/>
                <w:tab w:val="left" w:pos="-720"/>
              </w:tabs>
              <w:rPr>
                <w:sz w:val="20"/>
                <w:szCs w:val="20"/>
                <w:lang w:val="fr-CA"/>
              </w:rPr>
            </w:pPr>
            <w:r w:rsidRPr="00FD4E31">
              <w:rPr>
                <w:sz w:val="20"/>
                <w:szCs w:val="20"/>
                <w:lang w:val="fr-CA"/>
              </w:rPr>
              <w:tab/>
            </w:r>
            <w:r w:rsidR="00C54E0F" w:rsidRPr="00FD4E31">
              <w:rPr>
                <w:sz w:val="20"/>
                <w:szCs w:val="20"/>
                <w:lang w:val="fr-CA"/>
              </w:rPr>
              <w:t>c</w:t>
            </w:r>
            <w:r w:rsidRPr="00FD4E31">
              <w:rPr>
                <w:sz w:val="20"/>
                <w:szCs w:val="20"/>
                <w:lang w:val="fr-CA"/>
              </w:rPr>
              <w:t>. (34</w:t>
            </w:r>
            <w:r w:rsidR="00C54E0F" w:rsidRPr="00FD4E31">
              <w:rPr>
                <w:sz w:val="20"/>
                <w:szCs w:val="20"/>
                <w:lang w:val="fr-CA"/>
              </w:rPr>
              <w:t>518</w:t>
            </w:r>
            <w:r w:rsidRPr="00FD4E31">
              <w:rPr>
                <w:sz w:val="20"/>
                <w:szCs w:val="20"/>
                <w:lang w:val="fr-CA"/>
              </w:rPr>
              <w:t>)</w:t>
            </w:r>
          </w:p>
          <w:p w:rsidR="00517AED" w:rsidRPr="00FD4E31" w:rsidRDefault="00517AED" w:rsidP="00047877">
            <w:pPr>
              <w:tabs>
                <w:tab w:val="left" w:pos="-1440"/>
                <w:tab w:val="left" w:pos="-720"/>
              </w:tabs>
              <w:rPr>
                <w:sz w:val="20"/>
                <w:szCs w:val="20"/>
                <w:lang w:val="fr-CA"/>
              </w:rPr>
            </w:pPr>
          </w:p>
          <w:p w:rsidR="00517AED" w:rsidRPr="00FD4E31" w:rsidRDefault="00C54E0F" w:rsidP="00047877">
            <w:pPr>
              <w:tabs>
                <w:tab w:val="left" w:pos="-1440"/>
                <w:tab w:val="left" w:pos="-720"/>
              </w:tabs>
              <w:rPr>
                <w:b/>
                <w:sz w:val="20"/>
                <w:szCs w:val="20"/>
                <w:lang w:val="fr-CA"/>
              </w:rPr>
            </w:pPr>
            <w:r w:rsidRPr="00FD4E31">
              <w:rPr>
                <w:b/>
                <w:sz w:val="20"/>
                <w:szCs w:val="20"/>
                <w:lang w:val="fr-CA"/>
              </w:rPr>
              <w:t xml:space="preserve">Journal de Québec et autres </w:t>
            </w:r>
            <w:r w:rsidR="00517AED" w:rsidRPr="00FD4E31">
              <w:rPr>
                <w:b/>
                <w:sz w:val="20"/>
                <w:szCs w:val="20"/>
                <w:lang w:val="fr-CA"/>
              </w:rPr>
              <w:t>(</w:t>
            </w:r>
            <w:proofErr w:type="spellStart"/>
            <w:r w:rsidRPr="00FD4E31">
              <w:rPr>
                <w:b/>
                <w:sz w:val="20"/>
                <w:szCs w:val="20"/>
                <w:lang w:val="fr-CA"/>
              </w:rPr>
              <w:t>Qc</w:t>
            </w:r>
            <w:proofErr w:type="spellEnd"/>
            <w:r w:rsidR="00517AED" w:rsidRPr="00FD4E31">
              <w:rPr>
                <w:b/>
                <w:sz w:val="20"/>
                <w:szCs w:val="20"/>
                <w:lang w:val="fr-CA"/>
              </w:rPr>
              <w:t>)</w:t>
            </w:r>
          </w:p>
          <w:p w:rsidR="00517AED" w:rsidRPr="00527B7A" w:rsidRDefault="00517AED" w:rsidP="00047877">
            <w:pPr>
              <w:tabs>
                <w:tab w:val="left" w:pos="-1440"/>
                <w:tab w:val="left" w:pos="-720"/>
              </w:tabs>
              <w:rPr>
                <w:sz w:val="20"/>
                <w:szCs w:val="20"/>
                <w:lang w:val="fr-CA"/>
              </w:rPr>
            </w:pPr>
            <w:r w:rsidRPr="00FD4E31">
              <w:rPr>
                <w:sz w:val="20"/>
                <w:szCs w:val="20"/>
                <w:lang w:val="fr-CA"/>
              </w:rPr>
              <w:tab/>
            </w:r>
            <w:r w:rsidR="00FD4E31" w:rsidRPr="00527B7A">
              <w:rPr>
                <w:sz w:val="20"/>
                <w:szCs w:val="20"/>
                <w:lang w:val="fr-CA"/>
              </w:rPr>
              <w:t xml:space="preserve">Pierre Y. </w:t>
            </w:r>
            <w:proofErr w:type="spellStart"/>
            <w:r w:rsidR="00FD4E31" w:rsidRPr="00527B7A">
              <w:rPr>
                <w:sz w:val="20"/>
                <w:szCs w:val="20"/>
                <w:lang w:val="fr-CA"/>
              </w:rPr>
              <w:t>Lamarre</w:t>
            </w:r>
            <w:proofErr w:type="spellEnd"/>
          </w:p>
          <w:p w:rsidR="00517AED" w:rsidRPr="00927152" w:rsidRDefault="00517AED" w:rsidP="00047877">
            <w:pPr>
              <w:tabs>
                <w:tab w:val="left" w:pos="-1440"/>
                <w:tab w:val="left" w:pos="-720"/>
              </w:tabs>
              <w:rPr>
                <w:sz w:val="20"/>
                <w:szCs w:val="20"/>
              </w:rPr>
            </w:pPr>
            <w:r w:rsidRPr="00527B7A">
              <w:rPr>
                <w:sz w:val="20"/>
                <w:szCs w:val="20"/>
                <w:lang w:val="fr-CA"/>
              </w:rPr>
              <w:tab/>
            </w:r>
            <w:r w:rsidR="00FD4E31" w:rsidRPr="00927152">
              <w:rPr>
                <w:sz w:val="20"/>
                <w:szCs w:val="20"/>
              </w:rPr>
              <w:t xml:space="preserve">Norton Rose OR, </w:t>
            </w:r>
            <w:proofErr w:type="spellStart"/>
            <w:r w:rsidR="00FD4E31" w:rsidRPr="00927152">
              <w:rPr>
                <w:sz w:val="20"/>
                <w:szCs w:val="20"/>
              </w:rPr>
              <w:t>s.e.n.c.r.l</w:t>
            </w:r>
            <w:proofErr w:type="spellEnd"/>
            <w:r w:rsidR="00FD4E31" w:rsidRPr="00927152">
              <w:rPr>
                <w:sz w:val="20"/>
                <w:szCs w:val="20"/>
              </w:rPr>
              <w:t xml:space="preserve">., </w:t>
            </w:r>
            <w:proofErr w:type="spellStart"/>
            <w:r w:rsidR="00FD4E31" w:rsidRPr="00927152">
              <w:rPr>
                <w:sz w:val="20"/>
                <w:szCs w:val="20"/>
              </w:rPr>
              <w:t>s.r.l</w:t>
            </w:r>
            <w:proofErr w:type="spellEnd"/>
            <w:r w:rsidR="00FD4E31" w:rsidRPr="00927152">
              <w:rPr>
                <w:sz w:val="20"/>
                <w:szCs w:val="20"/>
              </w:rPr>
              <w:t>.</w:t>
            </w:r>
          </w:p>
          <w:p w:rsidR="00517AED" w:rsidRPr="00927152" w:rsidRDefault="00517AED" w:rsidP="00047877">
            <w:pPr>
              <w:tabs>
                <w:tab w:val="left" w:pos="-1440"/>
                <w:tab w:val="left" w:pos="-720"/>
              </w:tabs>
              <w:rPr>
                <w:sz w:val="20"/>
                <w:szCs w:val="20"/>
              </w:rPr>
            </w:pPr>
          </w:p>
          <w:p w:rsidR="00517AED" w:rsidRPr="00527B7A" w:rsidRDefault="00517AED" w:rsidP="00047877">
            <w:pPr>
              <w:rPr>
                <w:sz w:val="20"/>
                <w:szCs w:val="20"/>
                <w:lang w:val="fr-CA"/>
              </w:rPr>
            </w:pPr>
            <w:r w:rsidRPr="00527B7A">
              <w:rPr>
                <w:sz w:val="20"/>
                <w:szCs w:val="20"/>
                <w:lang w:val="fr-CA"/>
              </w:rPr>
              <w:t>DATE</w:t>
            </w:r>
            <w:r w:rsidR="00C54E0F" w:rsidRPr="00527B7A">
              <w:rPr>
                <w:sz w:val="20"/>
                <w:szCs w:val="20"/>
                <w:lang w:val="fr-CA"/>
              </w:rPr>
              <w:t xml:space="preserve"> DE PRODUCTION </w:t>
            </w:r>
            <w:r w:rsidRPr="00527B7A">
              <w:rPr>
                <w:sz w:val="20"/>
                <w:szCs w:val="20"/>
                <w:lang w:val="fr-CA"/>
              </w:rPr>
              <w:t xml:space="preserve">: </w:t>
            </w:r>
            <w:r w:rsidR="00C54E0F" w:rsidRPr="00527B7A">
              <w:rPr>
                <w:sz w:val="20"/>
                <w:szCs w:val="20"/>
                <w:lang w:val="fr-CA"/>
              </w:rPr>
              <w:t>08</w:t>
            </w:r>
            <w:r w:rsidRPr="00527B7A">
              <w:rPr>
                <w:sz w:val="20"/>
                <w:szCs w:val="20"/>
                <w:lang w:val="fr-CA"/>
              </w:rPr>
              <w:t>.11.2011</w:t>
            </w:r>
          </w:p>
          <w:p w:rsidR="00517AED" w:rsidRPr="00A935AA" w:rsidRDefault="008754B5" w:rsidP="00047877">
            <w:pPr>
              <w:rPr>
                <w:sz w:val="20"/>
                <w:szCs w:val="20"/>
              </w:rPr>
            </w:pPr>
            <w:r w:rsidRPr="008754B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Default="00517AED" w:rsidP="00242AEE">
            <w:pPr>
              <w:jc w:val="center"/>
              <w:rPr>
                <w:sz w:val="20"/>
                <w:szCs w:val="20"/>
              </w:rPr>
            </w:pPr>
          </w:p>
          <w:p w:rsidR="00517AED" w:rsidRDefault="00517AED" w:rsidP="00242AEE">
            <w:pPr>
              <w:jc w:val="center"/>
              <w:rPr>
                <w:sz w:val="20"/>
                <w:szCs w:val="20"/>
              </w:rPr>
            </w:pPr>
          </w:p>
          <w:p w:rsidR="00517AED" w:rsidRPr="00A935AA" w:rsidRDefault="00517AED" w:rsidP="00242AEE">
            <w:pPr>
              <w:jc w:val="center"/>
              <w:rPr>
                <w:sz w:val="20"/>
                <w:szCs w:val="20"/>
              </w:rPr>
            </w:pPr>
          </w:p>
        </w:tc>
        <w:tc>
          <w:tcPr>
            <w:tcW w:w="4320" w:type="dxa"/>
            <w:shd w:val="clear" w:color="auto" w:fill="auto"/>
          </w:tcPr>
          <w:p w:rsidR="00FB00A7" w:rsidRDefault="00FB00A7" w:rsidP="00047877">
            <w:pPr>
              <w:keepNext/>
              <w:keepLines/>
              <w:tabs>
                <w:tab w:val="left" w:pos="-1440"/>
                <w:tab w:val="left" w:pos="-720"/>
              </w:tabs>
              <w:rPr>
                <w:b/>
                <w:sz w:val="20"/>
                <w:szCs w:val="20"/>
              </w:rPr>
            </w:pPr>
          </w:p>
          <w:p w:rsidR="00517AED" w:rsidRPr="00A935AA" w:rsidRDefault="00FB00A7" w:rsidP="00047877">
            <w:pPr>
              <w:keepNext/>
              <w:keepLines/>
              <w:tabs>
                <w:tab w:val="left" w:pos="-1440"/>
                <w:tab w:val="left" w:pos="-720"/>
              </w:tabs>
              <w:rPr>
                <w:b/>
                <w:sz w:val="20"/>
                <w:szCs w:val="20"/>
              </w:rPr>
            </w:pPr>
            <w:r>
              <w:rPr>
                <w:b/>
                <w:sz w:val="20"/>
                <w:szCs w:val="20"/>
              </w:rPr>
              <w:t>William Jesse Sutherland</w:t>
            </w:r>
          </w:p>
          <w:p w:rsidR="00517AED" w:rsidRPr="00A935AA" w:rsidRDefault="00517AED" w:rsidP="00047877">
            <w:pPr>
              <w:keepNext/>
              <w:keepLines/>
              <w:tabs>
                <w:tab w:val="left" w:pos="-1440"/>
                <w:tab w:val="left" w:pos="-720"/>
              </w:tabs>
              <w:rPr>
                <w:sz w:val="20"/>
                <w:szCs w:val="20"/>
              </w:rPr>
            </w:pPr>
            <w:r w:rsidRPr="00A935AA">
              <w:rPr>
                <w:sz w:val="20"/>
                <w:szCs w:val="20"/>
              </w:rPr>
              <w:tab/>
            </w:r>
            <w:r w:rsidR="00FB00A7">
              <w:rPr>
                <w:sz w:val="20"/>
                <w:szCs w:val="20"/>
              </w:rPr>
              <w:t>William Jesse Sutherland</w:t>
            </w:r>
          </w:p>
          <w:p w:rsidR="00517AED" w:rsidRPr="00A935AA" w:rsidRDefault="00517AED" w:rsidP="00047877">
            <w:pPr>
              <w:keepNext/>
              <w:keepLines/>
              <w:tabs>
                <w:tab w:val="left" w:pos="-1440"/>
                <w:tab w:val="left" w:pos="-720"/>
              </w:tabs>
              <w:rPr>
                <w:sz w:val="20"/>
                <w:szCs w:val="20"/>
              </w:rPr>
            </w:pPr>
          </w:p>
          <w:p w:rsidR="00517AED" w:rsidRPr="00FB00A7" w:rsidRDefault="00517AED" w:rsidP="00047877">
            <w:pPr>
              <w:keepNext/>
              <w:keepLines/>
              <w:tabs>
                <w:tab w:val="left" w:pos="-1440"/>
                <w:tab w:val="left" w:pos="-720"/>
              </w:tabs>
              <w:rPr>
                <w:sz w:val="20"/>
                <w:szCs w:val="20"/>
              </w:rPr>
            </w:pPr>
            <w:r w:rsidRPr="00A935AA">
              <w:rPr>
                <w:sz w:val="20"/>
                <w:szCs w:val="20"/>
              </w:rPr>
              <w:tab/>
            </w:r>
            <w:r w:rsidRPr="00FB00A7">
              <w:rPr>
                <w:sz w:val="20"/>
                <w:szCs w:val="20"/>
              </w:rPr>
              <w:t>v. (34</w:t>
            </w:r>
            <w:r w:rsidR="00FB00A7">
              <w:rPr>
                <w:sz w:val="20"/>
                <w:szCs w:val="20"/>
              </w:rPr>
              <w:t>530</w:t>
            </w:r>
            <w:r w:rsidRPr="00FB00A7">
              <w:rPr>
                <w:sz w:val="20"/>
                <w:szCs w:val="20"/>
              </w:rPr>
              <w:t>)</w:t>
            </w:r>
          </w:p>
          <w:p w:rsidR="00517AED" w:rsidRPr="00FB00A7" w:rsidRDefault="00517AED" w:rsidP="00047877">
            <w:pPr>
              <w:keepNext/>
              <w:keepLines/>
              <w:tabs>
                <w:tab w:val="left" w:pos="-1440"/>
                <w:tab w:val="left" w:pos="-720"/>
              </w:tabs>
              <w:rPr>
                <w:sz w:val="20"/>
                <w:szCs w:val="20"/>
              </w:rPr>
            </w:pPr>
          </w:p>
          <w:p w:rsidR="00517AED" w:rsidRPr="00FB00A7" w:rsidRDefault="00FB00A7" w:rsidP="00047877">
            <w:pPr>
              <w:keepNext/>
              <w:keepLines/>
              <w:tabs>
                <w:tab w:val="left" w:pos="-1440"/>
                <w:tab w:val="left" w:pos="-720"/>
              </w:tabs>
              <w:rPr>
                <w:b/>
                <w:sz w:val="20"/>
                <w:szCs w:val="20"/>
              </w:rPr>
            </w:pPr>
            <w:r>
              <w:rPr>
                <w:b/>
                <w:sz w:val="20"/>
                <w:szCs w:val="20"/>
              </w:rPr>
              <w:t xml:space="preserve">Her Majesty the Queen </w:t>
            </w:r>
            <w:r w:rsidR="00517AED" w:rsidRPr="00FB00A7">
              <w:rPr>
                <w:b/>
                <w:sz w:val="20"/>
                <w:szCs w:val="20"/>
              </w:rPr>
              <w:t>(Ont.)</w:t>
            </w:r>
          </w:p>
          <w:p w:rsidR="00517AED" w:rsidRPr="00FB00A7" w:rsidRDefault="00517AED" w:rsidP="00047877">
            <w:pPr>
              <w:keepNext/>
              <w:keepLines/>
              <w:tabs>
                <w:tab w:val="left" w:pos="-1440"/>
                <w:tab w:val="left" w:pos="-720"/>
              </w:tabs>
              <w:rPr>
                <w:sz w:val="20"/>
                <w:szCs w:val="20"/>
              </w:rPr>
            </w:pPr>
            <w:r w:rsidRPr="00FB00A7">
              <w:rPr>
                <w:sz w:val="20"/>
                <w:szCs w:val="20"/>
              </w:rPr>
              <w:tab/>
            </w:r>
            <w:r w:rsidR="00C54E0F">
              <w:rPr>
                <w:sz w:val="20"/>
                <w:szCs w:val="20"/>
              </w:rPr>
              <w:t xml:space="preserve">Brendan </w:t>
            </w:r>
            <w:proofErr w:type="spellStart"/>
            <w:r w:rsidR="00C54E0F">
              <w:rPr>
                <w:sz w:val="20"/>
                <w:szCs w:val="20"/>
              </w:rPr>
              <w:t>Gluckman</w:t>
            </w:r>
            <w:proofErr w:type="spellEnd"/>
          </w:p>
          <w:p w:rsidR="00517AED" w:rsidRPr="00FB00A7" w:rsidRDefault="00517AED" w:rsidP="00047877">
            <w:pPr>
              <w:keepNext/>
              <w:keepLines/>
              <w:tabs>
                <w:tab w:val="left" w:pos="-1440"/>
                <w:tab w:val="left" w:pos="-720"/>
              </w:tabs>
              <w:rPr>
                <w:sz w:val="20"/>
                <w:szCs w:val="20"/>
              </w:rPr>
            </w:pPr>
            <w:r w:rsidRPr="00FB00A7">
              <w:rPr>
                <w:sz w:val="20"/>
                <w:szCs w:val="20"/>
              </w:rPr>
              <w:tab/>
            </w:r>
            <w:r w:rsidR="00C54E0F">
              <w:rPr>
                <w:sz w:val="20"/>
                <w:szCs w:val="20"/>
              </w:rPr>
              <w:t>Public Prosecution Service of Canad</w:t>
            </w:r>
            <w:r w:rsidR="0065600E">
              <w:rPr>
                <w:sz w:val="20"/>
                <w:szCs w:val="20"/>
              </w:rPr>
              <w:t>a</w:t>
            </w:r>
          </w:p>
          <w:p w:rsidR="00517AED" w:rsidRPr="00FB00A7" w:rsidRDefault="00517AED" w:rsidP="00047877">
            <w:pPr>
              <w:keepNext/>
              <w:keepLines/>
              <w:tabs>
                <w:tab w:val="left" w:pos="-1440"/>
                <w:tab w:val="left" w:pos="-720"/>
              </w:tabs>
              <w:rPr>
                <w:sz w:val="20"/>
                <w:szCs w:val="20"/>
              </w:rPr>
            </w:pPr>
          </w:p>
          <w:p w:rsidR="00517AED" w:rsidRPr="00A935AA" w:rsidRDefault="00517AED" w:rsidP="00C54E0F">
            <w:pPr>
              <w:rPr>
                <w:sz w:val="20"/>
                <w:szCs w:val="20"/>
              </w:rPr>
            </w:pPr>
            <w:r w:rsidRPr="00A935AA">
              <w:rPr>
                <w:sz w:val="20"/>
                <w:szCs w:val="20"/>
              </w:rPr>
              <w:t xml:space="preserve">FILING DATE: </w:t>
            </w:r>
            <w:r w:rsidR="00C54E0F">
              <w:rPr>
                <w:sz w:val="20"/>
                <w:szCs w:val="20"/>
              </w:rPr>
              <w:t>07</w:t>
            </w:r>
            <w:r w:rsidRPr="00A935AA">
              <w:rPr>
                <w:sz w:val="20"/>
                <w:szCs w:val="20"/>
              </w:rPr>
              <w:t>.</w:t>
            </w:r>
            <w:r>
              <w:rPr>
                <w:sz w:val="20"/>
                <w:szCs w:val="20"/>
              </w:rPr>
              <w:t>11</w:t>
            </w:r>
            <w:r w:rsidRPr="00A935AA">
              <w:rPr>
                <w:sz w:val="20"/>
                <w:szCs w:val="20"/>
              </w:rPr>
              <w:t>.201</w:t>
            </w:r>
            <w:r>
              <w:rPr>
                <w:sz w:val="20"/>
                <w:szCs w:val="20"/>
              </w:rPr>
              <w:t>1</w:t>
            </w:r>
            <w:r w:rsidR="008754B5" w:rsidRPr="008754B5">
              <w:rPr>
                <w:sz w:val="20"/>
                <w:szCs w:val="20"/>
                <w:lang w:val="fr-CA"/>
              </w:rPr>
              <w:pict>
                <v:rect id="_x0000_i1030" style="width:108pt;height:1pt" o:hrpct="0" o:hralign="center" o:hrstd="t" o:hrnoshade="t" o:hr="t" fillcolor="black [3213]" stroked="f"/>
              </w:pict>
            </w:r>
          </w:p>
        </w:tc>
      </w:tr>
      <w:tr w:rsidR="00517AED" w:rsidRPr="00A935AA" w:rsidTr="003B3977">
        <w:trPr>
          <w:cantSplit/>
        </w:trPr>
        <w:tc>
          <w:tcPr>
            <w:tcW w:w="4320" w:type="dxa"/>
            <w:shd w:val="clear" w:color="auto" w:fill="auto"/>
          </w:tcPr>
          <w:p w:rsidR="00517AED" w:rsidRDefault="00517AED" w:rsidP="00047877">
            <w:pPr>
              <w:rPr>
                <w:b/>
                <w:sz w:val="20"/>
                <w:szCs w:val="20"/>
              </w:rPr>
            </w:pPr>
          </w:p>
          <w:p w:rsidR="00FD4E31" w:rsidRPr="00A935AA" w:rsidRDefault="00FD4E31" w:rsidP="00047877">
            <w:pPr>
              <w:rPr>
                <w:b/>
                <w:sz w:val="20"/>
                <w:szCs w:val="20"/>
              </w:rPr>
            </w:pPr>
            <w:r>
              <w:rPr>
                <w:b/>
                <w:sz w:val="20"/>
                <w:szCs w:val="20"/>
              </w:rPr>
              <w:t>Brian Gibb et al.</w:t>
            </w:r>
          </w:p>
          <w:p w:rsidR="00517AED" w:rsidRPr="00A935AA" w:rsidRDefault="00517AED" w:rsidP="00047877">
            <w:pPr>
              <w:tabs>
                <w:tab w:val="left" w:pos="-1440"/>
                <w:tab w:val="left" w:pos="-720"/>
              </w:tabs>
              <w:rPr>
                <w:sz w:val="20"/>
                <w:szCs w:val="20"/>
              </w:rPr>
            </w:pPr>
            <w:r w:rsidRPr="00A935AA">
              <w:rPr>
                <w:sz w:val="20"/>
                <w:szCs w:val="20"/>
              </w:rPr>
              <w:tab/>
            </w:r>
            <w:r w:rsidR="00FD4E31">
              <w:rPr>
                <w:sz w:val="20"/>
                <w:szCs w:val="20"/>
              </w:rPr>
              <w:t>Julius H. Grey</w:t>
            </w:r>
          </w:p>
          <w:p w:rsidR="00517AED" w:rsidRPr="00A935AA" w:rsidRDefault="00517AED" w:rsidP="00047877">
            <w:pPr>
              <w:tabs>
                <w:tab w:val="left" w:pos="-1440"/>
                <w:tab w:val="left" w:pos="-720"/>
              </w:tabs>
              <w:rPr>
                <w:sz w:val="20"/>
                <w:szCs w:val="20"/>
              </w:rPr>
            </w:pPr>
            <w:r w:rsidRPr="00A935AA">
              <w:rPr>
                <w:sz w:val="20"/>
                <w:szCs w:val="20"/>
              </w:rPr>
              <w:tab/>
            </w:r>
            <w:r w:rsidR="00FD4E31">
              <w:rPr>
                <w:sz w:val="20"/>
                <w:szCs w:val="20"/>
              </w:rPr>
              <w:t xml:space="preserve">Grey </w:t>
            </w:r>
            <w:proofErr w:type="spellStart"/>
            <w:r w:rsidR="00FD4E31">
              <w:rPr>
                <w:sz w:val="20"/>
                <w:szCs w:val="20"/>
              </w:rPr>
              <w:t>Casgrain</w:t>
            </w:r>
            <w:proofErr w:type="spellEnd"/>
          </w:p>
          <w:p w:rsidR="00517AED" w:rsidRPr="00A935AA" w:rsidRDefault="00517AED" w:rsidP="00047877">
            <w:pPr>
              <w:tabs>
                <w:tab w:val="left" w:pos="-1440"/>
                <w:tab w:val="left" w:pos="-720"/>
              </w:tabs>
              <w:rPr>
                <w:sz w:val="20"/>
                <w:szCs w:val="20"/>
              </w:rPr>
            </w:pPr>
          </w:p>
          <w:p w:rsidR="00517AED" w:rsidRPr="00A935AA" w:rsidRDefault="00517AED" w:rsidP="00047877">
            <w:pPr>
              <w:tabs>
                <w:tab w:val="left" w:pos="-1440"/>
                <w:tab w:val="left" w:pos="-720"/>
              </w:tabs>
              <w:rPr>
                <w:sz w:val="20"/>
                <w:szCs w:val="20"/>
              </w:rPr>
            </w:pPr>
            <w:r w:rsidRPr="00A935AA">
              <w:rPr>
                <w:sz w:val="20"/>
                <w:szCs w:val="20"/>
              </w:rPr>
              <w:tab/>
              <w:t>v. (3</w:t>
            </w:r>
            <w:r>
              <w:rPr>
                <w:sz w:val="20"/>
                <w:szCs w:val="20"/>
              </w:rPr>
              <w:t>4</w:t>
            </w:r>
            <w:r w:rsidR="00FD4E31">
              <w:rPr>
                <w:sz w:val="20"/>
                <w:szCs w:val="20"/>
              </w:rPr>
              <w:t>521</w:t>
            </w:r>
            <w:r w:rsidRPr="00A935AA">
              <w:rPr>
                <w:sz w:val="20"/>
                <w:szCs w:val="20"/>
              </w:rPr>
              <w:t>)</w:t>
            </w:r>
          </w:p>
          <w:p w:rsidR="00517AED" w:rsidRPr="00A935AA" w:rsidRDefault="00517AED" w:rsidP="00047877">
            <w:pPr>
              <w:tabs>
                <w:tab w:val="left" w:pos="-1440"/>
                <w:tab w:val="left" w:pos="-720"/>
              </w:tabs>
              <w:rPr>
                <w:sz w:val="20"/>
                <w:szCs w:val="20"/>
              </w:rPr>
            </w:pPr>
          </w:p>
          <w:p w:rsidR="00517AED" w:rsidRPr="001D4F3A" w:rsidRDefault="00FD4E31" w:rsidP="00047877">
            <w:pPr>
              <w:tabs>
                <w:tab w:val="left" w:pos="-1440"/>
                <w:tab w:val="left" w:pos="-720"/>
              </w:tabs>
              <w:rPr>
                <w:b/>
                <w:sz w:val="20"/>
                <w:szCs w:val="20"/>
                <w:lang w:val="fr-CA"/>
              </w:rPr>
            </w:pPr>
            <w:r>
              <w:rPr>
                <w:b/>
                <w:sz w:val="20"/>
                <w:szCs w:val="20"/>
              </w:rPr>
              <w:t xml:space="preserve">Attorney General of Quebec et al. </w:t>
            </w:r>
            <w:r w:rsidR="00517AED" w:rsidRPr="001D4F3A">
              <w:rPr>
                <w:b/>
                <w:sz w:val="20"/>
                <w:szCs w:val="20"/>
                <w:lang w:val="fr-CA"/>
              </w:rPr>
              <w:t>(</w:t>
            </w:r>
            <w:r w:rsidRPr="001D4F3A">
              <w:rPr>
                <w:b/>
                <w:sz w:val="20"/>
                <w:szCs w:val="20"/>
                <w:lang w:val="fr-CA"/>
              </w:rPr>
              <w:t>Que</w:t>
            </w:r>
            <w:r w:rsidR="00517AED" w:rsidRPr="001D4F3A">
              <w:rPr>
                <w:b/>
                <w:sz w:val="20"/>
                <w:szCs w:val="20"/>
                <w:lang w:val="fr-CA"/>
              </w:rPr>
              <w:t>.)</w:t>
            </w:r>
          </w:p>
          <w:p w:rsidR="00517AED" w:rsidRPr="001D4F3A" w:rsidRDefault="00517AED" w:rsidP="00047877">
            <w:pPr>
              <w:tabs>
                <w:tab w:val="left" w:pos="-1440"/>
                <w:tab w:val="left" w:pos="-720"/>
              </w:tabs>
              <w:rPr>
                <w:sz w:val="20"/>
                <w:szCs w:val="20"/>
                <w:lang w:val="fr-CA"/>
              </w:rPr>
            </w:pPr>
            <w:r w:rsidRPr="001D4F3A">
              <w:rPr>
                <w:sz w:val="20"/>
                <w:szCs w:val="20"/>
                <w:lang w:val="fr-CA"/>
              </w:rPr>
              <w:tab/>
            </w:r>
            <w:r w:rsidR="00094018" w:rsidRPr="001D4F3A">
              <w:rPr>
                <w:sz w:val="20"/>
                <w:szCs w:val="20"/>
                <w:lang w:val="fr-CA"/>
              </w:rPr>
              <w:t>É</w:t>
            </w:r>
            <w:r w:rsidR="00FD4E31" w:rsidRPr="001D4F3A">
              <w:rPr>
                <w:sz w:val="20"/>
                <w:szCs w:val="20"/>
                <w:lang w:val="fr-CA"/>
              </w:rPr>
              <w:t>ric Dufour</w:t>
            </w:r>
          </w:p>
          <w:p w:rsidR="00517AED" w:rsidRPr="001D4F3A" w:rsidRDefault="00517AED" w:rsidP="00047877">
            <w:pPr>
              <w:tabs>
                <w:tab w:val="left" w:pos="-1440"/>
                <w:tab w:val="left" w:pos="-720"/>
              </w:tabs>
              <w:rPr>
                <w:sz w:val="20"/>
                <w:szCs w:val="20"/>
                <w:lang w:val="fr-CA"/>
              </w:rPr>
            </w:pPr>
            <w:r w:rsidRPr="001D4F3A">
              <w:rPr>
                <w:sz w:val="20"/>
                <w:szCs w:val="20"/>
                <w:lang w:val="fr-CA"/>
              </w:rPr>
              <w:tab/>
            </w:r>
            <w:r w:rsidR="00EE79FF" w:rsidRPr="001D4F3A">
              <w:rPr>
                <w:sz w:val="20"/>
                <w:szCs w:val="20"/>
                <w:lang w:val="fr-CA"/>
              </w:rPr>
              <w:t>P.G. du Québec</w:t>
            </w:r>
          </w:p>
          <w:p w:rsidR="00517AED" w:rsidRPr="001D4F3A" w:rsidRDefault="00517AED" w:rsidP="00047877">
            <w:pPr>
              <w:tabs>
                <w:tab w:val="left" w:pos="-1440"/>
                <w:tab w:val="left" w:pos="-720"/>
              </w:tabs>
              <w:rPr>
                <w:sz w:val="20"/>
                <w:szCs w:val="20"/>
                <w:lang w:val="fr-CA"/>
              </w:rPr>
            </w:pPr>
          </w:p>
          <w:p w:rsidR="00517AED" w:rsidRPr="00A935AA" w:rsidRDefault="00517AED" w:rsidP="00047877">
            <w:pPr>
              <w:rPr>
                <w:sz w:val="20"/>
                <w:szCs w:val="20"/>
              </w:rPr>
            </w:pPr>
            <w:r w:rsidRPr="00A935AA">
              <w:rPr>
                <w:sz w:val="20"/>
                <w:szCs w:val="20"/>
              </w:rPr>
              <w:t xml:space="preserve">FILING DATE: </w:t>
            </w:r>
            <w:r w:rsidR="00FD4E31">
              <w:rPr>
                <w:sz w:val="20"/>
                <w:szCs w:val="20"/>
              </w:rPr>
              <w:t>10</w:t>
            </w:r>
            <w:r w:rsidRPr="00A935AA">
              <w:rPr>
                <w:sz w:val="20"/>
                <w:szCs w:val="20"/>
              </w:rPr>
              <w:t>.</w:t>
            </w:r>
            <w:r>
              <w:rPr>
                <w:sz w:val="20"/>
                <w:szCs w:val="20"/>
              </w:rPr>
              <w:t>11</w:t>
            </w:r>
            <w:r w:rsidRPr="00A935AA">
              <w:rPr>
                <w:sz w:val="20"/>
                <w:szCs w:val="20"/>
              </w:rPr>
              <w:t>.201</w:t>
            </w:r>
            <w:r>
              <w:rPr>
                <w:sz w:val="20"/>
                <w:szCs w:val="20"/>
              </w:rPr>
              <w:t>1</w:t>
            </w:r>
          </w:p>
          <w:p w:rsidR="00517AED" w:rsidRPr="00A935AA" w:rsidRDefault="008754B5" w:rsidP="00047877">
            <w:pPr>
              <w:rPr>
                <w:sz w:val="20"/>
                <w:szCs w:val="20"/>
              </w:rPr>
            </w:pPr>
            <w:r w:rsidRPr="008754B5">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tc>
        <w:tc>
          <w:tcPr>
            <w:tcW w:w="4320" w:type="dxa"/>
            <w:shd w:val="clear" w:color="auto" w:fill="auto"/>
          </w:tcPr>
          <w:p w:rsidR="00517AED" w:rsidRPr="00A935AA" w:rsidRDefault="00FD4E31" w:rsidP="00047877">
            <w:pPr>
              <w:keepNext/>
              <w:keepLines/>
              <w:tabs>
                <w:tab w:val="left" w:pos="-1440"/>
                <w:tab w:val="left" w:pos="-720"/>
              </w:tabs>
              <w:rPr>
                <w:b/>
                <w:sz w:val="20"/>
                <w:szCs w:val="20"/>
              </w:rPr>
            </w:pPr>
            <w:r>
              <w:rPr>
                <w:b/>
                <w:sz w:val="20"/>
                <w:szCs w:val="20"/>
              </w:rPr>
              <w:t xml:space="preserve">Garth Howard </w:t>
            </w:r>
            <w:proofErr w:type="spellStart"/>
            <w:r>
              <w:rPr>
                <w:b/>
                <w:sz w:val="20"/>
                <w:szCs w:val="20"/>
              </w:rPr>
              <w:t>Drabinsky</w:t>
            </w:r>
            <w:proofErr w:type="spellEnd"/>
          </w:p>
          <w:p w:rsidR="00517AED" w:rsidRPr="00A935AA" w:rsidRDefault="00517AED" w:rsidP="00047877">
            <w:pPr>
              <w:keepNext/>
              <w:keepLines/>
              <w:tabs>
                <w:tab w:val="left" w:pos="-1440"/>
                <w:tab w:val="left" w:pos="-720"/>
              </w:tabs>
              <w:rPr>
                <w:sz w:val="20"/>
                <w:szCs w:val="20"/>
              </w:rPr>
            </w:pPr>
            <w:r w:rsidRPr="00A935AA">
              <w:rPr>
                <w:sz w:val="20"/>
                <w:szCs w:val="20"/>
              </w:rPr>
              <w:tab/>
            </w:r>
            <w:r w:rsidR="00FD4E31">
              <w:rPr>
                <w:sz w:val="20"/>
                <w:szCs w:val="20"/>
              </w:rPr>
              <w:t>Edward L. Greenspan, Q.C.</w:t>
            </w:r>
          </w:p>
          <w:p w:rsidR="00517AED" w:rsidRPr="00A935AA" w:rsidRDefault="00517AED" w:rsidP="00047877">
            <w:pPr>
              <w:keepNext/>
              <w:keepLines/>
              <w:tabs>
                <w:tab w:val="left" w:pos="-1440"/>
                <w:tab w:val="left" w:pos="-720"/>
              </w:tabs>
              <w:rPr>
                <w:sz w:val="20"/>
                <w:szCs w:val="20"/>
              </w:rPr>
            </w:pPr>
            <w:r w:rsidRPr="00A935AA">
              <w:rPr>
                <w:sz w:val="20"/>
                <w:szCs w:val="20"/>
              </w:rPr>
              <w:tab/>
            </w:r>
            <w:r w:rsidR="00FD4E31">
              <w:rPr>
                <w:sz w:val="20"/>
                <w:szCs w:val="20"/>
              </w:rPr>
              <w:t>Greenspan Partners</w:t>
            </w:r>
          </w:p>
          <w:p w:rsidR="00517AED" w:rsidRPr="00A935AA" w:rsidRDefault="00517AED" w:rsidP="00047877">
            <w:pPr>
              <w:keepNext/>
              <w:keepLines/>
              <w:tabs>
                <w:tab w:val="left" w:pos="-1440"/>
                <w:tab w:val="left" w:pos="-720"/>
              </w:tabs>
              <w:rPr>
                <w:sz w:val="20"/>
                <w:szCs w:val="20"/>
              </w:rPr>
            </w:pPr>
          </w:p>
          <w:p w:rsidR="00517AED" w:rsidRPr="00FD4E31" w:rsidRDefault="00517AED" w:rsidP="00047877">
            <w:pPr>
              <w:keepNext/>
              <w:keepLines/>
              <w:tabs>
                <w:tab w:val="left" w:pos="-1440"/>
                <w:tab w:val="left" w:pos="-720"/>
              </w:tabs>
              <w:rPr>
                <w:sz w:val="20"/>
                <w:szCs w:val="20"/>
              </w:rPr>
            </w:pPr>
            <w:r w:rsidRPr="00A935AA">
              <w:rPr>
                <w:sz w:val="20"/>
                <w:szCs w:val="20"/>
              </w:rPr>
              <w:tab/>
            </w:r>
            <w:r w:rsidRPr="00FD4E31">
              <w:rPr>
                <w:sz w:val="20"/>
                <w:szCs w:val="20"/>
              </w:rPr>
              <w:t>v. (34</w:t>
            </w:r>
            <w:r w:rsidR="00FD4E31">
              <w:rPr>
                <w:sz w:val="20"/>
                <w:szCs w:val="20"/>
              </w:rPr>
              <w:t>484</w:t>
            </w:r>
            <w:r w:rsidRPr="00FD4E31">
              <w:rPr>
                <w:sz w:val="20"/>
                <w:szCs w:val="20"/>
              </w:rPr>
              <w:t>)</w:t>
            </w:r>
          </w:p>
          <w:p w:rsidR="00517AED" w:rsidRPr="00FD4E31" w:rsidRDefault="00517AED" w:rsidP="00047877">
            <w:pPr>
              <w:keepNext/>
              <w:keepLines/>
              <w:tabs>
                <w:tab w:val="left" w:pos="-1440"/>
                <w:tab w:val="left" w:pos="-720"/>
              </w:tabs>
              <w:rPr>
                <w:sz w:val="20"/>
                <w:szCs w:val="20"/>
              </w:rPr>
            </w:pPr>
          </w:p>
          <w:p w:rsidR="00517AED" w:rsidRPr="00FD4E31" w:rsidRDefault="00FD4E31" w:rsidP="00047877">
            <w:pPr>
              <w:keepNext/>
              <w:keepLines/>
              <w:tabs>
                <w:tab w:val="left" w:pos="-1440"/>
                <w:tab w:val="left" w:pos="-720"/>
              </w:tabs>
              <w:rPr>
                <w:b/>
                <w:sz w:val="20"/>
                <w:szCs w:val="20"/>
              </w:rPr>
            </w:pPr>
            <w:r>
              <w:rPr>
                <w:b/>
                <w:sz w:val="20"/>
                <w:szCs w:val="20"/>
              </w:rPr>
              <w:t xml:space="preserve">Her Majesty the Queen </w:t>
            </w:r>
            <w:r w:rsidR="00517AED" w:rsidRPr="00FD4E31">
              <w:rPr>
                <w:b/>
                <w:sz w:val="20"/>
                <w:szCs w:val="20"/>
              </w:rPr>
              <w:t>(Ont.)</w:t>
            </w:r>
          </w:p>
          <w:p w:rsidR="00517AED" w:rsidRPr="00FD4E31" w:rsidRDefault="00517AED" w:rsidP="00047877">
            <w:pPr>
              <w:keepNext/>
              <w:keepLines/>
              <w:tabs>
                <w:tab w:val="left" w:pos="-1440"/>
                <w:tab w:val="left" w:pos="-720"/>
              </w:tabs>
              <w:rPr>
                <w:sz w:val="20"/>
                <w:szCs w:val="20"/>
              </w:rPr>
            </w:pPr>
            <w:r w:rsidRPr="00FD4E31">
              <w:rPr>
                <w:sz w:val="20"/>
                <w:szCs w:val="20"/>
              </w:rPr>
              <w:tab/>
            </w:r>
            <w:r w:rsidR="00FD4E31">
              <w:rPr>
                <w:sz w:val="20"/>
                <w:szCs w:val="20"/>
              </w:rPr>
              <w:t xml:space="preserve">Alexander V. </w:t>
            </w:r>
            <w:proofErr w:type="spellStart"/>
            <w:r w:rsidR="00FD4E31">
              <w:rPr>
                <w:sz w:val="20"/>
                <w:szCs w:val="20"/>
              </w:rPr>
              <w:t>Hrybinsky</w:t>
            </w:r>
            <w:proofErr w:type="spellEnd"/>
          </w:p>
          <w:p w:rsidR="00517AED" w:rsidRPr="00FD4E31" w:rsidRDefault="00517AED" w:rsidP="00047877">
            <w:pPr>
              <w:keepNext/>
              <w:keepLines/>
              <w:tabs>
                <w:tab w:val="left" w:pos="-1440"/>
                <w:tab w:val="left" w:pos="-720"/>
              </w:tabs>
              <w:rPr>
                <w:sz w:val="20"/>
                <w:szCs w:val="20"/>
              </w:rPr>
            </w:pPr>
            <w:r w:rsidRPr="00FD4E31">
              <w:rPr>
                <w:sz w:val="20"/>
                <w:szCs w:val="20"/>
              </w:rPr>
              <w:tab/>
            </w:r>
            <w:r w:rsidR="00FD4E31">
              <w:rPr>
                <w:sz w:val="20"/>
                <w:szCs w:val="20"/>
              </w:rPr>
              <w:t>A.G. of Ontario</w:t>
            </w:r>
          </w:p>
          <w:p w:rsidR="00517AED" w:rsidRPr="00FD4E31" w:rsidRDefault="00517AED" w:rsidP="00047877">
            <w:pPr>
              <w:keepNext/>
              <w:keepLines/>
              <w:tabs>
                <w:tab w:val="left" w:pos="-1440"/>
                <w:tab w:val="left" w:pos="-720"/>
              </w:tabs>
              <w:rPr>
                <w:sz w:val="20"/>
                <w:szCs w:val="20"/>
              </w:rPr>
            </w:pPr>
          </w:p>
          <w:p w:rsidR="00517AED" w:rsidRPr="00A935AA" w:rsidRDefault="00517AED" w:rsidP="00FD4E31">
            <w:pPr>
              <w:rPr>
                <w:sz w:val="20"/>
                <w:szCs w:val="20"/>
              </w:rPr>
            </w:pPr>
            <w:r w:rsidRPr="00A935AA">
              <w:rPr>
                <w:sz w:val="20"/>
                <w:szCs w:val="20"/>
              </w:rPr>
              <w:t xml:space="preserve">FILING DATE: </w:t>
            </w:r>
            <w:r w:rsidR="00FD4E31">
              <w:rPr>
                <w:sz w:val="20"/>
                <w:szCs w:val="20"/>
              </w:rPr>
              <w:t>14</w:t>
            </w:r>
            <w:r w:rsidRPr="00A935AA">
              <w:rPr>
                <w:sz w:val="20"/>
                <w:szCs w:val="20"/>
              </w:rPr>
              <w:t>.</w:t>
            </w:r>
            <w:r>
              <w:rPr>
                <w:sz w:val="20"/>
                <w:szCs w:val="20"/>
              </w:rPr>
              <w:t>11</w:t>
            </w:r>
            <w:r w:rsidRPr="00A935AA">
              <w:rPr>
                <w:sz w:val="20"/>
                <w:szCs w:val="20"/>
              </w:rPr>
              <w:t>.201</w:t>
            </w:r>
            <w:r>
              <w:rPr>
                <w:sz w:val="20"/>
                <w:szCs w:val="20"/>
              </w:rPr>
              <w:t>1</w:t>
            </w:r>
            <w:r w:rsidR="008754B5" w:rsidRPr="008754B5">
              <w:rPr>
                <w:sz w:val="20"/>
                <w:szCs w:val="20"/>
                <w:lang w:val="fr-CA"/>
              </w:rPr>
              <w:pict>
                <v:rect id="_x0000_i1032" style="width:108pt;height:1pt" o:hrpct="0" o:hralign="center" o:hrstd="t" o:hrnoshade="t" o:hr="t" fillcolor="black [3213]" stroked="f"/>
              </w:pict>
            </w:r>
          </w:p>
        </w:tc>
      </w:tr>
      <w:tr w:rsidR="00517AED" w:rsidRPr="00A935AA" w:rsidTr="003B3977">
        <w:trPr>
          <w:cantSplit/>
        </w:trPr>
        <w:tc>
          <w:tcPr>
            <w:tcW w:w="4320" w:type="dxa"/>
            <w:shd w:val="clear" w:color="auto" w:fill="auto"/>
          </w:tcPr>
          <w:p w:rsidR="00517AED" w:rsidRPr="00A935AA" w:rsidRDefault="00FD4E31" w:rsidP="00047877">
            <w:pPr>
              <w:rPr>
                <w:b/>
                <w:sz w:val="20"/>
                <w:szCs w:val="20"/>
              </w:rPr>
            </w:pPr>
            <w:proofErr w:type="spellStart"/>
            <w:r>
              <w:rPr>
                <w:b/>
                <w:sz w:val="20"/>
                <w:szCs w:val="20"/>
              </w:rPr>
              <w:lastRenderedPageBreak/>
              <w:t>Mandeep</w:t>
            </w:r>
            <w:proofErr w:type="spellEnd"/>
            <w:r>
              <w:rPr>
                <w:b/>
                <w:sz w:val="20"/>
                <w:szCs w:val="20"/>
              </w:rPr>
              <w:t xml:space="preserve"> Singh </w:t>
            </w:r>
            <w:proofErr w:type="spellStart"/>
            <w:r>
              <w:rPr>
                <w:b/>
                <w:sz w:val="20"/>
                <w:szCs w:val="20"/>
              </w:rPr>
              <w:t>Chehil</w:t>
            </w:r>
            <w:proofErr w:type="spellEnd"/>
          </w:p>
          <w:p w:rsidR="00517AED" w:rsidRPr="00A935AA" w:rsidRDefault="00517AED" w:rsidP="00047877">
            <w:pPr>
              <w:tabs>
                <w:tab w:val="left" w:pos="-1440"/>
                <w:tab w:val="left" w:pos="-720"/>
              </w:tabs>
              <w:rPr>
                <w:sz w:val="20"/>
                <w:szCs w:val="20"/>
              </w:rPr>
            </w:pPr>
            <w:r w:rsidRPr="00A935AA">
              <w:rPr>
                <w:sz w:val="20"/>
                <w:szCs w:val="20"/>
              </w:rPr>
              <w:tab/>
            </w:r>
            <w:r w:rsidR="00FD4E31">
              <w:rPr>
                <w:sz w:val="20"/>
                <w:szCs w:val="20"/>
              </w:rPr>
              <w:t>Garson MacDonald</w:t>
            </w:r>
          </w:p>
          <w:p w:rsidR="00517AED" w:rsidRPr="00A935AA" w:rsidRDefault="00517AED" w:rsidP="00047877">
            <w:pPr>
              <w:tabs>
                <w:tab w:val="left" w:pos="-1440"/>
                <w:tab w:val="left" w:pos="-720"/>
              </w:tabs>
              <w:rPr>
                <w:sz w:val="20"/>
                <w:szCs w:val="20"/>
              </w:rPr>
            </w:pPr>
            <w:r w:rsidRPr="00A935AA">
              <w:rPr>
                <w:sz w:val="20"/>
                <w:szCs w:val="20"/>
              </w:rPr>
              <w:tab/>
            </w:r>
            <w:r w:rsidR="00FD4E31">
              <w:rPr>
                <w:sz w:val="20"/>
                <w:szCs w:val="20"/>
              </w:rPr>
              <w:t>Stanley W. MacDonald, Q.C.</w:t>
            </w:r>
          </w:p>
          <w:p w:rsidR="00517AED" w:rsidRPr="00A935AA" w:rsidRDefault="00517AED" w:rsidP="00047877">
            <w:pPr>
              <w:tabs>
                <w:tab w:val="left" w:pos="-1440"/>
                <w:tab w:val="left" w:pos="-720"/>
              </w:tabs>
              <w:rPr>
                <w:sz w:val="20"/>
                <w:szCs w:val="20"/>
              </w:rPr>
            </w:pPr>
          </w:p>
          <w:p w:rsidR="00517AED" w:rsidRPr="00A935AA" w:rsidRDefault="00517AED" w:rsidP="00047877">
            <w:pPr>
              <w:tabs>
                <w:tab w:val="left" w:pos="-1440"/>
                <w:tab w:val="left" w:pos="-720"/>
              </w:tabs>
              <w:rPr>
                <w:sz w:val="20"/>
                <w:szCs w:val="20"/>
              </w:rPr>
            </w:pPr>
            <w:r w:rsidRPr="00A935AA">
              <w:rPr>
                <w:sz w:val="20"/>
                <w:szCs w:val="20"/>
              </w:rPr>
              <w:tab/>
              <w:t>v. (3</w:t>
            </w:r>
            <w:r>
              <w:rPr>
                <w:sz w:val="20"/>
                <w:szCs w:val="20"/>
              </w:rPr>
              <w:t>4</w:t>
            </w:r>
            <w:r w:rsidR="00FD4E31">
              <w:rPr>
                <w:sz w:val="20"/>
                <w:szCs w:val="20"/>
              </w:rPr>
              <w:t>524</w:t>
            </w:r>
            <w:r w:rsidRPr="00A935AA">
              <w:rPr>
                <w:sz w:val="20"/>
                <w:szCs w:val="20"/>
              </w:rPr>
              <w:t>)</w:t>
            </w:r>
          </w:p>
          <w:p w:rsidR="00517AED" w:rsidRPr="00A935AA" w:rsidRDefault="00517AED" w:rsidP="00047877">
            <w:pPr>
              <w:tabs>
                <w:tab w:val="left" w:pos="-1440"/>
                <w:tab w:val="left" w:pos="-720"/>
              </w:tabs>
              <w:rPr>
                <w:sz w:val="20"/>
                <w:szCs w:val="20"/>
              </w:rPr>
            </w:pPr>
          </w:p>
          <w:p w:rsidR="00517AED" w:rsidRPr="00A935AA" w:rsidRDefault="00FD4E31" w:rsidP="00047877">
            <w:pPr>
              <w:tabs>
                <w:tab w:val="left" w:pos="-1440"/>
                <w:tab w:val="left" w:pos="-720"/>
              </w:tabs>
              <w:rPr>
                <w:b/>
                <w:sz w:val="20"/>
                <w:szCs w:val="20"/>
              </w:rPr>
            </w:pPr>
            <w:r>
              <w:rPr>
                <w:b/>
                <w:sz w:val="20"/>
                <w:szCs w:val="20"/>
              </w:rPr>
              <w:t xml:space="preserve">Her Majesty the Queen </w:t>
            </w:r>
            <w:r w:rsidR="00517AED">
              <w:rPr>
                <w:b/>
                <w:sz w:val="20"/>
                <w:szCs w:val="20"/>
              </w:rPr>
              <w:t>(</w:t>
            </w:r>
            <w:r>
              <w:rPr>
                <w:b/>
                <w:sz w:val="20"/>
                <w:szCs w:val="20"/>
              </w:rPr>
              <w:t>N</w:t>
            </w:r>
            <w:r w:rsidR="00517AED" w:rsidRPr="00A935AA">
              <w:rPr>
                <w:b/>
                <w:sz w:val="20"/>
                <w:szCs w:val="20"/>
              </w:rPr>
              <w:t>.</w:t>
            </w:r>
            <w:r>
              <w:rPr>
                <w:b/>
                <w:sz w:val="20"/>
                <w:szCs w:val="20"/>
              </w:rPr>
              <w:t>S</w:t>
            </w:r>
            <w:r w:rsidR="00517AED" w:rsidRPr="00A935AA">
              <w:rPr>
                <w:b/>
                <w:sz w:val="20"/>
                <w:szCs w:val="20"/>
              </w:rPr>
              <w:t>.)</w:t>
            </w:r>
          </w:p>
          <w:p w:rsidR="00517AED" w:rsidRPr="00A935AA" w:rsidRDefault="00517AED" w:rsidP="00047877">
            <w:pPr>
              <w:tabs>
                <w:tab w:val="left" w:pos="-1440"/>
                <w:tab w:val="left" w:pos="-720"/>
              </w:tabs>
              <w:rPr>
                <w:sz w:val="20"/>
                <w:szCs w:val="20"/>
              </w:rPr>
            </w:pPr>
            <w:r w:rsidRPr="00A935AA">
              <w:rPr>
                <w:sz w:val="20"/>
                <w:szCs w:val="20"/>
              </w:rPr>
              <w:tab/>
            </w:r>
            <w:r w:rsidR="00FD4E31">
              <w:rPr>
                <w:sz w:val="20"/>
                <w:szCs w:val="20"/>
              </w:rPr>
              <w:t xml:space="preserve">Mark J. </w:t>
            </w:r>
            <w:proofErr w:type="spellStart"/>
            <w:r w:rsidR="00FD4E31">
              <w:rPr>
                <w:sz w:val="20"/>
                <w:szCs w:val="20"/>
              </w:rPr>
              <w:t>Covan</w:t>
            </w:r>
            <w:proofErr w:type="spellEnd"/>
          </w:p>
          <w:p w:rsidR="00517AED" w:rsidRPr="00A935AA" w:rsidRDefault="00517AED" w:rsidP="00047877">
            <w:pPr>
              <w:tabs>
                <w:tab w:val="left" w:pos="-1440"/>
                <w:tab w:val="left" w:pos="-720"/>
              </w:tabs>
              <w:rPr>
                <w:sz w:val="20"/>
                <w:szCs w:val="20"/>
              </w:rPr>
            </w:pPr>
            <w:r w:rsidRPr="00A935AA">
              <w:rPr>
                <w:sz w:val="20"/>
                <w:szCs w:val="20"/>
              </w:rPr>
              <w:tab/>
            </w:r>
            <w:r w:rsidR="00FD4E31">
              <w:rPr>
                <w:sz w:val="20"/>
                <w:szCs w:val="20"/>
              </w:rPr>
              <w:t>Public Prosecution Service of Canada</w:t>
            </w:r>
          </w:p>
          <w:p w:rsidR="00517AED" w:rsidRPr="00A935AA" w:rsidRDefault="00517AED" w:rsidP="00047877">
            <w:pPr>
              <w:tabs>
                <w:tab w:val="left" w:pos="-1440"/>
                <w:tab w:val="left" w:pos="-720"/>
              </w:tabs>
              <w:rPr>
                <w:sz w:val="20"/>
                <w:szCs w:val="20"/>
              </w:rPr>
            </w:pPr>
          </w:p>
          <w:p w:rsidR="00517AED" w:rsidRPr="00A935AA" w:rsidRDefault="00517AED" w:rsidP="00047877">
            <w:pPr>
              <w:rPr>
                <w:sz w:val="20"/>
                <w:szCs w:val="20"/>
              </w:rPr>
            </w:pPr>
            <w:r w:rsidRPr="00A935AA">
              <w:rPr>
                <w:sz w:val="20"/>
                <w:szCs w:val="20"/>
              </w:rPr>
              <w:t xml:space="preserve">FILING DATE: </w:t>
            </w:r>
            <w:r w:rsidR="00825423">
              <w:rPr>
                <w:sz w:val="20"/>
                <w:szCs w:val="20"/>
              </w:rPr>
              <w:t>14</w:t>
            </w:r>
            <w:r w:rsidRPr="00A935AA">
              <w:rPr>
                <w:sz w:val="20"/>
                <w:szCs w:val="20"/>
              </w:rPr>
              <w:t>.</w:t>
            </w:r>
            <w:r>
              <w:rPr>
                <w:sz w:val="20"/>
                <w:szCs w:val="20"/>
              </w:rPr>
              <w:t>11</w:t>
            </w:r>
            <w:r w:rsidRPr="00A935AA">
              <w:rPr>
                <w:sz w:val="20"/>
                <w:szCs w:val="20"/>
              </w:rPr>
              <w:t>.201</w:t>
            </w:r>
            <w:r>
              <w:rPr>
                <w:sz w:val="20"/>
                <w:szCs w:val="20"/>
              </w:rPr>
              <w:t>1</w:t>
            </w:r>
          </w:p>
          <w:p w:rsidR="00517AED" w:rsidRPr="00A935AA" w:rsidRDefault="008754B5" w:rsidP="00047877">
            <w:pPr>
              <w:rPr>
                <w:sz w:val="20"/>
                <w:szCs w:val="20"/>
              </w:rPr>
            </w:pPr>
            <w:r w:rsidRPr="008754B5">
              <w:rPr>
                <w:sz w:val="20"/>
                <w:szCs w:val="20"/>
                <w:lang w:val="fr-CA"/>
              </w:rPr>
              <w:pict>
                <v:rect id="_x0000_i1033" style="width:108pt;height:1pt" o:hrpct="0" o:hralign="center" o:hrstd="t" o:hrnoshade="t" o:hr="t" fillcolor="black [3213]" stroked="f"/>
              </w:pict>
            </w:r>
          </w:p>
        </w:tc>
        <w:tc>
          <w:tcPr>
            <w:tcW w:w="1181" w:type="dxa"/>
            <w:shd w:val="clear" w:color="auto" w:fill="auto"/>
          </w:tcPr>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p w:rsidR="00517AED" w:rsidRPr="00A935AA" w:rsidRDefault="00517AED" w:rsidP="00242AEE">
            <w:pPr>
              <w:jc w:val="center"/>
              <w:rPr>
                <w:sz w:val="20"/>
                <w:szCs w:val="20"/>
              </w:rPr>
            </w:pPr>
          </w:p>
        </w:tc>
        <w:tc>
          <w:tcPr>
            <w:tcW w:w="4320" w:type="dxa"/>
            <w:shd w:val="clear" w:color="auto" w:fill="auto"/>
          </w:tcPr>
          <w:p w:rsidR="00517AED" w:rsidRPr="00A935AA" w:rsidRDefault="00825423" w:rsidP="00047877">
            <w:pPr>
              <w:keepNext/>
              <w:keepLines/>
              <w:tabs>
                <w:tab w:val="left" w:pos="-1440"/>
                <w:tab w:val="left" w:pos="-720"/>
              </w:tabs>
              <w:rPr>
                <w:b/>
                <w:sz w:val="20"/>
                <w:szCs w:val="20"/>
              </w:rPr>
            </w:pPr>
            <w:proofErr w:type="spellStart"/>
            <w:r>
              <w:rPr>
                <w:b/>
                <w:sz w:val="20"/>
                <w:szCs w:val="20"/>
              </w:rPr>
              <w:t>Vytautas</w:t>
            </w:r>
            <w:proofErr w:type="spellEnd"/>
            <w:r>
              <w:rPr>
                <w:b/>
                <w:sz w:val="20"/>
                <w:szCs w:val="20"/>
              </w:rPr>
              <w:t xml:space="preserve"> (“Chuck”) </w:t>
            </w:r>
            <w:proofErr w:type="spellStart"/>
            <w:r>
              <w:rPr>
                <w:b/>
                <w:sz w:val="20"/>
                <w:szCs w:val="20"/>
              </w:rPr>
              <w:t>Baltrusaitis</w:t>
            </w:r>
            <w:proofErr w:type="spellEnd"/>
          </w:p>
          <w:p w:rsidR="00517AED" w:rsidRPr="00A935AA" w:rsidRDefault="00517AED" w:rsidP="00047877">
            <w:pPr>
              <w:keepNext/>
              <w:keepLines/>
              <w:tabs>
                <w:tab w:val="left" w:pos="-1440"/>
                <w:tab w:val="left" w:pos="-720"/>
              </w:tabs>
              <w:rPr>
                <w:sz w:val="20"/>
                <w:szCs w:val="20"/>
              </w:rPr>
            </w:pPr>
            <w:r w:rsidRPr="00A935AA">
              <w:rPr>
                <w:sz w:val="20"/>
                <w:szCs w:val="20"/>
              </w:rPr>
              <w:tab/>
            </w:r>
            <w:r w:rsidR="00825423">
              <w:rPr>
                <w:sz w:val="20"/>
                <w:szCs w:val="20"/>
              </w:rPr>
              <w:t>Rocco Galati</w:t>
            </w:r>
          </w:p>
          <w:p w:rsidR="00517AED" w:rsidRPr="00A935AA" w:rsidRDefault="00517AED" w:rsidP="00047877">
            <w:pPr>
              <w:keepNext/>
              <w:keepLines/>
              <w:tabs>
                <w:tab w:val="left" w:pos="-1440"/>
                <w:tab w:val="left" w:pos="-720"/>
              </w:tabs>
              <w:rPr>
                <w:sz w:val="20"/>
                <w:szCs w:val="20"/>
              </w:rPr>
            </w:pPr>
            <w:r w:rsidRPr="00A935AA">
              <w:rPr>
                <w:sz w:val="20"/>
                <w:szCs w:val="20"/>
              </w:rPr>
              <w:tab/>
            </w:r>
            <w:r w:rsidR="00B159C8">
              <w:rPr>
                <w:sz w:val="20"/>
                <w:szCs w:val="20"/>
              </w:rPr>
              <w:t xml:space="preserve">Rocco </w:t>
            </w:r>
            <w:proofErr w:type="spellStart"/>
            <w:r w:rsidR="00B159C8">
              <w:rPr>
                <w:sz w:val="20"/>
                <w:szCs w:val="20"/>
              </w:rPr>
              <w:t>Galatin</w:t>
            </w:r>
            <w:proofErr w:type="spellEnd"/>
            <w:r w:rsidR="00B159C8">
              <w:rPr>
                <w:sz w:val="20"/>
                <w:szCs w:val="20"/>
              </w:rPr>
              <w:t xml:space="preserve"> Law Firm Professional </w:t>
            </w:r>
            <w:r w:rsidR="00B159C8">
              <w:rPr>
                <w:sz w:val="20"/>
                <w:szCs w:val="20"/>
              </w:rPr>
              <w:tab/>
              <w:t>Corporation</w:t>
            </w:r>
          </w:p>
          <w:p w:rsidR="00517AED" w:rsidRPr="00A935AA" w:rsidRDefault="00517AED" w:rsidP="00047877">
            <w:pPr>
              <w:keepNext/>
              <w:keepLines/>
              <w:tabs>
                <w:tab w:val="left" w:pos="-1440"/>
                <w:tab w:val="left" w:pos="-720"/>
              </w:tabs>
              <w:rPr>
                <w:sz w:val="20"/>
                <w:szCs w:val="20"/>
              </w:rPr>
            </w:pPr>
          </w:p>
          <w:p w:rsidR="00517AED" w:rsidRPr="00FD4E31" w:rsidRDefault="00517AED" w:rsidP="00047877">
            <w:pPr>
              <w:keepNext/>
              <w:keepLines/>
              <w:tabs>
                <w:tab w:val="left" w:pos="-1440"/>
                <w:tab w:val="left" w:pos="-720"/>
              </w:tabs>
              <w:rPr>
                <w:sz w:val="20"/>
                <w:szCs w:val="20"/>
              </w:rPr>
            </w:pPr>
            <w:r w:rsidRPr="00A935AA">
              <w:rPr>
                <w:sz w:val="20"/>
                <w:szCs w:val="20"/>
              </w:rPr>
              <w:tab/>
            </w:r>
            <w:r w:rsidRPr="00FD4E31">
              <w:rPr>
                <w:sz w:val="20"/>
                <w:szCs w:val="20"/>
              </w:rPr>
              <w:t>v. (34</w:t>
            </w:r>
            <w:r w:rsidR="00B159C8">
              <w:rPr>
                <w:sz w:val="20"/>
                <w:szCs w:val="20"/>
              </w:rPr>
              <w:t>531</w:t>
            </w:r>
            <w:r w:rsidRPr="00FD4E31">
              <w:rPr>
                <w:sz w:val="20"/>
                <w:szCs w:val="20"/>
              </w:rPr>
              <w:t>)</w:t>
            </w:r>
          </w:p>
          <w:p w:rsidR="00517AED" w:rsidRPr="00FD4E31" w:rsidRDefault="00517AED" w:rsidP="00047877">
            <w:pPr>
              <w:keepNext/>
              <w:keepLines/>
              <w:tabs>
                <w:tab w:val="left" w:pos="-1440"/>
                <w:tab w:val="left" w:pos="-720"/>
              </w:tabs>
              <w:rPr>
                <w:sz w:val="20"/>
                <w:szCs w:val="20"/>
              </w:rPr>
            </w:pPr>
          </w:p>
          <w:p w:rsidR="00517AED" w:rsidRPr="00FD4E31" w:rsidRDefault="00B159C8" w:rsidP="00047877">
            <w:pPr>
              <w:keepNext/>
              <w:keepLines/>
              <w:tabs>
                <w:tab w:val="left" w:pos="-1440"/>
                <w:tab w:val="left" w:pos="-720"/>
              </w:tabs>
              <w:rPr>
                <w:b/>
                <w:sz w:val="20"/>
                <w:szCs w:val="20"/>
              </w:rPr>
            </w:pPr>
            <w:r>
              <w:rPr>
                <w:b/>
                <w:sz w:val="20"/>
                <w:szCs w:val="20"/>
              </w:rPr>
              <w:t>Her Majesty t</w:t>
            </w:r>
            <w:r w:rsidR="00923972">
              <w:rPr>
                <w:b/>
                <w:sz w:val="20"/>
                <w:szCs w:val="20"/>
              </w:rPr>
              <w:t>he Queen in Right of Ontario et </w:t>
            </w:r>
            <w:r>
              <w:rPr>
                <w:b/>
                <w:sz w:val="20"/>
                <w:szCs w:val="20"/>
              </w:rPr>
              <w:t xml:space="preserve">al. </w:t>
            </w:r>
            <w:r w:rsidR="00517AED" w:rsidRPr="00FD4E31">
              <w:rPr>
                <w:b/>
                <w:sz w:val="20"/>
                <w:szCs w:val="20"/>
              </w:rPr>
              <w:t>(Ont.)</w:t>
            </w:r>
          </w:p>
          <w:p w:rsidR="00517AED" w:rsidRPr="00FD4E31" w:rsidRDefault="00517AED" w:rsidP="00047877">
            <w:pPr>
              <w:keepNext/>
              <w:keepLines/>
              <w:tabs>
                <w:tab w:val="left" w:pos="-1440"/>
                <w:tab w:val="left" w:pos="-720"/>
              </w:tabs>
              <w:rPr>
                <w:sz w:val="20"/>
                <w:szCs w:val="20"/>
              </w:rPr>
            </w:pPr>
            <w:r w:rsidRPr="00FD4E31">
              <w:rPr>
                <w:sz w:val="20"/>
                <w:szCs w:val="20"/>
              </w:rPr>
              <w:tab/>
            </w:r>
            <w:r w:rsidR="00B159C8">
              <w:rPr>
                <w:sz w:val="20"/>
                <w:szCs w:val="20"/>
              </w:rPr>
              <w:t>Hart Schwartz</w:t>
            </w:r>
          </w:p>
          <w:p w:rsidR="00517AED" w:rsidRPr="00FD4E31" w:rsidRDefault="00517AED" w:rsidP="00047877">
            <w:pPr>
              <w:keepNext/>
              <w:keepLines/>
              <w:tabs>
                <w:tab w:val="left" w:pos="-1440"/>
                <w:tab w:val="left" w:pos="-720"/>
              </w:tabs>
              <w:rPr>
                <w:sz w:val="20"/>
                <w:szCs w:val="20"/>
              </w:rPr>
            </w:pPr>
            <w:r w:rsidRPr="00FD4E31">
              <w:rPr>
                <w:sz w:val="20"/>
                <w:szCs w:val="20"/>
              </w:rPr>
              <w:tab/>
            </w:r>
            <w:r w:rsidR="00B159C8">
              <w:rPr>
                <w:sz w:val="20"/>
                <w:szCs w:val="20"/>
              </w:rPr>
              <w:t>A.G. of Ontario</w:t>
            </w:r>
          </w:p>
          <w:p w:rsidR="00517AED" w:rsidRPr="00FD4E31" w:rsidRDefault="00517AED" w:rsidP="00047877">
            <w:pPr>
              <w:keepNext/>
              <w:keepLines/>
              <w:tabs>
                <w:tab w:val="left" w:pos="-1440"/>
                <w:tab w:val="left" w:pos="-720"/>
              </w:tabs>
              <w:rPr>
                <w:sz w:val="20"/>
                <w:szCs w:val="20"/>
              </w:rPr>
            </w:pPr>
          </w:p>
          <w:p w:rsidR="00517AED" w:rsidRPr="00A935AA" w:rsidRDefault="00517AED" w:rsidP="00B159C8">
            <w:pPr>
              <w:rPr>
                <w:sz w:val="20"/>
                <w:szCs w:val="20"/>
              </w:rPr>
            </w:pPr>
            <w:r w:rsidRPr="00A935AA">
              <w:rPr>
                <w:sz w:val="20"/>
                <w:szCs w:val="20"/>
              </w:rPr>
              <w:t xml:space="preserve">FILING DATE: </w:t>
            </w:r>
            <w:r w:rsidR="00B159C8">
              <w:rPr>
                <w:sz w:val="20"/>
                <w:szCs w:val="20"/>
              </w:rPr>
              <w:t>1</w:t>
            </w:r>
            <w:r w:rsidRPr="00A935AA">
              <w:rPr>
                <w:sz w:val="20"/>
                <w:szCs w:val="20"/>
              </w:rPr>
              <w:t>8.</w:t>
            </w:r>
            <w:r>
              <w:rPr>
                <w:sz w:val="20"/>
                <w:szCs w:val="20"/>
              </w:rPr>
              <w:t>11</w:t>
            </w:r>
            <w:r w:rsidRPr="00A935AA">
              <w:rPr>
                <w:sz w:val="20"/>
                <w:szCs w:val="20"/>
              </w:rPr>
              <w:t>.201</w:t>
            </w:r>
            <w:r>
              <w:rPr>
                <w:sz w:val="20"/>
                <w:szCs w:val="20"/>
              </w:rPr>
              <w:t>1</w:t>
            </w:r>
            <w:r w:rsidR="008754B5" w:rsidRPr="008754B5">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17AED">
          <w:headerReference w:type="default" r:id="rId14"/>
          <w:footerReference w:type="default" r:id="rId15"/>
          <w:headerReference w:type="first" r:id="rId16"/>
          <w:footerReference w:type="first" r:id="rId17"/>
          <w:pgSz w:w="12240" w:h="15840"/>
          <w:pgMar w:top="720" w:right="965" w:bottom="1080" w:left="1656" w:header="706" w:footer="706" w:gutter="0"/>
          <w:pgNumType w:start="177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2715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NOVEMBER</w:t>
      </w:r>
      <w:r w:rsidRPr="00C50A5C">
        <w:rPr>
          <w:b/>
          <w:sz w:val="20"/>
          <w:szCs w:val="20"/>
        </w:rPr>
        <w:t xml:space="preserve"> </w:t>
      </w:r>
      <w:r w:rsidR="002F279C">
        <w:rPr>
          <w:b/>
          <w:sz w:val="20"/>
          <w:szCs w:val="20"/>
        </w:rPr>
        <w:t>28</w:t>
      </w:r>
      <w:r w:rsidRPr="00C50A5C">
        <w:rPr>
          <w:b/>
          <w:sz w:val="20"/>
          <w:szCs w:val="20"/>
        </w:rPr>
        <w:t>, 201</w:t>
      </w:r>
      <w:r>
        <w:rPr>
          <w:b/>
          <w:sz w:val="20"/>
          <w:szCs w:val="20"/>
        </w:rPr>
        <w:t>1</w:t>
      </w:r>
      <w:r w:rsidRPr="00C50A5C">
        <w:rPr>
          <w:b/>
          <w:sz w:val="20"/>
          <w:szCs w:val="20"/>
        </w:rPr>
        <w:t xml:space="preserve"> / LE </w:t>
      </w:r>
      <w:r w:rsidR="002F279C">
        <w:rPr>
          <w:b/>
          <w:sz w:val="20"/>
          <w:szCs w:val="20"/>
        </w:rPr>
        <w:t>28</w:t>
      </w:r>
      <w:r>
        <w:rPr>
          <w:b/>
          <w:sz w:val="20"/>
          <w:szCs w:val="20"/>
        </w:rPr>
        <w:t xml:space="preserve"> NOVEMBRE</w:t>
      </w:r>
      <w:r w:rsidRPr="00C50A5C">
        <w:rPr>
          <w:b/>
          <w:sz w:val="20"/>
          <w:szCs w:val="20"/>
        </w:rPr>
        <w:t xml:space="preserve"> 201</w:t>
      </w:r>
      <w:r>
        <w:rPr>
          <w:b/>
          <w:sz w:val="20"/>
          <w:szCs w:val="20"/>
        </w:rPr>
        <w:t>1</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A45CF4" w:rsidP="004B7F60">
      <w:pPr>
        <w:pStyle w:val="ListParagraph"/>
        <w:widowControl w:val="0"/>
        <w:numPr>
          <w:ilvl w:val="0"/>
          <w:numId w:val="1"/>
        </w:numPr>
        <w:ind w:hanging="720"/>
        <w:jc w:val="both"/>
        <w:rPr>
          <w:sz w:val="20"/>
          <w:szCs w:val="20"/>
        </w:rPr>
      </w:pPr>
      <w:r w:rsidRPr="00A45CF4">
        <w:rPr>
          <w:i/>
          <w:sz w:val="20"/>
          <w:szCs w:val="20"/>
        </w:rPr>
        <w:t xml:space="preserve">Her Majesty the Queen v. Stephen </w:t>
      </w:r>
      <w:proofErr w:type="spellStart"/>
      <w:r w:rsidRPr="00A45CF4">
        <w:rPr>
          <w:i/>
          <w:sz w:val="20"/>
          <w:szCs w:val="20"/>
        </w:rPr>
        <w:t>Soules</w:t>
      </w:r>
      <w:proofErr w:type="spellEnd"/>
      <w:r w:rsidRPr="00A45CF4">
        <w:rPr>
          <w:sz w:val="20"/>
          <w:szCs w:val="20"/>
        </w:rPr>
        <w:t xml:space="preserve"> (Ont.) (Crim</w:t>
      </w:r>
      <w:r>
        <w:rPr>
          <w:sz w:val="20"/>
          <w:szCs w:val="20"/>
        </w:rPr>
        <w:t>.</w:t>
      </w:r>
      <w:r w:rsidRPr="00A45CF4">
        <w:rPr>
          <w:sz w:val="20"/>
          <w:szCs w:val="20"/>
        </w:rPr>
        <w:t>) (By Leave)</w:t>
      </w:r>
      <w:r w:rsidRPr="00C50A5C">
        <w:rPr>
          <w:sz w:val="20"/>
          <w:szCs w:val="20"/>
        </w:rPr>
        <w:t xml:space="preserve"> </w:t>
      </w:r>
      <w:r w:rsidR="004B7F60" w:rsidRPr="00C50A5C">
        <w:rPr>
          <w:sz w:val="20"/>
          <w:szCs w:val="20"/>
        </w:rPr>
        <w:t>(3</w:t>
      </w:r>
      <w:r w:rsidR="004B7F60">
        <w:rPr>
          <w:sz w:val="20"/>
          <w:szCs w:val="20"/>
        </w:rPr>
        <w:t>442</w:t>
      </w:r>
      <w:r w:rsidR="002F279C">
        <w:rPr>
          <w:sz w:val="20"/>
          <w:szCs w:val="20"/>
        </w:rPr>
        <w:t>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A45CF4" w:rsidP="004B7F60">
      <w:pPr>
        <w:pStyle w:val="ListParagraph"/>
        <w:widowControl w:val="0"/>
        <w:numPr>
          <w:ilvl w:val="0"/>
          <w:numId w:val="1"/>
        </w:numPr>
        <w:ind w:hanging="720"/>
        <w:jc w:val="both"/>
        <w:rPr>
          <w:sz w:val="20"/>
          <w:szCs w:val="20"/>
        </w:rPr>
      </w:pPr>
      <w:r w:rsidRPr="00A45CF4">
        <w:rPr>
          <w:i/>
          <w:sz w:val="20"/>
          <w:szCs w:val="20"/>
        </w:rPr>
        <w:t>Kelvin Kingsbury Purdy v. Her Majesty the Queen</w:t>
      </w:r>
      <w:r w:rsidRPr="00A45CF4">
        <w:rPr>
          <w:sz w:val="20"/>
          <w:szCs w:val="20"/>
        </w:rPr>
        <w:t xml:space="preserve"> (B.C.) (Crim</w:t>
      </w:r>
      <w:r>
        <w:rPr>
          <w:sz w:val="20"/>
          <w:szCs w:val="20"/>
        </w:rPr>
        <w:t>.</w:t>
      </w:r>
      <w:r w:rsidRPr="00A45CF4">
        <w:rPr>
          <w:sz w:val="20"/>
          <w:szCs w:val="20"/>
        </w:rPr>
        <w:t>) (By Leave)</w:t>
      </w:r>
      <w:r w:rsidRPr="00C612D0">
        <w:rPr>
          <w:sz w:val="20"/>
          <w:szCs w:val="20"/>
        </w:rPr>
        <w:t xml:space="preserve"> </w:t>
      </w:r>
      <w:r w:rsidR="004B7F60" w:rsidRPr="00C612D0">
        <w:rPr>
          <w:sz w:val="20"/>
          <w:szCs w:val="20"/>
        </w:rPr>
        <w:t>(343</w:t>
      </w:r>
      <w:r>
        <w:rPr>
          <w:sz w:val="20"/>
          <w:szCs w:val="20"/>
        </w:rPr>
        <w:t>91</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45CF4" w:rsidP="004B7F60">
      <w:pPr>
        <w:pStyle w:val="ListParagraph"/>
        <w:widowControl w:val="0"/>
        <w:numPr>
          <w:ilvl w:val="0"/>
          <w:numId w:val="1"/>
        </w:numPr>
        <w:ind w:hanging="720"/>
        <w:jc w:val="both"/>
        <w:rPr>
          <w:sz w:val="20"/>
          <w:szCs w:val="20"/>
        </w:rPr>
      </w:pPr>
      <w:r w:rsidRPr="00A45CF4">
        <w:rPr>
          <w:i/>
          <w:sz w:val="20"/>
          <w:szCs w:val="20"/>
          <w:lang w:val="fr-CA"/>
        </w:rPr>
        <w:t xml:space="preserve">Maria Louisa </w:t>
      </w:r>
      <w:proofErr w:type="spellStart"/>
      <w:r w:rsidRPr="00A45CF4">
        <w:rPr>
          <w:i/>
          <w:sz w:val="20"/>
          <w:szCs w:val="20"/>
          <w:lang w:val="fr-CA"/>
        </w:rPr>
        <w:t>Bozzo</w:t>
      </w:r>
      <w:proofErr w:type="spellEnd"/>
      <w:r w:rsidRPr="00A45CF4">
        <w:rPr>
          <w:i/>
          <w:sz w:val="20"/>
          <w:szCs w:val="20"/>
          <w:lang w:val="fr-CA"/>
        </w:rPr>
        <w:t xml:space="preserve"> et al. v. </w:t>
      </w:r>
      <w:proofErr w:type="spellStart"/>
      <w:r w:rsidRPr="00A45CF4">
        <w:rPr>
          <w:i/>
          <w:sz w:val="20"/>
          <w:szCs w:val="20"/>
          <w:lang w:val="fr-CA"/>
        </w:rPr>
        <w:t>Duca</w:t>
      </w:r>
      <w:proofErr w:type="spellEnd"/>
      <w:r w:rsidRPr="00A45CF4">
        <w:rPr>
          <w:i/>
          <w:sz w:val="20"/>
          <w:szCs w:val="20"/>
          <w:lang w:val="fr-CA"/>
        </w:rPr>
        <w:t xml:space="preserve"> Financial Services </w:t>
      </w:r>
      <w:proofErr w:type="spellStart"/>
      <w:r w:rsidRPr="00A45CF4">
        <w:rPr>
          <w:i/>
          <w:sz w:val="20"/>
          <w:szCs w:val="20"/>
          <w:lang w:val="fr-CA"/>
        </w:rPr>
        <w:t>Credit</w:t>
      </w:r>
      <w:proofErr w:type="spellEnd"/>
      <w:r w:rsidRPr="00A45CF4">
        <w:rPr>
          <w:i/>
          <w:sz w:val="20"/>
          <w:szCs w:val="20"/>
          <w:lang w:val="fr-CA"/>
        </w:rPr>
        <w:t xml:space="preserve"> Union Ltd.</w:t>
      </w:r>
      <w:r w:rsidRPr="00A45CF4">
        <w:rPr>
          <w:sz w:val="20"/>
          <w:szCs w:val="20"/>
          <w:lang w:val="fr-CA"/>
        </w:rPr>
        <w:t xml:space="preserve"> </w:t>
      </w:r>
      <w:r w:rsidRPr="00A45CF4">
        <w:rPr>
          <w:sz w:val="20"/>
          <w:szCs w:val="20"/>
        </w:rPr>
        <w:t>(Ont.) (Civil) (By Leave)</w:t>
      </w:r>
      <w:r w:rsidRPr="00940CAD">
        <w:rPr>
          <w:sz w:val="20"/>
          <w:szCs w:val="20"/>
        </w:rPr>
        <w:t xml:space="preserve"> </w:t>
      </w:r>
      <w:r w:rsidR="004B7F60" w:rsidRPr="00940CAD">
        <w:rPr>
          <w:sz w:val="20"/>
          <w:szCs w:val="20"/>
        </w:rPr>
        <w:t>(34</w:t>
      </w:r>
      <w:r w:rsidR="002F279C">
        <w:rPr>
          <w:sz w:val="20"/>
          <w:szCs w:val="20"/>
        </w:rPr>
        <w:t>410</w:t>
      </w:r>
      <w:r w:rsidR="004B7F60" w:rsidRPr="00940CAD">
        <w:rPr>
          <w:sz w:val="20"/>
          <w:szCs w:val="20"/>
        </w:rPr>
        <w:t>)</w:t>
      </w:r>
    </w:p>
    <w:p w:rsidR="004B7F60" w:rsidRDefault="004B7F60" w:rsidP="004B7F60">
      <w:pPr>
        <w:widowControl w:val="0"/>
        <w:rPr>
          <w:sz w:val="20"/>
          <w:szCs w:val="20"/>
        </w:rPr>
      </w:pPr>
    </w:p>
    <w:p w:rsidR="002F279C" w:rsidRDefault="002F279C" w:rsidP="004B7F60">
      <w:pPr>
        <w:widowControl w:val="0"/>
        <w:rPr>
          <w:sz w:val="20"/>
          <w:szCs w:val="20"/>
        </w:rPr>
      </w:pPr>
    </w:p>
    <w:p w:rsidR="002F279C" w:rsidRPr="00C50A5C" w:rsidRDefault="002F279C" w:rsidP="002F279C">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2F279C" w:rsidRPr="00C50A5C" w:rsidRDefault="002F279C" w:rsidP="002F279C">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2F279C" w:rsidRPr="002F279C" w:rsidRDefault="002F279C" w:rsidP="004B7F60">
      <w:pPr>
        <w:widowControl w:val="0"/>
        <w:rPr>
          <w:sz w:val="20"/>
          <w:szCs w:val="20"/>
          <w:lang w:val="fr-CA"/>
        </w:rPr>
      </w:pPr>
    </w:p>
    <w:p w:rsidR="004B7F60" w:rsidRPr="00A45CF4" w:rsidRDefault="00A45CF4" w:rsidP="004B7F60">
      <w:pPr>
        <w:pStyle w:val="ListParagraph"/>
        <w:widowControl w:val="0"/>
        <w:numPr>
          <w:ilvl w:val="0"/>
          <w:numId w:val="1"/>
        </w:numPr>
        <w:ind w:hanging="720"/>
        <w:jc w:val="both"/>
        <w:rPr>
          <w:sz w:val="20"/>
          <w:szCs w:val="20"/>
          <w:lang w:val="fr-CA"/>
        </w:rPr>
      </w:pPr>
      <w:r w:rsidRPr="00A45CF4">
        <w:rPr>
          <w:i/>
          <w:sz w:val="20"/>
          <w:szCs w:val="20"/>
          <w:lang w:val="fr-CA"/>
        </w:rPr>
        <w:t xml:space="preserve">Éric </w:t>
      </w:r>
      <w:proofErr w:type="spellStart"/>
      <w:r w:rsidRPr="00A45CF4">
        <w:rPr>
          <w:i/>
          <w:sz w:val="20"/>
          <w:szCs w:val="20"/>
          <w:lang w:val="fr-CA"/>
        </w:rPr>
        <w:t>Lamontagne</w:t>
      </w:r>
      <w:proofErr w:type="spellEnd"/>
      <w:r w:rsidRPr="00A45CF4">
        <w:rPr>
          <w:i/>
          <w:sz w:val="20"/>
          <w:szCs w:val="20"/>
          <w:lang w:val="fr-CA"/>
        </w:rPr>
        <w:t xml:space="preserve"> c. Sa Majesté la Reine</w:t>
      </w:r>
      <w:r w:rsidRPr="00A45CF4">
        <w:rPr>
          <w:sz w:val="20"/>
          <w:szCs w:val="20"/>
          <w:lang w:val="fr-CA"/>
        </w:rPr>
        <w:t xml:space="preserve"> (</w:t>
      </w:r>
      <w:proofErr w:type="spellStart"/>
      <w:r w:rsidRPr="00A45CF4">
        <w:rPr>
          <w:sz w:val="20"/>
          <w:szCs w:val="20"/>
          <w:lang w:val="fr-CA"/>
        </w:rPr>
        <w:t>Qc</w:t>
      </w:r>
      <w:proofErr w:type="spellEnd"/>
      <w:r w:rsidRPr="00A45CF4">
        <w:rPr>
          <w:sz w:val="20"/>
          <w:szCs w:val="20"/>
          <w:lang w:val="fr-CA"/>
        </w:rPr>
        <w:t>) (</w:t>
      </w:r>
      <w:proofErr w:type="spellStart"/>
      <w:r w:rsidRPr="00A45CF4">
        <w:rPr>
          <w:sz w:val="20"/>
          <w:szCs w:val="20"/>
          <w:lang w:val="fr-CA"/>
        </w:rPr>
        <w:t>Crim</w:t>
      </w:r>
      <w:proofErr w:type="spellEnd"/>
      <w:r>
        <w:rPr>
          <w:sz w:val="20"/>
          <w:szCs w:val="20"/>
          <w:lang w:val="fr-CA"/>
        </w:rPr>
        <w:t>.</w:t>
      </w:r>
      <w:r w:rsidRPr="00A45CF4">
        <w:rPr>
          <w:sz w:val="20"/>
          <w:szCs w:val="20"/>
          <w:lang w:val="fr-CA"/>
        </w:rPr>
        <w:t>) (Autorisation)</w:t>
      </w:r>
      <w:r>
        <w:rPr>
          <w:sz w:val="20"/>
          <w:szCs w:val="20"/>
          <w:lang w:val="fr-CA"/>
        </w:rPr>
        <w:t xml:space="preserve"> </w:t>
      </w:r>
      <w:r w:rsidR="004B7F60" w:rsidRPr="00A45CF4">
        <w:rPr>
          <w:sz w:val="20"/>
          <w:szCs w:val="20"/>
          <w:lang w:val="fr-CA"/>
        </w:rPr>
        <w:t>(34</w:t>
      </w:r>
      <w:r w:rsidR="002F279C" w:rsidRPr="00A45CF4">
        <w:rPr>
          <w:sz w:val="20"/>
          <w:szCs w:val="20"/>
          <w:lang w:val="fr-CA"/>
        </w:rPr>
        <w:t>487</w:t>
      </w:r>
      <w:r w:rsidR="004B7F60" w:rsidRPr="00A45CF4">
        <w:rPr>
          <w:sz w:val="20"/>
          <w:szCs w:val="20"/>
          <w:lang w:val="fr-CA"/>
        </w:rPr>
        <w:t>)</w:t>
      </w:r>
    </w:p>
    <w:p w:rsidR="004B7F60" w:rsidRPr="00C16CB3" w:rsidRDefault="004B7F60" w:rsidP="004B7F60">
      <w:pPr>
        <w:widowControl w:val="0"/>
        <w:jc w:val="both"/>
        <w:rPr>
          <w:sz w:val="20"/>
          <w:szCs w:val="20"/>
          <w:lang w:val="fr-CA"/>
        </w:rPr>
      </w:pPr>
    </w:p>
    <w:p w:rsidR="004B7F60" w:rsidRPr="00A45CF4" w:rsidRDefault="00A45CF4" w:rsidP="004B7F60">
      <w:pPr>
        <w:pStyle w:val="ListParagraph"/>
        <w:widowControl w:val="0"/>
        <w:numPr>
          <w:ilvl w:val="0"/>
          <w:numId w:val="1"/>
        </w:numPr>
        <w:ind w:hanging="720"/>
        <w:jc w:val="both"/>
        <w:rPr>
          <w:sz w:val="20"/>
          <w:szCs w:val="20"/>
        </w:rPr>
      </w:pPr>
      <w:r w:rsidRPr="00A45CF4">
        <w:rPr>
          <w:i/>
          <w:sz w:val="20"/>
          <w:szCs w:val="20"/>
        </w:rPr>
        <w:t xml:space="preserve">Johannes </w:t>
      </w:r>
      <w:proofErr w:type="spellStart"/>
      <w:r w:rsidRPr="00A45CF4">
        <w:rPr>
          <w:i/>
          <w:sz w:val="20"/>
          <w:szCs w:val="20"/>
        </w:rPr>
        <w:t>Cornelis</w:t>
      </w:r>
      <w:proofErr w:type="spellEnd"/>
      <w:r w:rsidRPr="00A45CF4">
        <w:rPr>
          <w:i/>
          <w:sz w:val="20"/>
          <w:szCs w:val="20"/>
        </w:rPr>
        <w:t xml:space="preserve"> </w:t>
      </w:r>
      <w:proofErr w:type="spellStart"/>
      <w:r w:rsidRPr="00A45CF4">
        <w:rPr>
          <w:i/>
          <w:sz w:val="20"/>
          <w:szCs w:val="20"/>
        </w:rPr>
        <w:t>Sturkenboom</w:t>
      </w:r>
      <w:proofErr w:type="spellEnd"/>
      <w:r w:rsidRPr="00A45CF4">
        <w:rPr>
          <w:i/>
          <w:sz w:val="20"/>
          <w:szCs w:val="20"/>
        </w:rPr>
        <w:t xml:space="preserve"> v. Her Majesty the Queen</w:t>
      </w:r>
      <w:r w:rsidRPr="00A45CF4">
        <w:rPr>
          <w:sz w:val="20"/>
          <w:szCs w:val="20"/>
        </w:rPr>
        <w:t xml:space="preserve"> (Ont.) (Civil) (By Leave) </w:t>
      </w:r>
      <w:r w:rsidR="004B7F60" w:rsidRPr="00A45CF4">
        <w:rPr>
          <w:sz w:val="20"/>
          <w:szCs w:val="20"/>
        </w:rPr>
        <w:t>(344</w:t>
      </w:r>
      <w:r w:rsidR="002F279C" w:rsidRPr="00A45CF4">
        <w:rPr>
          <w:sz w:val="20"/>
          <w:szCs w:val="20"/>
        </w:rPr>
        <w:t>85</w:t>
      </w:r>
      <w:r w:rsidR="004B7F60" w:rsidRPr="00A45CF4">
        <w:rPr>
          <w:sz w:val="20"/>
          <w:szCs w:val="20"/>
        </w:rPr>
        <w:t>)</w:t>
      </w:r>
    </w:p>
    <w:p w:rsidR="004B7F60" w:rsidRPr="00A45CF4" w:rsidRDefault="004B7F60" w:rsidP="004B7F60">
      <w:pPr>
        <w:widowControl w:val="0"/>
        <w:rPr>
          <w:sz w:val="20"/>
          <w:szCs w:val="20"/>
        </w:rPr>
      </w:pPr>
    </w:p>
    <w:p w:rsidR="004B7F60" w:rsidRPr="00115C9E" w:rsidRDefault="00A45CF4" w:rsidP="004B7F60">
      <w:pPr>
        <w:pStyle w:val="ListParagraph"/>
        <w:widowControl w:val="0"/>
        <w:numPr>
          <w:ilvl w:val="0"/>
          <w:numId w:val="1"/>
        </w:numPr>
        <w:ind w:hanging="720"/>
        <w:jc w:val="both"/>
        <w:rPr>
          <w:sz w:val="20"/>
          <w:szCs w:val="20"/>
          <w:lang w:val="fr-CA"/>
        </w:rPr>
      </w:pPr>
      <w:r w:rsidRPr="00A45CF4">
        <w:rPr>
          <w:i/>
          <w:sz w:val="20"/>
          <w:szCs w:val="20"/>
          <w:lang w:val="fr-CA"/>
        </w:rPr>
        <w:t xml:space="preserve">Denis </w:t>
      </w:r>
      <w:proofErr w:type="spellStart"/>
      <w:r w:rsidRPr="00A45CF4">
        <w:rPr>
          <w:i/>
          <w:sz w:val="20"/>
          <w:szCs w:val="20"/>
          <w:lang w:val="fr-CA"/>
        </w:rPr>
        <w:t>Émond</w:t>
      </w:r>
      <w:proofErr w:type="spellEnd"/>
      <w:r w:rsidRPr="00A45CF4">
        <w:rPr>
          <w:i/>
          <w:sz w:val="20"/>
          <w:szCs w:val="20"/>
          <w:lang w:val="fr-CA"/>
        </w:rPr>
        <w:t xml:space="preserve"> c. Patrick Richard, ès qualités de syndic adjoint du Barreau du Québec</w:t>
      </w:r>
      <w:r w:rsidRPr="00A45CF4">
        <w:rPr>
          <w:sz w:val="20"/>
          <w:szCs w:val="20"/>
          <w:lang w:val="fr-CA"/>
        </w:rPr>
        <w:t xml:space="preserve"> (</w:t>
      </w:r>
      <w:proofErr w:type="spellStart"/>
      <w:r w:rsidRPr="00A45CF4">
        <w:rPr>
          <w:sz w:val="20"/>
          <w:szCs w:val="20"/>
          <w:lang w:val="fr-CA"/>
        </w:rPr>
        <w:t>Qc</w:t>
      </w:r>
      <w:proofErr w:type="spellEnd"/>
      <w:r w:rsidRPr="00A45CF4">
        <w:rPr>
          <w:sz w:val="20"/>
          <w:szCs w:val="20"/>
          <w:lang w:val="fr-CA"/>
        </w:rPr>
        <w:t>) (Civile) (Autorisation)</w:t>
      </w:r>
      <w:r w:rsidRPr="00115C9E">
        <w:rPr>
          <w:sz w:val="20"/>
          <w:szCs w:val="20"/>
          <w:lang w:val="fr-CA"/>
        </w:rPr>
        <w:t xml:space="preserve"> </w:t>
      </w:r>
      <w:r w:rsidR="004B7F60" w:rsidRPr="00115C9E">
        <w:rPr>
          <w:sz w:val="20"/>
          <w:szCs w:val="20"/>
          <w:lang w:val="fr-CA"/>
        </w:rPr>
        <w:t>(34</w:t>
      </w:r>
      <w:r w:rsidR="002F279C">
        <w:rPr>
          <w:sz w:val="20"/>
          <w:szCs w:val="20"/>
          <w:lang w:val="fr-CA"/>
        </w:rPr>
        <w:t>407</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A45CF4" w:rsidRDefault="00A45CF4" w:rsidP="004B7F60">
      <w:pPr>
        <w:pStyle w:val="ListParagraph"/>
        <w:widowControl w:val="0"/>
        <w:numPr>
          <w:ilvl w:val="0"/>
          <w:numId w:val="1"/>
        </w:numPr>
        <w:ind w:hanging="720"/>
        <w:jc w:val="both"/>
        <w:rPr>
          <w:sz w:val="20"/>
          <w:szCs w:val="20"/>
        </w:rPr>
      </w:pPr>
      <w:r w:rsidRPr="00A45CF4">
        <w:rPr>
          <w:i/>
          <w:sz w:val="20"/>
          <w:szCs w:val="20"/>
        </w:rPr>
        <w:t>10105</w:t>
      </w:r>
      <w:r w:rsidR="008608D5">
        <w:rPr>
          <w:i/>
          <w:sz w:val="20"/>
          <w:szCs w:val="20"/>
        </w:rPr>
        <w:t>0</w:t>
      </w:r>
      <w:r w:rsidRPr="00A45CF4">
        <w:rPr>
          <w:i/>
          <w:sz w:val="20"/>
          <w:szCs w:val="20"/>
        </w:rPr>
        <w:t>457 Saskatchewan Ltd. et al. v. Provincial Mediation Board</w:t>
      </w:r>
      <w:r w:rsidRPr="00A45CF4">
        <w:rPr>
          <w:sz w:val="20"/>
          <w:szCs w:val="20"/>
        </w:rPr>
        <w:t xml:space="preserve"> (Sask.) (Civil) (By Leave) </w:t>
      </w:r>
      <w:r w:rsidR="004B7F60" w:rsidRPr="00A45CF4">
        <w:rPr>
          <w:sz w:val="20"/>
          <w:szCs w:val="20"/>
        </w:rPr>
        <w:t>(343</w:t>
      </w:r>
      <w:r w:rsidR="002F279C" w:rsidRPr="00A45CF4">
        <w:rPr>
          <w:sz w:val="20"/>
          <w:szCs w:val="20"/>
        </w:rPr>
        <w:t>79</w:t>
      </w:r>
      <w:r w:rsidR="004B7F60" w:rsidRPr="00A45CF4">
        <w:rPr>
          <w:sz w:val="20"/>
          <w:szCs w:val="20"/>
        </w:rPr>
        <w:t>)</w:t>
      </w:r>
    </w:p>
    <w:p w:rsidR="004B7F60" w:rsidRPr="00A45CF4" w:rsidRDefault="004B7F60" w:rsidP="004B7F60">
      <w:pPr>
        <w:widowControl w:val="0"/>
        <w:jc w:val="both"/>
        <w:rPr>
          <w:sz w:val="20"/>
          <w:szCs w:val="20"/>
        </w:rPr>
      </w:pPr>
    </w:p>
    <w:p w:rsidR="002F279C" w:rsidRPr="00A45CF4" w:rsidRDefault="002F279C" w:rsidP="004B7F60">
      <w:pPr>
        <w:widowControl w:val="0"/>
        <w:jc w:val="both"/>
        <w:rPr>
          <w:sz w:val="20"/>
          <w:szCs w:val="20"/>
        </w:rPr>
      </w:pPr>
    </w:p>
    <w:p w:rsidR="002F279C" w:rsidRPr="00C50A5C" w:rsidRDefault="002F279C" w:rsidP="002F279C">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2F279C" w:rsidRPr="00C50A5C" w:rsidRDefault="002F279C" w:rsidP="002F279C">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2F279C" w:rsidRPr="00115C9E" w:rsidRDefault="002F279C" w:rsidP="004B7F60">
      <w:pPr>
        <w:widowControl w:val="0"/>
        <w:jc w:val="both"/>
        <w:rPr>
          <w:sz w:val="20"/>
          <w:szCs w:val="20"/>
          <w:lang w:val="fr-CA"/>
        </w:rPr>
      </w:pPr>
    </w:p>
    <w:p w:rsidR="004B7F60" w:rsidRPr="00C50A5C" w:rsidRDefault="00A45CF4" w:rsidP="004B7F60">
      <w:pPr>
        <w:pStyle w:val="ListParagraph"/>
        <w:widowControl w:val="0"/>
        <w:numPr>
          <w:ilvl w:val="0"/>
          <w:numId w:val="1"/>
        </w:numPr>
        <w:ind w:hanging="720"/>
        <w:jc w:val="both"/>
        <w:rPr>
          <w:sz w:val="20"/>
          <w:szCs w:val="20"/>
          <w:lang w:val="fr-CA"/>
        </w:rPr>
      </w:pPr>
      <w:proofErr w:type="spellStart"/>
      <w:r w:rsidRPr="00A45CF4">
        <w:rPr>
          <w:i/>
          <w:sz w:val="20"/>
          <w:szCs w:val="20"/>
          <w:lang w:val="fr-CA"/>
        </w:rPr>
        <w:t>Danuta</w:t>
      </w:r>
      <w:proofErr w:type="spellEnd"/>
      <w:r w:rsidRPr="00A45CF4">
        <w:rPr>
          <w:i/>
          <w:sz w:val="20"/>
          <w:szCs w:val="20"/>
          <w:lang w:val="fr-CA"/>
        </w:rPr>
        <w:t xml:space="preserve"> </w:t>
      </w:r>
      <w:proofErr w:type="spellStart"/>
      <w:r w:rsidRPr="00A45CF4">
        <w:rPr>
          <w:i/>
          <w:sz w:val="20"/>
          <w:szCs w:val="20"/>
          <w:lang w:val="fr-CA"/>
        </w:rPr>
        <w:t>Moutsios</w:t>
      </w:r>
      <w:proofErr w:type="spellEnd"/>
      <w:r w:rsidRPr="00A45CF4">
        <w:rPr>
          <w:i/>
          <w:sz w:val="20"/>
          <w:szCs w:val="20"/>
          <w:lang w:val="fr-CA"/>
        </w:rPr>
        <w:t xml:space="preserve">, en sa qualité de tutrice à </w:t>
      </w:r>
      <w:proofErr w:type="spellStart"/>
      <w:r w:rsidRPr="00A45CF4">
        <w:rPr>
          <w:i/>
          <w:sz w:val="20"/>
          <w:szCs w:val="20"/>
          <w:lang w:val="fr-CA"/>
        </w:rPr>
        <w:t>Antonios</w:t>
      </w:r>
      <w:proofErr w:type="spellEnd"/>
      <w:r w:rsidRPr="00A45CF4">
        <w:rPr>
          <w:i/>
          <w:sz w:val="20"/>
          <w:szCs w:val="20"/>
          <w:lang w:val="fr-CA"/>
        </w:rPr>
        <w:t xml:space="preserve"> </w:t>
      </w:r>
      <w:proofErr w:type="spellStart"/>
      <w:r w:rsidRPr="00A45CF4">
        <w:rPr>
          <w:i/>
          <w:sz w:val="20"/>
          <w:szCs w:val="20"/>
          <w:lang w:val="fr-CA"/>
        </w:rPr>
        <w:t>Moutsios</w:t>
      </w:r>
      <w:proofErr w:type="spellEnd"/>
      <w:r w:rsidRPr="00A45CF4">
        <w:rPr>
          <w:i/>
          <w:sz w:val="20"/>
          <w:szCs w:val="20"/>
          <w:lang w:val="fr-CA"/>
        </w:rPr>
        <w:t xml:space="preserve">, Helen </w:t>
      </w:r>
      <w:proofErr w:type="spellStart"/>
      <w:r w:rsidRPr="00A45CF4">
        <w:rPr>
          <w:i/>
          <w:sz w:val="20"/>
          <w:szCs w:val="20"/>
          <w:lang w:val="fr-CA"/>
        </w:rPr>
        <w:t>Moutsios</w:t>
      </w:r>
      <w:proofErr w:type="spellEnd"/>
      <w:r w:rsidRPr="00A45CF4">
        <w:rPr>
          <w:i/>
          <w:sz w:val="20"/>
          <w:szCs w:val="20"/>
          <w:lang w:val="fr-CA"/>
        </w:rPr>
        <w:t xml:space="preserve"> et </w:t>
      </w:r>
      <w:proofErr w:type="spellStart"/>
      <w:r w:rsidRPr="00A45CF4">
        <w:rPr>
          <w:i/>
          <w:sz w:val="20"/>
          <w:szCs w:val="20"/>
          <w:lang w:val="fr-CA"/>
        </w:rPr>
        <w:t>Demitra</w:t>
      </w:r>
      <w:proofErr w:type="spellEnd"/>
      <w:r w:rsidRPr="00A45CF4">
        <w:rPr>
          <w:i/>
          <w:sz w:val="20"/>
          <w:szCs w:val="20"/>
          <w:lang w:val="fr-CA"/>
        </w:rPr>
        <w:t xml:space="preserve"> </w:t>
      </w:r>
      <w:proofErr w:type="spellStart"/>
      <w:r w:rsidRPr="00A45CF4">
        <w:rPr>
          <w:i/>
          <w:sz w:val="20"/>
          <w:szCs w:val="20"/>
          <w:lang w:val="fr-CA"/>
        </w:rPr>
        <w:t>Moutsios</w:t>
      </w:r>
      <w:proofErr w:type="spellEnd"/>
      <w:r w:rsidRPr="00A45CF4">
        <w:rPr>
          <w:i/>
          <w:sz w:val="20"/>
          <w:szCs w:val="20"/>
          <w:lang w:val="fr-CA"/>
        </w:rPr>
        <w:t xml:space="preserve"> et autres c. Bank of Nova </w:t>
      </w:r>
      <w:proofErr w:type="spellStart"/>
      <w:r w:rsidRPr="00A45CF4">
        <w:rPr>
          <w:i/>
          <w:sz w:val="20"/>
          <w:szCs w:val="20"/>
          <w:lang w:val="fr-CA"/>
        </w:rPr>
        <w:t>Scotia</w:t>
      </w:r>
      <w:proofErr w:type="spellEnd"/>
      <w:r w:rsidRPr="00A45CF4">
        <w:rPr>
          <w:sz w:val="20"/>
          <w:szCs w:val="20"/>
          <w:lang w:val="fr-CA"/>
        </w:rPr>
        <w:t xml:space="preserve"> (</w:t>
      </w:r>
      <w:proofErr w:type="spellStart"/>
      <w:r w:rsidRPr="00A45CF4">
        <w:rPr>
          <w:sz w:val="20"/>
          <w:szCs w:val="20"/>
          <w:lang w:val="fr-CA"/>
        </w:rPr>
        <w:t>Qc</w:t>
      </w:r>
      <w:proofErr w:type="spellEnd"/>
      <w:r w:rsidRPr="00A45CF4">
        <w:rPr>
          <w:sz w:val="20"/>
          <w:szCs w:val="20"/>
          <w:lang w:val="fr-CA"/>
        </w:rPr>
        <w:t>)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2F279C">
        <w:rPr>
          <w:sz w:val="20"/>
          <w:szCs w:val="20"/>
          <w:lang w:val="fr-CA"/>
        </w:rPr>
        <w:t>406</w:t>
      </w:r>
      <w:r w:rsidR="004B7F60" w:rsidRPr="00C50A5C">
        <w:rPr>
          <w:sz w:val="20"/>
          <w:szCs w:val="20"/>
          <w:lang w:val="fr-CA"/>
        </w:rPr>
        <w:t>)</w:t>
      </w:r>
    </w:p>
    <w:p w:rsidR="004B7F60" w:rsidRPr="00C50A5C" w:rsidRDefault="004B7F60" w:rsidP="004B7F60">
      <w:pPr>
        <w:widowControl w:val="0"/>
        <w:rPr>
          <w:sz w:val="20"/>
          <w:szCs w:val="20"/>
          <w:lang w:val="fr-CA"/>
        </w:rPr>
      </w:pPr>
    </w:p>
    <w:p w:rsidR="004B7F60" w:rsidRPr="00A45CF4" w:rsidRDefault="00A45CF4" w:rsidP="004B7F60">
      <w:pPr>
        <w:pStyle w:val="ListParagraph"/>
        <w:widowControl w:val="0"/>
        <w:numPr>
          <w:ilvl w:val="0"/>
          <w:numId w:val="1"/>
        </w:numPr>
        <w:ind w:hanging="720"/>
        <w:jc w:val="both"/>
        <w:rPr>
          <w:sz w:val="20"/>
          <w:szCs w:val="20"/>
          <w:lang w:val="fr-CA"/>
        </w:rPr>
      </w:pPr>
      <w:r w:rsidRPr="00A45CF4">
        <w:rPr>
          <w:i/>
          <w:sz w:val="20"/>
          <w:szCs w:val="20"/>
          <w:lang w:val="fr-CA"/>
        </w:rPr>
        <w:t xml:space="preserve">Marie-Claude </w:t>
      </w:r>
      <w:proofErr w:type="spellStart"/>
      <w:r w:rsidRPr="00A45CF4">
        <w:rPr>
          <w:i/>
          <w:sz w:val="20"/>
          <w:szCs w:val="20"/>
          <w:lang w:val="fr-CA"/>
        </w:rPr>
        <w:t>Montpetit</w:t>
      </w:r>
      <w:proofErr w:type="spellEnd"/>
      <w:r w:rsidRPr="00A45CF4">
        <w:rPr>
          <w:i/>
          <w:sz w:val="20"/>
          <w:szCs w:val="20"/>
          <w:lang w:val="fr-CA"/>
        </w:rPr>
        <w:t xml:space="preserve"> c. Jeanne-Mance Rioux et autre</w:t>
      </w:r>
      <w:r w:rsidRPr="00A45CF4">
        <w:rPr>
          <w:sz w:val="20"/>
          <w:szCs w:val="20"/>
          <w:lang w:val="fr-CA"/>
        </w:rPr>
        <w:t xml:space="preserve"> (</w:t>
      </w:r>
      <w:proofErr w:type="spellStart"/>
      <w:r w:rsidRPr="00A45CF4">
        <w:rPr>
          <w:sz w:val="20"/>
          <w:szCs w:val="20"/>
          <w:lang w:val="fr-CA"/>
        </w:rPr>
        <w:t>Qc</w:t>
      </w:r>
      <w:proofErr w:type="spellEnd"/>
      <w:r w:rsidRPr="00A45CF4">
        <w:rPr>
          <w:sz w:val="20"/>
          <w:szCs w:val="20"/>
          <w:lang w:val="fr-CA"/>
        </w:rPr>
        <w:t xml:space="preserve">) (Civile) (Autorisation) </w:t>
      </w:r>
      <w:r w:rsidR="004B7F60" w:rsidRPr="00A45CF4">
        <w:rPr>
          <w:sz w:val="20"/>
          <w:szCs w:val="20"/>
          <w:lang w:val="fr-CA"/>
        </w:rPr>
        <w:t>(343</w:t>
      </w:r>
      <w:r w:rsidR="002F279C" w:rsidRPr="00A45CF4">
        <w:rPr>
          <w:sz w:val="20"/>
          <w:szCs w:val="20"/>
          <w:lang w:val="fr-CA"/>
        </w:rPr>
        <w:t>9</w:t>
      </w:r>
      <w:r w:rsidR="004B7F60" w:rsidRPr="00A45CF4">
        <w:rPr>
          <w:sz w:val="20"/>
          <w:szCs w:val="20"/>
          <w:lang w:val="fr-CA"/>
        </w:rPr>
        <w:t>4)</w:t>
      </w:r>
    </w:p>
    <w:p w:rsidR="004B7F60" w:rsidRPr="00A45CF4" w:rsidRDefault="004B7F60" w:rsidP="004B7F60">
      <w:pPr>
        <w:widowControl w:val="0"/>
        <w:jc w:val="both"/>
        <w:rPr>
          <w:sz w:val="20"/>
          <w:szCs w:val="20"/>
          <w:lang w:val="fr-CA"/>
        </w:rPr>
      </w:pPr>
    </w:p>
    <w:p w:rsidR="004B7F60" w:rsidRPr="00A45CF4" w:rsidRDefault="00A45CF4" w:rsidP="004B7F60">
      <w:pPr>
        <w:pStyle w:val="ListParagraph"/>
        <w:widowControl w:val="0"/>
        <w:numPr>
          <w:ilvl w:val="0"/>
          <w:numId w:val="1"/>
        </w:numPr>
        <w:ind w:hanging="720"/>
        <w:jc w:val="both"/>
        <w:rPr>
          <w:sz w:val="20"/>
          <w:szCs w:val="20"/>
          <w:lang w:val="fr-CA"/>
        </w:rPr>
      </w:pPr>
      <w:r w:rsidRPr="00A45CF4">
        <w:rPr>
          <w:i/>
          <w:sz w:val="20"/>
          <w:szCs w:val="20"/>
          <w:lang w:val="fr-CA"/>
        </w:rPr>
        <w:t xml:space="preserve">Emballages Alpha Inc. c. Industries </w:t>
      </w:r>
      <w:proofErr w:type="spellStart"/>
      <w:r w:rsidRPr="00A45CF4">
        <w:rPr>
          <w:i/>
          <w:sz w:val="20"/>
          <w:szCs w:val="20"/>
          <w:lang w:val="fr-CA"/>
        </w:rPr>
        <w:t>Rocand</w:t>
      </w:r>
      <w:proofErr w:type="spellEnd"/>
      <w:r w:rsidRPr="00A45CF4">
        <w:rPr>
          <w:i/>
          <w:sz w:val="20"/>
          <w:szCs w:val="20"/>
          <w:lang w:val="fr-CA"/>
        </w:rPr>
        <w:t xml:space="preserve"> </w:t>
      </w:r>
      <w:proofErr w:type="spellStart"/>
      <w:r w:rsidRPr="00A45CF4">
        <w:rPr>
          <w:i/>
          <w:sz w:val="20"/>
          <w:szCs w:val="20"/>
          <w:lang w:val="fr-CA"/>
        </w:rPr>
        <w:t>inc</w:t>
      </w:r>
      <w:proofErr w:type="spellEnd"/>
      <w:r w:rsidRPr="00A45CF4">
        <w:rPr>
          <w:i/>
          <w:sz w:val="20"/>
          <w:szCs w:val="20"/>
          <w:lang w:val="fr-CA"/>
        </w:rPr>
        <w:t>. et autres</w:t>
      </w:r>
      <w:r w:rsidRPr="00A45CF4">
        <w:rPr>
          <w:sz w:val="20"/>
          <w:szCs w:val="20"/>
          <w:lang w:val="fr-CA"/>
        </w:rPr>
        <w:t xml:space="preserve"> (</w:t>
      </w:r>
      <w:proofErr w:type="spellStart"/>
      <w:r w:rsidRPr="00A45CF4">
        <w:rPr>
          <w:sz w:val="20"/>
          <w:szCs w:val="20"/>
          <w:lang w:val="fr-CA"/>
        </w:rPr>
        <w:t>Qc</w:t>
      </w:r>
      <w:proofErr w:type="spellEnd"/>
      <w:r w:rsidRPr="00A45CF4">
        <w:rPr>
          <w:sz w:val="20"/>
          <w:szCs w:val="20"/>
          <w:lang w:val="fr-CA"/>
        </w:rPr>
        <w:t xml:space="preserve">) (Civile) (Autorisation) </w:t>
      </w:r>
      <w:r w:rsidR="004B7F60" w:rsidRPr="00A45CF4">
        <w:rPr>
          <w:sz w:val="20"/>
          <w:szCs w:val="20"/>
          <w:lang w:val="fr-CA"/>
        </w:rPr>
        <w:t>(3438</w:t>
      </w:r>
      <w:r w:rsidR="002F279C" w:rsidRPr="00A45CF4">
        <w:rPr>
          <w:sz w:val="20"/>
          <w:szCs w:val="20"/>
          <w:lang w:val="fr-CA"/>
        </w:rPr>
        <w:t>6</w:t>
      </w:r>
      <w:r w:rsidR="004B7F60" w:rsidRPr="00A45CF4">
        <w:rPr>
          <w:sz w:val="20"/>
          <w:szCs w:val="20"/>
          <w:lang w:val="fr-CA"/>
        </w:rPr>
        <w:t>)</w:t>
      </w:r>
    </w:p>
    <w:p w:rsidR="004B7F60" w:rsidRDefault="004B7F60" w:rsidP="004B7F60">
      <w:pPr>
        <w:widowControl w:val="0"/>
        <w:jc w:val="both"/>
        <w:rPr>
          <w:sz w:val="20"/>
          <w:szCs w:val="20"/>
          <w:lang w:val="fr-CA"/>
        </w:rPr>
      </w:pPr>
    </w:p>
    <w:p w:rsidR="001B1AAD" w:rsidRDefault="008754B5" w:rsidP="004B7F60">
      <w:pPr>
        <w:widowControl w:val="0"/>
        <w:jc w:val="both"/>
        <w:rPr>
          <w:sz w:val="20"/>
          <w:szCs w:val="20"/>
          <w:lang w:val="fr-CA"/>
        </w:rPr>
      </w:pPr>
      <w:r w:rsidRPr="008754B5">
        <w:rPr>
          <w:sz w:val="20"/>
          <w:szCs w:val="20"/>
        </w:rPr>
        <w:pict>
          <v:rect id="_x0000_i1037" style="width:2in;height:1pt" o:hrpct="0" o:hralign="center" o:hrstd="t" o:hrnoshade="t" o:hr="t" fillcolor="black [3213]" stroked="f"/>
        </w:pict>
      </w:r>
    </w:p>
    <w:p w:rsidR="001B1AAD" w:rsidRDefault="001B1AAD" w:rsidP="004B7F60">
      <w:pPr>
        <w:widowControl w:val="0"/>
        <w:jc w:val="both"/>
        <w:rPr>
          <w:sz w:val="20"/>
          <w:szCs w:val="20"/>
          <w:lang w:val="fr-CA"/>
        </w:rPr>
      </w:pPr>
    </w:p>
    <w:p w:rsidR="001B1AAD" w:rsidRPr="001B1AAD" w:rsidRDefault="001B1AAD" w:rsidP="001B1AAD">
      <w:pPr>
        <w:widowControl w:val="0"/>
        <w:rPr>
          <w:b/>
          <w:sz w:val="20"/>
          <w:szCs w:val="20"/>
          <w:lang w:val="fr-CA"/>
        </w:rPr>
      </w:pPr>
      <w:r w:rsidRPr="001B1AAD">
        <w:rPr>
          <w:b/>
          <w:sz w:val="20"/>
          <w:szCs w:val="20"/>
          <w:lang w:val="fr-CA"/>
        </w:rPr>
        <w:t>DECEMBER 1, 2011 / LE 1</w:t>
      </w:r>
      <w:r w:rsidRPr="001B1AAD">
        <w:rPr>
          <w:b/>
          <w:sz w:val="20"/>
          <w:szCs w:val="20"/>
          <w:vertAlign w:val="superscript"/>
          <w:lang w:val="fr-CA"/>
        </w:rPr>
        <w:t>er</w:t>
      </w:r>
      <w:r w:rsidRPr="001B1AAD">
        <w:rPr>
          <w:b/>
          <w:sz w:val="20"/>
          <w:szCs w:val="20"/>
          <w:lang w:val="fr-CA"/>
        </w:rPr>
        <w:t xml:space="preserve"> DÉCEMBRE 2011</w:t>
      </w:r>
    </w:p>
    <w:p w:rsidR="001B1AAD" w:rsidRPr="001B1AAD" w:rsidRDefault="001B1AAD" w:rsidP="001B1AAD">
      <w:pPr>
        <w:widowControl w:val="0"/>
        <w:rPr>
          <w:b/>
          <w:sz w:val="20"/>
          <w:szCs w:val="20"/>
          <w:lang w:val="fr-CA"/>
        </w:rPr>
      </w:pPr>
    </w:p>
    <w:p w:rsidR="001B1AAD" w:rsidRPr="001B1AAD" w:rsidRDefault="001B1AAD" w:rsidP="001B1AAD">
      <w:pPr>
        <w:widowControl w:val="0"/>
        <w:jc w:val="center"/>
        <w:rPr>
          <w:b/>
          <w:sz w:val="20"/>
          <w:szCs w:val="20"/>
          <w:lang w:val="fr-CA"/>
        </w:rPr>
      </w:pPr>
      <w:r w:rsidRPr="001B1AAD">
        <w:rPr>
          <w:b/>
          <w:sz w:val="20"/>
          <w:szCs w:val="20"/>
          <w:lang w:val="fr-CA"/>
        </w:rPr>
        <w:t xml:space="preserve">CORAM: Deschamps, Fish and </w:t>
      </w:r>
      <w:proofErr w:type="spellStart"/>
      <w:r w:rsidRPr="001B1AAD">
        <w:rPr>
          <w:b/>
          <w:sz w:val="20"/>
          <w:szCs w:val="20"/>
          <w:lang w:val="fr-CA"/>
        </w:rPr>
        <w:t>Karakatsanis</w:t>
      </w:r>
      <w:proofErr w:type="spellEnd"/>
      <w:r w:rsidRPr="001B1AAD">
        <w:rPr>
          <w:b/>
          <w:sz w:val="20"/>
          <w:szCs w:val="20"/>
          <w:lang w:val="fr-CA"/>
        </w:rPr>
        <w:t xml:space="preserve"> JJ.</w:t>
      </w:r>
    </w:p>
    <w:p w:rsidR="001B1AAD" w:rsidRPr="00C50A5C" w:rsidRDefault="001B1AAD" w:rsidP="001B1AAD">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1B1AAD" w:rsidRPr="00115C9E" w:rsidRDefault="001B1AAD" w:rsidP="001B1AAD">
      <w:pPr>
        <w:widowControl w:val="0"/>
        <w:jc w:val="both"/>
        <w:rPr>
          <w:sz w:val="20"/>
          <w:szCs w:val="20"/>
          <w:lang w:val="fr-CA"/>
        </w:rPr>
      </w:pPr>
    </w:p>
    <w:p w:rsidR="001B1AAD" w:rsidRPr="001B1AAD" w:rsidRDefault="001B1AAD" w:rsidP="001B1AAD">
      <w:pPr>
        <w:pStyle w:val="ListParagraph"/>
        <w:widowControl w:val="0"/>
        <w:numPr>
          <w:ilvl w:val="0"/>
          <w:numId w:val="2"/>
        </w:numPr>
        <w:ind w:hanging="720"/>
        <w:jc w:val="both"/>
        <w:rPr>
          <w:sz w:val="20"/>
          <w:szCs w:val="20"/>
          <w:lang w:val="fr-CA"/>
        </w:rPr>
      </w:pPr>
      <w:r w:rsidRPr="001B1AAD">
        <w:rPr>
          <w:i/>
          <w:sz w:val="20"/>
          <w:szCs w:val="20"/>
          <w:lang w:val="fr-CA"/>
        </w:rPr>
        <w:t xml:space="preserve">Constructions </w:t>
      </w:r>
      <w:proofErr w:type="spellStart"/>
      <w:r w:rsidRPr="001B1AAD">
        <w:rPr>
          <w:i/>
          <w:sz w:val="20"/>
          <w:szCs w:val="20"/>
          <w:lang w:val="fr-CA"/>
        </w:rPr>
        <w:t>Louisbourg</w:t>
      </w:r>
      <w:proofErr w:type="spellEnd"/>
      <w:r w:rsidRPr="001B1AAD">
        <w:rPr>
          <w:i/>
          <w:sz w:val="20"/>
          <w:szCs w:val="20"/>
          <w:lang w:val="fr-CA"/>
        </w:rPr>
        <w:t xml:space="preserve"> </w:t>
      </w:r>
      <w:proofErr w:type="spellStart"/>
      <w:r w:rsidRPr="001B1AAD">
        <w:rPr>
          <w:i/>
          <w:sz w:val="20"/>
          <w:szCs w:val="20"/>
          <w:lang w:val="fr-CA"/>
        </w:rPr>
        <w:t>Ltée</w:t>
      </w:r>
      <w:proofErr w:type="spellEnd"/>
      <w:r w:rsidRPr="001B1AAD">
        <w:rPr>
          <w:i/>
          <w:sz w:val="20"/>
          <w:szCs w:val="20"/>
          <w:lang w:val="fr-CA"/>
        </w:rPr>
        <w:t xml:space="preserve"> et autres c. Agence du revenu du Québec et autres</w:t>
      </w:r>
      <w:r w:rsidRPr="001B1AAD">
        <w:rPr>
          <w:sz w:val="20"/>
          <w:szCs w:val="20"/>
          <w:lang w:val="fr-CA"/>
        </w:rPr>
        <w:t xml:space="preserve"> (</w:t>
      </w:r>
      <w:proofErr w:type="spellStart"/>
      <w:r w:rsidRPr="001B1AAD">
        <w:rPr>
          <w:sz w:val="20"/>
          <w:szCs w:val="20"/>
          <w:lang w:val="fr-CA"/>
        </w:rPr>
        <w:t>Qc</w:t>
      </w:r>
      <w:proofErr w:type="spellEnd"/>
      <w:r w:rsidRPr="001B1AAD">
        <w:rPr>
          <w:sz w:val="20"/>
          <w:szCs w:val="20"/>
          <w:lang w:val="fr-CA"/>
        </w:rPr>
        <w:t>) (Civile) (Autorisation) (34490)</w:t>
      </w:r>
    </w:p>
    <w:p w:rsidR="001B1AAD" w:rsidRPr="001B1AAD" w:rsidRDefault="001B1AAD" w:rsidP="001B1AAD">
      <w:pPr>
        <w:widowControl w:val="0"/>
        <w:jc w:val="both"/>
        <w:rPr>
          <w:sz w:val="20"/>
          <w:szCs w:val="20"/>
          <w:lang w:val="fr-CA"/>
        </w:rPr>
      </w:pPr>
    </w:p>
    <w:p w:rsidR="002E2327" w:rsidRDefault="008754B5" w:rsidP="002E2327">
      <w:pPr>
        <w:widowControl w:val="0"/>
        <w:rPr>
          <w:sz w:val="20"/>
          <w:szCs w:val="20"/>
        </w:rPr>
      </w:pPr>
      <w:r w:rsidRPr="008754B5">
        <w:rPr>
          <w:sz w:val="20"/>
          <w:szCs w:val="20"/>
        </w:rPr>
        <w:pict>
          <v:rect id="_x0000_i1038" style="width:2in;height:1pt" o:hrpct="0" o:hralign="center" o:hrstd="t" o:hrnoshade="t" o:hr="t" fillcolor="black [3213]" stroked="f"/>
        </w:pict>
      </w:r>
    </w:p>
    <w:p w:rsidR="001906A4" w:rsidRDefault="001906A4" w:rsidP="002E2327">
      <w:pPr>
        <w:widowControl w:val="0"/>
        <w:rPr>
          <w:sz w:val="20"/>
          <w:szCs w:val="20"/>
        </w:rPr>
      </w:pPr>
    </w:p>
    <w:p w:rsidR="001906A4" w:rsidRPr="00C50A5C" w:rsidRDefault="001906A4"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608D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454C8" w:rsidRDefault="008D292F" w:rsidP="008D292F">
      <w:pPr>
        <w:rPr>
          <w:sz w:val="20"/>
          <w:szCs w:val="20"/>
          <w:lang w:val="fr-CA"/>
        </w:rPr>
      </w:pPr>
    </w:p>
    <w:p w:rsidR="00C454C8" w:rsidRPr="00C454C8" w:rsidRDefault="00C454C8" w:rsidP="008D292F">
      <w:pPr>
        <w:rPr>
          <w:b/>
          <w:sz w:val="20"/>
          <w:szCs w:val="20"/>
          <w:lang w:val="fr-CA"/>
        </w:rPr>
      </w:pPr>
      <w:r w:rsidRPr="00C454C8">
        <w:rPr>
          <w:b/>
          <w:sz w:val="20"/>
          <w:szCs w:val="20"/>
          <w:lang w:val="fr-CA"/>
        </w:rPr>
        <w:t>DECEMBER 1, 2011 / LE 1</w:t>
      </w:r>
      <w:r w:rsidRPr="00C454C8">
        <w:rPr>
          <w:b/>
          <w:sz w:val="20"/>
          <w:szCs w:val="20"/>
          <w:vertAlign w:val="superscript"/>
          <w:lang w:val="fr-CA"/>
        </w:rPr>
        <w:t>er</w:t>
      </w:r>
      <w:r w:rsidRPr="00C454C8">
        <w:rPr>
          <w:b/>
          <w:sz w:val="20"/>
          <w:szCs w:val="20"/>
          <w:lang w:val="fr-CA"/>
        </w:rPr>
        <w:t xml:space="preserve"> DÉCEMBRE</w:t>
      </w:r>
      <w:r>
        <w:rPr>
          <w:b/>
          <w:sz w:val="20"/>
          <w:szCs w:val="20"/>
          <w:lang w:val="fr-CA"/>
        </w:rPr>
        <w:t xml:space="preserve"> 2011</w:t>
      </w:r>
    </w:p>
    <w:p w:rsidR="00C454C8" w:rsidRPr="00C454C8" w:rsidRDefault="00C454C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2CE7" w:rsidRPr="00772CE7" w:rsidTr="00A27223">
        <w:trPr>
          <w:cantSplit/>
        </w:trPr>
        <w:tc>
          <w:tcPr>
            <w:tcW w:w="1458" w:type="dxa"/>
          </w:tcPr>
          <w:p w:rsidR="00772CE7" w:rsidRPr="00772CE7" w:rsidRDefault="00772CE7" w:rsidP="00A27223">
            <w:pPr>
              <w:rPr>
                <w:sz w:val="20"/>
                <w:szCs w:val="20"/>
              </w:rPr>
            </w:pPr>
            <w:r w:rsidRPr="00772CE7">
              <w:rPr>
                <w:rStyle w:val="SCCFileNumberChar"/>
                <w:sz w:val="20"/>
                <w:szCs w:val="20"/>
              </w:rPr>
              <w:t>34147</w:t>
            </w:r>
          </w:p>
          <w:p w:rsidR="00772CE7" w:rsidRPr="00772CE7" w:rsidRDefault="00772CE7" w:rsidP="00A27223">
            <w:pPr>
              <w:rPr>
                <w:b/>
                <w:sz w:val="20"/>
                <w:szCs w:val="20"/>
                <w:lang w:val="fr-CA"/>
              </w:rPr>
            </w:pPr>
          </w:p>
        </w:tc>
        <w:tc>
          <w:tcPr>
            <w:tcW w:w="8118" w:type="dxa"/>
          </w:tcPr>
          <w:p w:rsidR="00772CE7" w:rsidRPr="00772CE7" w:rsidRDefault="00772CE7" w:rsidP="00A27223">
            <w:pPr>
              <w:rPr>
                <w:sz w:val="20"/>
                <w:szCs w:val="20"/>
              </w:rPr>
            </w:pPr>
            <w:r w:rsidRPr="00772CE7">
              <w:rPr>
                <w:rStyle w:val="SCCLsocChar"/>
                <w:sz w:val="20"/>
                <w:szCs w:val="20"/>
                <w:lang w:val="en-CA"/>
              </w:rPr>
              <w:t>Attorney General of Canada v. Robert Kane</w:t>
            </w:r>
            <w:r w:rsidRPr="00772CE7">
              <w:rPr>
                <w:sz w:val="20"/>
                <w:szCs w:val="20"/>
              </w:rPr>
              <w:t xml:space="preserve"> (F.C.) (Civil) (By Leave)</w:t>
            </w:r>
          </w:p>
          <w:p w:rsidR="00772CE7" w:rsidRPr="00772CE7" w:rsidRDefault="00772CE7" w:rsidP="00A27223">
            <w:pPr>
              <w:rPr>
                <w:sz w:val="20"/>
                <w:szCs w:val="20"/>
              </w:rPr>
            </w:pPr>
          </w:p>
        </w:tc>
      </w:tr>
      <w:tr w:rsidR="00772CE7" w:rsidRPr="00772CE7" w:rsidTr="00A27223">
        <w:trPr>
          <w:cantSplit/>
        </w:trPr>
        <w:tc>
          <w:tcPr>
            <w:tcW w:w="1458" w:type="dxa"/>
          </w:tcPr>
          <w:p w:rsidR="00772CE7" w:rsidRPr="00772CE7" w:rsidRDefault="00772CE7" w:rsidP="00A27223">
            <w:pPr>
              <w:rPr>
                <w:sz w:val="20"/>
                <w:szCs w:val="20"/>
              </w:rPr>
            </w:pPr>
            <w:r w:rsidRPr="00772CE7">
              <w:rPr>
                <w:sz w:val="20"/>
                <w:szCs w:val="20"/>
              </w:rPr>
              <w:t>Coram :</w:t>
            </w:r>
          </w:p>
        </w:tc>
        <w:tc>
          <w:tcPr>
            <w:tcW w:w="8118" w:type="dxa"/>
          </w:tcPr>
          <w:p w:rsidR="00772CE7" w:rsidRPr="00772CE7" w:rsidRDefault="00772CE7" w:rsidP="00A27223">
            <w:pPr>
              <w:rPr>
                <w:sz w:val="20"/>
                <w:szCs w:val="20"/>
              </w:rPr>
            </w:pPr>
            <w:proofErr w:type="spellStart"/>
            <w:r w:rsidRPr="00772CE7">
              <w:rPr>
                <w:rStyle w:val="SCCCoramChar"/>
                <w:sz w:val="20"/>
                <w:szCs w:val="20"/>
                <w:lang w:val="en-CA"/>
              </w:rPr>
              <w:t>LeBel</w:t>
            </w:r>
            <w:proofErr w:type="spellEnd"/>
            <w:r w:rsidRPr="00772CE7">
              <w:rPr>
                <w:rStyle w:val="SCCCoramChar"/>
                <w:sz w:val="20"/>
                <w:szCs w:val="20"/>
                <w:lang w:val="en-CA"/>
              </w:rPr>
              <w:t>, Fish and Cromwell JJ.</w:t>
            </w:r>
          </w:p>
          <w:p w:rsidR="00772CE7" w:rsidRPr="00772CE7" w:rsidRDefault="00772CE7" w:rsidP="00A27223">
            <w:pPr>
              <w:rPr>
                <w:sz w:val="20"/>
                <w:szCs w:val="20"/>
                <w:u w:val="single"/>
              </w:rPr>
            </w:pPr>
          </w:p>
        </w:tc>
      </w:tr>
      <w:tr w:rsidR="00772CE7" w:rsidRPr="008608D5" w:rsidTr="00A27223">
        <w:trPr>
          <w:cantSplit/>
        </w:trPr>
        <w:tc>
          <w:tcPr>
            <w:tcW w:w="9576" w:type="dxa"/>
            <w:gridSpan w:val="2"/>
          </w:tcPr>
          <w:p w:rsidR="00772CE7" w:rsidRPr="00772CE7" w:rsidRDefault="00772CE7" w:rsidP="00A27223">
            <w:pPr>
              <w:pStyle w:val="SCCShortJudgment"/>
              <w:rPr>
                <w:szCs w:val="20"/>
              </w:rPr>
            </w:pPr>
            <w:r w:rsidRPr="00772CE7">
              <w:rPr>
                <w:szCs w:val="20"/>
              </w:rPr>
              <w:t>The application for leave to appeal from the judgment of the Federal Court of Appeal, Number A-394-09, 2011 FCA 19, dated January 19, 2011, is granted with costs in the cause.</w:t>
            </w:r>
          </w:p>
          <w:p w:rsidR="00772CE7" w:rsidRPr="00772CE7" w:rsidRDefault="00772CE7" w:rsidP="00A27223">
            <w:pPr>
              <w:pStyle w:val="SCCShortJudgment"/>
              <w:ind w:firstLine="0"/>
              <w:rPr>
                <w:szCs w:val="20"/>
              </w:rPr>
            </w:pPr>
          </w:p>
          <w:p w:rsidR="00772CE7" w:rsidRPr="00772CE7" w:rsidRDefault="00772CE7" w:rsidP="00A27223">
            <w:pPr>
              <w:pStyle w:val="SCCShortJudgment"/>
              <w:rPr>
                <w:szCs w:val="20"/>
                <w:lang w:val="fr-CA"/>
              </w:rPr>
            </w:pPr>
            <w:r w:rsidRPr="00772CE7">
              <w:rPr>
                <w:szCs w:val="20"/>
                <w:lang w:val="fr-CA"/>
              </w:rPr>
              <w:t>La demande d’autorisation d’appel de l’arrêt de la Cour d’appel fédérale, numéro A-394-09, 2011 CAF 19, daté du 19 janvier 2011, est accordée avec dépens suivant l’issue de la cause.</w:t>
            </w:r>
          </w:p>
        </w:tc>
      </w:tr>
    </w:tbl>
    <w:p w:rsidR="00C454C8" w:rsidRDefault="00C454C8" w:rsidP="008D292F">
      <w:pPr>
        <w:rPr>
          <w:sz w:val="20"/>
          <w:szCs w:val="20"/>
          <w:lang w:val="fr-CA"/>
        </w:rPr>
      </w:pPr>
    </w:p>
    <w:p w:rsidR="00C454C8" w:rsidRPr="00517AED" w:rsidRDefault="00C454C8" w:rsidP="00C454C8">
      <w:pPr>
        <w:rPr>
          <w:sz w:val="20"/>
          <w:szCs w:val="20"/>
          <w:u w:val="single"/>
        </w:rPr>
      </w:pPr>
      <w:r w:rsidRPr="00517AED">
        <w:rPr>
          <w:sz w:val="20"/>
          <w:szCs w:val="20"/>
          <w:u w:val="single"/>
        </w:rPr>
        <w:t>CASE SUMMARY</w:t>
      </w:r>
    </w:p>
    <w:p w:rsidR="00C454C8" w:rsidRDefault="00C454C8"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12A36" w:rsidRPr="006D4413" w:rsidTr="004C3B4A">
        <w:tc>
          <w:tcPr>
            <w:tcW w:w="5000" w:type="pct"/>
            <w:gridSpan w:val="3"/>
          </w:tcPr>
          <w:p w:rsidR="00F12A36" w:rsidRPr="006D4413" w:rsidRDefault="00F12A36" w:rsidP="004C3B4A">
            <w:pPr>
              <w:jc w:val="both"/>
              <w:rPr>
                <w:rFonts w:eastAsia="Calibri"/>
                <w:sz w:val="20"/>
                <w:szCs w:val="20"/>
              </w:rPr>
            </w:pPr>
            <w:r w:rsidRPr="006D4413">
              <w:rPr>
                <w:rFonts w:eastAsia="Calibri"/>
                <w:sz w:val="20"/>
                <w:szCs w:val="20"/>
              </w:rPr>
              <w:t>Administrative law — Standard of review — Whether the Court of Appeal afforded sufficient deference to the Public Service Staffing Tribunal under the reasonableness standard of review with respect to the interpretation of the term “abuse of authority”.</w:t>
            </w:r>
          </w:p>
        </w:tc>
      </w:tr>
      <w:tr w:rsidR="00F12A36" w:rsidRPr="006D4413" w:rsidTr="004C3B4A">
        <w:tc>
          <w:tcPr>
            <w:tcW w:w="5000" w:type="pct"/>
            <w:gridSpan w:val="3"/>
          </w:tcPr>
          <w:p w:rsidR="00F12A36" w:rsidRPr="006D4413" w:rsidRDefault="00F12A36" w:rsidP="004C3B4A">
            <w:pPr>
              <w:jc w:val="both"/>
              <w:rPr>
                <w:rFonts w:eastAsia="Calibri"/>
                <w:sz w:val="20"/>
                <w:szCs w:val="20"/>
              </w:rPr>
            </w:pPr>
          </w:p>
        </w:tc>
      </w:tr>
      <w:tr w:rsidR="00F12A36" w:rsidRPr="006D4413" w:rsidTr="004C3B4A">
        <w:tc>
          <w:tcPr>
            <w:tcW w:w="5000" w:type="pct"/>
            <w:gridSpan w:val="3"/>
          </w:tcPr>
          <w:p w:rsidR="00F12A36" w:rsidRPr="006D4413" w:rsidRDefault="00F12A36" w:rsidP="004C3B4A">
            <w:pPr>
              <w:jc w:val="both"/>
              <w:rPr>
                <w:rFonts w:eastAsia="Calibri"/>
                <w:sz w:val="20"/>
                <w:szCs w:val="20"/>
              </w:rPr>
            </w:pPr>
            <w:r w:rsidRPr="006D4413">
              <w:rPr>
                <w:rFonts w:eastAsia="Calibri"/>
                <w:sz w:val="20"/>
                <w:szCs w:val="20"/>
              </w:rPr>
              <w:t>Mr. Kane was employed in the Department of Human Resources and Social Development — Service Canada, Newfoundland at the PM</w:t>
            </w:r>
            <w:r w:rsidRPr="006D4413">
              <w:rPr>
                <w:rFonts w:eastAsia="Calibri"/>
                <w:sz w:val="20"/>
                <w:szCs w:val="20"/>
              </w:rPr>
              <w:noBreakHyphen/>
              <w:t xml:space="preserve">05 level.  Pursuant to a reorganization conducted after the modernization of the </w:t>
            </w:r>
            <w:r w:rsidRPr="006D4413">
              <w:rPr>
                <w:rFonts w:eastAsia="Calibri"/>
                <w:i/>
                <w:sz w:val="20"/>
                <w:szCs w:val="20"/>
              </w:rPr>
              <w:t>Public Service Employment Act</w:t>
            </w:r>
            <w:r w:rsidRPr="006D4413">
              <w:rPr>
                <w:rFonts w:eastAsia="Calibri"/>
                <w:sz w:val="20"/>
                <w:szCs w:val="20"/>
              </w:rPr>
              <w:t>, S.C. 2003, c. 22 (“the “PSEA”), Mr. Kane was deployed into a Service Delivery Manager position (PM</w:t>
            </w:r>
            <w:r w:rsidRPr="006D4413">
              <w:rPr>
                <w:rFonts w:eastAsia="Calibri"/>
                <w:sz w:val="20"/>
                <w:szCs w:val="20"/>
              </w:rPr>
              <w:noBreakHyphen/>
              <w:t>05) which was created in August 2005.  About a month later, a review to determine the resources required was announced.  It led to the establishment of the IPCS Support Unit, which consisted of a Regional Manager (PM</w:t>
            </w:r>
            <w:r w:rsidRPr="006D4413">
              <w:rPr>
                <w:rFonts w:eastAsia="Calibri"/>
                <w:sz w:val="20"/>
                <w:szCs w:val="20"/>
              </w:rPr>
              <w:noBreakHyphen/>
              <w:t>06) and six staff (including two PM</w:t>
            </w:r>
            <w:r w:rsidRPr="006D4413">
              <w:rPr>
                <w:rFonts w:eastAsia="Calibri"/>
                <w:sz w:val="20"/>
                <w:szCs w:val="20"/>
              </w:rPr>
              <w:noBreakHyphen/>
              <w:t>05s).  The Regional Management Board elected to proceed with an internal advertised appointment process for the PM</w:t>
            </w:r>
            <w:r w:rsidRPr="006D4413">
              <w:rPr>
                <w:rFonts w:eastAsia="Calibri"/>
                <w:sz w:val="20"/>
                <w:szCs w:val="20"/>
              </w:rPr>
              <w:noBreakHyphen/>
              <w:t xml:space="preserve">05 and </w:t>
            </w:r>
            <w:r w:rsidRPr="006D4413">
              <w:rPr>
                <w:rFonts w:eastAsia="Calibri"/>
                <w:sz w:val="20"/>
                <w:szCs w:val="20"/>
              </w:rPr>
              <w:noBreakHyphen/>
              <w:t>06 positions.  Mr. Kane applied for the PM</w:t>
            </w:r>
            <w:r w:rsidRPr="006D4413">
              <w:rPr>
                <w:rFonts w:eastAsia="Calibri"/>
                <w:sz w:val="20"/>
                <w:szCs w:val="20"/>
              </w:rPr>
              <w:noBreakHyphen/>
              <w:t>06 position and was assessed for that position by means of a standardized test set by the Commission.  In March 2006, the Regional Manager position was sent to classification for review.  It was classified at the PM</w:t>
            </w:r>
            <w:r w:rsidRPr="006D4413">
              <w:rPr>
                <w:rFonts w:eastAsia="Calibri"/>
                <w:sz w:val="20"/>
                <w:szCs w:val="20"/>
              </w:rPr>
              <w:noBreakHyphen/>
              <w:t>06 level.  In May 2006, Mr. Kane was informed that he had not passed the standardized test and would not be considered for the PM</w:t>
            </w:r>
            <w:r w:rsidRPr="006D4413">
              <w:rPr>
                <w:rFonts w:eastAsia="Calibri"/>
                <w:sz w:val="20"/>
                <w:szCs w:val="20"/>
              </w:rPr>
              <w:noBreakHyphen/>
              <w:t>06 position.  Later, he was informed that, when his acting assignment was over, he could continue with IPCS in a PM</w:t>
            </w:r>
            <w:r w:rsidRPr="006D4413">
              <w:rPr>
                <w:rFonts w:eastAsia="Calibri"/>
                <w:sz w:val="20"/>
                <w:szCs w:val="20"/>
              </w:rPr>
              <w:noBreakHyphen/>
              <w:t>05 position or he could be placed on a priority list for a PM</w:t>
            </w:r>
            <w:r w:rsidRPr="006D4413">
              <w:rPr>
                <w:rFonts w:eastAsia="Calibri"/>
                <w:sz w:val="20"/>
                <w:szCs w:val="20"/>
              </w:rPr>
              <w:noBreakHyphen/>
              <w:t>05 vacancy.  Shortly thereafter, his substantive position was declared redundant and he was offered a PM</w:t>
            </w:r>
            <w:r w:rsidRPr="006D4413">
              <w:rPr>
                <w:rFonts w:eastAsia="Calibri"/>
                <w:sz w:val="20"/>
                <w:szCs w:val="20"/>
              </w:rPr>
              <w:noBreakHyphen/>
              <w:t>05 position in IPCS.  He also agreed to remain as the acting Regional Manager on a temporary basis.</w:t>
            </w:r>
          </w:p>
          <w:p w:rsidR="00F12A36" w:rsidRPr="006D4413" w:rsidRDefault="00F12A36" w:rsidP="004C3B4A">
            <w:pPr>
              <w:jc w:val="both"/>
              <w:rPr>
                <w:rFonts w:eastAsia="Calibri"/>
                <w:sz w:val="20"/>
                <w:szCs w:val="20"/>
              </w:rPr>
            </w:pPr>
          </w:p>
          <w:p w:rsidR="00F12A36" w:rsidRPr="006D4413" w:rsidRDefault="00F12A36" w:rsidP="004C3B4A">
            <w:pPr>
              <w:jc w:val="both"/>
              <w:rPr>
                <w:rFonts w:eastAsia="Calibri"/>
                <w:sz w:val="20"/>
                <w:szCs w:val="20"/>
              </w:rPr>
            </w:pPr>
            <w:r w:rsidRPr="006D4413">
              <w:rPr>
                <w:rFonts w:eastAsia="Calibri"/>
                <w:sz w:val="20"/>
                <w:szCs w:val="20"/>
              </w:rPr>
              <w:t xml:space="preserve">Mr. Kane filed a complaint with the Tribunal alleging abuse of authority contrary to the PSEA. The Tribunal found no abuse of authority in the choice of an internal advertised appointment process to staff the Regional Manager position or in the decision not to appoint Mr. Kane to the position.  The Federal Court dismissed the application for judicial review.  The Court of Appeal allowed the appeal, set aside the decision of the Federal Court, granted judicial review, set aside the Tribunal’s decision and remitted the matter to a differently constituted Tribunal to </w:t>
            </w:r>
            <w:proofErr w:type="spellStart"/>
            <w:r w:rsidRPr="006D4413">
              <w:rPr>
                <w:rFonts w:eastAsia="Calibri"/>
                <w:sz w:val="20"/>
                <w:szCs w:val="20"/>
              </w:rPr>
              <w:t>redetermine</w:t>
            </w:r>
            <w:proofErr w:type="spellEnd"/>
            <w:r w:rsidRPr="006D4413">
              <w:rPr>
                <w:rFonts w:eastAsia="Calibri"/>
                <w:sz w:val="20"/>
                <w:szCs w:val="20"/>
              </w:rPr>
              <w:t xml:space="preserve"> Mr. Kane’s complaint.</w:t>
            </w:r>
          </w:p>
          <w:p w:rsidR="00F12A36" w:rsidRPr="006D4413" w:rsidRDefault="00F12A36" w:rsidP="004C3B4A">
            <w:pPr>
              <w:jc w:val="both"/>
              <w:rPr>
                <w:rFonts w:eastAsia="Calibri"/>
                <w:sz w:val="20"/>
                <w:szCs w:val="20"/>
              </w:rPr>
            </w:pPr>
          </w:p>
        </w:tc>
      </w:tr>
      <w:tr w:rsidR="00F12A36" w:rsidRPr="006D4413" w:rsidTr="004C3B4A">
        <w:tc>
          <w:tcPr>
            <w:tcW w:w="2427" w:type="pct"/>
          </w:tcPr>
          <w:p w:rsidR="00F12A36" w:rsidRPr="006D4413" w:rsidRDefault="00F12A36" w:rsidP="004C3B4A">
            <w:pPr>
              <w:jc w:val="both"/>
              <w:rPr>
                <w:rFonts w:eastAsia="Calibri"/>
                <w:sz w:val="20"/>
                <w:szCs w:val="20"/>
              </w:rPr>
            </w:pPr>
            <w:r w:rsidRPr="006D4413">
              <w:rPr>
                <w:rFonts w:eastAsia="Calibri"/>
                <w:sz w:val="20"/>
                <w:szCs w:val="20"/>
              </w:rPr>
              <w:t>July 21, 2009</w:t>
            </w:r>
          </w:p>
          <w:p w:rsidR="00F12A36" w:rsidRPr="006D4413" w:rsidRDefault="00F12A36" w:rsidP="004C3B4A">
            <w:pPr>
              <w:jc w:val="both"/>
              <w:rPr>
                <w:rFonts w:eastAsia="Calibri"/>
                <w:sz w:val="20"/>
                <w:szCs w:val="20"/>
              </w:rPr>
            </w:pPr>
            <w:r w:rsidRPr="006D4413">
              <w:rPr>
                <w:rFonts w:eastAsia="Calibri"/>
                <w:sz w:val="20"/>
                <w:szCs w:val="20"/>
              </w:rPr>
              <w:t>Federal Court</w:t>
            </w:r>
          </w:p>
          <w:p w:rsidR="00F12A36" w:rsidRPr="006D4413" w:rsidRDefault="00F12A36" w:rsidP="004C3B4A">
            <w:pPr>
              <w:jc w:val="both"/>
              <w:rPr>
                <w:rFonts w:eastAsia="Calibri"/>
                <w:sz w:val="20"/>
                <w:szCs w:val="20"/>
              </w:rPr>
            </w:pPr>
            <w:r w:rsidRPr="006D4413">
              <w:rPr>
                <w:rFonts w:eastAsia="Calibri"/>
                <w:sz w:val="20"/>
                <w:szCs w:val="20"/>
              </w:rPr>
              <w:t>(</w:t>
            </w:r>
            <w:proofErr w:type="spellStart"/>
            <w:r w:rsidRPr="006D4413">
              <w:rPr>
                <w:rFonts w:eastAsia="Calibri"/>
                <w:sz w:val="20"/>
                <w:szCs w:val="20"/>
              </w:rPr>
              <w:t>Heneghan</w:t>
            </w:r>
            <w:proofErr w:type="spellEnd"/>
            <w:r w:rsidRPr="006D4413">
              <w:rPr>
                <w:rFonts w:eastAsia="Calibri"/>
                <w:sz w:val="20"/>
                <w:szCs w:val="20"/>
              </w:rPr>
              <w:t xml:space="preserve"> J.)</w:t>
            </w:r>
          </w:p>
          <w:p w:rsidR="00F12A36" w:rsidRPr="006D4413" w:rsidRDefault="00F12A36" w:rsidP="004C3B4A">
            <w:pPr>
              <w:jc w:val="both"/>
              <w:rPr>
                <w:rFonts w:eastAsia="Calibri"/>
                <w:sz w:val="20"/>
                <w:szCs w:val="20"/>
              </w:rPr>
            </w:pPr>
            <w:r w:rsidRPr="006D4413">
              <w:rPr>
                <w:rFonts w:eastAsia="Calibri"/>
                <w:sz w:val="20"/>
                <w:szCs w:val="20"/>
              </w:rPr>
              <w:t>Neutral citation: 2009 FC 740</w:t>
            </w:r>
          </w:p>
          <w:p w:rsidR="00F12A36" w:rsidRPr="006D4413" w:rsidRDefault="00F12A36" w:rsidP="004C3B4A">
            <w:pPr>
              <w:jc w:val="both"/>
              <w:rPr>
                <w:rFonts w:eastAsia="Calibri"/>
                <w:sz w:val="20"/>
                <w:szCs w:val="20"/>
              </w:rPr>
            </w:pPr>
          </w:p>
        </w:tc>
        <w:tc>
          <w:tcPr>
            <w:tcW w:w="243" w:type="pct"/>
          </w:tcPr>
          <w:p w:rsidR="00F12A36" w:rsidRPr="006D4413" w:rsidRDefault="00F12A36" w:rsidP="004C3B4A">
            <w:pPr>
              <w:jc w:val="both"/>
              <w:rPr>
                <w:rFonts w:eastAsia="Calibri"/>
                <w:sz w:val="20"/>
                <w:szCs w:val="20"/>
              </w:rPr>
            </w:pPr>
          </w:p>
        </w:tc>
        <w:tc>
          <w:tcPr>
            <w:tcW w:w="2330" w:type="pct"/>
          </w:tcPr>
          <w:p w:rsidR="00F12A36" w:rsidRPr="006D4413" w:rsidRDefault="00F12A36" w:rsidP="004C3B4A">
            <w:pPr>
              <w:jc w:val="both"/>
              <w:rPr>
                <w:rFonts w:eastAsia="Calibri"/>
                <w:sz w:val="20"/>
                <w:szCs w:val="20"/>
              </w:rPr>
            </w:pPr>
            <w:r w:rsidRPr="006D4413">
              <w:rPr>
                <w:rFonts w:eastAsia="Calibri"/>
                <w:sz w:val="20"/>
                <w:szCs w:val="20"/>
              </w:rPr>
              <w:t>Application for judicial review dismissed</w:t>
            </w:r>
          </w:p>
          <w:p w:rsidR="00F12A36" w:rsidRPr="006D4413" w:rsidRDefault="00F12A36" w:rsidP="004C3B4A">
            <w:pPr>
              <w:jc w:val="both"/>
              <w:rPr>
                <w:rFonts w:eastAsia="Calibri"/>
                <w:sz w:val="20"/>
                <w:szCs w:val="20"/>
              </w:rPr>
            </w:pPr>
          </w:p>
        </w:tc>
      </w:tr>
      <w:tr w:rsidR="00F12A36" w:rsidRPr="006D4413" w:rsidTr="004C3B4A">
        <w:tc>
          <w:tcPr>
            <w:tcW w:w="2427" w:type="pct"/>
          </w:tcPr>
          <w:p w:rsidR="00F12A36" w:rsidRPr="006D4413" w:rsidRDefault="00F12A36" w:rsidP="004C3B4A">
            <w:pPr>
              <w:jc w:val="both"/>
              <w:rPr>
                <w:rFonts w:eastAsia="Calibri"/>
                <w:sz w:val="20"/>
                <w:szCs w:val="20"/>
              </w:rPr>
            </w:pPr>
            <w:r w:rsidRPr="006D4413">
              <w:rPr>
                <w:rFonts w:eastAsia="Calibri"/>
                <w:sz w:val="20"/>
                <w:szCs w:val="20"/>
              </w:rPr>
              <w:t>January 19, 2011</w:t>
            </w:r>
          </w:p>
          <w:p w:rsidR="00F12A36" w:rsidRPr="006D4413" w:rsidRDefault="00F12A36" w:rsidP="004C3B4A">
            <w:pPr>
              <w:jc w:val="both"/>
              <w:rPr>
                <w:rFonts w:eastAsia="Calibri"/>
                <w:sz w:val="20"/>
                <w:szCs w:val="20"/>
              </w:rPr>
            </w:pPr>
            <w:r w:rsidRPr="006D4413">
              <w:rPr>
                <w:rFonts w:eastAsia="Calibri"/>
                <w:sz w:val="20"/>
                <w:szCs w:val="20"/>
              </w:rPr>
              <w:t>Federal Court of Appeal</w:t>
            </w:r>
          </w:p>
          <w:p w:rsidR="00F12A36" w:rsidRPr="006D4413" w:rsidRDefault="00F12A36" w:rsidP="004C3B4A">
            <w:pPr>
              <w:jc w:val="both"/>
              <w:rPr>
                <w:rFonts w:eastAsia="Calibri"/>
                <w:sz w:val="20"/>
                <w:szCs w:val="20"/>
              </w:rPr>
            </w:pPr>
            <w:r w:rsidRPr="006D4413">
              <w:rPr>
                <w:rFonts w:eastAsia="Calibri"/>
                <w:sz w:val="20"/>
                <w:szCs w:val="20"/>
              </w:rPr>
              <w:t xml:space="preserve">(Evans, Dawson, </w:t>
            </w:r>
            <w:proofErr w:type="spellStart"/>
            <w:r w:rsidRPr="006D4413">
              <w:rPr>
                <w:rFonts w:eastAsia="Calibri"/>
                <w:sz w:val="20"/>
                <w:szCs w:val="20"/>
              </w:rPr>
              <w:t>Stratas</w:t>
            </w:r>
            <w:proofErr w:type="spellEnd"/>
            <w:r w:rsidRPr="006D4413">
              <w:rPr>
                <w:rFonts w:eastAsia="Calibri"/>
                <w:sz w:val="20"/>
                <w:szCs w:val="20"/>
              </w:rPr>
              <w:t xml:space="preserve"> [dissenting] JJ.A.)</w:t>
            </w:r>
          </w:p>
          <w:p w:rsidR="00F12A36" w:rsidRDefault="00F12A36" w:rsidP="004C3B4A">
            <w:pPr>
              <w:jc w:val="both"/>
              <w:rPr>
                <w:rFonts w:eastAsia="Calibri"/>
                <w:sz w:val="20"/>
                <w:szCs w:val="20"/>
              </w:rPr>
            </w:pPr>
            <w:r w:rsidRPr="006D4413">
              <w:rPr>
                <w:rFonts w:eastAsia="Calibri"/>
                <w:sz w:val="20"/>
                <w:szCs w:val="20"/>
              </w:rPr>
              <w:t>Neutral citation: 2011 FCA 19</w:t>
            </w:r>
          </w:p>
          <w:p w:rsidR="00F12A36" w:rsidRPr="006D4413" w:rsidRDefault="00F12A36" w:rsidP="004C3B4A">
            <w:pPr>
              <w:jc w:val="both"/>
              <w:rPr>
                <w:rFonts w:eastAsia="Calibri"/>
                <w:sz w:val="20"/>
                <w:szCs w:val="20"/>
              </w:rPr>
            </w:pPr>
          </w:p>
        </w:tc>
        <w:tc>
          <w:tcPr>
            <w:tcW w:w="243" w:type="pct"/>
          </w:tcPr>
          <w:p w:rsidR="00F12A36" w:rsidRPr="006D4413" w:rsidRDefault="00F12A36" w:rsidP="004C3B4A">
            <w:pPr>
              <w:jc w:val="both"/>
              <w:rPr>
                <w:rFonts w:eastAsia="Calibri"/>
                <w:sz w:val="20"/>
                <w:szCs w:val="20"/>
              </w:rPr>
            </w:pPr>
          </w:p>
        </w:tc>
        <w:tc>
          <w:tcPr>
            <w:tcW w:w="2330" w:type="pct"/>
          </w:tcPr>
          <w:p w:rsidR="00F12A36" w:rsidRPr="006D4413" w:rsidRDefault="00F12A36" w:rsidP="004C3B4A">
            <w:pPr>
              <w:jc w:val="both"/>
              <w:rPr>
                <w:rFonts w:eastAsia="Calibri"/>
                <w:sz w:val="20"/>
                <w:szCs w:val="20"/>
              </w:rPr>
            </w:pPr>
            <w:r w:rsidRPr="006D4413">
              <w:rPr>
                <w:rFonts w:eastAsia="Calibri"/>
                <w:sz w:val="20"/>
                <w:szCs w:val="20"/>
              </w:rPr>
              <w:t>Appeal allowed; application for judicial review granted; Tribunal’s decision set aside; matter remitted to differently constituted Tribunal for redetermination</w:t>
            </w:r>
          </w:p>
          <w:p w:rsidR="00F12A36" w:rsidRPr="006D4413" w:rsidRDefault="00F12A36" w:rsidP="004C3B4A">
            <w:pPr>
              <w:jc w:val="both"/>
              <w:rPr>
                <w:rFonts w:eastAsia="Calibri"/>
                <w:sz w:val="20"/>
                <w:szCs w:val="20"/>
              </w:rPr>
            </w:pPr>
          </w:p>
        </w:tc>
      </w:tr>
      <w:tr w:rsidR="00F12A36" w:rsidRPr="006D4413" w:rsidTr="00772CE7">
        <w:trPr>
          <w:cantSplit/>
        </w:trPr>
        <w:tc>
          <w:tcPr>
            <w:tcW w:w="2427" w:type="pct"/>
          </w:tcPr>
          <w:p w:rsidR="00F12A36" w:rsidRPr="006D4413" w:rsidRDefault="00F12A36" w:rsidP="004C3B4A">
            <w:pPr>
              <w:jc w:val="both"/>
              <w:rPr>
                <w:rFonts w:eastAsia="Calibri"/>
                <w:sz w:val="20"/>
                <w:szCs w:val="20"/>
              </w:rPr>
            </w:pPr>
            <w:r w:rsidRPr="006D4413">
              <w:rPr>
                <w:rFonts w:eastAsia="Calibri"/>
                <w:sz w:val="20"/>
                <w:szCs w:val="20"/>
              </w:rPr>
              <w:lastRenderedPageBreak/>
              <w:t>March 21, 2011</w:t>
            </w:r>
          </w:p>
          <w:p w:rsidR="00F12A36" w:rsidRPr="006D4413" w:rsidRDefault="00F12A36" w:rsidP="004C3B4A">
            <w:pPr>
              <w:jc w:val="both"/>
              <w:rPr>
                <w:rFonts w:eastAsia="Calibri"/>
                <w:sz w:val="20"/>
                <w:szCs w:val="20"/>
              </w:rPr>
            </w:pPr>
            <w:r w:rsidRPr="006D4413">
              <w:rPr>
                <w:rFonts w:eastAsia="Calibri"/>
                <w:sz w:val="20"/>
                <w:szCs w:val="20"/>
              </w:rPr>
              <w:t>Supreme Court of Canada</w:t>
            </w:r>
          </w:p>
        </w:tc>
        <w:tc>
          <w:tcPr>
            <w:tcW w:w="243" w:type="pct"/>
          </w:tcPr>
          <w:p w:rsidR="00F12A36" w:rsidRPr="006D4413" w:rsidRDefault="00F12A36" w:rsidP="004C3B4A">
            <w:pPr>
              <w:jc w:val="both"/>
              <w:rPr>
                <w:rFonts w:eastAsia="Calibri"/>
                <w:sz w:val="20"/>
                <w:szCs w:val="20"/>
              </w:rPr>
            </w:pPr>
          </w:p>
        </w:tc>
        <w:tc>
          <w:tcPr>
            <w:tcW w:w="2330" w:type="pct"/>
          </w:tcPr>
          <w:p w:rsidR="00F12A36" w:rsidRPr="006D4413" w:rsidRDefault="00F12A36" w:rsidP="004C3B4A">
            <w:pPr>
              <w:jc w:val="both"/>
              <w:rPr>
                <w:rFonts w:eastAsia="Calibri"/>
                <w:sz w:val="20"/>
                <w:szCs w:val="20"/>
              </w:rPr>
            </w:pPr>
            <w:r w:rsidRPr="006D4413">
              <w:rPr>
                <w:rFonts w:eastAsia="Calibri"/>
                <w:sz w:val="20"/>
                <w:szCs w:val="20"/>
              </w:rPr>
              <w:t>Application for leave to appeal filed</w:t>
            </w:r>
          </w:p>
          <w:p w:rsidR="00F12A36" w:rsidRPr="006D4413" w:rsidRDefault="00F12A36" w:rsidP="004C3B4A">
            <w:pPr>
              <w:jc w:val="both"/>
              <w:rPr>
                <w:rFonts w:eastAsia="Calibri"/>
                <w:sz w:val="20"/>
                <w:szCs w:val="20"/>
              </w:rPr>
            </w:pPr>
          </w:p>
        </w:tc>
      </w:tr>
    </w:tbl>
    <w:p w:rsidR="00C454C8" w:rsidRPr="00F12A36" w:rsidRDefault="00C454C8" w:rsidP="008D292F">
      <w:pPr>
        <w:rPr>
          <w:sz w:val="20"/>
          <w:szCs w:val="20"/>
        </w:rPr>
      </w:pPr>
    </w:p>
    <w:p w:rsidR="00C454C8" w:rsidRDefault="008754B5" w:rsidP="008D292F">
      <w:pPr>
        <w:rPr>
          <w:sz w:val="20"/>
          <w:szCs w:val="20"/>
          <w:lang w:val="fr-CA"/>
        </w:rPr>
      </w:pPr>
      <w:r w:rsidRPr="008754B5">
        <w:rPr>
          <w:sz w:val="20"/>
          <w:szCs w:val="20"/>
          <w:lang w:val="fr-CA"/>
        </w:rPr>
        <w:pict>
          <v:rect id="_x0000_i1041" style="width:2in;height:1pt" o:hrpct="0" o:hralign="center" o:hrstd="t" o:hrnoshade="t" o:hr="t" fillcolor="black [3213]" stroked="f"/>
        </w:pict>
      </w:r>
    </w:p>
    <w:p w:rsidR="00C454C8" w:rsidRDefault="00C454C8" w:rsidP="008D292F">
      <w:pPr>
        <w:rPr>
          <w:sz w:val="20"/>
          <w:szCs w:val="20"/>
          <w:lang w:val="fr-CA"/>
        </w:rPr>
      </w:pPr>
    </w:p>
    <w:p w:rsidR="00C454C8" w:rsidRPr="00517AED" w:rsidRDefault="00C454C8" w:rsidP="00C454C8">
      <w:pPr>
        <w:rPr>
          <w:sz w:val="20"/>
          <w:szCs w:val="20"/>
          <w:u w:val="single"/>
          <w:lang w:val="fr-CA"/>
        </w:rPr>
      </w:pPr>
      <w:r w:rsidRPr="00517AED">
        <w:rPr>
          <w:sz w:val="20"/>
          <w:szCs w:val="20"/>
          <w:u w:val="single"/>
          <w:lang w:val="fr-CA"/>
        </w:rPr>
        <w:t>RÉSUMÉ DE L’AFFAIRE</w:t>
      </w:r>
    </w:p>
    <w:p w:rsidR="00C454C8" w:rsidRDefault="00C454C8" w:rsidP="008D292F">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12A36" w:rsidRPr="008608D5" w:rsidTr="004C3B4A">
        <w:tc>
          <w:tcPr>
            <w:tcW w:w="5000" w:type="pct"/>
            <w:gridSpan w:val="3"/>
          </w:tcPr>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Droit administratif — Norme de contrôle — La Cour d’appel </w:t>
            </w:r>
            <w:proofErr w:type="spellStart"/>
            <w:r w:rsidRPr="006D4413">
              <w:rPr>
                <w:rFonts w:eastAsia="Calibri"/>
                <w:sz w:val="20"/>
                <w:szCs w:val="20"/>
                <w:lang w:val="fr-CA"/>
              </w:rPr>
              <w:t>a</w:t>
            </w:r>
            <w:r w:rsidRPr="006D4413">
              <w:rPr>
                <w:rFonts w:eastAsia="Calibri"/>
                <w:sz w:val="20"/>
                <w:szCs w:val="20"/>
                <w:lang w:val="fr-CA"/>
              </w:rPr>
              <w:noBreakHyphen/>
              <w:t>t</w:t>
            </w:r>
            <w:r w:rsidRPr="006D4413">
              <w:rPr>
                <w:rFonts w:eastAsia="Calibri"/>
                <w:sz w:val="20"/>
                <w:szCs w:val="20"/>
                <w:lang w:val="fr-CA"/>
              </w:rPr>
              <w:noBreakHyphen/>
              <w:t>elle</w:t>
            </w:r>
            <w:proofErr w:type="spellEnd"/>
            <w:r w:rsidRPr="006D4413">
              <w:rPr>
                <w:rFonts w:eastAsia="Calibri"/>
                <w:sz w:val="20"/>
                <w:szCs w:val="20"/>
                <w:lang w:val="fr-CA"/>
              </w:rPr>
              <w:t xml:space="preserve"> accordé suffisamment de déférence au Tribunal de la dotation de la fonction publique comme le voudrait la norme de contrôle de la décision raisonnable en ce qui a trait à l’interprétation de l’expression « abus de pouvoir »?</w:t>
            </w:r>
          </w:p>
        </w:tc>
      </w:tr>
      <w:tr w:rsidR="00F12A36" w:rsidRPr="008608D5" w:rsidTr="004C3B4A">
        <w:tc>
          <w:tcPr>
            <w:tcW w:w="5000" w:type="pct"/>
            <w:gridSpan w:val="3"/>
          </w:tcPr>
          <w:p w:rsidR="00F12A36" w:rsidRPr="006D4413" w:rsidRDefault="00F12A36" w:rsidP="004C3B4A">
            <w:pPr>
              <w:jc w:val="both"/>
              <w:rPr>
                <w:rFonts w:eastAsia="Calibri"/>
                <w:sz w:val="20"/>
                <w:szCs w:val="20"/>
                <w:lang w:val="fr-CA"/>
              </w:rPr>
            </w:pPr>
          </w:p>
        </w:tc>
      </w:tr>
      <w:tr w:rsidR="00F12A36" w:rsidRPr="008608D5" w:rsidTr="004C3B4A">
        <w:tc>
          <w:tcPr>
            <w:tcW w:w="5000" w:type="pct"/>
            <w:gridSpan w:val="3"/>
          </w:tcPr>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Monsieur Kane était au service du ministère des Ressources humaines et du Développement social — Service Canada, </w:t>
            </w:r>
            <w:proofErr w:type="spellStart"/>
            <w:r w:rsidRPr="006D4413">
              <w:rPr>
                <w:rFonts w:eastAsia="Calibri"/>
                <w:sz w:val="20"/>
                <w:szCs w:val="20"/>
                <w:lang w:val="fr-CA"/>
              </w:rPr>
              <w:t>Terre</w:t>
            </w:r>
            <w:r w:rsidRPr="006D4413">
              <w:rPr>
                <w:rFonts w:eastAsia="Calibri"/>
                <w:sz w:val="20"/>
                <w:szCs w:val="20"/>
                <w:lang w:val="fr-CA"/>
              </w:rPr>
              <w:noBreakHyphen/>
              <w:t>Neuve</w:t>
            </w:r>
            <w:proofErr w:type="spellEnd"/>
            <w:r w:rsidRPr="006D4413">
              <w:rPr>
                <w:rFonts w:eastAsia="Calibri"/>
                <w:sz w:val="20"/>
                <w:szCs w:val="20"/>
                <w:lang w:val="fr-CA"/>
              </w:rPr>
              <w:t xml:space="preserve"> au niveau PM</w:t>
            </w:r>
            <w:r w:rsidRPr="006D4413">
              <w:rPr>
                <w:rFonts w:eastAsia="Calibri"/>
                <w:sz w:val="20"/>
                <w:szCs w:val="20"/>
                <w:lang w:val="fr-CA"/>
              </w:rPr>
              <w:noBreakHyphen/>
              <w:t xml:space="preserve">05.  À la suite d’une réorganisation effectuée après la modernisation de la </w:t>
            </w:r>
            <w:r w:rsidRPr="006D4413">
              <w:rPr>
                <w:rFonts w:eastAsia="Calibri"/>
                <w:i/>
                <w:sz w:val="20"/>
                <w:szCs w:val="20"/>
                <w:lang w:val="fr-CA"/>
              </w:rPr>
              <w:t>Loi sur l’emploi dans la fonction publique</w:t>
            </w:r>
            <w:r w:rsidRPr="006D4413">
              <w:rPr>
                <w:rFonts w:eastAsia="Calibri"/>
                <w:sz w:val="20"/>
                <w:szCs w:val="20"/>
                <w:lang w:val="fr-CA"/>
              </w:rPr>
              <w:t>, L.C. 2003, ch. 22 « la Loi »), M. Kane a été muté à un poste de gestionnaire de la prestation des services (PM</w:t>
            </w:r>
            <w:r w:rsidRPr="006D4413">
              <w:rPr>
                <w:rFonts w:eastAsia="Calibri"/>
                <w:sz w:val="20"/>
                <w:szCs w:val="20"/>
                <w:lang w:val="fr-CA"/>
              </w:rPr>
              <w:noBreakHyphen/>
              <w:t>05) qui a été créé en août 2005.  Environ un mois plus tard, un examen pour déterminer les ressources nécessaires a été annoncé.  Cet examen a mené à la création de l’unité de soutien aux SCSEP, composée d’un gestionnaire régional (PM</w:t>
            </w:r>
            <w:r w:rsidRPr="006D4413">
              <w:rPr>
                <w:rFonts w:eastAsia="Calibri"/>
                <w:sz w:val="20"/>
                <w:szCs w:val="20"/>
                <w:lang w:val="fr-CA"/>
              </w:rPr>
              <w:noBreakHyphen/>
              <w:t>06) et de six employés (dont deux au niveau PM</w:t>
            </w:r>
            <w:r w:rsidRPr="006D4413">
              <w:rPr>
                <w:rFonts w:eastAsia="Calibri"/>
                <w:sz w:val="20"/>
                <w:szCs w:val="20"/>
                <w:lang w:val="fr-CA"/>
              </w:rPr>
              <w:noBreakHyphen/>
              <w:t>05).  Le Comité régional de gestion a choisi de doter les postes PM</w:t>
            </w:r>
            <w:r w:rsidRPr="006D4413">
              <w:rPr>
                <w:rFonts w:eastAsia="Calibri"/>
                <w:sz w:val="20"/>
                <w:szCs w:val="20"/>
                <w:lang w:val="fr-CA"/>
              </w:rPr>
              <w:noBreakHyphen/>
              <w:t xml:space="preserve">05 et </w:t>
            </w:r>
            <w:r w:rsidRPr="006D4413">
              <w:rPr>
                <w:rFonts w:eastAsia="Calibri"/>
                <w:sz w:val="20"/>
                <w:szCs w:val="20"/>
                <w:lang w:val="fr-CA"/>
              </w:rPr>
              <w:noBreakHyphen/>
              <w:t>06 par un processus annoncé de nomination interne.  Monsieur Kane a posé sa candidature au poste PM</w:t>
            </w:r>
            <w:r w:rsidRPr="006D4413">
              <w:rPr>
                <w:rFonts w:eastAsia="Calibri"/>
                <w:sz w:val="20"/>
                <w:szCs w:val="20"/>
                <w:lang w:val="fr-CA"/>
              </w:rPr>
              <w:noBreakHyphen/>
              <w:t xml:space="preserve">06 et a été évalué pour </w:t>
            </w:r>
            <w:proofErr w:type="spellStart"/>
            <w:r w:rsidRPr="006D4413">
              <w:rPr>
                <w:rFonts w:eastAsia="Calibri"/>
                <w:sz w:val="20"/>
                <w:szCs w:val="20"/>
                <w:lang w:val="fr-CA"/>
              </w:rPr>
              <w:t>celui</w:t>
            </w:r>
            <w:r w:rsidRPr="006D4413">
              <w:rPr>
                <w:rFonts w:eastAsia="Calibri"/>
                <w:sz w:val="20"/>
                <w:szCs w:val="20"/>
                <w:lang w:val="fr-CA"/>
              </w:rPr>
              <w:noBreakHyphen/>
              <w:t>ci</w:t>
            </w:r>
            <w:proofErr w:type="spellEnd"/>
            <w:r w:rsidRPr="006D4413">
              <w:rPr>
                <w:rFonts w:eastAsia="Calibri"/>
                <w:sz w:val="20"/>
                <w:szCs w:val="20"/>
                <w:lang w:val="fr-CA"/>
              </w:rPr>
              <w:t xml:space="preserve"> au moyen d’un test standardisé établi par la Commission.  En mars 2006, le poste de gestionnaire régional a été envoyé à la classification aux fins de révision.  Il a été classé au niveau PM</w:t>
            </w:r>
            <w:r w:rsidRPr="006D4413">
              <w:rPr>
                <w:rFonts w:eastAsia="Calibri"/>
                <w:sz w:val="20"/>
                <w:szCs w:val="20"/>
                <w:lang w:val="fr-CA"/>
              </w:rPr>
              <w:noBreakHyphen/>
              <w:t>06.  En mai 2006, M. Kane a été informé qu’il avait échoué le test standardisé et que sa candidature ne serait pas retenue pour le poste PM</w:t>
            </w:r>
            <w:r w:rsidRPr="006D4413">
              <w:rPr>
                <w:rFonts w:eastAsia="Calibri"/>
                <w:sz w:val="20"/>
                <w:szCs w:val="20"/>
                <w:lang w:val="fr-CA"/>
              </w:rPr>
              <w:noBreakHyphen/>
              <w:t>06.  Plus tard, il a été informé qu’à l’expiration de son affectation intérimaire, il continuerait à travailler au sein des SCSEP dans un poste PM</w:t>
            </w:r>
            <w:r w:rsidRPr="006D4413">
              <w:rPr>
                <w:rFonts w:eastAsia="Calibri"/>
                <w:sz w:val="20"/>
                <w:szCs w:val="20"/>
                <w:lang w:val="fr-CA"/>
              </w:rPr>
              <w:noBreakHyphen/>
              <w:t>05 ou bien il pourrait être placé sur une liste prioritaire pour occuper un poste PM</w:t>
            </w:r>
            <w:r w:rsidRPr="006D4413">
              <w:rPr>
                <w:rFonts w:eastAsia="Calibri"/>
                <w:sz w:val="20"/>
                <w:szCs w:val="20"/>
                <w:lang w:val="fr-CA"/>
              </w:rPr>
              <w:noBreakHyphen/>
              <w:t>05 qui se libérerait.  Peu de temps après, son poste d’attache a été déclaré excédentaire et il s’est vu offrir  un poste PM</w:t>
            </w:r>
            <w:r w:rsidRPr="006D4413">
              <w:rPr>
                <w:rFonts w:eastAsia="Calibri"/>
                <w:sz w:val="20"/>
                <w:szCs w:val="20"/>
                <w:lang w:val="fr-CA"/>
              </w:rPr>
              <w:noBreakHyphen/>
              <w:t>05 au sein des SCSEP.  Il a également accepté de demeurer temporairement en poste comme gestionnaire régional.</w:t>
            </w:r>
          </w:p>
          <w:p w:rsidR="00F12A36" w:rsidRPr="006D4413" w:rsidRDefault="00F12A36" w:rsidP="004C3B4A">
            <w:pPr>
              <w:jc w:val="both"/>
              <w:rPr>
                <w:rFonts w:eastAsia="Calibri"/>
                <w:sz w:val="20"/>
                <w:szCs w:val="20"/>
                <w:lang w:val="fr-CA"/>
              </w:rPr>
            </w:pPr>
          </w:p>
          <w:p w:rsidR="00F12A36" w:rsidRPr="006D4413" w:rsidRDefault="00F12A36" w:rsidP="004C3B4A">
            <w:pPr>
              <w:jc w:val="both"/>
              <w:rPr>
                <w:rFonts w:eastAsia="Calibri"/>
                <w:sz w:val="20"/>
                <w:szCs w:val="20"/>
                <w:lang w:val="fr-CA"/>
              </w:rPr>
            </w:pPr>
            <w:r w:rsidRPr="006D4413">
              <w:rPr>
                <w:rFonts w:eastAsia="Calibri"/>
                <w:sz w:val="20"/>
                <w:szCs w:val="20"/>
                <w:lang w:val="fr-CA"/>
              </w:rPr>
              <w:t>Monsieur Kane a porté plainte au Tribunal alléguant un abus de pouvoir contraire à la Loi.  Le Tribunal a conclu qu’il n’y avait eu aucun abus de pouvoir dans le choix de doter le poste de gestionnaire régional par un processus annoncé de nomination interne ou dans la décision de ne pas nommer M. Kane au poste.  La Cour d’appel a rejeté la demande de contrôle judiciaire.  La Cour d’appel fédérale a accueilli l’appel, annulé la décision de la Cour fédérale, accueilli la demande de contrôle judiciaire, annulé la décision du Tribunal et renvoyé la question au Tribunal, différemment constitué, pour qu’il procède à un nouvel examen de la plainte de M. Kane.</w:t>
            </w:r>
          </w:p>
          <w:p w:rsidR="00F12A36" w:rsidRPr="006D4413" w:rsidRDefault="00F12A36" w:rsidP="004C3B4A">
            <w:pPr>
              <w:jc w:val="both"/>
              <w:rPr>
                <w:rFonts w:eastAsia="Calibri"/>
                <w:sz w:val="20"/>
                <w:szCs w:val="20"/>
                <w:lang w:val="fr-CA"/>
              </w:rPr>
            </w:pPr>
          </w:p>
        </w:tc>
      </w:tr>
      <w:tr w:rsidR="00F12A36" w:rsidRPr="006D4413" w:rsidTr="004C3B4A">
        <w:tc>
          <w:tcPr>
            <w:tcW w:w="2427"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21 juillet 2009</w:t>
            </w:r>
          </w:p>
          <w:p w:rsidR="00F12A36" w:rsidRPr="006D4413" w:rsidRDefault="00F12A36" w:rsidP="004C3B4A">
            <w:pPr>
              <w:jc w:val="both"/>
              <w:rPr>
                <w:rFonts w:eastAsia="Calibri"/>
                <w:sz w:val="20"/>
                <w:szCs w:val="20"/>
                <w:lang w:val="fr-CA"/>
              </w:rPr>
            </w:pPr>
            <w:r w:rsidRPr="006D4413">
              <w:rPr>
                <w:rFonts w:eastAsia="Calibri"/>
                <w:sz w:val="20"/>
                <w:szCs w:val="20"/>
                <w:lang w:val="fr-CA"/>
              </w:rPr>
              <w:t>Cour fédérale</w:t>
            </w:r>
          </w:p>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(Juge </w:t>
            </w:r>
            <w:proofErr w:type="spellStart"/>
            <w:r w:rsidRPr="006D4413">
              <w:rPr>
                <w:rFonts w:eastAsia="Calibri"/>
                <w:sz w:val="20"/>
                <w:szCs w:val="20"/>
                <w:lang w:val="fr-CA"/>
              </w:rPr>
              <w:t>Heneghan</w:t>
            </w:r>
            <w:proofErr w:type="spellEnd"/>
            <w:r w:rsidRPr="006D4413">
              <w:rPr>
                <w:rFonts w:eastAsia="Calibri"/>
                <w:sz w:val="20"/>
                <w:szCs w:val="20"/>
                <w:lang w:val="fr-CA"/>
              </w:rPr>
              <w:t>)</w:t>
            </w:r>
          </w:p>
          <w:p w:rsidR="00F12A36" w:rsidRPr="006D4413" w:rsidRDefault="00F12A36" w:rsidP="004C3B4A">
            <w:pPr>
              <w:jc w:val="both"/>
              <w:rPr>
                <w:rFonts w:eastAsia="Calibri"/>
                <w:sz w:val="20"/>
                <w:szCs w:val="20"/>
                <w:lang w:val="fr-CA"/>
              </w:rPr>
            </w:pPr>
            <w:r w:rsidRPr="006D4413">
              <w:rPr>
                <w:rFonts w:eastAsia="Calibri"/>
                <w:sz w:val="20"/>
                <w:szCs w:val="20"/>
                <w:lang w:val="fr-CA"/>
              </w:rPr>
              <w:t>Référence neutre : 2009 FC 740</w:t>
            </w:r>
          </w:p>
          <w:p w:rsidR="00F12A36" w:rsidRPr="006D4413" w:rsidRDefault="00F12A36" w:rsidP="004C3B4A">
            <w:pPr>
              <w:jc w:val="both"/>
              <w:rPr>
                <w:rFonts w:eastAsia="Calibri"/>
                <w:sz w:val="20"/>
                <w:szCs w:val="20"/>
                <w:lang w:val="fr-CA"/>
              </w:rPr>
            </w:pPr>
          </w:p>
        </w:tc>
        <w:tc>
          <w:tcPr>
            <w:tcW w:w="243" w:type="pct"/>
          </w:tcPr>
          <w:p w:rsidR="00F12A36" w:rsidRPr="006D4413" w:rsidRDefault="00F12A36" w:rsidP="004C3B4A">
            <w:pPr>
              <w:jc w:val="both"/>
              <w:rPr>
                <w:rFonts w:eastAsia="Calibri"/>
                <w:sz w:val="20"/>
                <w:szCs w:val="20"/>
                <w:lang w:val="fr-CA"/>
              </w:rPr>
            </w:pPr>
          </w:p>
        </w:tc>
        <w:tc>
          <w:tcPr>
            <w:tcW w:w="2330"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Demande de contrôle judiciaire, rejetée</w:t>
            </w:r>
          </w:p>
          <w:p w:rsidR="00F12A36" w:rsidRPr="006D4413" w:rsidRDefault="00F12A36" w:rsidP="004C3B4A">
            <w:pPr>
              <w:jc w:val="both"/>
              <w:rPr>
                <w:rFonts w:eastAsia="Calibri"/>
                <w:sz w:val="20"/>
                <w:szCs w:val="20"/>
                <w:lang w:val="fr-CA"/>
              </w:rPr>
            </w:pPr>
          </w:p>
        </w:tc>
      </w:tr>
      <w:tr w:rsidR="00F12A36" w:rsidRPr="008608D5" w:rsidTr="004C3B4A">
        <w:tc>
          <w:tcPr>
            <w:tcW w:w="2427"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19 janvier 2011</w:t>
            </w:r>
          </w:p>
          <w:p w:rsidR="00F12A36" w:rsidRPr="006D4413" w:rsidRDefault="00F12A36" w:rsidP="004C3B4A">
            <w:pPr>
              <w:jc w:val="both"/>
              <w:rPr>
                <w:rFonts w:eastAsia="Calibri"/>
                <w:sz w:val="20"/>
                <w:szCs w:val="20"/>
                <w:lang w:val="fr-CA"/>
              </w:rPr>
            </w:pPr>
            <w:r w:rsidRPr="006D4413">
              <w:rPr>
                <w:rFonts w:eastAsia="Calibri"/>
                <w:sz w:val="20"/>
                <w:szCs w:val="20"/>
                <w:lang w:val="fr-CA"/>
              </w:rPr>
              <w:t>Cour d’appel fédérale</w:t>
            </w:r>
          </w:p>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(Juges Evans, Dawson et </w:t>
            </w:r>
            <w:proofErr w:type="spellStart"/>
            <w:r w:rsidRPr="006D4413">
              <w:rPr>
                <w:rFonts w:eastAsia="Calibri"/>
                <w:sz w:val="20"/>
                <w:szCs w:val="20"/>
                <w:lang w:val="fr-CA"/>
              </w:rPr>
              <w:t>Stratas</w:t>
            </w:r>
            <w:proofErr w:type="spellEnd"/>
            <w:r w:rsidRPr="006D4413">
              <w:rPr>
                <w:rFonts w:eastAsia="Calibri"/>
                <w:sz w:val="20"/>
                <w:szCs w:val="20"/>
                <w:lang w:val="fr-CA"/>
              </w:rPr>
              <w:t xml:space="preserve"> [dissident])</w:t>
            </w:r>
          </w:p>
          <w:p w:rsidR="00F12A36" w:rsidRPr="006D4413" w:rsidRDefault="00F12A36" w:rsidP="004C3B4A">
            <w:pPr>
              <w:jc w:val="both"/>
              <w:rPr>
                <w:rFonts w:eastAsia="Calibri"/>
                <w:sz w:val="20"/>
                <w:szCs w:val="20"/>
                <w:lang w:val="fr-CA"/>
              </w:rPr>
            </w:pPr>
            <w:r w:rsidRPr="006D4413">
              <w:rPr>
                <w:rFonts w:eastAsia="Calibri"/>
                <w:sz w:val="20"/>
                <w:szCs w:val="20"/>
                <w:lang w:val="fr-CA"/>
              </w:rPr>
              <w:t>Référence neutre : 2011 FCA 19</w:t>
            </w:r>
          </w:p>
        </w:tc>
        <w:tc>
          <w:tcPr>
            <w:tcW w:w="243" w:type="pct"/>
          </w:tcPr>
          <w:p w:rsidR="00F12A36" w:rsidRPr="006D4413" w:rsidRDefault="00F12A36" w:rsidP="004C3B4A">
            <w:pPr>
              <w:jc w:val="both"/>
              <w:rPr>
                <w:rFonts w:eastAsia="Calibri"/>
                <w:sz w:val="20"/>
                <w:szCs w:val="20"/>
                <w:lang w:val="fr-CA"/>
              </w:rPr>
            </w:pPr>
          </w:p>
        </w:tc>
        <w:tc>
          <w:tcPr>
            <w:tcW w:w="2330"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Appel accueilli; demande de contrôle judiciaire accueillie; décision du Tribunal annulée; affaire renvoyée au Tribunal différemment constitué pour un nouvel examen</w:t>
            </w:r>
          </w:p>
          <w:p w:rsidR="00F12A36" w:rsidRPr="006D4413" w:rsidRDefault="00F12A36" w:rsidP="004C3B4A">
            <w:pPr>
              <w:jc w:val="both"/>
              <w:rPr>
                <w:rFonts w:eastAsia="Calibri"/>
                <w:sz w:val="20"/>
                <w:szCs w:val="20"/>
                <w:lang w:val="fr-CA"/>
              </w:rPr>
            </w:pPr>
          </w:p>
        </w:tc>
      </w:tr>
      <w:tr w:rsidR="00F12A36" w:rsidRPr="006D4413" w:rsidTr="004C3B4A">
        <w:tc>
          <w:tcPr>
            <w:tcW w:w="2427"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21 mars 2011</w:t>
            </w:r>
          </w:p>
          <w:p w:rsidR="00F12A36" w:rsidRPr="006D4413" w:rsidRDefault="00F12A36" w:rsidP="004C3B4A">
            <w:pPr>
              <w:jc w:val="both"/>
              <w:rPr>
                <w:rFonts w:eastAsia="Calibri"/>
                <w:sz w:val="20"/>
                <w:szCs w:val="20"/>
                <w:lang w:val="fr-CA"/>
              </w:rPr>
            </w:pPr>
            <w:r w:rsidRPr="006D4413">
              <w:rPr>
                <w:rFonts w:eastAsia="Calibri"/>
                <w:sz w:val="20"/>
                <w:szCs w:val="20"/>
                <w:lang w:val="fr-CA"/>
              </w:rPr>
              <w:t>Cour suprême du Canada</w:t>
            </w:r>
          </w:p>
        </w:tc>
        <w:tc>
          <w:tcPr>
            <w:tcW w:w="243" w:type="pct"/>
          </w:tcPr>
          <w:p w:rsidR="00F12A36" w:rsidRPr="006D4413" w:rsidRDefault="00F12A36" w:rsidP="004C3B4A">
            <w:pPr>
              <w:jc w:val="both"/>
              <w:rPr>
                <w:rFonts w:eastAsia="Calibri"/>
                <w:sz w:val="20"/>
                <w:szCs w:val="20"/>
                <w:lang w:val="fr-CA"/>
              </w:rPr>
            </w:pPr>
          </w:p>
        </w:tc>
        <w:tc>
          <w:tcPr>
            <w:tcW w:w="2330"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Demande d’autorisation d’appel, déposée</w:t>
            </w:r>
          </w:p>
          <w:p w:rsidR="00F12A36" w:rsidRPr="006D4413" w:rsidRDefault="00F12A36" w:rsidP="004C3B4A">
            <w:pPr>
              <w:jc w:val="both"/>
              <w:rPr>
                <w:rFonts w:eastAsia="Calibri"/>
                <w:sz w:val="20"/>
                <w:szCs w:val="20"/>
                <w:lang w:val="fr-CA"/>
              </w:rPr>
            </w:pPr>
          </w:p>
        </w:tc>
      </w:tr>
    </w:tbl>
    <w:p w:rsidR="00C454C8" w:rsidRDefault="00C454C8" w:rsidP="008D292F">
      <w:pPr>
        <w:rPr>
          <w:sz w:val="20"/>
          <w:szCs w:val="20"/>
          <w:lang w:val="fr-CA"/>
        </w:rPr>
      </w:pPr>
    </w:p>
    <w:p w:rsidR="00C454C8" w:rsidRDefault="008754B5" w:rsidP="008D292F">
      <w:pPr>
        <w:rPr>
          <w:sz w:val="20"/>
          <w:szCs w:val="20"/>
          <w:lang w:val="fr-CA"/>
        </w:rPr>
      </w:pPr>
      <w:r w:rsidRPr="008754B5">
        <w:rPr>
          <w:sz w:val="20"/>
          <w:szCs w:val="20"/>
          <w:lang w:val="fr-CA"/>
        </w:rPr>
        <w:pict>
          <v:rect id="_x0000_i1042" style="width:2in;height:1pt" o:hrpct="0" o:hralign="center" o:hrstd="t" o:hrnoshade="t" o:hr="t" fillcolor="black [3213]" stroked="f"/>
        </w:pict>
      </w:r>
    </w:p>
    <w:p w:rsidR="00C454C8" w:rsidRPr="00C454C8" w:rsidRDefault="00C454C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69A8" w:rsidRPr="002622ED" w:rsidTr="00A27223">
        <w:trPr>
          <w:cantSplit/>
        </w:trPr>
        <w:tc>
          <w:tcPr>
            <w:tcW w:w="1458" w:type="dxa"/>
          </w:tcPr>
          <w:p w:rsidR="009569A8" w:rsidRPr="002622ED" w:rsidRDefault="009569A8" w:rsidP="00A27223">
            <w:pPr>
              <w:rPr>
                <w:sz w:val="20"/>
                <w:szCs w:val="20"/>
              </w:rPr>
            </w:pPr>
            <w:r w:rsidRPr="002622ED">
              <w:rPr>
                <w:rStyle w:val="SCCFileNumberChar"/>
                <w:sz w:val="20"/>
                <w:szCs w:val="20"/>
              </w:rPr>
              <w:lastRenderedPageBreak/>
              <w:t>34215</w:t>
            </w:r>
          </w:p>
          <w:p w:rsidR="009569A8" w:rsidRPr="002622ED" w:rsidRDefault="009569A8" w:rsidP="00A27223">
            <w:pPr>
              <w:rPr>
                <w:b/>
                <w:sz w:val="20"/>
                <w:szCs w:val="20"/>
                <w:lang w:val="fr-CA"/>
              </w:rPr>
            </w:pPr>
          </w:p>
        </w:tc>
        <w:tc>
          <w:tcPr>
            <w:tcW w:w="8118" w:type="dxa"/>
          </w:tcPr>
          <w:p w:rsidR="009569A8" w:rsidRPr="002622ED" w:rsidRDefault="009569A8" w:rsidP="00A27223">
            <w:pPr>
              <w:rPr>
                <w:sz w:val="20"/>
                <w:szCs w:val="20"/>
              </w:rPr>
            </w:pPr>
            <w:proofErr w:type="spellStart"/>
            <w:r w:rsidRPr="009569A8">
              <w:rPr>
                <w:rStyle w:val="SCCLsocChar"/>
                <w:sz w:val="20"/>
                <w:szCs w:val="20"/>
                <w:lang w:val="en-CA"/>
              </w:rPr>
              <w:t>Pétroles</w:t>
            </w:r>
            <w:proofErr w:type="spellEnd"/>
            <w:r w:rsidRPr="009569A8">
              <w:rPr>
                <w:rStyle w:val="SCCLsocChar"/>
                <w:sz w:val="20"/>
                <w:szCs w:val="20"/>
                <w:lang w:val="en-CA"/>
              </w:rPr>
              <w:t xml:space="preserve"> </w:t>
            </w:r>
            <w:proofErr w:type="spellStart"/>
            <w:r w:rsidRPr="009569A8">
              <w:rPr>
                <w:rStyle w:val="SCCLsocChar"/>
                <w:sz w:val="20"/>
                <w:szCs w:val="20"/>
                <w:lang w:val="en-CA"/>
              </w:rPr>
              <w:t>Dupont</w:t>
            </w:r>
            <w:proofErr w:type="spellEnd"/>
            <w:r w:rsidRPr="009569A8">
              <w:rPr>
                <w:rStyle w:val="SCCLsocChar"/>
                <w:sz w:val="20"/>
                <w:szCs w:val="20"/>
                <w:lang w:val="en-CA"/>
              </w:rPr>
              <w:t xml:space="preserve"> Inc. v. Her Majesty the Queen</w:t>
            </w:r>
            <w:r w:rsidRPr="002622ED">
              <w:rPr>
                <w:sz w:val="20"/>
                <w:szCs w:val="20"/>
              </w:rPr>
              <w:t xml:space="preserve"> (F.C.) (Civil) (By Leave)</w:t>
            </w:r>
          </w:p>
          <w:p w:rsidR="009569A8" w:rsidRPr="002622ED" w:rsidRDefault="009569A8" w:rsidP="00A27223">
            <w:pPr>
              <w:rPr>
                <w:sz w:val="20"/>
                <w:szCs w:val="20"/>
              </w:rPr>
            </w:pPr>
          </w:p>
        </w:tc>
      </w:tr>
      <w:tr w:rsidR="009569A8" w:rsidRPr="002622ED" w:rsidTr="00A27223">
        <w:trPr>
          <w:cantSplit/>
        </w:trPr>
        <w:tc>
          <w:tcPr>
            <w:tcW w:w="1458" w:type="dxa"/>
          </w:tcPr>
          <w:p w:rsidR="009569A8" w:rsidRPr="002622ED" w:rsidRDefault="009569A8" w:rsidP="00A27223">
            <w:pPr>
              <w:rPr>
                <w:sz w:val="20"/>
                <w:szCs w:val="20"/>
              </w:rPr>
            </w:pPr>
            <w:r w:rsidRPr="002622ED">
              <w:rPr>
                <w:sz w:val="20"/>
                <w:szCs w:val="20"/>
              </w:rPr>
              <w:t>Coram :</w:t>
            </w:r>
          </w:p>
        </w:tc>
        <w:tc>
          <w:tcPr>
            <w:tcW w:w="8118" w:type="dxa"/>
          </w:tcPr>
          <w:p w:rsidR="009569A8" w:rsidRPr="002622ED" w:rsidRDefault="009569A8" w:rsidP="00A27223">
            <w:pPr>
              <w:rPr>
                <w:sz w:val="20"/>
                <w:szCs w:val="20"/>
              </w:rPr>
            </w:pPr>
            <w:proofErr w:type="spellStart"/>
            <w:r w:rsidRPr="009569A8">
              <w:rPr>
                <w:rStyle w:val="SCCCoramChar"/>
                <w:sz w:val="20"/>
                <w:szCs w:val="20"/>
                <w:lang w:val="en-CA"/>
              </w:rPr>
              <w:t>LeBel</w:t>
            </w:r>
            <w:proofErr w:type="spellEnd"/>
            <w:r w:rsidRPr="009569A8">
              <w:rPr>
                <w:rStyle w:val="SCCCoramChar"/>
                <w:sz w:val="20"/>
                <w:szCs w:val="20"/>
                <w:lang w:val="en-CA"/>
              </w:rPr>
              <w:t>, Fish and Cromwell JJ.</w:t>
            </w:r>
          </w:p>
          <w:p w:rsidR="009569A8" w:rsidRPr="002622ED" w:rsidRDefault="009569A8" w:rsidP="00A27223">
            <w:pPr>
              <w:rPr>
                <w:sz w:val="20"/>
                <w:szCs w:val="20"/>
                <w:u w:val="single"/>
              </w:rPr>
            </w:pPr>
          </w:p>
        </w:tc>
      </w:tr>
      <w:tr w:rsidR="009569A8" w:rsidRPr="008608D5" w:rsidTr="00A27223">
        <w:trPr>
          <w:cantSplit/>
        </w:trPr>
        <w:tc>
          <w:tcPr>
            <w:tcW w:w="9576" w:type="dxa"/>
            <w:gridSpan w:val="2"/>
          </w:tcPr>
          <w:p w:rsidR="009569A8" w:rsidRPr="002622ED" w:rsidRDefault="009569A8" w:rsidP="00A27223">
            <w:pPr>
              <w:pStyle w:val="SCCShortJudgment"/>
              <w:rPr>
                <w:szCs w:val="20"/>
              </w:rPr>
            </w:pPr>
            <w:r w:rsidRPr="002622ED">
              <w:rPr>
                <w:szCs w:val="20"/>
              </w:rPr>
              <w:t>The application for leave to appeal from the judgment of the Federal Court of Appeal, Number A-68-10, 2011 FCA 65, dated February 21, 2011, is dismissed with costs.</w:t>
            </w:r>
          </w:p>
          <w:p w:rsidR="009569A8" w:rsidRPr="002622ED" w:rsidRDefault="009569A8" w:rsidP="00A27223">
            <w:pPr>
              <w:pStyle w:val="SCCShortJudgment"/>
              <w:ind w:firstLine="0"/>
              <w:rPr>
                <w:szCs w:val="20"/>
              </w:rPr>
            </w:pPr>
          </w:p>
          <w:p w:rsidR="009569A8" w:rsidRPr="002622ED" w:rsidRDefault="009569A8" w:rsidP="00A27223">
            <w:pPr>
              <w:pStyle w:val="SCCShortJudgment"/>
              <w:rPr>
                <w:szCs w:val="20"/>
                <w:lang w:val="fr-CA"/>
              </w:rPr>
            </w:pPr>
            <w:r w:rsidRPr="002622ED">
              <w:rPr>
                <w:szCs w:val="20"/>
                <w:lang w:val="fr-CA"/>
              </w:rPr>
              <w:t>La demande d’autorisation d’appel de l’arrêt de la Cour d’appel fédérale, numéro A-68-10, 2011 CAF 65, daté du 21 février 2011, est rejetée avec dépens.</w:t>
            </w:r>
          </w:p>
        </w:tc>
      </w:tr>
    </w:tbl>
    <w:p w:rsidR="00C454C8" w:rsidRDefault="00C454C8" w:rsidP="00C454C8">
      <w:pPr>
        <w:rPr>
          <w:sz w:val="20"/>
          <w:szCs w:val="20"/>
          <w:lang w:val="fr-CA"/>
        </w:rPr>
      </w:pPr>
    </w:p>
    <w:p w:rsidR="00C454C8" w:rsidRPr="00517AED" w:rsidRDefault="00C454C8" w:rsidP="00C454C8">
      <w:pPr>
        <w:rPr>
          <w:sz w:val="20"/>
          <w:szCs w:val="20"/>
          <w:u w:val="single"/>
        </w:rPr>
      </w:pPr>
      <w:r w:rsidRPr="00517AED">
        <w:rPr>
          <w:sz w:val="20"/>
          <w:szCs w:val="20"/>
          <w:u w:val="single"/>
        </w:rPr>
        <w:t>CASE SUMMARY</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12A36" w:rsidRPr="006D4413" w:rsidTr="004C3B4A">
        <w:tc>
          <w:tcPr>
            <w:tcW w:w="5000" w:type="pct"/>
            <w:gridSpan w:val="3"/>
          </w:tcPr>
          <w:p w:rsidR="00F12A36" w:rsidRPr="006D4413" w:rsidRDefault="00F12A36" w:rsidP="004C3B4A">
            <w:pPr>
              <w:jc w:val="both"/>
              <w:rPr>
                <w:rFonts w:eastAsia="Calibri"/>
                <w:sz w:val="20"/>
                <w:szCs w:val="20"/>
              </w:rPr>
            </w:pPr>
            <w:r w:rsidRPr="006D4413">
              <w:rPr>
                <w:rFonts w:eastAsia="Calibri"/>
                <w:sz w:val="20"/>
                <w:szCs w:val="20"/>
              </w:rPr>
              <w:t xml:space="preserve">Taxation — Customs and excise — Legislation — Interpretation — Excise tax on diesel fuel — Diesel fuel defined as “fuel oil . . . other than such fuel oil that is intended for use and actually used as heating oil” — Heating oil purchased as such by distributor and resold for use in internal combustion engines — Whether diesel fuel tax should be collected and remitted by distributor — </w:t>
            </w:r>
            <w:r w:rsidRPr="006D4413">
              <w:rPr>
                <w:rFonts w:eastAsia="Calibri"/>
                <w:i/>
                <w:sz w:val="20"/>
                <w:szCs w:val="20"/>
              </w:rPr>
              <w:t>Excise Tax Act</w:t>
            </w:r>
            <w:r w:rsidRPr="006D4413">
              <w:rPr>
                <w:rFonts w:eastAsia="Calibri"/>
                <w:sz w:val="20"/>
                <w:szCs w:val="20"/>
              </w:rPr>
              <w:t>, R.S.C. 1985, c. E-15, ss. 2(1) “diesel fuel” and 23(1), (2) and (9.1).</w:t>
            </w:r>
          </w:p>
        </w:tc>
      </w:tr>
      <w:tr w:rsidR="00F12A36" w:rsidRPr="006D4413" w:rsidTr="004C3B4A">
        <w:tc>
          <w:tcPr>
            <w:tcW w:w="5000" w:type="pct"/>
            <w:gridSpan w:val="3"/>
          </w:tcPr>
          <w:p w:rsidR="00F12A36" w:rsidRPr="006D4413" w:rsidRDefault="00F12A36" w:rsidP="004C3B4A">
            <w:pPr>
              <w:jc w:val="both"/>
              <w:rPr>
                <w:rFonts w:eastAsia="Calibri"/>
                <w:sz w:val="20"/>
                <w:szCs w:val="20"/>
              </w:rPr>
            </w:pPr>
          </w:p>
        </w:tc>
      </w:tr>
      <w:tr w:rsidR="00F12A36" w:rsidRPr="006D4413" w:rsidTr="004C3B4A">
        <w:tc>
          <w:tcPr>
            <w:tcW w:w="5000" w:type="pct"/>
            <w:gridSpan w:val="3"/>
          </w:tcPr>
          <w:p w:rsidR="00F12A36" w:rsidRPr="006D4413" w:rsidRDefault="00F12A36" w:rsidP="004C3B4A">
            <w:pPr>
              <w:jc w:val="both"/>
              <w:rPr>
                <w:rFonts w:eastAsia="Calibri"/>
                <w:sz w:val="20"/>
                <w:szCs w:val="20"/>
              </w:rPr>
            </w:pPr>
            <w:r w:rsidRPr="006D4413">
              <w:rPr>
                <w:rFonts w:eastAsia="Calibri"/>
                <w:sz w:val="20"/>
                <w:szCs w:val="20"/>
              </w:rPr>
              <w:t xml:space="preserve">Pursuant to s. 23(1) and (2) of the </w:t>
            </w:r>
            <w:r w:rsidRPr="006D4413">
              <w:rPr>
                <w:rFonts w:eastAsia="Calibri"/>
                <w:i/>
                <w:sz w:val="20"/>
                <w:szCs w:val="20"/>
              </w:rPr>
              <w:t>Excise Tax Act</w:t>
            </w:r>
            <w:r w:rsidRPr="006D4413">
              <w:rPr>
                <w:rFonts w:eastAsia="Calibri"/>
                <w:sz w:val="20"/>
                <w:szCs w:val="20"/>
              </w:rPr>
              <w:t>, the sale of diesel fuel used in internal combustion engines of the compression-ignition type is subject to a tax of $0.04 per litre, to be collected and remitted to the Minister of National Revenue by the manufacturer or producer at the time of delivery of the goods to the purchaser. “Diesel fuel” is defined at s. 2(1) as:  “any fuel oil . . . other than such fuel oil that is intended for use and actually used as heating oil”.  The term “heating oil” is undefined, but it includes furnace, stove and diesel oil. Heating oil can be used interchangeably for heating purposes or as diesel fuel.  Pursuant to s. 23(9.1), when fuel has been purchased for a use for which the diesel fuel tax is not payable and the purchaser sells or appropriates the fuel “for a purpose for which the fuel could not have been purchased . . . without payment of the tax at the time he purchased [it]”, then the diesel fuel tax is payable by the person who sells or appropriates the fuel at the time of delivery or appropriation.</w:t>
            </w:r>
          </w:p>
          <w:p w:rsidR="00F12A36" w:rsidRPr="006D4413" w:rsidRDefault="00F12A36" w:rsidP="004C3B4A">
            <w:pPr>
              <w:jc w:val="both"/>
              <w:rPr>
                <w:rFonts w:eastAsia="Calibri"/>
                <w:sz w:val="20"/>
                <w:szCs w:val="20"/>
              </w:rPr>
            </w:pPr>
          </w:p>
          <w:p w:rsidR="00F12A36" w:rsidRPr="006D4413" w:rsidRDefault="00F12A36" w:rsidP="004C3B4A">
            <w:pPr>
              <w:jc w:val="both"/>
              <w:rPr>
                <w:rFonts w:eastAsia="Calibri"/>
                <w:sz w:val="20"/>
                <w:szCs w:val="20"/>
              </w:rPr>
            </w:pPr>
            <w:r w:rsidRPr="006D4413">
              <w:rPr>
                <w:rFonts w:eastAsia="Calibri"/>
                <w:sz w:val="20"/>
                <w:szCs w:val="20"/>
              </w:rPr>
              <w:t xml:space="preserve">The applicant </w:t>
            </w:r>
            <w:proofErr w:type="spellStart"/>
            <w:r w:rsidRPr="006D4413">
              <w:rPr>
                <w:rFonts w:eastAsia="Calibri"/>
                <w:sz w:val="20"/>
                <w:szCs w:val="20"/>
              </w:rPr>
              <w:t>Dupont</w:t>
            </w:r>
            <w:proofErr w:type="spellEnd"/>
            <w:r w:rsidRPr="006D4413">
              <w:rPr>
                <w:rFonts w:eastAsia="Calibri"/>
                <w:sz w:val="20"/>
                <w:szCs w:val="20"/>
              </w:rPr>
              <w:t xml:space="preserve"> distributes diesel fuel and heating oil, and sometimes, when a customer orders fuel oil for use in internal combustion engines and </w:t>
            </w:r>
            <w:proofErr w:type="spellStart"/>
            <w:r w:rsidRPr="006D4413">
              <w:rPr>
                <w:rFonts w:eastAsia="Calibri"/>
                <w:sz w:val="20"/>
                <w:szCs w:val="20"/>
              </w:rPr>
              <w:t>Dupont’s</w:t>
            </w:r>
            <w:proofErr w:type="spellEnd"/>
            <w:r w:rsidRPr="006D4413">
              <w:rPr>
                <w:rFonts w:eastAsia="Calibri"/>
                <w:sz w:val="20"/>
                <w:szCs w:val="20"/>
              </w:rPr>
              <w:t xml:space="preserve"> tankers contain only heating oil, </w:t>
            </w:r>
            <w:proofErr w:type="spellStart"/>
            <w:r w:rsidRPr="006D4413">
              <w:rPr>
                <w:rFonts w:eastAsia="Calibri"/>
                <w:sz w:val="20"/>
                <w:szCs w:val="20"/>
              </w:rPr>
              <w:t>Dupont</w:t>
            </w:r>
            <w:proofErr w:type="spellEnd"/>
            <w:r w:rsidRPr="006D4413">
              <w:rPr>
                <w:rFonts w:eastAsia="Calibri"/>
                <w:sz w:val="20"/>
                <w:szCs w:val="20"/>
              </w:rPr>
              <w:t xml:space="preserve"> sells and delivers that oil instead.  The issue in this case is whether, when this happens, the diesel fuel tax should be remitted by </w:t>
            </w:r>
            <w:proofErr w:type="spellStart"/>
            <w:r w:rsidRPr="006D4413">
              <w:rPr>
                <w:rFonts w:eastAsia="Calibri"/>
                <w:sz w:val="20"/>
                <w:szCs w:val="20"/>
              </w:rPr>
              <w:t>Dupont</w:t>
            </w:r>
            <w:proofErr w:type="spellEnd"/>
            <w:r w:rsidRPr="006D4413">
              <w:rPr>
                <w:rFonts w:eastAsia="Calibri"/>
                <w:sz w:val="20"/>
                <w:szCs w:val="20"/>
              </w:rPr>
              <w:t xml:space="preserve"> at the time of delivery pursuant to ss. 2(1) “diesel fuel” and 23(9.1).  The lower courts answered “yes”, noting that the issue had been correctly decided in </w:t>
            </w:r>
            <w:r w:rsidRPr="006D4413">
              <w:rPr>
                <w:rFonts w:eastAsia="Calibri"/>
                <w:i/>
                <w:sz w:val="20"/>
                <w:szCs w:val="20"/>
              </w:rPr>
              <w:t>W.O. Stinson &amp; Son Ltd. v. Canada (Minister of National Revenue — M.N.R.)</w:t>
            </w:r>
            <w:r w:rsidRPr="006D4413">
              <w:rPr>
                <w:rFonts w:eastAsia="Calibri"/>
                <w:sz w:val="20"/>
                <w:szCs w:val="20"/>
              </w:rPr>
              <w:t>, 2005 FC 1437.</w:t>
            </w:r>
          </w:p>
          <w:p w:rsidR="00F12A36" w:rsidRPr="006D4413" w:rsidRDefault="00F12A36" w:rsidP="004C3B4A">
            <w:pPr>
              <w:jc w:val="both"/>
              <w:rPr>
                <w:rFonts w:eastAsia="Calibri"/>
                <w:sz w:val="20"/>
                <w:szCs w:val="20"/>
              </w:rPr>
            </w:pPr>
          </w:p>
        </w:tc>
      </w:tr>
      <w:tr w:rsidR="00F12A36" w:rsidRPr="006D4413" w:rsidTr="004C3B4A">
        <w:tc>
          <w:tcPr>
            <w:tcW w:w="2427" w:type="pct"/>
          </w:tcPr>
          <w:p w:rsidR="00F12A36" w:rsidRPr="006D4413" w:rsidRDefault="00F12A36" w:rsidP="004C3B4A">
            <w:pPr>
              <w:jc w:val="both"/>
              <w:rPr>
                <w:rFonts w:eastAsia="Calibri"/>
                <w:sz w:val="20"/>
                <w:szCs w:val="20"/>
              </w:rPr>
            </w:pPr>
            <w:r w:rsidRPr="006D4413">
              <w:rPr>
                <w:rFonts w:eastAsia="Calibri"/>
                <w:sz w:val="20"/>
                <w:szCs w:val="20"/>
              </w:rPr>
              <w:t>January 21, 2010</w:t>
            </w:r>
          </w:p>
          <w:p w:rsidR="00F12A36" w:rsidRPr="006D4413" w:rsidRDefault="00F12A36" w:rsidP="004C3B4A">
            <w:pPr>
              <w:jc w:val="both"/>
              <w:rPr>
                <w:rFonts w:eastAsia="Calibri"/>
                <w:sz w:val="20"/>
                <w:szCs w:val="20"/>
              </w:rPr>
            </w:pPr>
            <w:r w:rsidRPr="006D4413">
              <w:rPr>
                <w:rFonts w:eastAsia="Calibri"/>
                <w:sz w:val="20"/>
                <w:szCs w:val="20"/>
              </w:rPr>
              <w:t>Federal Court</w:t>
            </w:r>
          </w:p>
          <w:p w:rsidR="00F12A36" w:rsidRPr="006D4413" w:rsidRDefault="00F12A36" w:rsidP="004C3B4A">
            <w:pPr>
              <w:jc w:val="both"/>
              <w:rPr>
                <w:rFonts w:eastAsia="Calibri"/>
                <w:sz w:val="20"/>
                <w:szCs w:val="20"/>
              </w:rPr>
            </w:pPr>
            <w:r w:rsidRPr="006D4413">
              <w:rPr>
                <w:rFonts w:eastAsia="Calibri"/>
                <w:sz w:val="20"/>
                <w:szCs w:val="20"/>
              </w:rPr>
              <w:t>(Lemieux J.)</w:t>
            </w:r>
          </w:p>
          <w:p w:rsidR="00F12A36" w:rsidRPr="006D4413" w:rsidRDefault="00F12A36" w:rsidP="004C3B4A">
            <w:pPr>
              <w:jc w:val="both"/>
              <w:rPr>
                <w:rFonts w:eastAsia="Calibri"/>
                <w:sz w:val="20"/>
                <w:szCs w:val="20"/>
              </w:rPr>
            </w:pPr>
            <w:r w:rsidRPr="006D4413">
              <w:rPr>
                <w:rFonts w:eastAsia="Calibri"/>
                <w:sz w:val="20"/>
                <w:szCs w:val="20"/>
              </w:rPr>
              <w:t>2010 FC 72</w:t>
            </w:r>
          </w:p>
          <w:p w:rsidR="00F12A36" w:rsidRPr="006D4413" w:rsidRDefault="00F12A36" w:rsidP="004C3B4A">
            <w:pPr>
              <w:jc w:val="both"/>
              <w:rPr>
                <w:rFonts w:eastAsia="Calibri"/>
                <w:sz w:val="20"/>
                <w:szCs w:val="20"/>
              </w:rPr>
            </w:pPr>
          </w:p>
        </w:tc>
        <w:tc>
          <w:tcPr>
            <w:tcW w:w="243" w:type="pct"/>
          </w:tcPr>
          <w:p w:rsidR="00F12A36" w:rsidRPr="006D4413" w:rsidRDefault="00F12A36" w:rsidP="004C3B4A">
            <w:pPr>
              <w:jc w:val="both"/>
              <w:rPr>
                <w:rFonts w:eastAsia="Calibri"/>
                <w:sz w:val="20"/>
                <w:szCs w:val="20"/>
              </w:rPr>
            </w:pPr>
          </w:p>
        </w:tc>
        <w:tc>
          <w:tcPr>
            <w:tcW w:w="2330" w:type="pct"/>
          </w:tcPr>
          <w:p w:rsidR="00F12A36" w:rsidRPr="006D4413" w:rsidRDefault="00F12A36" w:rsidP="004C3B4A">
            <w:pPr>
              <w:jc w:val="both"/>
              <w:rPr>
                <w:rFonts w:eastAsia="Calibri"/>
                <w:sz w:val="20"/>
                <w:szCs w:val="20"/>
              </w:rPr>
            </w:pPr>
            <w:r w:rsidRPr="006D4413">
              <w:rPr>
                <w:rFonts w:eastAsia="Calibri"/>
                <w:sz w:val="20"/>
                <w:szCs w:val="20"/>
              </w:rPr>
              <w:t>Appeal from a decision of the Minister of National Revenue dismissed</w:t>
            </w:r>
          </w:p>
          <w:p w:rsidR="00F12A36" w:rsidRPr="006D4413" w:rsidRDefault="00F12A36" w:rsidP="004C3B4A">
            <w:pPr>
              <w:jc w:val="both"/>
              <w:rPr>
                <w:rFonts w:eastAsia="Calibri"/>
                <w:sz w:val="20"/>
                <w:szCs w:val="20"/>
              </w:rPr>
            </w:pPr>
          </w:p>
        </w:tc>
      </w:tr>
      <w:tr w:rsidR="00F12A36" w:rsidRPr="006D4413" w:rsidTr="004C3B4A">
        <w:tc>
          <w:tcPr>
            <w:tcW w:w="2427" w:type="pct"/>
          </w:tcPr>
          <w:p w:rsidR="00F12A36" w:rsidRPr="006D4413" w:rsidRDefault="00F12A36" w:rsidP="004C3B4A">
            <w:pPr>
              <w:jc w:val="both"/>
              <w:rPr>
                <w:rFonts w:eastAsia="Calibri"/>
                <w:sz w:val="20"/>
                <w:szCs w:val="20"/>
              </w:rPr>
            </w:pPr>
            <w:r w:rsidRPr="006D4413">
              <w:rPr>
                <w:rFonts w:eastAsia="Calibri"/>
                <w:sz w:val="20"/>
                <w:szCs w:val="20"/>
              </w:rPr>
              <w:t>February 21, 2011</w:t>
            </w:r>
          </w:p>
          <w:p w:rsidR="00F12A36" w:rsidRPr="006D4413" w:rsidRDefault="00F12A36" w:rsidP="004C3B4A">
            <w:pPr>
              <w:jc w:val="both"/>
              <w:rPr>
                <w:rFonts w:eastAsia="Calibri"/>
                <w:sz w:val="20"/>
                <w:szCs w:val="20"/>
              </w:rPr>
            </w:pPr>
            <w:r w:rsidRPr="006D4413">
              <w:rPr>
                <w:rFonts w:eastAsia="Calibri"/>
                <w:sz w:val="20"/>
                <w:szCs w:val="20"/>
              </w:rPr>
              <w:t>Federal Court of Appeal</w:t>
            </w:r>
          </w:p>
          <w:p w:rsidR="00F12A36" w:rsidRPr="006D4413" w:rsidRDefault="00F12A36" w:rsidP="004C3B4A">
            <w:pPr>
              <w:jc w:val="both"/>
              <w:rPr>
                <w:rFonts w:eastAsia="Calibri"/>
                <w:sz w:val="20"/>
                <w:szCs w:val="20"/>
              </w:rPr>
            </w:pPr>
            <w:r w:rsidRPr="006D4413">
              <w:rPr>
                <w:rFonts w:eastAsia="Calibri"/>
                <w:sz w:val="20"/>
                <w:szCs w:val="20"/>
              </w:rPr>
              <w:t xml:space="preserve">(Noël, </w:t>
            </w:r>
            <w:proofErr w:type="spellStart"/>
            <w:r w:rsidRPr="006D4413">
              <w:rPr>
                <w:rFonts w:eastAsia="Calibri"/>
                <w:sz w:val="20"/>
                <w:szCs w:val="20"/>
              </w:rPr>
              <w:t>Trudel</w:t>
            </w:r>
            <w:proofErr w:type="spellEnd"/>
            <w:r w:rsidRPr="006D4413">
              <w:rPr>
                <w:rFonts w:eastAsia="Calibri"/>
                <w:sz w:val="20"/>
                <w:szCs w:val="20"/>
              </w:rPr>
              <w:t xml:space="preserve"> and </w:t>
            </w:r>
            <w:proofErr w:type="spellStart"/>
            <w:r w:rsidRPr="006D4413">
              <w:rPr>
                <w:rFonts w:eastAsia="Calibri"/>
                <w:sz w:val="20"/>
                <w:szCs w:val="20"/>
              </w:rPr>
              <w:t>Mainville</w:t>
            </w:r>
            <w:proofErr w:type="spellEnd"/>
            <w:r w:rsidRPr="006D4413">
              <w:rPr>
                <w:rFonts w:eastAsia="Calibri"/>
                <w:sz w:val="20"/>
                <w:szCs w:val="20"/>
              </w:rPr>
              <w:t xml:space="preserve"> JJ.A.)</w:t>
            </w:r>
          </w:p>
          <w:p w:rsidR="00F12A36" w:rsidRPr="006D4413" w:rsidRDefault="00F12A36" w:rsidP="004C3B4A">
            <w:pPr>
              <w:jc w:val="both"/>
              <w:rPr>
                <w:rFonts w:eastAsia="Calibri"/>
                <w:sz w:val="20"/>
                <w:szCs w:val="20"/>
              </w:rPr>
            </w:pPr>
            <w:r w:rsidRPr="006D4413">
              <w:rPr>
                <w:rFonts w:eastAsia="Calibri"/>
                <w:sz w:val="20"/>
                <w:szCs w:val="20"/>
              </w:rPr>
              <w:t>2011 FCA 65</w:t>
            </w:r>
          </w:p>
          <w:p w:rsidR="00F12A36" w:rsidRPr="006D4413" w:rsidRDefault="00F12A36" w:rsidP="004C3B4A">
            <w:pPr>
              <w:jc w:val="both"/>
              <w:rPr>
                <w:rFonts w:eastAsia="Calibri"/>
                <w:sz w:val="20"/>
                <w:szCs w:val="20"/>
              </w:rPr>
            </w:pPr>
          </w:p>
        </w:tc>
        <w:tc>
          <w:tcPr>
            <w:tcW w:w="243" w:type="pct"/>
          </w:tcPr>
          <w:p w:rsidR="00F12A36" w:rsidRPr="006D4413" w:rsidRDefault="00F12A36" w:rsidP="004C3B4A">
            <w:pPr>
              <w:jc w:val="both"/>
              <w:rPr>
                <w:rFonts w:eastAsia="Calibri"/>
                <w:sz w:val="20"/>
                <w:szCs w:val="20"/>
              </w:rPr>
            </w:pPr>
          </w:p>
        </w:tc>
        <w:tc>
          <w:tcPr>
            <w:tcW w:w="2330" w:type="pct"/>
          </w:tcPr>
          <w:p w:rsidR="00F12A36" w:rsidRPr="006D4413" w:rsidRDefault="00F12A36" w:rsidP="004C3B4A">
            <w:pPr>
              <w:jc w:val="both"/>
              <w:rPr>
                <w:rFonts w:eastAsia="Calibri"/>
                <w:sz w:val="20"/>
                <w:szCs w:val="20"/>
              </w:rPr>
            </w:pPr>
            <w:r w:rsidRPr="006D4413">
              <w:rPr>
                <w:rFonts w:eastAsia="Calibri"/>
                <w:sz w:val="20"/>
                <w:szCs w:val="20"/>
              </w:rPr>
              <w:t>Appeal dismissed</w:t>
            </w:r>
          </w:p>
          <w:p w:rsidR="00F12A36" w:rsidRPr="006D4413" w:rsidRDefault="00F12A36" w:rsidP="004C3B4A">
            <w:pPr>
              <w:jc w:val="both"/>
              <w:rPr>
                <w:rFonts w:eastAsia="Calibri"/>
                <w:sz w:val="20"/>
                <w:szCs w:val="20"/>
              </w:rPr>
            </w:pPr>
          </w:p>
        </w:tc>
      </w:tr>
      <w:tr w:rsidR="00F12A36" w:rsidRPr="006D4413" w:rsidTr="004C3B4A">
        <w:tc>
          <w:tcPr>
            <w:tcW w:w="2427" w:type="pct"/>
          </w:tcPr>
          <w:p w:rsidR="00F12A36" w:rsidRPr="006D4413" w:rsidRDefault="00F12A36" w:rsidP="004C3B4A">
            <w:pPr>
              <w:jc w:val="both"/>
              <w:rPr>
                <w:rFonts w:eastAsia="Calibri"/>
                <w:sz w:val="20"/>
                <w:szCs w:val="20"/>
              </w:rPr>
            </w:pPr>
            <w:r w:rsidRPr="006D4413">
              <w:rPr>
                <w:rFonts w:eastAsia="Calibri"/>
                <w:sz w:val="20"/>
                <w:szCs w:val="20"/>
              </w:rPr>
              <w:t>April 21, 2011</w:t>
            </w:r>
          </w:p>
          <w:p w:rsidR="00F12A36" w:rsidRPr="006D4413" w:rsidRDefault="00F12A36" w:rsidP="004C3B4A">
            <w:pPr>
              <w:jc w:val="both"/>
              <w:rPr>
                <w:rFonts w:eastAsia="Calibri"/>
                <w:sz w:val="20"/>
                <w:szCs w:val="20"/>
              </w:rPr>
            </w:pPr>
            <w:r w:rsidRPr="006D4413">
              <w:rPr>
                <w:rFonts w:eastAsia="Calibri"/>
                <w:sz w:val="20"/>
                <w:szCs w:val="20"/>
              </w:rPr>
              <w:t>Supreme Court of Canada</w:t>
            </w:r>
          </w:p>
        </w:tc>
        <w:tc>
          <w:tcPr>
            <w:tcW w:w="243" w:type="pct"/>
          </w:tcPr>
          <w:p w:rsidR="00F12A36" w:rsidRPr="006D4413" w:rsidRDefault="00F12A36" w:rsidP="004C3B4A">
            <w:pPr>
              <w:jc w:val="both"/>
              <w:rPr>
                <w:rFonts w:eastAsia="Calibri"/>
                <w:sz w:val="20"/>
                <w:szCs w:val="20"/>
              </w:rPr>
            </w:pPr>
          </w:p>
        </w:tc>
        <w:tc>
          <w:tcPr>
            <w:tcW w:w="2330" w:type="pct"/>
          </w:tcPr>
          <w:p w:rsidR="00F12A36" w:rsidRPr="006D4413" w:rsidRDefault="00F12A36" w:rsidP="004C3B4A">
            <w:pPr>
              <w:jc w:val="both"/>
              <w:rPr>
                <w:rFonts w:eastAsia="Calibri"/>
                <w:sz w:val="20"/>
                <w:szCs w:val="20"/>
              </w:rPr>
            </w:pPr>
            <w:r w:rsidRPr="006D4413">
              <w:rPr>
                <w:rFonts w:eastAsia="Calibri"/>
                <w:sz w:val="20"/>
                <w:szCs w:val="20"/>
              </w:rPr>
              <w:t>Application for leave to appeal filed</w:t>
            </w:r>
          </w:p>
          <w:p w:rsidR="00F12A36" w:rsidRPr="006D4413" w:rsidRDefault="00F12A36" w:rsidP="004C3B4A">
            <w:pPr>
              <w:jc w:val="both"/>
              <w:rPr>
                <w:rFonts w:eastAsia="Calibri"/>
                <w:sz w:val="20"/>
                <w:szCs w:val="20"/>
              </w:rPr>
            </w:pPr>
          </w:p>
        </w:tc>
      </w:tr>
    </w:tbl>
    <w:p w:rsidR="00C454C8" w:rsidRPr="00F12A36" w:rsidRDefault="00C454C8" w:rsidP="00C454C8">
      <w:pPr>
        <w:rPr>
          <w:sz w:val="20"/>
          <w:szCs w:val="20"/>
        </w:rPr>
      </w:pPr>
    </w:p>
    <w:p w:rsidR="00C454C8" w:rsidRDefault="008754B5" w:rsidP="00C454C8">
      <w:pPr>
        <w:rPr>
          <w:sz w:val="20"/>
          <w:szCs w:val="20"/>
          <w:lang w:val="fr-CA"/>
        </w:rPr>
      </w:pPr>
      <w:r w:rsidRPr="008754B5">
        <w:rPr>
          <w:sz w:val="20"/>
          <w:szCs w:val="20"/>
          <w:lang w:val="fr-CA"/>
        </w:rPr>
        <w:pict>
          <v:rect id="_x0000_i1043" style="width:2in;height:1pt" o:hrpct="0" o:hralign="center" o:hrstd="t" o:hrnoshade="t" o:hr="t" fillcolor="black [3213]" stroked="f"/>
        </w:pict>
      </w:r>
    </w:p>
    <w:p w:rsidR="00C454C8" w:rsidRDefault="00C454C8" w:rsidP="00C454C8">
      <w:pPr>
        <w:rPr>
          <w:sz w:val="20"/>
          <w:szCs w:val="20"/>
          <w:lang w:val="fr-CA"/>
        </w:rPr>
      </w:pPr>
    </w:p>
    <w:p w:rsidR="009569A8" w:rsidRDefault="009569A8">
      <w:pPr>
        <w:rPr>
          <w:sz w:val="20"/>
          <w:szCs w:val="20"/>
          <w:u w:val="single"/>
          <w:lang w:val="fr-CA"/>
        </w:rPr>
      </w:pPr>
      <w:r>
        <w:rPr>
          <w:sz w:val="20"/>
          <w:szCs w:val="20"/>
          <w:u w:val="single"/>
          <w:lang w:val="fr-CA"/>
        </w:rPr>
        <w:br w:type="page"/>
      </w:r>
    </w:p>
    <w:p w:rsidR="00C454C8" w:rsidRPr="00517AED" w:rsidRDefault="00C454C8" w:rsidP="00C454C8">
      <w:pPr>
        <w:rPr>
          <w:sz w:val="20"/>
          <w:szCs w:val="20"/>
          <w:u w:val="single"/>
          <w:lang w:val="fr-CA"/>
        </w:rPr>
      </w:pPr>
      <w:r w:rsidRPr="00517AED">
        <w:rPr>
          <w:sz w:val="20"/>
          <w:szCs w:val="20"/>
          <w:u w:val="single"/>
          <w:lang w:val="fr-CA"/>
        </w:rPr>
        <w:lastRenderedPageBreak/>
        <w:t>RÉSUMÉ DE L’AFFAIRE</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12A36" w:rsidRPr="00AB10A2" w:rsidTr="004C3B4A">
        <w:tc>
          <w:tcPr>
            <w:tcW w:w="5000" w:type="pct"/>
            <w:gridSpan w:val="3"/>
          </w:tcPr>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Droit fiscal — Douanes et accise — Législation — Interprétation — Taxe d'accise sur le combustible diesel — Le combustible diesel est défini comme « toute huile combustible [. . .] à l’exception de toute huile combustible destinée à être utilisée et utilisée de fait comme huile à chauffage » — Un distributeur a acheté de l’huile à chauffage comme telle puis il l’a revendue pour être utilisée dans des moteurs à combustion interne. — La taxe sur le combustible diesel </w:t>
            </w:r>
            <w:proofErr w:type="spellStart"/>
            <w:r w:rsidRPr="006D4413">
              <w:rPr>
                <w:rFonts w:eastAsia="Calibri"/>
                <w:sz w:val="20"/>
                <w:szCs w:val="20"/>
                <w:lang w:val="fr-CA"/>
              </w:rPr>
              <w:t>devrait</w:t>
            </w:r>
            <w:r w:rsidRPr="006D4413">
              <w:rPr>
                <w:rFonts w:eastAsia="Calibri"/>
                <w:sz w:val="20"/>
                <w:szCs w:val="20"/>
                <w:lang w:val="fr-CA"/>
              </w:rPr>
              <w:noBreakHyphen/>
              <w:t>elle</w:t>
            </w:r>
            <w:proofErr w:type="spellEnd"/>
            <w:r w:rsidRPr="006D4413">
              <w:rPr>
                <w:rFonts w:eastAsia="Calibri"/>
                <w:sz w:val="20"/>
                <w:szCs w:val="20"/>
                <w:lang w:val="fr-CA"/>
              </w:rPr>
              <w:t xml:space="preserve"> être perçue et remise par le distributeur? —</w:t>
            </w:r>
            <w:r w:rsidRPr="006D4413">
              <w:rPr>
                <w:rFonts w:eastAsia="Calibri"/>
                <w:i/>
                <w:sz w:val="20"/>
                <w:szCs w:val="20"/>
                <w:lang w:val="fr-CA"/>
              </w:rPr>
              <w:t xml:space="preserve"> Loi sur la taxe d'accise</w:t>
            </w:r>
            <w:r w:rsidRPr="006D4413">
              <w:rPr>
                <w:rFonts w:eastAsia="Calibri"/>
                <w:sz w:val="20"/>
                <w:szCs w:val="20"/>
                <w:lang w:val="fr-CA"/>
              </w:rPr>
              <w:t>, L.R.C. 1985, ch. E</w:t>
            </w:r>
            <w:r w:rsidRPr="006D4413">
              <w:rPr>
                <w:rFonts w:eastAsia="Calibri"/>
                <w:sz w:val="20"/>
                <w:szCs w:val="20"/>
                <w:lang w:val="fr-CA"/>
              </w:rPr>
              <w:noBreakHyphen/>
              <w:t>15, par. 2(1), définition de « combustible diesel » et par. 23(1), (2) et (9.1).</w:t>
            </w:r>
          </w:p>
        </w:tc>
      </w:tr>
      <w:tr w:rsidR="00F12A36" w:rsidRPr="00AB10A2" w:rsidTr="004C3B4A">
        <w:tc>
          <w:tcPr>
            <w:tcW w:w="5000" w:type="pct"/>
            <w:gridSpan w:val="3"/>
          </w:tcPr>
          <w:p w:rsidR="00F12A36" w:rsidRPr="006D4413" w:rsidRDefault="00F12A36" w:rsidP="004C3B4A">
            <w:pPr>
              <w:jc w:val="both"/>
              <w:rPr>
                <w:rFonts w:eastAsia="Calibri"/>
                <w:sz w:val="20"/>
                <w:szCs w:val="20"/>
                <w:lang w:val="fr-CA"/>
              </w:rPr>
            </w:pPr>
          </w:p>
        </w:tc>
      </w:tr>
      <w:tr w:rsidR="00F12A36" w:rsidRPr="008608D5" w:rsidTr="004C3B4A">
        <w:tc>
          <w:tcPr>
            <w:tcW w:w="5000" w:type="pct"/>
            <w:gridSpan w:val="3"/>
          </w:tcPr>
          <w:p w:rsidR="00F12A36" w:rsidRPr="006D4413" w:rsidRDefault="00F12A36" w:rsidP="004C3B4A">
            <w:pPr>
              <w:jc w:val="both"/>
              <w:rPr>
                <w:rFonts w:eastAsia="Calibri"/>
                <w:sz w:val="20"/>
                <w:szCs w:val="20"/>
                <w:lang w:val="fr-CA"/>
              </w:rPr>
            </w:pPr>
            <w:r w:rsidRPr="006D4413">
              <w:rPr>
                <w:rFonts w:eastAsia="Calibri"/>
                <w:sz w:val="20"/>
                <w:szCs w:val="20"/>
                <w:lang w:val="fr-CA"/>
              </w:rPr>
              <w:t>En vertu des par. 23(1) et (2) de la</w:t>
            </w:r>
            <w:r w:rsidRPr="006D4413">
              <w:rPr>
                <w:rFonts w:eastAsia="Calibri"/>
                <w:i/>
                <w:sz w:val="20"/>
                <w:szCs w:val="20"/>
                <w:lang w:val="fr-CA"/>
              </w:rPr>
              <w:t xml:space="preserve"> Loi sur la taxe d'accise</w:t>
            </w:r>
            <w:r w:rsidRPr="006D4413">
              <w:rPr>
                <w:rFonts w:eastAsia="Calibri"/>
                <w:sz w:val="20"/>
                <w:szCs w:val="20"/>
                <w:lang w:val="fr-CA"/>
              </w:rPr>
              <w:t>, la vente de combustible diesel utilisé dans les moteurs à combustion interne de type allumage par compression est soumise à une taxe de 0,04 $ le litre, qui doit être perçue et remise au ministre du Revenu national par le fabricant ou le producteur au moment de la livraison de ces marchandises à leur acheteur.  Le « combustible diesel » est défini au par. 2(1) comme « toute huile combustible [. . .] à l’exception de toute huile combustible destinée à être utilisée et utilisée de fait comme huile à chauffage ».  Le terme « huile à chauffage » n’est pas défini, mais il comprend le fioul, le pétrole de chauffage et le combustible diesel.  L’huile à chauffage peut être utilisée de manière interchangeable, soit à des fins de chauffage soit comme combustible diesel.  En vertu du par. 23(9.1), lorsque du combustible a été acheté à une fin pour laquelle la taxe sur le combustible diesel n’est pas payable et que l’acheteur vend ou affecte le combustible « à une fin pour laquelle il n’aurait pas pu alors l’acheter [. . .] sans le paiement de la taxe au moment de l’achat », la taxe sur le combustible diesel le devient au moment où il vend ou affecte le combustible.</w:t>
            </w:r>
          </w:p>
          <w:p w:rsidR="00F12A36" w:rsidRPr="006D4413" w:rsidRDefault="00F12A36" w:rsidP="004C3B4A">
            <w:pPr>
              <w:jc w:val="both"/>
              <w:rPr>
                <w:rFonts w:eastAsia="Calibri"/>
                <w:sz w:val="20"/>
                <w:szCs w:val="20"/>
                <w:lang w:val="fr-CA"/>
              </w:rPr>
            </w:pPr>
          </w:p>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La demanderesse Dupont distribue du combustible diesel et d'huile à chauffage et parfois, lorsque qu'un client commande de l’huile combustible pour être utilisée dans des moteurs à combustion interne et que les réservoirs de Dupont ne renferment que de l’huile à chauffage, Dupont vend et livre cette huile à la place.  La question en litige en l'espèce est de savoir si, dans cette situation, la taxe sur le combustible diesel devrait être remise par Dupont au moment de la livraison en application du par. 2(1), définition de « combustible diesel » et du par. 23(9.1). Les juridictions inférieures ont répondu par l'affirmative, notant que la question avait été correctement tranchée dans l'arrêt </w:t>
            </w:r>
            <w:r w:rsidRPr="006D4413">
              <w:rPr>
                <w:rFonts w:eastAsia="Calibri"/>
                <w:i/>
                <w:sz w:val="20"/>
                <w:szCs w:val="20"/>
                <w:lang w:val="fr-CA"/>
              </w:rPr>
              <w:t xml:space="preserve">W.O. </w:t>
            </w:r>
            <w:proofErr w:type="spellStart"/>
            <w:r w:rsidRPr="006D4413">
              <w:rPr>
                <w:rFonts w:eastAsia="Calibri"/>
                <w:i/>
                <w:sz w:val="20"/>
                <w:szCs w:val="20"/>
                <w:lang w:val="fr-CA"/>
              </w:rPr>
              <w:t>Stinson</w:t>
            </w:r>
            <w:proofErr w:type="spellEnd"/>
            <w:r w:rsidRPr="006D4413">
              <w:rPr>
                <w:rFonts w:eastAsia="Calibri"/>
                <w:i/>
                <w:sz w:val="20"/>
                <w:szCs w:val="20"/>
                <w:lang w:val="fr-CA"/>
              </w:rPr>
              <w:t xml:space="preserve"> &amp; Son Ltd. c. Canada (Ministre du Revenu national — M.R.N.)</w:t>
            </w:r>
            <w:r w:rsidRPr="006D4413">
              <w:rPr>
                <w:rFonts w:eastAsia="Calibri"/>
                <w:sz w:val="20"/>
                <w:szCs w:val="20"/>
                <w:lang w:val="fr-CA"/>
              </w:rPr>
              <w:t>, 2005 FC 1437.</w:t>
            </w:r>
          </w:p>
          <w:p w:rsidR="00F12A36" w:rsidRPr="006D4413" w:rsidRDefault="00F12A36" w:rsidP="004C3B4A">
            <w:pPr>
              <w:jc w:val="both"/>
              <w:rPr>
                <w:rFonts w:eastAsia="Calibri"/>
                <w:sz w:val="20"/>
                <w:szCs w:val="20"/>
                <w:lang w:val="fr-CA"/>
              </w:rPr>
            </w:pPr>
          </w:p>
        </w:tc>
      </w:tr>
      <w:tr w:rsidR="00F12A36" w:rsidRPr="008608D5" w:rsidTr="004C3B4A">
        <w:tc>
          <w:tcPr>
            <w:tcW w:w="2427"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21 janvier 2010</w:t>
            </w:r>
          </w:p>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Cour fédérale </w:t>
            </w:r>
          </w:p>
          <w:p w:rsidR="00F12A36" w:rsidRPr="006D4413" w:rsidRDefault="00F12A36" w:rsidP="004C3B4A">
            <w:pPr>
              <w:jc w:val="both"/>
              <w:rPr>
                <w:rFonts w:eastAsia="Calibri"/>
                <w:sz w:val="20"/>
                <w:szCs w:val="20"/>
                <w:lang w:val="fr-CA"/>
              </w:rPr>
            </w:pPr>
            <w:r w:rsidRPr="006D4413">
              <w:rPr>
                <w:rFonts w:eastAsia="Calibri"/>
                <w:sz w:val="20"/>
                <w:szCs w:val="20"/>
                <w:lang w:val="fr-CA"/>
              </w:rPr>
              <w:t>(Juge Lemieux)</w:t>
            </w:r>
          </w:p>
          <w:p w:rsidR="00F12A36" w:rsidRPr="006D4413" w:rsidRDefault="00F12A36" w:rsidP="004C3B4A">
            <w:pPr>
              <w:jc w:val="both"/>
              <w:rPr>
                <w:rFonts w:eastAsia="Calibri"/>
                <w:sz w:val="20"/>
                <w:szCs w:val="20"/>
                <w:lang w:val="fr-CA"/>
              </w:rPr>
            </w:pPr>
            <w:r w:rsidRPr="006D4413">
              <w:rPr>
                <w:rFonts w:eastAsia="Calibri"/>
                <w:sz w:val="20"/>
                <w:szCs w:val="20"/>
                <w:lang w:val="fr-CA"/>
              </w:rPr>
              <w:t>2010 FC 72</w:t>
            </w:r>
          </w:p>
          <w:p w:rsidR="00F12A36" w:rsidRPr="006D4413" w:rsidRDefault="00F12A36" w:rsidP="004C3B4A">
            <w:pPr>
              <w:jc w:val="both"/>
              <w:rPr>
                <w:rFonts w:eastAsia="Calibri"/>
                <w:sz w:val="20"/>
                <w:szCs w:val="20"/>
                <w:lang w:val="fr-CA"/>
              </w:rPr>
            </w:pPr>
          </w:p>
        </w:tc>
        <w:tc>
          <w:tcPr>
            <w:tcW w:w="243" w:type="pct"/>
          </w:tcPr>
          <w:p w:rsidR="00F12A36" w:rsidRPr="006D4413" w:rsidRDefault="00F12A36" w:rsidP="004C3B4A">
            <w:pPr>
              <w:jc w:val="both"/>
              <w:rPr>
                <w:rFonts w:eastAsia="Calibri"/>
                <w:sz w:val="20"/>
                <w:szCs w:val="20"/>
                <w:lang w:val="fr-CA"/>
              </w:rPr>
            </w:pPr>
          </w:p>
        </w:tc>
        <w:tc>
          <w:tcPr>
            <w:tcW w:w="2330"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Appel d'une décision du ministre du Revenu national, rejeté</w:t>
            </w:r>
          </w:p>
          <w:p w:rsidR="00F12A36" w:rsidRPr="006D4413" w:rsidRDefault="00F12A36" w:rsidP="004C3B4A">
            <w:pPr>
              <w:jc w:val="both"/>
              <w:rPr>
                <w:rFonts w:eastAsia="Calibri"/>
                <w:sz w:val="20"/>
                <w:szCs w:val="20"/>
                <w:lang w:val="fr-CA"/>
              </w:rPr>
            </w:pPr>
          </w:p>
        </w:tc>
      </w:tr>
      <w:tr w:rsidR="00F12A36" w:rsidRPr="006D4413" w:rsidTr="004C3B4A">
        <w:tc>
          <w:tcPr>
            <w:tcW w:w="2427"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21 février 2011</w:t>
            </w:r>
          </w:p>
          <w:p w:rsidR="00F12A36" w:rsidRPr="006D4413" w:rsidRDefault="00F12A36" w:rsidP="004C3B4A">
            <w:pPr>
              <w:jc w:val="both"/>
              <w:rPr>
                <w:rFonts w:eastAsia="Calibri"/>
                <w:sz w:val="20"/>
                <w:szCs w:val="20"/>
                <w:lang w:val="fr-CA"/>
              </w:rPr>
            </w:pPr>
            <w:r w:rsidRPr="006D4413">
              <w:rPr>
                <w:rFonts w:eastAsia="Calibri"/>
                <w:sz w:val="20"/>
                <w:szCs w:val="20"/>
                <w:lang w:val="fr-CA"/>
              </w:rPr>
              <w:t xml:space="preserve">Cour d'appel fédérale </w:t>
            </w:r>
          </w:p>
          <w:p w:rsidR="00F12A36" w:rsidRPr="006D4413" w:rsidRDefault="00F12A36" w:rsidP="004C3B4A">
            <w:pPr>
              <w:jc w:val="both"/>
              <w:rPr>
                <w:rFonts w:eastAsia="Calibri"/>
                <w:sz w:val="20"/>
                <w:szCs w:val="20"/>
                <w:lang w:val="fr-CA"/>
              </w:rPr>
            </w:pPr>
            <w:r w:rsidRPr="006D4413">
              <w:rPr>
                <w:rFonts w:eastAsia="Calibri"/>
                <w:sz w:val="20"/>
                <w:szCs w:val="20"/>
                <w:lang w:val="fr-CA"/>
              </w:rPr>
              <w:t>(Juges Noël, Trudel et Mainville)</w:t>
            </w:r>
          </w:p>
          <w:p w:rsidR="00F12A36" w:rsidRPr="006D4413" w:rsidRDefault="00F12A36" w:rsidP="004C3B4A">
            <w:pPr>
              <w:jc w:val="both"/>
              <w:rPr>
                <w:rFonts w:eastAsia="Calibri"/>
                <w:sz w:val="20"/>
                <w:szCs w:val="20"/>
                <w:lang w:val="fr-CA"/>
              </w:rPr>
            </w:pPr>
            <w:r w:rsidRPr="006D4413">
              <w:rPr>
                <w:rFonts w:eastAsia="Calibri"/>
                <w:sz w:val="20"/>
                <w:szCs w:val="20"/>
                <w:lang w:val="fr-CA"/>
              </w:rPr>
              <w:t>2011 FCA 65</w:t>
            </w:r>
          </w:p>
          <w:p w:rsidR="00F12A36" w:rsidRPr="006D4413" w:rsidRDefault="00F12A36" w:rsidP="004C3B4A">
            <w:pPr>
              <w:jc w:val="both"/>
              <w:rPr>
                <w:rFonts w:eastAsia="Calibri"/>
                <w:sz w:val="20"/>
                <w:szCs w:val="20"/>
                <w:lang w:val="fr-CA"/>
              </w:rPr>
            </w:pPr>
          </w:p>
        </w:tc>
        <w:tc>
          <w:tcPr>
            <w:tcW w:w="243" w:type="pct"/>
          </w:tcPr>
          <w:p w:rsidR="00F12A36" w:rsidRPr="006D4413" w:rsidRDefault="00F12A36" w:rsidP="004C3B4A">
            <w:pPr>
              <w:jc w:val="both"/>
              <w:rPr>
                <w:rFonts w:eastAsia="Calibri"/>
                <w:sz w:val="20"/>
                <w:szCs w:val="20"/>
                <w:lang w:val="fr-CA"/>
              </w:rPr>
            </w:pPr>
          </w:p>
        </w:tc>
        <w:tc>
          <w:tcPr>
            <w:tcW w:w="2330"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Appel rejeté</w:t>
            </w:r>
          </w:p>
          <w:p w:rsidR="00F12A36" w:rsidRPr="006D4413" w:rsidRDefault="00F12A36" w:rsidP="004C3B4A">
            <w:pPr>
              <w:jc w:val="both"/>
              <w:rPr>
                <w:rFonts w:eastAsia="Calibri"/>
                <w:sz w:val="20"/>
                <w:szCs w:val="20"/>
                <w:lang w:val="fr-CA"/>
              </w:rPr>
            </w:pPr>
          </w:p>
        </w:tc>
      </w:tr>
      <w:tr w:rsidR="00F12A36" w:rsidRPr="006D4413" w:rsidTr="004C3B4A">
        <w:tc>
          <w:tcPr>
            <w:tcW w:w="2427"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21 avril 2011</w:t>
            </w:r>
          </w:p>
          <w:p w:rsidR="00F12A36" w:rsidRPr="006D4413" w:rsidRDefault="00F12A36" w:rsidP="004C3B4A">
            <w:pPr>
              <w:jc w:val="both"/>
              <w:rPr>
                <w:rFonts w:eastAsia="Calibri"/>
                <w:sz w:val="20"/>
                <w:szCs w:val="20"/>
                <w:lang w:val="fr-CA"/>
              </w:rPr>
            </w:pPr>
            <w:r w:rsidRPr="006D4413">
              <w:rPr>
                <w:rFonts w:eastAsia="Calibri"/>
                <w:sz w:val="20"/>
                <w:szCs w:val="20"/>
                <w:lang w:val="fr-CA"/>
              </w:rPr>
              <w:t>Cour suprême du Canada</w:t>
            </w:r>
          </w:p>
        </w:tc>
        <w:tc>
          <w:tcPr>
            <w:tcW w:w="243" w:type="pct"/>
          </w:tcPr>
          <w:p w:rsidR="00F12A36" w:rsidRPr="006D4413" w:rsidRDefault="00F12A36" w:rsidP="004C3B4A">
            <w:pPr>
              <w:jc w:val="both"/>
              <w:rPr>
                <w:rFonts w:eastAsia="Calibri"/>
                <w:sz w:val="20"/>
                <w:szCs w:val="20"/>
                <w:lang w:val="fr-CA"/>
              </w:rPr>
            </w:pPr>
          </w:p>
        </w:tc>
        <w:tc>
          <w:tcPr>
            <w:tcW w:w="2330" w:type="pct"/>
          </w:tcPr>
          <w:p w:rsidR="00F12A36" w:rsidRPr="006D4413" w:rsidRDefault="00F12A36" w:rsidP="004C3B4A">
            <w:pPr>
              <w:jc w:val="both"/>
              <w:rPr>
                <w:rFonts w:eastAsia="Calibri"/>
                <w:sz w:val="20"/>
                <w:szCs w:val="20"/>
                <w:lang w:val="fr-CA"/>
              </w:rPr>
            </w:pPr>
            <w:r w:rsidRPr="006D4413">
              <w:rPr>
                <w:rFonts w:eastAsia="Calibri"/>
                <w:sz w:val="20"/>
                <w:szCs w:val="20"/>
                <w:lang w:val="fr-CA"/>
              </w:rPr>
              <w:t>Demande d'autorisation d'appel, déposée</w:t>
            </w:r>
          </w:p>
          <w:p w:rsidR="00F12A36" w:rsidRPr="006D4413" w:rsidRDefault="00F12A36" w:rsidP="004C3B4A">
            <w:pPr>
              <w:jc w:val="both"/>
              <w:rPr>
                <w:rFonts w:eastAsia="Calibri"/>
                <w:sz w:val="20"/>
                <w:szCs w:val="20"/>
                <w:lang w:val="fr-CA"/>
              </w:rPr>
            </w:pPr>
          </w:p>
        </w:tc>
      </w:tr>
    </w:tbl>
    <w:p w:rsidR="00C454C8" w:rsidRDefault="00C454C8" w:rsidP="00C454C8">
      <w:pPr>
        <w:rPr>
          <w:sz w:val="20"/>
          <w:szCs w:val="20"/>
          <w:lang w:val="fr-CA"/>
        </w:rPr>
      </w:pPr>
    </w:p>
    <w:p w:rsidR="00C454C8" w:rsidRDefault="008754B5" w:rsidP="00C454C8">
      <w:pPr>
        <w:rPr>
          <w:sz w:val="20"/>
          <w:szCs w:val="20"/>
          <w:lang w:val="fr-CA"/>
        </w:rPr>
      </w:pPr>
      <w:r w:rsidRPr="008754B5">
        <w:rPr>
          <w:sz w:val="20"/>
          <w:szCs w:val="20"/>
          <w:lang w:val="fr-CA"/>
        </w:rPr>
        <w:pict>
          <v:rect id="_x0000_i1044" style="width:2in;height:1pt" o:hrpct="0" o:hralign="center" o:hrstd="t" o:hrnoshade="t" o:hr="t" fillcolor="black [3213]" stroked="f"/>
        </w:pict>
      </w:r>
    </w:p>
    <w:p w:rsidR="00C454C8" w:rsidRPr="00C454C8" w:rsidRDefault="00C454C8" w:rsidP="00C454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69A8" w:rsidRPr="008608D5" w:rsidTr="00A27223">
        <w:trPr>
          <w:cantSplit/>
        </w:trPr>
        <w:tc>
          <w:tcPr>
            <w:tcW w:w="1458" w:type="dxa"/>
          </w:tcPr>
          <w:p w:rsidR="009569A8" w:rsidRPr="002622ED" w:rsidRDefault="009569A8" w:rsidP="00A27223">
            <w:pPr>
              <w:rPr>
                <w:sz w:val="20"/>
                <w:szCs w:val="20"/>
              </w:rPr>
            </w:pPr>
            <w:r w:rsidRPr="002622ED">
              <w:rPr>
                <w:rStyle w:val="SCCFileNumberChar"/>
                <w:sz w:val="20"/>
                <w:szCs w:val="20"/>
              </w:rPr>
              <w:t>34243</w:t>
            </w:r>
          </w:p>
          <w:p w:rsidR="009569A8" w:rsidRPr="002622ED" w:rsidRDefault="009569A8" w:rsidP="00A27223">
            <w:pPr>
              <w:rPr>
                <w:b/>
                <w:sz w:val="20"/>
                <w:szCs w:val="20"/>
                <w:lang w:val="fr-CA"/>
              </w:rPr>
            </w:pPr>
          </w:p>
        </w:tc>
        <w:tc>
          <w:tcPr>
            <w:tcW w:w="8118" w:type="dxa"/>
          </w:tcPr>
          <w:p w:rsidR="009569A8" w:rsidRPr="002622ED" w:rsidRDefault="009569A8" w:rsidP="00A27223">
            <w:pPr>
              <w:jc w:val="both"/>
              <w:rPr>
                <w:sz w:val="20"/>
                <w:szCs w:val="20"/>
                <w:lang w:val="fr-CA"/>
              </w:rPr>
            </w:pPr>
            <w:r w:rsidRPr="002622ED">
              <w:rPr>
                <w:rStyle w:val="SCCLsocChar"/>
                <w:sz w:val="20"/>
                <w:szCs w:val="20"/>
              </w:rPr>
              <w:t xml:space="preserve">John </w:t>
            </w:r>
            <w:proofErr w:type="spellStart"/>
            <w:r w:rsidRPr="002622ED">
              <w:rPr>
                <w:rStyle w:val="SCCLsocChar"/>
                <w:sz w:val="20"/>
                <w:szCs w:val="20"/>
              </w:rPr>
              <w:t>Tshiamala</w:t>
            </w:r>
            <w:proofErr w:type="spellEnd"/>
            <w:r w:rsidRPr="002622ED">
              <w:rPr>
                <w:rStyle w:val="SCCLsocChar"/>
                <w:sz w:val="20"/>
                <w:szCs w:val="20"/>
              </w:rPr>
              <w:t xml:space="preserve"> c. Sa Majesté la Reine ET ENTRE </w:t>
            </w:r>
            <w:proofErr w:type="spellStart"/>
            <w:r w:rsidRPr="002622ED">
              <w:rPr>
                <w:rStyle w:val="SCCLsocChar"/>
                <w:sz w:val="20"/>
                <w:szCs w:val="20"/>
              </w:rPr>
              <w:t>McLee</w:t>
            </w:r>
            <w:proofErr w:type="spellEnd"/>
            <w:r w:rsidRPr="002622ED">
              <w:rPr>
                <w:rStyle w:val="SCCLsocChar"/>
                <w:sz w:val="20"/>
                <w:szCs w:val="20"/>
              </w:rPr>
              <w:t xml:space="preserve"> Charles c. Sa Majesté la Reine ET ENTRE </w:t>
            </w:r>
            <w:proofErr w:type="spellStart"/>
            <w:r w:rsidRPr="002622ED">
              <w:rPr>
                <w:rStyle w:val="SCCLsocChar"/>
                <w:sz w:val="20"/>
                <w:szCs w:val="20"/>
              </w:rPr>
              <w:t>Evens</w:t>
            </w:r>
            <w:proofErr w:type="spellEnd"/>
            <w:r w:rsidRPr="002622ED">
              <w:rPr>
                <w:rStyle w:val="SCCLsocChar"/>
                <w:sz w:val="20"/>
                <w:szCs w:val="20"/>
              </w:rPr>
              <w:t xml:space="preserve"> Belleville c. Sa Majesté la Reine ET ENTRE </w:t>
            </w:r>
            <w:proofErr w:type="spellStart"/>
            <w:r w:rsidRPr="002622ED">
              <w:rPr>
                <w:rStyle w:val="SCCLsocChar"/>
                <w:sz w:val="20"/>
                <w:szCs w:val="20"/>
              </w:rPr>
              <w:t>Ernso</w:t>
            </w:r>
            <w:proofErr w:type="spellEnd"/>
            <w:r w:rsidRPr="002622ED">
              <w:rPr>
                <w:rStyle w:val="SCCLsocChar"/>
                <w:sz w:val="20"/>
                <w:szCs w:val="20"/>
              </w:rPr>
              <w:t xml:space="preserve"> </w:t>
            </w:r>
            <w:proofErr w:type="spellStart"/>
            <w:r w:rsidRPr="002622ED">
              <w:rPr>
                <w:rStyle w:val="SCCLsocChar"/>
                <w:sz w:val="20"/>
                <w:szCs w:val="20"/>
              </w:rPr>
              <w:t>Théobrun</w:t>
            </w:r>
            <w:proofErr w:type="spellEnd"/>
            <w:r w:rsidRPr="002622ED">
              <w:rPr>
                <w:rStyle w:val="SCCLsocChar"/>
                <w:sz w:val="20"/>
                <w:szCs w:val="20"/>
              </w:rPr>
              <w:t xml:space="preserve"> c. Sa Majesté la Reine ET ENTRE Cleveland Alexander-Scott c. Sa Majesté la Reine</w:t>
            </w:r>
            <w:r w:rsidRPr="002622ED">
              <w:rPr>
                <w:sz w:val="20"/>
                <w:szCs w:val="20"/>
                <w:lang w:val="fr-CA"/>
              </w:rPr>
              <w:t xml:space="preserve"> (</w:t>
            </w:r>
            <w:proofErr w:type="spellStart"/>
            <w:r w:rsidRPr="002622ED">
              <w:rPr>
                <w:sz w:val="20"/>
                <w:szCs w:val="20"/>
                <w:lang w:val="fr-CA"/>
              </w:rPr>
              <w:t>Qc</w:t>
            </w:r>
            <w:proofErr w:type="spellEnd"/>
            <w:r w:rsidRPr="002622ED">
              <w:rPr>
                <w:sz w:val="20"/>
                <w:szCs w:val="20"/>
                <w:lang w:val="fr-CA"/>
              </w:rPr>
              <w:t>) (Criminelle) (Autorisation)</w:t>
            </w:r>
          </w:p>
          <w:p w:rsidR="009569A8" w:rsidRPr="002622ED" w:rsidRDefault="009569A8" w:rsidP="00A27223">
            <w:pPr>
              <w:rPr>
                <w:sz w:val="20"/>
                <w:szCs w:val="20"/>
                <w:lang w:val="fr-CA"/>
              </w:rPr>
            </w:pPr>
          </w:p>
        </w:tc>
      </w:tr>
      <w:tr w:rsidR="009569A8" w:rsidRPr="008608D5" w:rsidTr="00A27223">
        <w:trPr>
          <w:cantSplit/>
        </w:trPr>
        <w:tc>
          <w:tcPr>
            <w:tcW w:w="1458" w:type="dxa"/>
          </w:tcPr>
          <w:p w:rsidR="009569A8" w:rsidRPr="002622ED" w:rsidRDefault="009569A8" w:rsidP="00A27223">
            <w:pPr>
              <w:rPr>
                <w:sz w:val="20"/>
                <w:szCs w:val="20"/>
              </w:rPr>
            </w:pPr>
            <w:r w:rsidRPr="002622ED">
              <w:rPr>
                <w:sz w:val="20"/>
                <w:szCs w:val="20"/>
              </w:rPr>
              <w:t>Coram :</w:t>
            </w:r>
          </w:p>
        </w:tc>
        <w:tc>
          <w:tcPr>
            <w:tcW w:w="8118" w:type="dxa"/>
          </w:tcPr>
          <w:p w:rsidR="009569A8" w:rsidRPr="002622ED" w:rsidRDefault="009569A8" w:rsidP="00A27223">
            <w:pPr>
              <w:rPr>
                <w:sz w:val="20"/>
                <w:szCs w:val="20"/>
                <w:lang w:val="fr-CA"/>
              </w:rPr>
            </w:pPr>
            <w:r w:rsidRPr="002622ED">
              <w:rPr>
                <w:rStyle w:val="SCCCoramChar"/>
                <w:sz w:val="20"/>
                <w:szCs w:val="20"/>
              </w:rPr>
              <w:t xml:space="preserve">Les juges </w:t>
            </w:r>
            <w:proofErr w:type="spellStart"/>
            <w:r w:rsidRPr="002622ED">
              <w:rPr>
                <w:rStyle w:val="SCCCoramChar"/>
                <w:sz w:val="20"/>
                <w:szCs w:val="20"/>
              </w:rPr>
              <w:t>LeBel</w:t>
            </w:r>
            <w:proofErr w:type="spellEnd"/>
            <w:r w:rsidRPr="002622ED">
              <w:rPr>
                <w:rStyle w:val="SCCCoramChar"/>
                <w:sz w:val="20"/>
                <w:szCs w:val="20"/>
              </w:rPr>
              <w:t>, Fish et Cromwell</w:t>
            </w:r>
          </w:p>
          <w:p w:rsidR="009569A8" w:rsidRPr="002622ED" w:rsidRDefault="009569A8" w:rsidP="00A27223">
            <w:pPr>
              <w:rPr>
                <w:sz w:val="20"/>
                <w:szCs w:val="20"/>
                <w:u w:val="single"/>
                <w:lang w:val="fr-CA"/>
              </w:rPr>
            </w:pPr>
          </w:p>
        </w:tc>
      </w:tr>
      <w:tr w:rsidR="009569A8" w:rsidRPr="002622ED" w:rsidTr="00A27223">
        <w:trPr>
          <w:cantSplit/>
        </w:trPr>
        <w:tc>
          <w:tcPr>
            <w:tcW w:w="9576" w:type="dxa"/>
            <w:gridSpan w:val="2"/>
          </w:tcPr>
          <w:p w:rsidR="009569A8" w:rsidRPr="002622ED" w:rsidRDefault="009569A8" w:rsidP="00A27223">
            <w:pPr>
              <w:pStyle w:val="SCCShortJudgment"/>
              <w:rPr>
                <w:szCs w:val="20"/>
                <w:lang w:val="fr-CA"/>
              </w:rPr>
            </w:pPr>
            <w:r w:rsidRPr="002622ED">
              <w:rPr>
                <w:szCs w:val="20"/>
                <w:lang w:val="fr-CA"/>
              </w:rPr>
              <w:lastRenderedPageBreak/>
              <w:t xml:space="preserve">La requête pour la nomination d’un </w:t>
            </w:r>
            <w:proofErr w:type="spellStart"/>
            <w:r w:rsidRPr="002622ED">
              <w:rPr>
                <w:i/>
                <w:szCs w:val="20"/>
                <w:lang w:val="fr-CA"/>
              </w:rPr>
              <w:t>amicus</w:t>
            </w:r>
            <w:proofErr w:type="spellEnd"/>
            <w:r w:rsidRPr="002622ED">
              <w:rPr>
                <w:i/>
                <w:szCs w:val="20"/>
                <w:lang w:val="fr-CA"/>
              </w:rPr>
              <w:t xml:space="preserve"> </w:t>
            </w:r>
            <w:proofErr w:type="spellStart"/>
            <w:r w:rsidRPr="002622ED">
              <w:rPr>
                <w:i/>
                <w:szCs w:val="20"/>
                <w:lang w:val="fr-CA"/>
              </w:rPr>
              <w:t>curiae</w:t>
            </w:r>
            <w:proofErr w:type="spellEnd"/>
            <w:r w:rsidRPr="002622ED">
              <w:rPr>
                <w:szCs w:val="20"/>
                <w:lang w:val="fr-CA"/>
              </w:rPr>
              <w:t xml:space="preserve"> est rejetée. Les demandes d’autorisation d’appel de l’arrêt de la Cour d’appel du Québec (Montréal), numéro 500-10-004308-092, 2011 QCCA 439, daté du 11 mars 2011, sont rejetées sans dépens.</w:t>
            </w:r>
          </w:p>
          <w:p w:rsidR="009569A8" w:rsidRPr="002622ED" w:rsidRDefault="009569A8" w:rsidP="00A27223">
            <w:pPr>
              <w:pStyle w:val="SCCShortJudgment"/>
              <w:ind w:firstLine="0"/>
              <w:rPr>
                <w:szCs w:val="20"/>
                <w:lang w:val="fr-CA"/>
              </w:rPr>
            </w:pPr>
          </w:p>
          <w:p w:rsidR="009569A8" w:rsidRPr="002622ED" w:rsidRDefault="009569A8" w:rsidP="00A27223">
            <w:pPr>
              <w:pStyle w:val="SCCShortJudgment"/>
              <w:rPr>
                <w:szCs w:val="20"/>
              </w:rPr>
            </w:pPr>
            <w:r w:rsidRPr="002622ED">
              <w:rPr>
                <w:szCs w:val="20"/>
              </w:rPr>
              <w:t xml:space="preserve">The motion for an appointment of an </w:t>
            </w:r>
            <w:r w:rsidRPr="002622ED">
              <w:rPr>
                <w:i/>
                <w:szCs w:val="20"/>
              </w:rPr>
              <w:t>amicus curiae</w:t>
            </w:r>
            <w:r w:rsidRPr="002622ED">
              <w:rPr>
                <w:szCs w:val="20"/>
              </w:rPr>
              <w:t xml:space="preserve"> is dismissed. The applications for leave to appeal from the judgment of the Court of Appeal of Quebec (Montréal), Number 500-10-004308-092, 2011 QCCA 439, dated March 11, 2011, are dismissed without costs.</w:t>
            </w:r>
          </w:p>
        </w:tc>
      </w:tr>
    </w:tbl>
    <w:p w:rsidR="00C454C8" w:rsidRPr="009569A8" w:rsidRDefault="00C454C8" w:rsidP="00C454C8">
      <w:pPr>
        <w:rPr>
          <w:sz w:val="20"/>
          <w:szCs w:val="20"/>
        </w:rPr>
      </w:pPr>
    </w:p>
    <w:p w:rsidR="00C454C8" w:rsidRPr="00517AED" w:rsidRDefault="00C454C8" w:rsidP="00C454C8">
      <w:pPr>
        <w:rPr>
          <w:sz w:val="20"/>
          <w:szCs w:val="20"/>
          <w:u w:val="single"/>
        </w:rPr>
      </w:pPr>
      <w:r w:rsidRPr="00517AED">
        <w:rPr>
          <w:sz w:val="20"/>
          <w:szCs w:val="20"/>
          <w:u w:val="single"/>
        </w:rPr>
        <w:t>CASE SUMMARY</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4E2535" w:rsidRPr="006D4413" w:rsidTr="004C3B4A">
        <w:tc>
          <w:tcPr>
            <w:tcW w:w="5000" w:type="pct"/>
            <w:gridSpan w:val="3"/>
          </w:tcPr>
          <w:p w:rsidR="004E2535" w:rsidRPr="006D4413" w:rsidRDefault="004E2535" w:rsidP="004C3B4A">
            <w:pPr>
              <w:jc w:val="both"/>
              <w:rPr>
                <w:rFonts w:eastAsia="Calibri"/>
                <w:sz w:val="20"/>
                <w:szCs w:val="20"/>
              </w:rPr>
            </w:pPr>
            <w:r w:rsidRPr="006D4413">
              <w:rPr>
                <w:rFonts w:eastAsia="Calibri"/>
                <w:i/>
                <w:sz w:val="20"/>
                <w:szCs w:val="20"/>
              </w:rPr>
              <w:t>Canadian Charter of Rights and Freedoms</w:t>
            </w:r>
            <w:r w:rsidRPr="006D4413">
              <w:rPr>
                <w:rFonts w:eastAsia="Calibri"/>
                <w:sz w:val="20"/>
                <w:szCs w:val="20"/>
              </w:rPr>
              <w:t xml:space="preserve"> — Criminal law — Abuse of process — Remedies — Stay of proceedings — Superior Court ordering permanent stay of proceedings because of conduct by Crown that violated s. 7 of </w:t>
            </w:r>
            <w:r w:rsidRPr="006D4413">
              <w:rPr>
                <w:rFonts w:eastAsia="Calibri"/>
                <w:i/>
                <w:sz w:val="20"/>
                <w:szCs w:val="20"/>
              </w:rPr>
              <w:t>Canadian Charter of Rights and Freedoms</w:t>
            </w:r>
            <w:r w:rsidRPr="006D4413">
              <w:rPr>
                <w:rFonts w:eastAsia="Calibri"/>
                <w:sz w:val="20"/>
                <w:szCs w:val="20"/>
              </w:rPr>
              <w:t xml:space="preserve"> and constituted abuse of process — Court of Appeal setting aside stay and ordering new trial — Whether Court of Appeal erred in refusing to appoint </w:t>
            </w:r>
            <w:r w:rsidRPr="006D4413">
              <w:rPr>
                <w:rFonts w:eastAsia="Calibri"/>
                <w:i/>
                <w:sz w:val="20"/>
                <w:szCs w:val="20"/>
              </w:rPr>
              <w:t xml:space="preserve">amicus curiae </w:t>
            </w:r>
            <w:r w:rsidRPr="006D4413">
              <w:rPr>
                <w:rFonts w:eastAsia="Calibri"/>
                <w:sz w:val="20"/>
                <w:szCs w:val="20"/>
              </w:rPr>
              <w:t>on appeal — Whether Court of Appeal erred in setting aside stay of proceedings entered by trial judge and ordering new trial.</w:t>
            </w:r>
          </w:p>
        </w:tc>
      </w:tr>
      <w:tr w:rsidR="004E2535" w:rsidRPr="006D4413" w:rsidTr="004C3B4A">
        <w:tc>
          <w:tcPr>
            <w:tcW w:w="5000" w:type="pct"/>
            <w:gridSpan w:val="3"/>
          </w:tcPr>
          <w:p w:rsidR="004E2535" w:rsidRPr="006D4413" w:rsidRDefault="004E2535" w:rsidP="004C3B4A">
            <w:pPr>
              <w:jc w:val="both"/>
              <w:rPr>
                <w:rFonts w:eastAsia="Calibri"/>
                <w:sz w:val="20"/>
                <w:szCs w:val="20"/>
              </w:rPr>
            </w:pPr>
          </w:p>
        </w:tc>
      </w:tr>
      <w:tr w:rsidR="004E2535" w:rsidRPr="006D4413" w:rsidTr="004C3B4A">
        <w:tc>
          <w:tcPr>
            <w:tcW w:w="5000" w:type="pct"/>
            <w:gridSpan w:val="3"/>
          </w:tcPr>
          <w:p w:rsidR="004E2535" w:rsidRPr="006D4413" w:rsidRDefault="004E2535" w:rsidP="004C3B4A">
            <w:pPr>
              <w:jc w:val="both"/>
              <w:rPr>
                <w:rFonts w:eastAsia="Calibri"/>
                <w:sz w:val="20"/>
                <w:szCs w:val="20"/>
              </w:rPr>
            </w:pPr>
            <w:r w:rsidRPr="006D4413">
              <w:rPr>
                <w:rFonts w:eastAsia="Calibri"/>
                <w:sz w:val="20"/>
                <w:szCs w:val="20"/>
              </w:rPr>
              <w:t xml:space="preserve">On October 23, 2005, Raymond Ellis was murdered at the Aria bar in Montréal.  He was attacked by a group of people and stabbed several times.  The five applicants were indicted for his murder.  Due to incidents connected with the testimony of a witness during the trial, the Crown admitted that it had irremediably violated procedural fairness and asked for a mistrial so the trial could start again before another jury.  The Superior Court was of the opinion that the Crown’s conduct had violated procedural fairness and undermined the integrity of the justice system, thus constituting an abuse of process prohibited by s. 7 of the </w:t>
            </w:r>
            <w:r w:rsidRPr="006D4413">
              <w:rPr>
                <w:rFonts w:eastAsia="Calibri"/>
                <w:i/>
                <w:sz w:val="20"/>
                <w:szCs w:val="20"/>
              </w:rPr>
              <w:t>Charter</w:t>
            </w:r>
            <w:r w:rsidRPr="006D4413">
              <w:rPr>
                <w:rFonts w:eastAsia="Calibri"/>
                <w:sz w:val="20"/>
                <w:szCs w:val="20"/>
              </w:rPr>
              <w:t>.  As a result, it ordered a permanent stay of proceedings.  The Quebec Court of Appeal allowed the Crown’s appeal and ordered a new trial on the ground that the situation did not require a stay of proceedings.</w:t>
            </w:r>
          </w:p>
          <w:p w:rsidR="004E2535" w:rsidRPr="006D4413" w:rsidRDefault="004E2535" w:rsidP="004C3B4A">
            <w:pPr>
              <w:jc w:val="both"/>
              <w:rPr>
                <w:rFonts w:eastAsia="Calibri"/>
                <w:sz w:val="20"/>
                <w:szCs w:val="20"/>
              </w:rPr>
            </w:pP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January 12, 2009</w:t>
            </w:r>
          </w:p>
          <w:p w:rsidR="004E2535" w:rsidRPr="006D4413" w:rsidRDefault="004E2535" w:rsidP="004C3B4A">
            <w:pPr>
              <w:jc w:val="both"/>
              <w:rPr>
                <w:rFonts w:eastAsia="Calibri"/>
                <w:sz w:val="20"/>
                <w:szCs w:val="20"/>
              </w:rPr>
            </w:pPr>
            <w:r w:rsidRPr="006D4413">
              <w:rPr>
                <w:rFonts w:eastAsia="Calibri"/>
                <w:sz w:val="20"/>
                <w:szCs w:val="20"/>
              </w:rPr>
              <w:t>Quebec Superior Court</w:t>
            </w:r>
          </w:p>
          <w:p w:rsidR="004E2535" w:rsidRPr="006D4413" w:rsidRDefault="004E2535" w:rsidP="004C3B4A">
            <w:pPr>
              <w:jc w:val="both"/>
              <w:rPr>
                <w:rFonts w:eastAsia="Calibri"/>
                <w:sz w:val="20"/>
                <w:szCs w:val="20"/>
              </w:rPr>
            </w:pPr>
            <w:r w:rsidRPr="006D4413">
              <w:rPr>
                <w:rFonts w:eastAsia="Calibri"/>
                <w:sz w:val="20"/>
                <w:szCs w:val="20"/>
              </w:rPr>
              <w:t>(Bourque J.)</w:t>
            </w:r>
          </w:p>
          <w:p w:rsidR="004E2535" w:rsidRDefault="004E2535" w:rsidP="004C3B4A">
            <w:pPr>
              <w:jc w:val="both"/>
              <w:rPr>
                <w:rFonts w:eastAsia="Calibri"/>
                <w:sz w:val="20"/>
                <w:szCs w:val="20"/>
              </w:rPr>
            </w:pPr>
            <w:r w:rsidRPr="006D4413">
              <w:rPr>
                <w:rFonts w:eastAsia="Calibri"/>
                <w:sz w:val="20"/>
                <w:szCs w:val="20"/>
              </w:rPr>
              <w:t>2009 QCCS 52</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Permanent stay of proceedings against five applicants ordered on charge of second degree murder</w:t>
            </w:r>
          </w:p>
          <w:p w:rsidR="004E2535" w:rsidRPr="006D4413" w:rsidRDefault="004E2535" w:rsidP="004C3B4A">
            <w:pPr>
              <w:jc w:val="both"/>
              <w:rPr>
                <w:rFonts w:eastAsia="Calibri"/>
                <w:sz w:val="20"/>
                <w:szCs w:val="20"/>
              </w:rPr>
            </w:pP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March 11, 2011</w:t>
            </w:r>
          </w:p>
          <w:p w:rsidR="004E2535" w:rsidRPr="006D4413" w:rsidRDefault="004E2535" w:rsidP="004C3B4A">
            <w:pPr>
              <w:jc w:val="both"/>
              <w:rPr>
                <w:rFonts w:eastAsia="Calibri"/>
                <w:sz w:val="20"/>
                <w:szCs w:val="20"/>
              </w:rPr>
            </w:pPr>
            <w:r w:rsidRPr="006D4413">
              <w:rPr>
                <w:rFonts w:eastAsia="Calibri"/>
                <w:sz w:val="20"/>
                <w:szCs w:val="20"/>
              </w:rPr>
              <w:t>Quebec Court of Appeal (Montréal)</w:t>
            </w:r>
          </w:p>
          <w:p w:rsidR="004E2535" w:rsidRPr="006D4413" w:rsidRDefault="004E2535" w:rsidP="004C3B4A">
            <w:pPr>
              <w:jc w:val="both"/>
              <w:rPr>
                <w:rFonts w:eastAsia="Calibri"/>
                <w:sz w:val="20"/>
                <w:szCs w:val="20"/>
              </w:rPr>
            </w:pPr>
            <w:r w:rsidRPr="006D4413">
              <w:rPr>
                <w:rFonts w:eastAsia="Calibri"/>
                <w:sz w:val="20"/>
                <w:szCs w:val="20"/>
              </w:rPr>
              <w:t xml:space="preserve">(Robert, Doyon and </w:t>
            </w:r>
            <w:proofErr w:type="spellStart"/>
            <w:r w:rsidRPr="006D4413">
              <w:rPr>
                <w:rFonts w:eastAsia="Calibri"/>
                <w:sz w:val="20"/>
                <w:szCs w:val="20"/>
              </w:rPr>
              <w:t>Bich</w:t>
            </w:r>
            <w:proofErr w:type="spellEnd"/>
            <w:r w:rsidRPr="006D4413">
              <w:rPr>
                <w:rFonts w:eastAsia="Calibri"/>
                <w:sz w:val="20"/>
                <w:szCs w:val="20"/>
              </w:rPr>
              <w:t xml:space="preserve"> JJ.A.)</w:t>
            </w:r>
          </w:p>
          <w:p w:rsidR="004E2535" w:rsidRPr="006D4413" w:rsidRDefault="004E2535" w:rsidP="004C3B4A">
            <w:pPr>
              <w:jc w:val="both"/>
              <w:rPr>
                <w:rFonts w:eastAsia="Calibri"/>
                <w:sz w:val="20"/>
                <w:szCs w:val="20"/>
              </w:rPr>
            </w:pPr>
            <w:r w:rsidRPr="006D4413">
              <w:rPr>
                <w:rFonts w:eastAsia="Calibri"/>
                <w:sz w:val="20"/>
                <w:szCs w:val="20"/>
              </w:rPr>
              <w:t>2011 QCCA 439</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 xml:space="preserve">Appeal allowed: judgment of Superior Court set aside and new trial ordered </w:t>
            </w: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May 5, 2011</w:t>
            </w:r>
          </w:p>
          <w:p w:rsidR="004E2535" w:rsidRPr="006D4413" w:rsidRDefault="004E2535" w:rsidP="004C3B4A">
            <w:pPr>
              <w:jc w:val="both"/>
              <w:rPr>
                <w:rFonts w:eastAsia="Calibri"/>
                <w:sz w:val="20"/>
                <w:szCs w:val="20"/>
              </w:rPr>
            </w:pPr>
            <w:r w:rsidRPr="006D4413">
              <w:rPr>
                <w:rFonts w:eastAsia="Calibri"/>
                <w:sz w:val="20"/>
                <w:szCs w:val="20"/>
              </w:rPr>
              <w:t>Supreme Court of Canada</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 xml:space="preserve">Applications for leave to appeal of John </w:t>
            </w:r>
            <w:proofErr w:type="spellStart"/>
            <w:r w:rsidRPr="006D4413">
              <w:rPr>
                <w:rFonts w:eastAsia="Calibri"/>
                <w:sz w:val="20"/>
                <w:szCs w:val="20"/>
              </w:rPr>
              <w:t>Tshiamala</w:t>
            </w:r>
            <w:proofErr w:type="spellEnd"/>
            <w:r w:rsidRPr="006D4413">
              <w:rPr>
                <w:rFonts w:eastAsia="Calibri"/>
                <w:sz w:val="20"/>
                <w:szCs w:val="20"/>
              </w:rPr>
              <w:t xml:space="preserve"> and </w:t>
            </w:r>
            <w:proofErr w:type="spellStart"/>
            <w:r w:rsidRPr="006D4413">
              <w:rPr>
                <w:rFonts w:eastAsia="Calibri"/>
                <w:sz w:val="20"/>
                <w:szCs w:val="20"/>
              </w:rPr>
              <w:t>McLee</w:t>
            </w:r>
            <w:proofErr w:type="spellEnd"/>
            <w:r w:rsidRPr="006D4413">
              <w:rPr>
                <w:rFonts w:eastAsia="Calibri"/>
                <w:sz w:val="20"/>
                <w:szCs w:val="20"/>
              </w:rPr>
              <w:t xml:space="preserve"> Charles filed</w:t>
            </w: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May 10, 2011</w:t>
            </w:r>
          </w:p>
          <w:p w:rsidR="004E2535" w:rsidRPr="006D4413" w:rsidRDefault="004E2535" w:rsidP="004C3B4A">
            <w:pPr>
              <w:jc w:val="both"/>
              <w:rPr>
                <w:rFonts w:eastAsia="Calibri"/>
                <w:sz w:val="20"/>
                <w:szCs w:val="20"/>
              </w:rPr>
            </w:pPr>
            <w:r w:rsidRPr="006D4413">
              <w:rPr>
                <w:rFonts w:eastAsia="Calibri"/>
                <w:sz w:val="20"/>
                <w:szCs w:val="20"/>
              </w:rPr>
              <w:t>Supreme Court of Canada</w:t>
            </w: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 xml:space="preserve">Applications for leave to appeal of Evens Belleville, </w:t>
            </w:r>
            <w:proofErr w:type="spellStart"/>
            <w:r w:rsidRPr="006D4413">
              <w:rPr>
                <w:rFonts w:eastAsia="Calibri"/>
                <w:sz w:val="20"/>
                <w:szCs w:val="20"/>
              </w:rPr>
              <w:t>Ernso</w:t>
            </w:r>
            <w:proofErr w:type="spellEnd"/>
            <w:r w:rsidRPr="006D4413">
              <w:rPr>
                <w:rFonts w:eastAsia="Calibri"/>
                <w:sz w:val="20"/>
                <w:szCs w:val="20"/>
              </w:rPr>
              <w:t xml:space="preserve"> </w:t>
            </w:r>
            <w:proofErr w:type="spellStart"/>
            <w:r w:rsidRPr="006D4413">
              <w:rPr>
                <w:rFonts w:eastAsia="Calibri"/>
                <w:sz w:val="20"/>
                <w:szCs w:val="20"/>
              </w:rPr>
              <w:t>Théobrun</w:t>
            </w:r>
            <w:proofErr w:type="spellEnd"/>
            <w:r w:rsidRPr="006D4413">
              <w:rPr>
                <w:rFonts w:eastAsia="Calibri"/>
                <w:sz w:val="20"/>
                <w:szCs w:val="20"/>
              </w:rPr>
              <w:t xml:space="preserve"> and Cleveland </w:t>
            </w:r>
            <w:proofErr w:type="spellStart"/>
            <w:r w:rsidRPr="006D4413">
              <w:rPr>
                <w:rFonts w:eastAsia="Calibri"/>
                <w:sz w:val="20"/>
                <w:szCs w:val="20"/>
              </w:rPr>
              <w:t>Alexander</w:t>
            </w:r>
            <w:r w:rsidRPr="006D4413">
              <w:rPr>
                <w:rFonts w:eastAsia="Calibri"/>
                <w:sz w:val="20"/>
                <w:szCs w:val="20"/>
              </w:rPr>
              <w:noBreakHyphen/>
              <w:t>Scott</w:t>
            </w:r>
            <w:proofErr w:type="spellEnd"/>
            <w:r w:rsidRPr="006D4413">
              <w:rPr>
                <w:rFonts w:eastAsia="Calibri"/>
                <w:sz w:val="20"/>
                <w:szCs w:val="20"/>
              </w:rPr>
              <w:t xml:space="preserve"> filed</w:t>
            </w:r>
          </w:p>
        </w:tc>
      </w:tr>
    </w:tbl>
    <w:p w:rsidR="00C454C8" w:rsidRPr="004E2535" w:rsidRDefault="00C454C8" w:rsidP="00C454C8">
      <w:pPr>
        <w:rPr>
          <w:sz w:val="20"/>
          <w:szCs w:val="20"/>
        </w:rPr>
      </w:pPr>
    </w:p>
    <w:p w:rsidR="00C454C8" w:rsidRDefault="008754B5" w:rsidP="00C454C8">
      <w:pPr>
        <w:rPr>
          <w:sz w:val="20"/>
          <w:szCs w:val="20"/>
          <w:lang w:val="fr-CA"/>
        </w:rPr>
      </w:pPr>
      <w:r w:rsidRPr="008754B5">
        <w:rPr>
          <w:sz w:val="20"/>
          <w:szCs w:val="20"/>
          <w:lang w:val="fr-CA"/>
        </w:rPr>
        <w:pict>
          <v:rect id="_x0000_i1045" style="width:2in;height:1pt" o:hrpct="0" o:hralign="center" o:hrstd="t" o:hrnoshade="t" o:hr="t" fillcolor="black [3213]" stroked="f"/>
        </w:pict>
      </w:r>
    </w:p>
    <w:p w:rsidR="00C454C8" w:rsidRDefault="00C454C8" w:rsidP="00C454C8">
      <w:pPr>
        <w:rPr>
          <w:sz w:val="20"/>
          <w:szCs w:val="20"/>
          <w:lang w:val="fr-CA"/>
        </w:rPr>
      </w:pPr>
    </w:p>
    <w:p w:rsidR="00C454C8" w:rsidRPr="00517AED" w:rsidRDefault="00C454C8" w:rsidP="00C454C8">
      <w:pPr>
        <w:rPr>
          <w:sz w:val="20"/>
          <w:szCs w:val="20"/>
          <w:u w:val="single"/>
          <w:lang w:val="fr-CA"/>
        </w:rPr>
      </w:pPr>
      <w:r w:rsidRPr="00517AED">
        <w:rPr>
          <w:sz w:val="20"/>
          <w:szCs w:val="20"/>
          <w:u w:val="single"/>
          <w:lang w:val="fr-CA"/>
        </w:rPr>
        <w:t>RÉSUMÉ DE L’AFFAIRE</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4E2535" w:rsidRPr="008608D5" w:rsidTr="004C3B4A">
        <w:tc>
          <w:tcPr>
            <w:tcW w:w="5000" w:type="pct"/>
            <w:gridSpan w:val="3"/>
          </w:tcPr>
          <w:p w:rsidR="004E2535" w:rsidRPr="006D4413" w:rsidRDefault="004E2535" w:rsidP="004C3B4A">
            <w:pPr>
              <w:jc w:val="both"/>
              <w:rPr>
                <w:sz w:val="20"/>
                <w:szCs w:val="20"/>
                <w:lang w:val="fr-CA"/>
              </w:rPr>
            </w:pPr>
            <w:r w:rsidRPr="006D4413">
              <w:rPr>
                <w:i/>
                <w:sz w:val="20"/>
                <w:szCs w:val="20"/>
                <w:lang w:val="fr-CA"/>
              </w:rPr>
              <w:t>Charte canadienne des droits et libertés</w:t>
            </w:r>
            <w:r w:rsidRPr="006D4413">
              <w:rPr>
                <w:sz w:val="20"/>
                <w:szCs w:val="20"/>
                <w:lang w:val="fr-CA"/>
              </w:rPr>
              <w:t xml:space="preserve"> — Droit criminel — Abus de procédure — Réparations — Suspension des procédures — Suspension définitive des procédures ordonnée par la Cour supérieure en raison de conduite de la Couronne constituant une violation de l’article 7 de la </w:t>
            </w:r>
            <w:r w:rsidRPr="006D4413">
              <w:rPr>
                <w:i/>
                <w:sz w:val="20"/>
                <w:szCs w:val="20"/>
                <w:lang w:val="fr-CA"/>
              </w:rPr>
              <w:t>Charte canadienne des droits et libertés</w:t>
            </w:r>
            <w:r w:rsidRPr="006D4413">
              <w:rPr>
                <w:sz w:val="20"/>
                <w:szCs w:val="20"/>
                <w:lang w:val="fr-CA"/>
              </w:rPr>
              <w:t xml:space="preserve"> et un abus de procédure — Suspension annulée et nouveau procès ordonné par la Cour d’appel — La Cour d’appel </w:t>
            </w:r>
            <w:proofErr w:type="spellStart"/>
            <w:r w:rsidRPr="006D4413">
              <w:rPr>
                <w:sz w:val="20"/>
                <w:szCs w:val="20"/>
                <w:lang w:val="fr-CA"/>
              </w:rPr>
              <w:t>a</w:t>
            </w:r>
            <w:r w:rsidRPr="006D4413">
              <w:rPr>
                <w:sz w:val="20"/>
                <w:szCs w:val="20"/>
                <w:lang w:val="fr-CA"/>
              </w:rPr>
              <w:noBreakHyphen/>
              <w:t>t</w:t>
            </w:r>
            <w:r w:rsidRPr="006D4413">
              <w:rPr>
                <w:sz w:val="20"/>
                <w:szCs w:val="20"/>
                <w:lang w:val="fr-CA"/>
              </w:rPr>
              <w:noBreakHyphen/>
              <w:t>elle</w:t>
            </w:r>
            <w:proofErr w:type="spellEnd"/>
            <w:r w:rsidRPr="006D4413">
              <w:rPr>
                <w:sz w:val="20"/>
                <w:szCs w:val="20"/>
                <w:lang w:val="fr-CA"/>
              </w:rPr>
              <w:t xml:space="preserve"> erré en refusant de nommer un </w:t>
            </w:r>
            <w:proofErr w:type="spellStart"/>
            <w:r w:rsidRPr="006D4413">
              <w:rPr>
                <w:i/>
                <w:sz w:val="20"/>
                <w:szCs w:val="20"/>
                <w:lang w:val="fr-CA"/>
              </w:rPr>
              <w:t>amicus</w:t>
            </w:r>
            <w:proofErr w:type="spellEnd"/>
            <w:r w:rsidRPr="006D4413">
              <w:rPr>
                <w:i/>
                <w:sz w:val="20"/>
                <w:szCs w:val="20"/>
                <w:lang w:val="fr-CA"/>
              </w:rPr>
              <w:t xml:space="preserve"> </w:t>
            </w:r>
            <w:proofErr w:type="spellStart"/>
            <w:r w:rsidRPr="006D4413">
              <w:rPr>
                <w:i/>
                <w:sz w:val="20"/>
                <w:szCs w:val="20"/>
                <w:lang w:val="fr-CA"/>
              </w:rPr>
              <w:t>curiae</w:t>
            </w:r>
            <w:proofErr w:type="spellEnd"/>
            <w:r w:rsidRPr="006D4413">
              <w:rPr>
                <w:i/>
                <w:sz w:val="20"/>
                <w:szCs w:val="20"/>
                <w:lang w:val="fr-CA"/>
              </w:rPr>
              <w:t xml:space="preserve"> </w:t>
            </w:r>
            <w:r w:rsidRPr="006D4413">
              <w:rPr>
                <w:sz w:val="20"/>
                <w:szCs w:val="20"/>
                <w:lang w:val="fr-CA"/>
              </w:rPr>
              <w:t xml:space="preserve">en appel? — La Cour d’appel </w:t>
            </w:r>
            <w:proofErr w:type="spellStart"/>
            <w:r w:rsidRPr="006D4413">
              <w:rPr>
                <w:sz w:val="20"/>
                <w:szCs w:val="20"/>
                <w:lang w:val="fr-CA"/>
              </w:rPr>
              <w:t>a</w:t>
            </w:r>
            <w:r w:rsidRPr="006D4413">
              <w:rPr>
                <w:sz w:val="20"/>
                <w:szCs w:val="20"/>
                <w:lang w:val="fr-CA"/>
              </w:rPr>
              <w:noBreakHyphen/>
              <w:t>t</w:t>
            </w:r>
            <w:r w:rsidRPr="006D4413">
              <w:rPr>
                <w:sz w:val="20"/>
                <w:szCs w:val="20"/>
                <w:lang w:val="fr-CA"/>
              </w:rPr>
              <w:noBreakHyphen/>
              <w:t>elle</w:t>
            </w:r>
            <w:proofErr w:type="spellEnd"/>
            <w:r w:rsidRPr="006D4413">
              <w:rPr>
                <w:sz w:val="20"/>
                <w:szCs w:val="20"/>
                <w:lang w:val="fr-CA"/>
              </w:rPr>
              <w:t xml:space="preserve"> erré en cassant la suspension des procédures ordonnée </w:t>
            </w:r>
            <w:r w:rsidRPr="006D4413">
              <w:rPr>
                <w:sz w:val="20"/>
                <w:szCs w:val="20"/>
                <w:lang w:val="fr-CA"/>
              </w:rPr>
              <w:lastRenderedPageBreak/>
              <w:t>par la juge de première instance et en ordonnant un nouveau procès?</w:t>
            </w:r>
          </w:p>
        </w:tc>
      </w:tr>
      <w:tr w:rsidR="004E2535" w:rsidRPr="008608D5" w:rsidTr="004C3B4A">
        <w:tc>
          <w:tcPr>
            <w:tcW w:w="5000" w:type="pct"/>
            <w:gridSpan w:val="3"/>
          </w:tcPr>
          <w:p w:rsidR="004E2535" w:rsidRPr="006D4413" w:rsidRDefault="004E2535" w:rsidP="004C3B4A">
            <w:pPr>
              <w:jc w:val="both"/>
              <w:rPr>
                <w:sz w:val="20"/>
                <w:szCs w:val="20"/>
                <w:lang w:val="fr-CA"/>
              </w:rPr>
            </w:pPr>
          </w:p>
        </w:tc>
      </w:tr>
      <w:tr w:rsidR="004E2535" w:rsidRPr="008608D5" w:rsidTr="004C3B4A">
        <w:tc>
          <w:tcPr>
            <w:tcW w:w="5000" w:type="pct"/>
            <w:gridSpan w:val="3"/>
          </w:tcPr>
          <w:p w:rsidR="004E2535" w:rsidRPr="006D4413" w:rsidRDefault="004E2535" w:rsidP="004C3B4A">
            <w:pPr>
              <w:jc w:val="both"/>
              <w:rPr>
                <w:sz w:val="20"/>
                <w:szCs w:val="20"/>
                <w:lang w:val="fr-CA"/>
              </w:rPr>
            </w:pPr>
            <w:r w:rsidRPr="006D4413">
              <w:rPr>
                <w:sz w:val="20"/>
                <w:szCs w:val="20"/>
                <w:lang w:val="fr-CA"/>
              </w:rPr>
              <w:t xml:space="preserve">Le 23 octobre 2005, Raymond Ellis est assassiné au bar Aria à Montréal.  M. Ellis est assailli par un groupe de personnes et poignardé à plusieurs reprises. Les cinq demandeurs sont mis en accusation pour le meurtre de M. Ellis.  En raison d’incidents survenus en marge d’un des témoignages durant le procès, la Couronne reconnaît avoir irrémédiablement porté atteinte à l’équité procédurale et demande un avortement de procès afin de recommencer le procès devant un autre jury.  La Cour supérieure est d’avis que la conduite de la Couronne a violé l’équité procédurale et porté atteinte à l’intégrité du système de justice, constituant ainsi un abus de procédure interdit par l’art. 7 de la </w:t>
            </w:r>
            <w:r w:rsidRPr="006D4413">
              <w:rPr>
                <w:i/>
                <w:sz w:val="20"/>
                <w:szCs w:val="20"/>
                <w:lang w:val="fr-CA"/>
              </w:rPr>
              <w:t>Charte</w:t>
            </w:r>
            <w:r w:rsidRPr="006D4413">
              <w:rPr>
                <w:sz w:val="20"/>
                <w:szCs w:val="20"/>
                <w:lang w:val="fr-CA"/>
              </w:rPr>
              <w:t>.  Elle déclare donc la suspension définitive des procédures.  La Cour d’appel du Québec accueille l’appel de la Couronne et ordonne un nouveau procès, étant d’avis que la situation n’exigeait pas l’arrêt des procédures.</w:t>
            </w:r>
          </w:p>
          <w:p w:rsidR="004E2535" w:rsidRPr="006D4413" w:rsidRDefault="004E2535" w:rsidP="004C3B4A">
            <w:pPr>
              <w:jc w:val="both"/>
              <w:rPr>
                <w:sz w:val="20"/>
                <w:szCs w:val="20"/>
                <w:lang w:val="fr-CA"/>
              </w:rPr>
            </w:pPr>
          </w:p>
        </w:tc>
      </w:tr>
      <w:tr w:rsidR="004E2535" w:rsidRPr="008608D5" w:rsidTr="004C3B4A">
        <w:tc>
          <w:tcPr>
            <w:tcW w:w="2427" w:type="pct"/>
          </w:tcPr>
          <w:p w:rsidR="004E2535" w:rsidRPr="006D4413" w:rsidRDefault="004E2535" w:rsidP="004C3B4A">
            <w:pPr>
              <w:rPr>
                <w:sz w:val="20"/>
                <w:szCs w:val="20"/>
                <w:lang w:val="fr-CA"/>
              </w:rPr>
            </w:pPr>
            <w:r w:rsidRPr="006D4413">
              <w:rPr>
                <w:sz w:val="20"/>
                <w:szCs w:val="20"/>
                <w:lang w:val="fr-CA"/>
              </w:rPr>
              <w:t>Le 12 janvier 2009</w:t>
            </w:r>
          </w:p>
          <w:p w:rsidR="004E2535" w:rsidRPr="006D4413" w:rsidRDefault="004E2535" w:rsidP="004C3B4A">
            <w:pPr>
              <w:rPr>
                <w:sz w:val="20"/>
                <w:szCs w:val="20"/>
                <w:lang w:val="fr-CA"/>
              </w:rPr>
            </w:pPr>
            <w:r w:rsidRPr="006D4413">
              <w:rPr>
                <w:sz w:val="20"/>
                <w:szCs w:val="20"/>
                <w:lang w:val="fr-CA"/>
              </w:rPr>
              <w:t>Cour supérieure du Québec</w:t>
            </w:r>
          </w:p>
          <w:p w:rsidR="004E2535" w:rsidRPr="006D4413" w:rsidRDefault="004E2535" w:rsidP="004C3B4A">
            <w:pPr>
              <w:rPr>
                <w:sz w:val="20"/>
                <w:szCs w:val="20"/>
              </w:rPr>
            </w:pPr>
            <w:r w:rsidRPr="006D4413">
              <w:rPr>
                <w:sz w:val="20"/>
                <w:szCs w:val="20"/>
              </w:rPr>
              <w:t xml:space="preserve">(La </w:t>
            </w:r>
            <w:proofErr w:type="spellStart"/>
            <w:r w:rsidRPr="006D4413">
              <w:rPr>
                <w:sz w:val="20"/>
                <w:szCs w:val="20"/>
              </w:rPr>
              <w:t>juge</w:t>
            </w:r>
            <w:proofErr w:type="spellEnd"/>
            <w:r w:rsidRPr="006D4413">
              <w:rPr>
                <w:sz w:val="20"/>
                <w:szCs w:val="20"/>
              </w:rPr>
              <w:t xml:space="preserve"> Bourque)</w:t>
            </w:r>
          </w:p>
          <w:p w:rsidR="004E2535" w:rsidRDefault="004E2535" w:rsidP="004C3B4A">
            <w:pPr>
              <w:rPr>
                <w:sz w:val="20"/>
                <w:szCs w:val="20"/>
              </w:rPr>
            </w:pPr>
            <w:r w:rsidRPr="006D4413">
              <w:rPr>
                <w:sz w:val="20"/>
                <w:szCs w:val="20"/>
              </w:rPr>
              <w:t>2009 QCCS 52</w:t>
            </w:r>
          </w:p>
          <w:p w:rsidR="004E2535" w:rsidRPr="006D4413" w:rsidRDefault="004E2535" w:rsidP="004C3B4A">
            <w:pPr>
              <w:rPr>
                <w:sz w:val="20"/>
                <w:szCs w:val="20"/>
              </w:rPr>
            </w:pPr>
          </w:p>
        </w:tc>
        <w:tc>
          <w:tcPr>
            <w:tcW w:w="243" w:type="pct"/>
          </w:tcPr>
          <w:p w:rsidR="004E2535" w:rsidRPr="006D4413" w:rsidRDefault="004E2535" w:rsidP="004C3B4A">
            <w:pPr>
              <w:rPr>
                <w:sz w:val="20"/>
                <w:szCs w:val="20"/>
              </w:rPr>
            </w:pPr>
          </w:p>
        </w:tc>
        <w:tc>
          <w:tcPr>
            <w:tcW w:w="2330" w:type="pct"/>
          </w:tcPr>
          <w:p w:rsidR="004E2535" w:rsidRPr="006D4413" w:rsidRDefault="004E2535" w:rsidP="004C3B4A">
            <w:pPr>
              <w:jc w:val="both"/>
              <w:rPr>
                <w:sz w:val="20"/>
                <w:szCs w:val="20"/>
                <w:lang w:val="fr-CA"/>
              </w:rPr>
            </w:pPr>
            <w:r w:rsidRPr="006D4413">
              <w:rPr>
                <w:sz w:val="20"/>
                <w:szCs w:val="20"/>
                <w:lang w:val="fr-CA"/>
              </w:rPr>
              <w:t>Suspension définitive des procédures contre les cinq demandeurs déclarée quant à l’accusation de meurtre au second degré</w:t>
            </w:r>
          </w:p>
          <w:p w:rsidR="004E2535" w:rsidRPr="006D4413" w:rsidRDefault="004E2535" w:rsidP="004C3B4A">
            <w:pPr>
              <w:jc w:val="both"/>
              <w:rPr>
                <w:sz w:val="20"/>
                <w:szCs w:val="20"/>
                <w:lang w:val="fr-CA"/>
              </w:rPr>
            </w:pPr>
          </w:p>
        </w:tc>
      </w:tr>
      <w:tr w:rsidR="004E2535" w:rsidRPr="008608D5" w:rsidTr="004C3B4A">
        <w:tc>
          <w:tcPr>
            <w:tcW w:w="2427" w:type="pct"/>
          </w:tcPr>
          <w:p w:rsidR="004E2535" w:rsidRPr="006D4413" w:rsidRDefault="004E2535" w:rsidP="004C3B4A">
            <w:pPr>
              <w:rPr>
                <w:sz w:val="20"/>
                <w:szCs w:val="20"/>
                <w:lang w:val="fr-CA"/>
              </w:rPr>
            </w:pPr>
            <w:r w:rsidRPr="006D4413">
              <w:rPr>
                <w:sz w:val="20"/>
                <w:szCs w:val="20"/>
                <w:lang w:val="fr-CA"/>
              </w:rPr>
              <w:t>Le 11 mars 2011</w:t>
            </w:r>
          </w:p>
          <w:p w:rsidR="004E2535" w:rsidRPr="006D4413" w:rsidRDefault="004E2535" w:rsidP="004C3B4A">
            <w:pPr>
              <w:rPr>
                <w:sz w:val="20"/>
                <w:szCs w:val="20"/>
                <w:lang w:val="fr-CA"/>
              </w:rPr>
            </w:pPr>
            <w:r w:rsidRPr="006D4413">
              <w:rPr>
                <w:sz w:val="20"/>
                <w:szCs w:val="20"/>
                <w:lang w:val="fr-CA"/>
              </w:rPr>
              <w:t>Cour d’appel du Québec (Montréal)</w:t>
            </w:r>
          </w:p>
          <w:p w:rsidR="004E2535" w:rsidRPr="006D4413" w:rsidRDefault="004E2535" w:rsidP="004C3B4A">
            <w:pPr>
              <w:rPr>
                <w:sz w:val="20"/>
                <w:szCs w:val="20"/>
                <w:lang w:val="fr-CA"/>
              </w:rPr>
            </w:pPr>
            <w:r w:rsidRPr="006D4413">
              <w:rPr>
                <w:sz w:val="20"/>
                <w:szCs w:val="20"/>
                <w:lang w:val="fr-CA"/>
              </w:rPr>
              <w:t xml:space="preserve">(Les juges Robert, Doyon et </w:t>
            </w:r>
            <w:proofErr w:type="spellStart"/>
            <w:r w:rsidRPr="006D4413">
              <w:rPr>
                <w:sz w:val="20"/>
                <w:szCs w:val="20"/>
                <w:lang w:val="fr-CA"/>
              </w:rPr>
              <w:t>Bich</w:t>
            </w:r>
            <w:proofErr w:type="spellEnd"/>
            <w:r w:rsidRPr="006D4413">
              <w:rPr>
                <w:sz w:val="20"/>
                <w:szCs w:val="20"/>
                <w:lang w:val="fr-CA"/>
              </w:rPr>
              <w:t>)</w:t>
            </w:r>
          </w:p>
          <w:p w:rsidR="004E2535" w:rsidRPr="006D4413" w:rsidRDefault="004E2535" w:rsidP="004C3B4A">
            <w:pPr>
              <w:rPr>
                <w:sz w:val="20"/>
                <w:szCs w:val="20"/>
              </w:rPr>
            </w:pPr>
            <w:r w:rsidRPr="006D4413">
              <w:rPr>
                <w:sz w:val="20"/>
                <w:szCs w:val="20"/>
              </w:rPr>
              <w:t>2011 QCCA 439</w:t>
            </w:r>
          </w:p>
          <w:p w:rsidR="004E2535" w:rsidRPr="006D4413" w:rsidRDefault="004E2535" w:rsidP="004C3B4A">
            <w:pPr>
              <w:rPr>
                <w:sz w:val="20"/>
                <w:szCs w:val="20"/>
              </w:rPr>
            </w:pPr>
          </w:p>
        </w:tc>
        <w:tc>
          <w:tcPr>
            <w:tcW w:w="243" w:type="pct"/>
          </w:tcPr>
          <w:p w:rsidR="004E2535" w:rsidRPr="006D4413" w:rsidRDefault="004E2535" w:rsidP="004C3B4A">
            <w:pPr>
              <w:rPr>
                <w:sz w:val="20"/>
                <w:szCs w:val="20"/>
              </w:rPr>
            </w:pPr>
          </w:p>
        </w:tc>
        <w:tc>
          <w:tcPr>
            <w:tcW w:w="2330" w:type="pct"/>
          </w:tcPr>
          <w:p w:rsidR="004E2535" w:rsidRPr="006D4413" w:rsidRDefault="004E2535" w:rsidP="004C3B4A">
            <w:pPr>
              <w:jc w:val="both"/>
              <w:rPr>
                <w:sz w:val="20"/>
                <w:szCs w:val="20"/>
                <w:lang w:val="fr-CA"/>
              </w:rPr>
            </w:pPr>
            <w:r w:rsidRPr="006D4413">
              <w:rPr>
                <w:sz w:val="20"/>
                <w:szCs w:val="20"/>
                <w:lang w:val="fr-CA"/>
              </w:rPr>
              <w:t xml:space="preserve">Appel accueilli : jugement de la Cour supérieure infirmé et nouveau procès ordonné </w:t>
            </w:r>
          </w:p>
        </w:tc>
      </w:tr>
      <w:tr w:rsidR="004E2535" w:rsidRPr="008608D5" w:rsidTr="004C3B4A">
        <w:tc>
          <w:tcPr>
            <w:tcW w:w="2427" w:type="pct"/>
          </w:tcPr>
          <w:p w:rsidR="004E2535" w:rsidRPr="006D4413" w:rsidRDefault="004E2535" w:rsidP="004C3B4A">
            <w:pPr>
              <w:rPr>
                <w:sz w:val="20"/>
                <w:szCs w:val="20"/>
                <w:lang w:val="fr-CA"/>
              </w:rPr>
            </w:pPr>
            <w:r w:rsidRPr="006D4413">
              <w:rPr>
                <w:sz w:val="20"/>
                <w:szCs w:val="20"/>
                <w:lang w:val="fr-CA"/>
              </w:rPr>
              <w:t>Le 5 mai 2011</w:t>
            </w:r>
          </w:p>
          <w:p w:rsidR="004E2535" w:rsidRPr="006D4413" w:rsidRDefault="004E2535" w:rsidP="004C3B4A">
            <w:pPr>
              <w:rPr>
                <w:sz w:val="20"/>
                <w:szCs w:val="20"/>
                <w:lang w:val="fr-CA"/>
              </w:rPr>
            </w:pPr>
            <w:r w:rsidRPr="006D4413">
              <w:rPr>
                <w:sz w:val="20"/>
                <w:szCs w:val="20"/>
                <w:lang w:val="fr-CA"/>
              </w:rPr>
              <w:t>Cour suprême du Canada</w:t>
            </w:r>
          </w:p>
          <w:p w:rsidR="004E2535" w:rsidRPr="006D4413" w:rsidRDefault="004E2535" w:rsidP="004C3B4A">
            <w:pPr>
              <w:rPr>
                <w:sz w:val="20"/>
                <w:szCs w:val="20"/>
                <w:lang w:val="fr-CA"/>
              </w:rPr>
            </w:pPr>
          </w:p>
        </w:tc>
        <w:tc>
          <w:tcPr>
            <w:tcW w:w="243" w:type="pct"/>
          </w:tcPr>
          <w:p w:rsidR="004E2535" w:rsidRPr="006D4413" w:rsidRDefault="004E2535" w:rsidP="004C3B4A">
            <w:pPr>
              <w:rPr>
                <w:sz w:val="20"/>
                <w:szCs w:val="20"/>
                <w:lang w:val="fr-CA"/>
              </w:rPr>
            </w:pPr>
          </w:p>
        </w:tc>
        <w:tc>
          <w:tcPr>
            <w:tcW w:w="2330" w:type="pct"/>
          </w:tcPr>
          <w:p w:rsidR="004E2535" w:rsidRPr="006D4413" w:rsidRDefault="004E2535" w:rsidP="004C3B4A">
            <w:pPr>
              <w:jc w:val="both"/>
              <w:rPr>
                <w:sz w:val="20"/>
                <w:szCs w:val="20"/>
                <w:lang w:val="fr-CA"/>
              </w:rPr>
            </w:pPr>
            <w:r w:rsidRPr="006D4413">
              <w:rPr>
                <w:sz w:val="20"/>
                <w:szCs w:val="20"/>
                <w:lang w:val="fr-CA"/>
              </w:rPr>
              <w:t xml:space="preserve">Demandes d'autorisation d'appel de John </w:t>
            </w:r>
            <w:proofErr w:type="spellStart"/>
            <w:r w:rsidRPr="006D4413">
              <w:rPr>
                <w:sz w:val="20"/>
                <w:szCs w:val="20"/>
                <w:lang w:val="fr-CA"/>
              </w:rPr>
              <w:t>Tshiamala</w:t>
            </w:r>
            <w:proofErr w:type="spellEnd"/>
            <w:r w:rsidRPr="006D4413">
              <w:rPr>
                <w:sz w:val="20"/>
                <w:szCs w:val="20"/>
                <w:lang w:val="fr-CA"/>
              </w:rPr>
              <w:t xml:space="preserve"> et de </w:t>
            </w:r>
            <w:proofErr w:type="spellStart"/>
            <w:r w:rsidRPr="006D4413">
              <w:rPr>
                <w:sz w:val="20"/>
                <w:szCs w:val="20"/>
                <w:lang w:val="fr-CA"/>
              </w:rPr>
              <w:t>McLee</w:t>
            </w:r>
            <w:proofErr w:type="spellEnd"/>
            <w:r w:rsidRPr="006D4413">
              <w:rPr>
                <w:sz w:val="20"/>
                <w:szCs w:val="20"/>
                <w:lang w:val="fr-CA"/>
              </w:rPr>
              <w:t xml:space="preserve"> Charles déposées</w:t>
            </w:r>
          </w:p>
        </w:tc>
      </w:tr>
      <w:tr w:rsidR="004E2535" w:rsidRPr="008608D5" w:rsidTr="004C3B4A">
        <w:tc>
          <w:tcPr>
            <w:tcW w:w="2427" w:type="pct"/>
          </w:tcPr>
          <w:p w:rsidR="004E2535" w:rsidRPr="006D4413" w:rsidRDefault="004E2535" w:rsidP="004C3B4A">
            <w:pPr>
              <w:rPr>
                <w:sz w:val="20"/>
                <w:szCs w:val="20"/>
                <w:lang w:val="fr-CA"/>
              </w:rPr>
            </w:pPr>
            <w:r w:rsidRPr="006D4413">
              <w:rPr>
                <w:sz w:val="20"/>
                <w:szCs w:val="20"/>
                <w:lang w:val="fr-CA"/>
              </w:rPr>
              <w:t>Le 10 mai 2011</w:t>
            </w:r>
          </w:p>
          <w:p w:rsidR="004E2535" w:rsidRPr="006D4413" w:rsidRDefault="004E2535" w:rsidP="004C3B4A">
            <w:pPr>
              <w:rPr>
                <w:sz w:val="20"/>
                <w:szCs w:val="20"/>
                <w:lang w:val="fr-CA"/>
              </w:rPr>
            </w:pPr>
            <w:r w:rsidRPr="006D4413">
              <w:rPr>
                <w:sz w:val="20"/>
                <w:szCs w:val="20"/>
                <w:lang w:val="fr-CA"/>
              </w:rPr>
              <w:t>Cour suprême du Canada</w:t>
            </w:r>
          </w:p>
          <w:p w:rsidR="004E2535" w:rsidRPr="006D4413" w:rsidRDefault="004E2535" w:rsidP="004C3B4A">
            <w:pPr>
              <w:rPr>
                <w:sz w:val="20"/>
                <w:szCs w:val="20"/>
                <w:lang w:val="fr-CA"/>
              </w:rPr>
            </w:pPr>
          </w:p>
        </w:tc>
        <w:tc>
          <w:tcPr>
            <w:tcW w:w="243" w:type="pct"/>
          </w:tcPr>
          <w:p w:rsidR="004E2535" w:rsidRPr="006D4413" w:rsidRDefault="004E2535" w:rsidP="004C3B4A">
            <w:pPr>
              <w:rPr>
                <w:sz w:val="20"/>
                <w:szCs w:val="20"/>
                <w:lang w:val="fr-CA"/>
              </w:rPr>
            </w:pPr>
          </w:p>
        </w:tc>
        <w:tc>
          <w:tcPr>
            <w:tcW w:w="2330" w:type="pct"/>
          </w:tcPr>
          <w:p w:rsidR="004E2535" w:rsidRPr="006D4413" w:rsidRDefault="004E2535" w:rsidP="004C3B4A">
            <w:pPr>
              <w:jc w:val="both"/>
              <w:rPr>
                <w:sz w:val="20"/>
                <w:szCs w:val="20"/>
                <w:lang w:val="fr-CA"/>
              </w:rPr>
            </w:pPr>
            <w:r w:rsidRPr="006D4413">
              <w:rPr>
                <w:sz w:val="20"/>
                <w:szCs w:val="20"/>
                <w:lang w:val="fr-CA"/>
              </w:rPr>
              <w:t>Demandes d'autorisation d'appel d’</w:t>
            </w:r>
            <w:proofErr w:type="spellStart"/>
            <w:r w:rsidRPr="006D4413">
              <w:rPr>
                <w:sz w:val="20"/>
                <w:szCs w:val="20"/>
                <w:lang w:val="fr-CA"/>
              </w:rPr>
              <w:t>Evens</w:t>
            </w:r>
            <w:proofErr w:type="spellEnd"/>
            <w:r w:rsidRPr="006D4413">
              <w:rPr>
                <w:sz w:val="20"/>
                <w:szCs w:val="20"/>
                <w:lang w:val="fr-CA"/>
              </w:rPr>
              <w:t xml:space="preserve"> Belleville, </w:t>
            </w:r>
            <w:proofErr w:type="spellStart"/>
            <w:r w:rsidRPr="006D4413">
              <w:rPr>
                <w:sz w:val="20"/>
                <w:szCs w:val="20"/>
                <w:lang w:val="fr-CA"/>
              </w:rPr>
              <w:t>Ernso</w:t>
            </w:r>
            <w:proofErr w:type="spellEnd"/>
            <w:r w:rsidRPr="006D4413">
              <w:rPr>
                <w:sz w:val="20"/>
                <w:szCs w:val="20"/>
                <w:lang w:val="fr-CA"/>
              </w:rPr>
              <w:t xml:space="preserve"> </w:t>
            </w:r>
            <w:proofErr w:type="spellStart"/>
            <w:r w:rsidRPr="006D4413">
              <w:rPr>
                <w:sz w:val="20"/>
                <w:szCs w:val="20"/>
                <w:lang w:val="fr-CA"/>
              </w:rPr>
              <w:t>Théobrun</w:t>
            </w:r>
            <w:proofErr w:type="spellEnd"/>
            <w:r w:rsidRPr="006D4413">
              <w:rPr>
                <w:sz w:val="20"/>
                <w:szCs w:val="20"/>
                <w:lang w:val="fr-CA"/>
              </w:rPr>
              <w:t xml:space="preserve"> et Cleveland </w:t>
            </w:r>
            <w:proofErr w:type="spellStart"/>
            <w:r w:rsidRPr="006D4413">
              <w:rPr>
                <w:sz w:val="20"/>
                <w:szCs w:val="20"/>
                <w:lang w:val="fr-CA"/>
              </w:rPr>
              <w:t>Alexander</w:t>
            </w:r>
            <w:r w:rsidRPr="006D4413">
              <w:rPr>
                <w:sz w:val="20"/>
                <w:szCs w:val="20"/>
                <w:lang w:val="fr-CA"/>
              </w:rPr>
              <w:noBreakHyphen/>
              <w:t>Scott</w:t>
            </w:r>
            <w:proofErr w:type="spellEnd"/>
            <w:r w:rsidRPr="006D4413">
              <w:rPr>
                <w:sz w:val="20"/>
                <w:szCs w:val="20"/>
                <w:lang w:val="fr-CA"/>
              </w:rPr>
              <w:t xml:space="preserve"> déposées</w:t>
            </w:r>
          </w:p>
        </w:tc>
      </w:tr>
    </w:tbl>
    <w:p w:rsidR="00C454C8" w:rsidRDefault="00C454C8" w:rsidP="00C454C8">
      <w:pPr>
        <w:rPr>
          <w:sz w:val="20"/>
          <w:szCs w:val="20"/>
          <w:lang w:val="fr-CA"/>
        </w:rPr>
      </w:pPr>
    </w:p>
    <w:p w:rsidR="00C454C8" w:rsidRDefault="008754B5" w:rsidP="00C454C8">
      <w:pPr>
        <w:rPr>
          <w:sz w:val="20"/>
          <w:szCs w:val="20"/>
          <w:lang w:val="fr-CA"/>
        </w:rPr>
      </w:pPr>
      <w:r w:rsidRPr="008754B5">
        <w:rPr>
          <w:sz w:val="20"/>
          <w:szCs w:val="20"/>
          <w:lang w:val="fr-CA"/>
        </w:rPr>
        <w:pict>
          <v:rect id="_x0000_i1046" style="width:2in;height:1pt" o:hrpct="0" o:hralign="center" o:hrstd="t" o:hrnoshade="t" o:hr="t" fillcolor="black [3213]" stroked="f"/>
        </w:pict>
      </w:r>
    </w:p>
    <w:p w:rsidR="00C454C8" w:rsidRPr="00C454C8" w:rsidRDefault="00C454C8" w:rsidP="00C454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36E6B" w:rsidRPr="002622ED" w:rsidTr="00A27223">
        <w:trPr>
          <w:cantSplit/>
        </w:trPr>
        <w:tc>
          <w:tcPr>
            <w:tcW w:w="1458" w:type="dxa"/>
          </w:tcPr>
          <w:p w:rsidR="00736E6B" w:rsidRPr="002622ED" w:rsidRDefault="00736E6B" w:rsidP="00A27223">
            <w:pPr>
              <w:rPr>
                <w:sz w:val="20"/>
                <w:szCs w:val="20"/>
              </w:rPr>
            </w:pPr>
            <w:r w:rsidRPr="002622ED">
              <w:rPr>
                <w:rStyle w:val="SCCFileNumberChar"/>
                <w:sz w:val="20"/>
                <w:szCs w:val="20"/>
              </w:rPr>
              <w:t>34282</w:t>
            </w:r>
          </w:p>
          <w:p w:rsidR="00736E6B" w:rsidRPr="002622ED" w:rsidRDefault="00736E6B" w:rsidP="00A27223">
            <w:pPr>
              <w:rPr>
                <w:b/>
                <w:sz w:val="20"/>
                <w:szCs w:val="20"/>
                <w:lang w:val="fr-CA"/>
              </w:rPr>
            </w:pPr>
          </w:p>
        </w:tc>
        <w:tc>
          <w:tcPr>
            <w:tcW w:w="8118" w:type="dxa"/>
          </w:tcPr>
          <w:p w:rsidR="00736E6B" w:rsidRPr="002622ED" w:rsidRDefault="00736E6B" w:rsidP="00A27223">
            <w:pPr>
              <w:jc w:val="both"/>
              <w:rPr>
                <w:sz w:val="20"/>
                <w:szCs w:val="20"/>
              </w:rPr>
            </w:pPr>
            <w:r w:rsidRPr="00736E6B">
              <w:rPr>
                <w:rStyle w:val="SCCLsocChar"/>
                <w:sz w:val="20"/>
                <w:szCs w:val="20"/>
                <w:lang w:val="en-CA"/>
              </w:rPr>
              <w:t>Pro-Sys Consultants Ltd. and Neil Godfrey v. Microsoft Corporation and Microsoft Canada Co./Microsoft Canada CIE</w:t>
            </w:r>
            <w:r w:rsidRPr="002622ED">
              <w:rPr>
                <w:sz w:val="20"/>
                <w:szCs w:val="20"/>
              </w:rPr>
              <w:t xml:space="preserve"> (B.C.) (Civil) (By Leave)</w:t>
            </w:r>
          </w:p>
          <w:p w:rsidR="00736E6B" w:rsidRPr="002622ED" w:rsidRDefault="00736E6B" w:rsidP="00A27223">
            <w:pPr>
              <w:rPr>
                <w:sz w:val="20"/>
                <w:szCs w:val="20"/>
              </w:rPr>
            </w:pPr>
          </w:p>
        </w:tc>
      </w:tr>
      <w:tr w:rsidR="00736E6B" w:rsidRPr="002622ED" w:rsidTr="00A27223">
        <w:trPr>
          <w:cantSplit/>
        </w:trPr>
        <w:tc>
          <w:tcPr>
            <w:tcW w:w="1458" w:type="dxa"/>
          </w:tcPr>
          <w:p w:rsidR="00736E6B" w:rsidRPr="002622ED" w:rsidRDefault="00736E6B" w:rsidP="00A27223">
            <w:pPr>
              <w:rPr>
                <w:sz w:val="20"/>
                <w:szCs w:val="20"/>
              </w:rPr>
            </w:pPr>
            <w:r w:rsidRPr="002622ED">
              <w:rPr>
                <w:sz w:val="20"/>
                <w:szCs w:val="20"/>
              </w:rPr>
              <w:t>Coram :</w:t>
            </w:r>
          </w:p>
        </w:tc>
        <w:tc>
          <w:tcPr>
            <w:tcW w:w="8118" w:type="dxa"/>
          </w:tcPr>
          <w:p w:rsidR="00736E6B" w:rsidRPr="002622ED" w:rsidRDefault="00736E6B" w:rsidP="00A27223">
            <w:pPr>
              <w:rPr>
                <w:sz w:val="20"/>
                <w:szCs w:val="20"/>
              </w:rPr>
            </w:pPr>
            <w:proofErr w:type="spellStart"/>
            <w:r w:rsidRPr="00736E6B">
              <w:rPr>
                <w:rStyle w:val="SCCCoramChar"/>
                <w:sz w:val="20"/>
                <w:szCs w:val="20"/>
                <w:lang w:val="en-CA"/>
              </w:rPr>
              <w:t>LeBel</w:t>
            </w:r>
            <w:proofErr w:type="spellEnd"/>
            <w:r w:rsidRPr="00736E6B">
              <w:rPr>
                <w:rStyle w:val="SCCCoramChar"/>
                <w:sz w:val="20"/>
                <w:szCs w:val="20"/>
                <w:lang w:val="en-CA"/>
              </w:rPr>
              <w:t>, Fish and Cromwell JJ.</w:t>
            </w:r>
          </w:p>
          <w:p w:rsidR="00736E6B" w:rsidRPr="002622ED" w:rsidRDefault="00736E6B" w:rsidP="00A27223">
            <w:pPr>
              <w:rPr>
                <w:sz w:val="20"/>
                <w:szCs w:val="20"/>
                <w:u w:val="single"/>
              </w:rPr>
            </w:pPr>
          </w:p>
        </w:tc>
      </w:tr>
      <w:tr w:rsidR="00736E6B" w:rsidRPr="008608D5" w:rsidTr="00A27223">
        <w:trPr>
          <w:cantSplit/>
        </w:trPr>
        <w:tc>
          <w:tcPr>
            <w:tcW w:w="9576" w:type="dxa"/>
            <w:gridSpan w:val="2"/>
          </w:tcPr>
          <w:p w:rsidR="00736E6B" w:rsidRPr="002622ED" w:rsidRDefault="00736E6B" w:rsidP="00A27223">
            <w:pPr>
              <w:pStyle w:val="SCCShortJudgment"/>
              <w:rPr>
                <w:szCs w:val="20"/>
              </w:rPr>
            </w:pPr>
            <w:r w:rsidRPr="002622ED">
              <w:rPr>
                <w:szCs w:val="20"/>
              </w:rPr>
              <w:t xml:space="preserve">The Respondents’ motion to strike out the affidavits of Professors </w:t>
            </w:r>
            <w:proofErr w:type="spellStart"/>
            <w:r w:rsidRPr="002622ED">
              <w:rPr>
                <w:szCs w:val="20"/>
              </w:rPr>
              <w:t>Trebilcock</w:t>
            </w:r>
            <w:proofErr w:type="spellEnd"/>
            <w:r w:rsidRPr="002622ED">
              <w:rPr>
                <w:szCs w:val="20"/>
              </w:rPr>
              <w:t xml:space="preserve"> and </w:t>
            </w:r>
            <w:proofErr w:type="spellStart"/>
            <w:r w:rsidRPr="002622ED">
              <w:rPr>
                <w:szCs w:val="20"/>
              </w:rPr>
              <w:t>Iacobucci</w:t>
            </w:r>
            <w:proofErr w:type="spellEnd"/>
            <w:r w:rsidRPr="002622ED">
              <w:rPr>
                <w:szCs w:val="20"/>
              </w:rPr>
              <w:t xml:space="preserve"> from the Application Record is granted without costs. The application for leave to appeal from the judgment of the Court of Appeal for British Columbia (Vancouver), Numbers CA034325 and CA037968, 2011 BCCA 186, dated April 15, 2011, is granted with costs in the cause.</w:t>
            </w:r>
          </w:p>
          <w:p w:rsidR="00736E6B" w:rsidRPr="002622ED" w:rsidRDefault="00736E6B" w:rsidP="00A27223">
            <w:pPr>
              <w:pStyle w:val="SCCShortJudgment"/>
              <w:ind w:firstLine="0"/>
              <w:rPr>
                <w:szCs w:val="20"/>
              </w:rPr>
            </w:pPr>
          </w:p>
          <w:p w:rsidR="00736E6B" w:rsidRPr="002622ED" w:rsidRDefault="00736E6B" w:rsidP="00A27223">
            <w:pPr>
              <w:pStyle w:val="SCCShortJudgment"/>
              <w:rPr>
                <w:szCs w:val="20"/>
                <w:lang w:val="fr-CA"/>
              </w:rPr>
            </w:pPr>
            <w:r w:rsidRPr="002622ED">
              <w:rPr>
                <w:szCs w:val="20"/>
                <w:lang w:val="fr-CA"/>
              </w:rPr>
              <w:t xml:space="preserve">La requête des intimées pour radier les affidavits des professeurs </w:t>
            </w:r>
            <w:proofErr w:type="spellStart"/>
            <w:r w:rsidRPr="002622ED">
              <w:rPr>
                <w:szCs w:val="20"/>
                <w:lang w:val="fr-CA"/>
              </w:rPr>
              <w:t>Trebilcock</w:t>
            </w:r>
            <w:proofErr w:type="spellEnd"/>
            <w:r w:rsidRPr="002622ED">
              <w:rPr>
                <w:szCs w:val="20"/>
                <w:lang w:val="fr-CA"/>
              </w:rPr>
              <w:t xml:space="preserve"> et </w:t>
            </w:r>
            <w:proofErr w:type="spellStart"/>
            <w:r w:rsidRPr="002622ED">
              <w:rPr>
                <w:szCs w:val="20"/>
                <w:lang w:val="fr-CA"/>
              </w:rPr>
              <w:t>Iacobucci</w:t>
            </w:r>
            <w:proofErr w:type="spellEnd"/>
            <w:r w:rsidRPr="002622ED">
              <w:rPr>
                <w:szCs w:val="20"/>
                <w:lang w:val="fr-CA"/>
              </w:rPr>
              <w:t xml:space="preserve"> du dossier de la demande est accordée sans dépens. La demande d’autorisation d’appel de l’arrêt de la Cour d’appel de la Colombie-Britannique (Vancouver), numéros CA034325 et CA037968, 2011 BCCA 186, daté du 15 avril 2011, est accordée avec dépens suivant l’issue de la cause.</w:t>
            </w:r>
          </w:p>
        </w:tc>
      </w:tr>
    </w:tbl>
    <w:p w:rsidR="00C454C8" w:rsidRPr="00736E6B" w:rsidRDefault="00C454C8" w:rsidP="00C454C8">
      <w:pPr>
        <w:rPr>
          <w:sz w:val="20"/>
          <w:szCs w:val="20"/>
          <w:lang w:val="fr-CA"/>
        </w:rPr>
      </w:pPr>
    </w:p>
    <w:p w:rsidR="00736E6B" w:rsidRPr="006A6875" w:rsidRDefault="00736E6B">
      <w:pPr>
        <w:rPr>
          <w:sz w:val="20"/>
          <w:szCs w:val="20"/>
          <w:u w:val="single"/>
          <w:lang w:val="fr-CA"/>
        </w:rPr>
      </w:pPr>
      <w:r w:rsidRPr="006A6875">
        <w:rPr>
          <w:sz w:val="20"/>
          <w:szCs w:val="20"/>
          <w:u w:val="single"/>
          <w:lang w:val="fr-CA"/>
        </w:rPr>
        <w:br w:type="page"/>
      </w:r>
    </w:p>
    <w:p w:rsidR="00C454C8" w:rsidRPr="00517AED" w:rsidRDefault="00C454C8" w:rsidP="00C454C8">
      <w:pPr>
        <w:rPr>
          <w:sz w:val="20"/>
          <w:szCs w:val="20"/>
          <w:u w:val="single"/>
        </w:rPr>
      </w:pPr>
      <w:r w:rsidRPr="00517AED">
        <w:rPr>
          <w:sz w:val="20"/>
          <w:szCs w:val="20"/>
          <w:u w:val="single"/>
        </w:rPr>
        <w:lastRenderedPageBreak/>
        <w:t>CASE SUMMARY</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4E2535" w:rsidRPr="006D4413" w:rsidTr="004C3B4A">
        <w:tc>
          <w:tcPr>
            <w:tcW w:w="5000" w:type="pct"/>
            <w:gridSpan w:val="3"/>
          </w:tcPr>
          <w:p w:rsidR="004E2535" w:rsidRPr="006D4413" w:rsidRDefault="004E2535" w:rsidP="004C3B4A">
            <w:pPr>
              <w:jc w:val="both"/>
              <w:rPr>
                <w:rFonts w:eastAsia="Calibri"/>
                <w:smallCaps/>
                <w:sz w:val="20"/>
                <w:szCs w:val="20"/>
              </w:rPr>
            </w:pPr>
            <w:r w:rsidRPr="006D4413">
              <w:rPr>
                <w:rFonts w:eastAsia="Calibri"/>
                <w:smallCaps/>
                <w:sz w:val="20"/>
                <w:szCs w:val="20"/>
              </w:rPr>
              <w:t>(Sealing order)</w:t>
            </w:r>
          </w:p>
          <w:p w:rsidR="004E2535" w:rsidRPr="006D4413" w:rsidRDefault="004E2535" w:rsidP="004C3B4A">
            <w:pPr>
              <w:jc w:val="both"/>
              <w:rPr>
                <w:rFonts w:eastAsia="Calibri"/>
                <w:sz w:val="20"/>
                <w:szCs w:val="20"/>
              </w:rPr>
            </w:pPr>
          </w:p>
          <w:p w:rsidR="004E2535" w:rsidRPr="006D4413" w:rsidRDefault="004E2535" w:rsidP="004C3B4A">
            <w:pPr>
              <w:jc w:val="both"/>
              <w:rPr>
                <w:rFonts w:eastAsia="Calibri"/>
                <w:sz w:val="20"/>
                <w:szCs w:val="20"/>
              </w:rPr>
            </w:pPr>
            <w:r w:rsidRPr="006D4413">
              <w:rPr>
                <w:rFonts w:eastAsia="Calibri"/>
                <w:sz w:val="20"/>
                <w:szCs w:val="20"/>
              </w:rPr>
              <w:t xml:space="preserve">Civil procedure — Class actions — Certification — Cause of action — </w:t>
            </w:r>
            <w:proofErr w:type="spellStart"/>
            <w:r w:rsidRPr="006D4413">
              <w:rPr>
                <w:rFonts w:eastAsia="Calibri"/>
                <w:sz w:val="20"/>
                <w:szCs w:val="20"/>
              </w:rPr>
              <w:t>Passing</w:t>
            </w:r>
            <w:r w:rsidRPr="006D4413">
              <w:rPr>
                <w:rFonts w:eastAsia="Calibri"/>
                <w:sz w:val="20"/>
                <w:szCs w:val="20"/>
              </w:rPr>
              <w:noBreakHyphen/>
              <w:t>on</w:t>
            </w:r>
            <w:proofErr w:type="spellEnd"/>
            <w:r w:rsidRPr="006D4413">
              <w:rPr>
                <w:rFonts w:eastAsia="Calibri"/>
                <w:sz w:val="20"/>
                <w:szCs w:val="20"/>
              </w:rPr>
              <w:t xml:space="preserve"> defence — Corollary principle barring claims by indirect purchasers — What are the boundaries of the Court’s decision in </w:t>
            </w:r>
            <w:proofErr w:type="spellStart"/>
            <w:r w:rsidRPr="006D4413">
              <w:rPr>
                <w:rFonts w:eastAsia="Calibri"/>
                <w:i/>
                <w:sz w:val="20"/>
                <w:szCs w:val="20"/>
              </w:rPr>
              <w:t>Kingstreet</w:t>
            </w:r>
            <w:proofErr w:type="spellEnd"/>
            <w:r w:rsidRPr="006D4413">
              <w:rPr>
                <w:rFonts w:eastAsia="Calibri"/>
                <w:sz w:val="20"/>
                <w:szCs w:val="20"/>
              </w:rPr>
              <w:t xml:space="preserve"> </w:t>
            </w:r>
            <w:r w:rsidRPr="006D4413">
              <w:rPr>
                <w:rFonts w:eastAsia="Calibri"/>
                <w:i/>
                <w:sz w:val="20"/>
                <w:szCs w:val="20"/>
              </w:rPr>
              <w:t>Investments Ltd. v. New Brunswick (Finance)</w:t>
            </w:r>
            <w:r w:rsidRPr="006D4413">
              <w:rPr>
                <w:rFonts w:eastAsia="Calibri"/>
                <w:sz w:val="20"/>
                <w:szCs w:val="20"/>
              </w:rPr>
              <w:t xml:space="preserve">, 2007 SCC 1, [2007] 1 S.C.R. 3 — Should the United States Supreme Court decision in </w:t>
            </w:r>
            <w:r w:rsidRPr="006D4413">
              <w:rPr>
                <w:rFonts w:eastAsia="Calibri"/>
                <w:i/>
                <w:sz w:val="20"/>
                <w:szCs w:val="20"/>
              </w:rPr>
              <w:t>Illinois Brick Co. v. Illinois</w:t>
            </w:r>
            <w:r w:rsidRPr="006D4413">
              <w:rPr>
                <w:rFonts w:eastAsia="Calibri"/>
                <w:sz w:val="20"/>
                <w:szCs w:val="20"/>
              </w:rPr>
              <w:t xml:space="preserve">, 431 U.S. 720, 97 </w:t>
            </w:r>
            <w:proofErr w:type="spellStart"/>
            <w:r w:rsidRPr="006D4413">
              <w:rPr>
                <w:rFonts w:eastAsia="Calibri"/>
                <w:sz w:val="20"/>
                <w:szCs w:val="20"/>
              </w:rPr>
              <w:t>S.Ct</w:t>
            </w:r>
            <w:proofErr w:type="spellEnd"/>
            <w:r w:rsidRPr="006D4413">
              <w:rPr>
                <w:rFonts w:eastAsia="Calibri"/>
                <w:sz w:val="20"/>
                <w:szCs w:val="20"/>
              </w:rPr>
              <w:t>. 2061 (1977) be imported into Canadian law and, if so, on what terms.</w:t>
            </w:r>
          </w:p>
        </w:tc>
      </w:tr>
      <w:tr w:rsidR="004E2535" w:rsidRPr="006D4413" w:rsidTr="004C3B4A">
        <w:tc>
          <w:tcPr>
            <w:tcW w:w="5000" w:type="pct"/>
            <w:gridSpan w:val="3"/>
          </w:tcPr>
          <w:p w:rsidR="004E2535" w:rsidRPr="006D4413" w:rsidRDefault="004E2535" w:rsidP="004C3B4A">
            <w:pPr>
              <w:jc w:val="both"/>
              <w:rPr>
                <w:rFonts w:eastAsia="Calibri"/>
                <w:sz w:val="20"/>
                <w:szCs w:val="20"/>
              </w:rPr>
            </w:pPr>
          </w:p>
        </w:tc>
      </w:tr>
      <w:tr w:rsidR="004E2535" w:rsidRPr="006D4413" w:rsidTr="004C3B4A">
        <w:tc>
          <w:tcPr>
            <w:tcW w:w="5000" w:type="pct"/>
            <w:gridSpan w:val="3"/>
          </w:tcPr>
          <w:p w:rsidR="004E2535" w:rsidRPr="006D4413" w:rsidRDefault="004E2535" w:rsidP="004C3B4A">
            <w:pPr>
              <w:jc w:val="both"/>
              <w:rPr>
                <w:rFonts w:eastAsia="Calibri"/>
                <w:sz w:val="20"/>
                <w:szCs w:val="20"/>
              </w:rPr>
            </w:pPr>
            <w:r w:rsidRPr="006D4413">
              <w:rPr>
                <w:rFonts w:eastAsia="Calibri"/>
                <w:sz w:val="20"/>
                <w:szCs w:val="20"/>
              </w:rPr>
              <w:t>The applicants commenced an action against the respondents alleging that they committed anti</w:t>
            </w:r>
            <w:r w:rsidRPr="006D4413">
              <w:rPr>
                <w:rFonts w:eastAsia="Calibri"/>
                <w:sz w:val="20"/>
                <w:szCs w:val="20"/>
              </w:rPr>
              <w:noBreakHyphen/>
              <w:t>competitive wrongs enabling them to charge higher prices for some of their products.  The applicants did not obtain their Microsoft products or software licenses directly from the respondents, but acquired them as “indirect purchasers” from re</w:t>
            </w:r>
            <w:r w:rsidRPr="006D4413">
              <w:rPr>
                <w:rFonts w:eastAsia="Calibri"/>
                <w:sz w:val="20"/>
                <w:szCs w:val="20"/>
              </w:rPr>
              <w:noBreakHyphen/>
              <w:t xml:space="preserve">sellers or “direct purchasers” (“DPs”).  The applicants pleaded causes of action for the common law torts of intentional interference with economic interests and conspiracy, and claimed damages pursuant to s. 36 of the </w:t>
            </w:r>
            <w:r w:rsidRPr="006D4413">
              <w:rPr>
                <w:rFonts w:eastAsia="Calibri"/>
                <w:i/>
                <w:sz w:val="20"/>
                <w:szCs w:val="20"/>
              </w:rPr>
              <w:t>Competition Act</w:t>
            </w:r>
            <w:r w:rsidRPr="006D4413">
              <w:rPr>
                <w:rFonts w:eastAsia="Calibri"/>
                <w:sz w:val="20"/>
                <w:szCs w:val="20"/>
              </w:rPr>
              <w:t>, R.S.C. 1985, c. C</w:t>
            </w:r>
            <w:r w:rsidRPr="006D4413">
              <w:rPr>
                <w:rFonts w:eastAsia="Calibri"/>
                <w:sz w:val="20"/>
                <w:szCs w:val="20"/>
              </w:rPr>
              <w:noBreakHyphen/>
              <w:t xml:space="preserve">34 for breaches of sections 45 and 52 of that </w:t>
            </w:r>
            <w:r w:rsidRPr="006D4413">
              <w:rPr>
                <w:rFonts w:eastAsia="Calibri"/>
                <w:i/>
                <w:sz w:val="20"/>
                <w:szCs w:val="20"/>
              </w:rPr>
              <w:t>Act</w:t>
            </w:r>
            <w:r w:rsidRPr="006D4413">
              <w:rPr>
                <w:rFonts w:eastAsia="Calibri"/>
                <w:sz w:val="20"/>
                <w:szCs w:val="20"/>
              </w:rPr>
              <w:t xml:space="preserve">. They also claim unjust enrichment and waiver of tort. They applied for certification of a class proceeding pursuant to the </w:t>
            </w:r>
            <w:r w:rsidRPr="006D4413">
              <w:rPr>
                <w:rFonts w:eastAsia="Calibri"/>
                <w:i/>
                <w:sz w:val="20"/>
                <w:szCs w:val="20"/>
              </w:rPr>
              <w:t>Class Proceedings Act</w:t>
            </w:r>
            <w:r w:rsidRPr="006D4413">
              <w:rPr>
                <w:rFonts w:eastAsia="Calibri"/>
                <w:sz w:val="20"/>
                <w:szCs w:val="20"/>
              </w:rPr>
              <w:t>, R.S.B.C. 1996, c. 50.  The Respondents challenged the application arguing that it did not satisfy the requirements for certification.</w:t>
            </w:r>
          </w:p>
          <w:p w:rsidR="004E2535" w:rsidRPr="006D4413" w:rsidRDefault="004E2535" w:rsidP="004C3B4A">
            <w:pPr>
              <w:jc w:val="both"/>
              <w:rPr>
                <w:rFonts w:eastAsia="Calibri"/>
                <w:sz w:val="20"/>
                <w:szCs w:val="20"/>
              </w:rPr>
            </w:pPr>
          </w:p>
          <w:p w:rsidR="004E2535" w:rsidRPr="006D4413" w:rsidRDefault="004E2535" w:rsidP="004C3B4A">
            <w:pPr>
              <w:jc w:val="both"/>
              <w:rPr>
                <w:rFonts w:eastAsia="Calibri"/>
                <w:sz w:val="20"/>
                <w:szCs w:val="20"/>
              </w:rPr>
            </w:pPr>
            <w:r w:rsidRPr="006D4413">
              <w:rPr>
                <w:rFonts w:eastAsia="Calibri"/>
                <w:sz w:val="20"/>
                <w:szCs w:val="20"/>
              </w:rPr>
              <w:t>The Supreme Court of British Columbia granted the application for certification of the class action.  A majority of the British Columbia Court of Appeal allowed the appeal, set aside the order for certification, and dismissed the applicants’ action on the basis that it was plain and obvious that the representative plaintiffs, as indirect purchasers, have no cause of action maintainable in law.</w:t>
            </w:r>
          </w:p>
          <w:p w:rsidR="004E2535" w:rsidRPr="006D4413" w:rsidRDefault="004E2535" w:rsidP="004C3B4A">
            <w:pPr>
              <w:jc w:val="both"/>
              <w:rPr>
                <w:rFonts w:eastAsia="Calibri"/>
                <w:sz w:val="20"/>
                <w:szCs w:val="20"/>
              </w:rPr>
            </w:pP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July 6, 2006</w:t>
            </w:r>
          </w:p>
          <w:p w:rsidR="004E2535" w:rsidRPr="006D4413" w:rsidRDefault="004E2535" w:rsidP="004C3B4A">
            <w:pPr>
              <w:jc w:val="both"/>
              <w:rPr>
                <w:rFonts w:eastAsia="Calibri"/>
                <w:sz w:val="20"/>
                <w:szCs w:val="20"/>
              </w:rPr>
            </w:pPr>
            <w:r w:rsidRPr="006D4413">
              <w:rPr>
                <w:rFonts w:eastAsia="Calibri"/>
                <w:sz w:val="20"/>
                <w:szCs w:val="20"/>
              </w:rPr>
              <w:t>Supreme Court of British Columbia</w:t>
            </w:r>
          </w:p>
          <w:p w:rsidR="004E2535" w:rsidRPr="006D4413" w:rsidRDefault="004E2535" w:rsidP="004C3B4A">
            <w:pPr>
              <w:jc w:val="both"/>
              <w:rPr>
                <w:rFonts w:eastAsia="Calibri"/>
                <w:sz w:val="20"/>
                <w:szCs w:val="20"/>
              </w:rPr>
            </w:pPr>
            <w:r w:rsidRPr="006D4413">
              <w:rPr>
                <w:rFonts w:eastAsia="Calibri"/>
                <w:sz w:val="20"/>
                <w:szCs w:val="20"/>
              </w:rPr>
              <w:t>(</w:t>
            </w:r>
            <w:proofErr w:type="spellStart"/>
            <w:r w:rsidRPr="006D4413">
              <w:rPr>
                <w:rFonts w:eastAsia="Calibri"/>
                <w:sz w:val="20"/>
                <w:szCs w:val="20"/>
              </w:rPr>
              <w:t>Tysoe</w:t>
            </w:r>
            <w:proofErr w:type="spellEnd"/>
            <w:r w:rsidRPr="006D4413">
              <w:rPr>
                <w:rFonts w:eastAsia="Calibri"/>
                <w:sz w:val="20"/>
                <w:szCs w:val="20"/>
              </w:rPr>
              <w:t xml:space="preserve"> J.)</w:t>
            </w:r>
          </w:p>
          <w:p w:rsidR="004E2535" w:rsidRPr="006D4413" w:rsidRDefault="004E2535" w:rsidP="004C3B4A">
            <w:pPr>
              <w:jc w:val="both"/>
              <w:rPr>
                <w:rFonts w:eastAsia="Calibri"/>
                <w:sz w:val="20"/>
                <w:szCs w:val="20"/>
              </w:rPr>
            </w:pPr>
            <w:r w:rsidRPr="006D4413">
              <w:rPr>
                <w:rFonts w:eastAsia="Calibri"/>
                <w:sz w:val="20"/>
                <w:szCs w:val="20"/>
              </w:rPr>
              <w:t>2006 BCSC 1047</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Respondents’ application to strike out applicants’ entire Statement of Claim and to dismiss action, dismissed; Order granted striking out portions of Statement of Claim</w:t>
            </w:r>
          </w:p>
          <w:p w:rsidR="004E2535" w:rsidRPr="006D4413" w:rsidRDefault="004E2535" w:rsidP="004C3B4A">
            <w:pPr>
              <w:jc w:val="both"/>
              <w:rPr>
                <w:rFonts w:eastAsia="Calibri"/>
                <w:sz w:val="20"/>
                <w:szCs w:val="20"/>
              </w:rPr>
            </w:pP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November 24, 2006</w:t>
            </w:r>
          </w:p>
          <w:p w:rsidR="004E2535" w:rsidRPr="006D4413" w:rsidRDefault="004E2535" w:rsidP="004C3B4A">
            <w:pPr>
              <w:jc w:val="both"/>
              <w:rPr>
                <w:rFonts w:eastAsia="Calibri"/>
                <w:sz w:val="20"/>
                <w:szCs w:val="20"/>
              </w:rPr>
            </w:pPr>
            <w:r w:rsidRPr="006D4413">
              <w:rPr>
                <w:rFonts w:eastAsia="Calibri"/>
                <w:sz w:val="20"/>
                <w:szCs w:val="20"/>
              </w:rPr>
              <w:t>Supreme Court of British Columbia</w:t>
            </w:r>
          </w:p>
          <w:p w:rsidR="004E2535" w:rsidRPr="006D4413" w:rsidRDefault="004E2535" w:rsidP="004C3B4A">
            <w:pPr>
              <w:jc w:val="both"/>
              <w:rPr>
                <w:rFonts w:eastAsia="Calibri"/>
                <w:sz w:val="20"/>
                <w:szCs w:val="20"/>
              </w:rPr>
            </w:pPr>
            <w:r w:rsidRPr="006D4413">
              <w:rPr>
                <w:rFonts w:eastAsia="Calibri"/>
                <w:sz w:val="20"/>
                <w:szCs w:val="20"/>
              </w:rPr>
              <w:t>(</w:t>
            </w:r>
            <w:proofErr w:type="spellStart"/>
            <w:r w:rsidRPr="006D4413">
              <w:rPr>
                <w:rFonts w:eastAsia="Calibri"/>
                <w:sz w:val="20"/>
                <w:szCs w:val="20"/>
              </w:rPr>
              <w:t>Tysoe</w:t>
            </w:r>
            <w:proofErr w:type="spellEnd"/>
            <w:r w:rsidRPr="006D4413">
              <w:rPr>
                <w:rFonts w:eastAsia="Calibri"/>
                <w:sz w:val="20"/>
                <w:szCs w:val="20"/>
              </w:rPr>
              <w:t xml:space="preserve"> J.)</w:t>
            </w:r>
          </w:p>
          <w:p w:rsidR="004E2535" w:rsidRPr="006D4413" w:rsidRDefault="004E2535" w:rsidP="004C3B4A">
            <w:pPr>
              <w:jc w:val="both"/>
              <w:rPr>
                <w:rFonts w:eastAsia="Calibri"/>
                <w:sz w:val="20"/>
                <w:szCs w:val="20"/>
              </w:rPr>
            </w:pPr>
            <w:r w:rsidRPr="006D4413">
              <w:rPr>
                <w:rFonts w:eastAsia="Calibri"/>
                <w:sz w:val="20"/>
                <w:szCs w:val="20"/>
              </w:rPr>
              <w:t>2006 BCSC 1738</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Applicants granted leave to amend Statement of Claim</w:t>
            </w:r>
          </w:p>
          <w:p w:rsidR="004E2535" w:rsidRPr="006D4413" w:rsidRDefault="004E2535" w:rsidP="004C3B4A">
            <w:pPr>
              <w:jc w:val="both"/>
              <w:rPr>
                <w:rFonts w:eastAsia="Calibri"/>
                <w:sz w:val="20"/>
                <w:szCs w:val="20"/>
              </w:rPr>
            </w:pP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March 5, 2010</w:t>
            </w:r>
          </w:p>
          <w:p w:rsidR="004E2535" w:rsidRPr="006D4413" w:rsidRDefault="004E2535" w:rsidP="004C3B4A">
            <w:pPr>
              <w:jc w:val="both"/>
              <w:rPr>
                <w:rFonts w:eastAsia="Calibri"/>
                <w:sz w:val="20"/>
                <w:szCs w:val="20"/>
              </w:rPr>
            </w:pPr>
            <w:r w:rsidRPr="006D4413">
              <w:rPr>
                <w:rFonts w:eastAsia="Calibri"/>
                <w:sz w:val="20"/>
                <w:szCs w:val="20"/>
              </w:rPr>
              <w:t>Supreme Court of British Columbia</w:t>
            </w:r>
          </w:p>
          <w:p w:rsidR="004E2535" w:rsidRPr="006D4413" w:rsidRDefault="004E2535" w:rsidP="004C3B4A">
            <w:pPr>
              <w:jc w:val="both"/>
              <w:rPr>
                <w:rFonts w:eastAsia="Calibri"/>
                <w:sz w:val="20"/>
                <w:szCs w:val="20"/>
              </w:rPr>
            </w:pPr>
            <w:r w:rsidRPr="006D4413">
              <w:rPr>
                <w:rFonts w:eastAsia="Calibri"/>
                <w:sz w:val="20"/>
                <w:szCs w:val="20"/>
              </w:rPr>
              <w:t>(Myers J.)</w:t>
            </w:r>
          </w:p>
          <w:p w:rsidR="004E2535" w:rsidRPr="006D4413" w:rsidRDefault="004E2535" w:rsidP="004C3B4A">
            <w:pPr>
              <w:jc w:val="both"/>
              <w:rPr>
                <w:rFonts w:eastAsia="Calibri"/>
                <w:sz w:val="20"/>
                <w:szCs w:val="20"/>
              </w:rPr>
            </w:pPr>
            <w:r w:rsidRPr="006D4413">
              <w:rPr>
                <w:rFonts w:eastAsia="Calibri"/>
                <w:sz w:val="20"/>
                <w:szCs w:val="20"/>
              </w:rPr>
              <w:t>2010 BCSC 285</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Application for certification as a class action granted</w:t>
            </w:r>
          </w:p>
          <w:p w:rsidR="004E2535" w:rsidRPr="006D4413" w:rsidRDefault="004E2535" w:rsidP="004C3B4A">
            <w:pPr>
              <w:jc w:val="both"/>
              <w:rPr>
                <w:rFonts w:eastAsia="Calibri"/>
                <w:sz w:val="20"/>
                <w:szCs w:val="20"/>
              </w:rPr>
            </w:pPr>
          </w:p>
        </w:tc>
      </w:tr>
      <w:tr w:rsidR="004E2535" w:rsidRPr="006D4413" w:rsidTr="004C3B4A">
        <w:tc>
          <w:tcPr>
            <w:tcW w:w="2427" w:type="pct"/>
          </w:tcPr>
          <w:p w:rsidR="004E2535" w:rsidRPr="006D4413" w:rsidRDefault="004E2535" w:rsidP="004C3B4A">
            <w:pPr>
              <w:rPr>
                <w:rFonts w:eastAsia="Calibri"/>
                <w:sz w:val="20"/>
                <w:szCs w:val="20"/>
              </w:rPr>
            </w:pPr>
            <w:r w:rsidRPr="006D4413">
              <w:rPr>
                <w:rFonts w:eastAsia="Calibri"/>
                <w:sz w:val="20"/>
                <w:szCs w:val="20"/>
              </w:rPr>
              <w:t>April 15, 2011</w:t>
            </w:r>
          </w:p>
          <w:p w:rsidR="004E2535" w:rsidRPr="006D4413" w:rsidRDefault="004E2535" w:rsidP="004C3B4A">
            <w:pPr>
              <w:rPr>
                <w:rFonts w:eastAsia="Calibri"/>
                <w:sz w:val="20"/>
                <w:szCs w:val="20"/>
              </w:rPr>
            </w:pPr>
            <w:r w:rsidRPr="006D4413">
              <w:rPr>
                <w:rFonts w:eastAsia="Calibri"/>
                <w:sz w:val="20"/>
                <w:szCs w:val="20"/>
              </w:rPr>
              <w:t>Court of Appeal for British Columbia (Vancouver)</w:t>
            </w:r>
          </w:p>
          <w:p w:rsidR="004E2535" w:rsidRPr="006D4413" w:rsidRDefault="004E2535" w:rsidP="004C3B4A">
            <w:pPr>
              <w:rPr>
                <w:rFonts w:eastAsia="Calibri"/>
                <w:sz w:val="20"/>
                <w:szCs w:val="20"/>
              </w:rPr>
            </w:pPr>
            <w:r w:rsidRPr="006D4413">
              <w:rPr>
                <w:rFonts w:eastAsia="Calibri"/>
                <w:sz w:val="20"/>
                <w:szCs w:val="20"/>
              </w:rPr>
              <w:t>(Donald (dissenting), Lowry and Frankel JJ.A.)</w:t>
            </w:r>
          </w:p>
          <w:p w:rsidR="004E2535" w:rsidRPr="006D4413" w:rsidRDefault="004E2535" w:rsidP="004C3B4A">
            <w:pPr>
              <w:jc w:val="both"/>
              <w:rPr>
                <w:rFonts w:eastAsia="Calibri"/>
                <w:sz w:val="20"/>
                <w:szCs w:val="20"/>
              </w:rPr>
            </w:pPr>
            <w:r w:rsidRPr="006D4413">
              <w:rPr>
                <w:rFonts w:eastAsia="Calibri"/>
                <w:sz w:val="20"/>
                <w:szCs w:val="20"/>
              </w:rPr>
              <w:t xml:space="preserve">2011 BCCA 186; CA034325; CA037968 </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Appeal allowed, certification order set aside, and applicants’ action dismissed</w:t>
            </w:r>
          </w:p>
          <w:p w:rsidR="004E2535" w:rsidRPr="006D4413" w:rsidRDefault="004E2535" w:rsidP="004C3B4A">
            <w:pPr>
              <w:jc w:val="both"/>
              <w:rPr>
                <w:rFonts w:eastAsia="Calibri"/>
                <w:sz w:val="20"/>
                <w:szCs w:val="20"/>
              </w:rPr>
            </w:pPr>
          </w:p>
        </w:tc>
      </w:tr>
      <w:tr w:rsidR="004E2535" w:rsidRPr="006D4413" w:rsidTr="004C3B4A">
        <w:tc>
          <w:tcPr>
            <w:tcW w:w="2427" w:type="pct"/>
          </w:tcPr>
          <w:p w:rsidR="004E2535" w:rsidRPr="006D4413" w:rsidRDefault="004E2535" w:rsidP="004C3B4A">
            <w:pPr>
              <w:jc w:val="both"/>
              <w:rPr>
                <w:rFonts w:eastAsia="Calibri"/>
                <w:sz w:val="20"/>
                <w:szCs w:val="20"/>
              </w:rPr>
            </w:pPr>
            <w:r w:rsidRPr="006D4413">
              <w:rPr>
                <w:rFonts w:eastAsia="Calibri"/>
                <w:sz w:val="20"/>
                <w:szCs w:val="20"/>
              </w:rPr>
              <w:t>May 30, 2011</w:t>
            </w:r>
          </w:p>
          <w:p w:rsidR="004E2535" w:rsidRPr="006D4413" w:rsidRDefault="004E2535" w:rsidP="004C3B4A">
            <w:pPr>
              <w:jc w:val="both"/>
              <w:rPr>
                <w:rFonts w:eastAsia="Calibri"/>
                <w:sz w:val="20"/>
                <w:szCs w:val="20"/>
              </w:rPr>
            </w:pPr>
            <w:r w:rsidRPr="006D4413">
              <w:rPr>
                <w:rFonts w:eastAsia="Calibri"/>
                <w:sz w:val="20"/>
                <w:szCs w:val="20"/>
              </w:rPr>
              <w:t>Supreme Court of Canada</w:t>
            </w: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Application for leave to appeal filed</w:t>
            </w:r>
          </w:p>
          <w:p w:rsidR="004E2535" w:rsidRPr="006D4413" w:rsidRDefault="004E2535" w:rsidP="004C3B4A">
            <w:pPr>
              <w:jc w:val="both"/>
              <w:rPr>
                <w:rFonts w:eastAsia="Calibri"/>
                <w:sz w:val="20"/>
                <w:szCs w:val="20"/>
              </w:rPr>
            </w:pPr>
          </w:p>
        </w:tc>
      </w:tr>
    </w:tbl>
    <w:p w:rsidR="00C454C8" w:rsidRPr="004E2535" w:rsidRDefault="00C454C8" w:rsidP="00C454C8">
      <w:pPr>
        <w:rPr>
          <w:sz w:val="20"/>
          <w:szCs w:val="20"/>
        </w:rPr>
      </w:pPr>
    </w:p>
    <w:p w:rsidR="00C454C8" w:rsidRDefault="008754B5" w:rsidP="00C454C8">
      <w:pPr>
        <w:rPr>
          <w:sz w:val="20"/>
          <w:szCs w:val="20"/>
          <w:lang w:val="fr-CA"/>
        </w:rPr>
      </w:pPr>
      <w:r w:rsidRPr="008754B5">
        <w:rPr>
          <w:sz w:val="20"/>
          <w:szCs w:val="20"/>
          <w:lang w:val="fr-CA"/>
        </w:rPr>
        <w:pict>
          <v:rect id="_x0000_i1047" style="width:2in;height:1pt" o:hrpct="0" o:hralign="center" o:hrstd="t" o:hrnoshade="t" o:hr="t" fillcolor="black [3213]" stroked="f"/>
        </w:pict>
      </w:r>
    </w:p>
    <w:p w:rsidR="00C454C8" w:rsidRDefault="00C454C8" w:rsidP="00C454C8">
      <w:pPr>
        <w:rPr>
          <w:sz w:val="20"/>
          <w:szCs w:val="20"/>
          <w:lang w:val="fr-CA"/>
        </w:rPr>
      </w:pPr>
    </w:p>
    <w:p w:rsidR="00736E6B" w:rsidRDefault="00736E6B">
      <w:pPr>
        <w:rPr>
          <w:sz w:val="20"/>
          <w:szCs w:val="20"/>
          <w:u w:val="single"/>
          <w:lang w:val="fr-CA"/>
        </w:rPr>
      </w:pPr>
      <w:r>
        <w:rPr>
          <w:sz w:val="20"/>
          <w:szCs w:val="20"/>
          <w:u w:val="single"/>
          <w:lang w:val="fr-CA"/>
        </w:rPr>
        <w:br w:type="page"/>
      </w:r>
    </w:p>
    <w:p w:rsidR="00C454C8" w:rsidRPr="00517AED" w:rsidRDefault="00C454C8" w:rsidP="00C454C8">
      <w:pPr>
        <w:rPr>
          <w:sz w:val="20"/>
          <w:szCs w:val="20"/>
          <w:u w:val="single"/>
          <w:lang w:val="fr-CA"/>
        </w:rPr>
      </w:pPr>
      <w:r w:rsidRPr="00517AED">
        <w:rPr>
          <w:sz w:val="20"/>
          <w:szCs w:val="20"/>
          <w:u w:val="single"/>
          <w:lang w:val="fr-CA"/>
        </w:rPr>
        <w:lastRenderedPageBreak/>
        <w:t>RÉSUMÉ DE L’AFFAIRE</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4E2535" w:rsidRPr="008608D5" w:rsidTr="004C3B4A">
        <w:tc>
          <w:tcPr>
            <w:tcW w:w="5000" w:type="pct"/>
            <w:gridSpan w:val="3"/>
          </w:tcPr>
          <w:p w:rsidR="004E2535" w:rsidRPr="006D4413" w:rsidRDefault="004E2535" w:rsidP="004C3B4A">
            <w:pPr>
              <w:jc w:val="both"/>
              <w:rPr>
                <w:rFonts w:eastAsia="Calibri"/>
                <w:smallCaps/>
                <w:sz w:val="20"/>
                <w:szCs w:val="20"/>
                <w:lang w:val="fr-CA"/>
              </w:rPr>
            </w:pPr>
            <w:r w:rsidRPr="006D4413">
              <w:rPr>
                <w:rFonts w:eastAsia="Calibri"/>
                <w:smallCaps/>
                <w:sz w:val="20"/>
                <w:szCs w:val="20"/>
                <w:lang w:val="fr-CA"/>
              </w:rPr>
              <w:t>(Ordonnance de mise sous scellés)</w:t>
            </w:r>
          </w:p>
          <w:p w:rsidR="004E2535" w:rsidRPr="006D4413" w:rsidRDefault="004E2535" w:rsidP="004C3B4A">
            <w:pPr>
              <w:jc w:val="both"/>
              <w:rPr>
                <w:rFonts w:eastAsia="Calibri"/>
                <w:sz w:val="20"/>
                <w:szCs w:val="20"/>
                <w:lang w:val="fr-CA"/>
              </w:rPr>
            </w:pP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Procédure civile — Recours collectifs — Certification — Cause d’action — Moyen de défense fondé sur le transfert de la perte — Principe corollaire qui rend irrecevables les demandes d’acheteurs indirects — Quelles sont les limites de l’arrêt de cette Cour dans l’affaire </w:t>
            </w:r>
            <w:proofErr w:type="spellStart"/>
            <w:r w:rsidRPr="006D4413">
              <w:rPr>
                <w:rFonts w:eastAsia="Calibri"/>
                <w:i/>
                <w:sz w:val="20"/>
                <w:szCs w:val="20"/>
                <w:lang w:val="fr-CA"/>
              </w:rPr>
              <w:t>Kingstreet</w:t>
            </w:r>
            <w:proofErr w:type="spellEnd"/>
            <w:r w:rsidRPr="006D4413">
              <w:rPr>
                <w:rFonts w:eastAsia="Calibri"/>
                <w:sz w:val="20"/>
                <w:szCs w:val="20"/>
                <w:lang w:val="fr-CA"/>
              </w:rPr>
              <w:t xml:space="preserve"> </w:t>
            </w:r>
            <w:proofErr w:type="spellStart"/>
            <w:r w:rsidRPr="006D4413">
              <w:rPr>
                <w:rFonts w:eastAsia="Calibri"/>
                <w:i/>
                <w:sz w:val="20"/>
                <w:szCs w:val="20"/>
                <w:lang w:val="fr-CA"/>
              </w:rPr>
              <w:t>Investments</w:t>
            </w:r>
            <w:proofErr w:type="spellEnd"/>
            <w:r w:rsidRPr="006D4413">
              <w:rPr>
                <w:rFonts w:eastAsia="Calibri"/>
                <w:i/>
                <w:sz w:val="20"/>
                <w:szCs w:val="20"/>
                <w:lang w:val="fr-CA"/>
              </w:rPr>
              <w:t xml:space="preserve"> Ltd. c. </w:t>
            </w:r>
            <w:proofErr w:type="spellStart"/>
            <w:r w:rsidRPr="006D4413">
              <w:rPr>
                <w:rFonts w:eastAsia="Calibri"/>
                <w:i/>
                <w:sz w:val="20"/>
                <w:szCs w:val="20"/>
                <w:lang w:val="fr-CA"/>
              </w:rPr>
              <w:t>Nouveau</w:t>
            </w:r>
            <w:r w:rsidRPr="006D4413">
              <w:rPr>
                <w:rFonts w:eastAsia="Calibri"/>
                <w:i/>
                <w:sz w:val="20"/>
                <w:szCs w:val="20"/>
                <w:lang w:val="fr-CA"/>
              </w:rPr>
              <w:noBreakHyphen/>
              <w:t>Brunswick</w:t>
            </w:r>
            <w:proofErr w:type="spellEnd"/>
            <w:r w:rsidRPr="006D4413">
              <w:rPr>
                <w:rFonts w:eastAsia="Calibri"/>
                <w:i/>
                <w:sz w:val="20"/>
                <w:szCs w:val="20"/>
                <w:lang w:val="fr-CA"/>
              </w:rPr>
              <w:t xml:space="preserve"> (Finances)</w:t>
            </w:r>
            <w:r w:rsidRPr="006D4413">
              <w:rPr>
                <w:rFonts w:eastAsia="Calibri"/>
                <w:sz w:val="20"/>
                <w:szCs w:val="20"/>
                <w:lang w:val="fr-CA"/>
              </w:rPr>
              <w:t xml:space="preserve">, 2007 CSC 1, [2007] 1 R.C.S. 3? — L’arrêt de la Cour suprême des </w:t>
            </w:r>
            <w:proofErr w:type="spellStart"/>
            <w:r w:rsidRPr="006D4413">
              <w:rPr>
                <w:rFonts w:eastAsia="Calibri"/>
                <w:sz w:val="20"/>
                <w:szCs w:val="20"/>
                <w:lang w:val="fr-CA"/>
              </w:rPr>
              <w:t>États</w:t>
            </w:r>
            <w:r w:rsidRPr="006D4413">
              <w:rPr>
                <w:rFonts w:eastAsia="Calibri"/>
                <w:sz w:val="20"/>
                <w:szCs w:val="20"/>
                <w:lang w:val="fr-CA"/>
              </w:rPr>
              <w:noBreakHyphen/>
              <w:t>Unis</w:t>
            </w:r>
            <w:proofErr w:type="spellEnd"/>
            <w:r w:rsidRPr="006D4413">
              <w:rPr>
                <w:rFonts w:eastAsia="Calibri"/>
                <w:sz w:val="20"/>
                <w:szCs w:val="20"/>
                <w:lang w:val="fr-CA"/>
              </w:rPr>
              <w:t xml:space="preserve"> dans l’affaire </w:t>
            </w:r>
            <w:r w:rsidRPr="006D4413">
              <w:rPr>
                <w:rFonts w:eastAsia="Calibri"/>
                <w:i/>
                <w:sz w:val="20"/>
                <w:szCs w:val="20"/>
                <w:lang w:val="fr-CA"/>
              </w:rPr>
              <w:t>Illinois Brick Co. v. Illinois</w:t>
            </w:r>
            <w:r w:rsidRPr="006D4413">
              <w:rPr>
                <w:rFonts w:eastAsia="Calibri"/>
                <w:sz w:val="20"/>
                <w:szCs w:val="20"/>
                <w:lang w:val="fr-CA"/>
              </w:rPr>
              <w:t xml:space="preserve">, 431 U.S. 720, 97 </w:t>
            </w:r>
            <w:proofErr w:type="spellStart"/>
            <w:r w:rsidRPr="006D4413">
              <w:rPr>
                <w:rFonts w:eastAsia="Calibri"/>
                <w:sz w:val="20"/>
                <w:szCs w:val="20"/>
                <w:lang w:val="fr-CA"/>
              </w:rPr>
              <w:t>S.Ct</w:t>
            </w:r>
            <w:proofErr w:type="spellEnd"/>
            <w:r w:rsidRPr="006D4413">
              <w:rPr>
                <w:rFonts w:eastAsia="Calibri"/>
                <w:sz w:val="20"/>
                <w:szCs w:val="20"/>
                <w:lang w:val="fr-CA"/>
              </w:rPr>
              <w:t xml:space="preserve">. 2061 (1977) </w:t>
            </w:r>
            <w:proofErr w:type="spellStart"/>
            <w:r w:rsidRPr="006D4413">
              <w:rPr>
                <w:rFonts w:eastAsia="Calibri"/>
                <w:sz w:val="20"/>
                <w:szCs w:val="20"/>
                <w:lang w:val="fr-CA"/>
              </w:rPr>
              <w:t>devrait</w:t>
            </w:r>
            <w:r w:rsidRPr="006D4413">
              <w:rPr>
                <w:rFonts w:eastAsia="Calibri"/>
                <w:sz w:val="20"/>
                <w:szCs w:val="20"/>
                <w:lang w:val="fr-CA"/>
              </w:rPr>
              <w:noBreakHyphen/>
              <w:t>il</w:t>
            </w:r>
            <w:proofErr w:type="spellEnd"/>
            <w:r w:rsidRPr="006D4413">
              <w:rPr>
                <w:rFonts w:eastAsia="Calibri"/>
                <w:sz w:val="20"/>
                <w:szCs w:val="20"/>
                <w:lang w:val="fr-CA"/>
              </w:rPr>
              <w:t xml:space="preserve"> être importé en droit canadien et dans l’affirmative, à quelles conditions?</w:t>
            </w:r>
          </w:p>
        </w:tc>
      </w:tr>
      <w:tr w:rsidR="004E2535" w:rsidRPr="008608D5" w:rsidTr="004C3B4A">
        <w:tc>
          <w:tcPr>
            <w:tcW w:w="5000" w:type="pct"/>
            <w:gridSpan w:val="3"/>
          </w:tcPr>
          <w:p w:rsidR="004E2535" w:rsidRPr="006D4413" w:rsidRDefault="004E2535" w:rsidP="004C3B4A">
            <w:pPr>
              <w:jc w:val="both"/>
              <w:rPr>
                <w:rFonts w:eastAsia="Calibri"/>
                <w:sz w:val="20"/>
                <w:szCs w:val="20"/>
                <w:lang w:val="fr-CA"/>
              </w:rPr>
            </w:pPr>
          </w:p>
        </w:tc>
      </w:tr>
      <w:tr w:rsidR="004E2535" w:rsidRPr="008608D5" w:rsidTr="004C3B4A">
        <w:tc>
          <w:tcPr>
            <w:tcW w:w="5000" w:type="pct"/>
            <w:gridSpan w:val="3"/>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Les demandeurs ont intenté une action contre les intimées alléguant que ces dernières auraient commis des fautes anticoncurrentielles qui leur permettaient de demander des prix plus élevés pour certains de leurs produits.  Les demandeurs n’obtenaient pas leurs produits ou leurs licences de logiciels Microsoft directement les intimées, mais les acquéraient en tant qu’« acheteurs indirects » de revendeurs ou d’« acheteurs directs ».  Les demandeurs ont plaidé des causes d’action fondées sur des délits civils de </w:t>
            </w:r>
            <w:proofErr w:type="spellStart"/>
            <w:r w:rsidRPr="006D4413">
              <w:rPr>
                <w:rFonts w:eastAsia="Calibri"/>
                <w:sz w:val="20"/>
                <w:szCs w:val="20"/>
                <w:lang w:val="fr-CA"/>
              </w:rPr>
              <w:t>common</w:t>
            </w:r>
            <w:proofErr w:type="spellEnd"/>
            <w:r w:rsidRPr="006D4413">
              <w:rPr>
                <w:rFonts w:eastAsia="Calibri"/>
                <w:sz w:val="20"/>
                <w:szCs w:val="20"/>
                <w:lang w:val="fr-CA"/>
              </w:rPr>
              <w:t xml:space="preserve"> </w:t>
            </w:r>
            <w:proofErr w:type="spellStart"/>
            <w:r w:rsidRPr="006D4413">
              <w:rPr>
                <w:rFonts w:eastAsia="Calibri"/>
                <w:sz w:val="20"/>
                <w:szCs w:val="20"/>
                <w:lang w:val="fr-CA"/>
              </w:rPr>
              <w:t>law</w:t>
            </w:r>
            <w:proofErr w:type="spellEnd"/>
            <w:r w:rsidRPr="006D4413">
              <w:rPr>
                <w:rFonts w:eastAsia="Calibri"/>
                <w:sz w:val="20"/>
                <w:szCs w:val="20"/>
                <w:lang w:val="fr-CA"/>
              </w:rPr>
              <w:t xml:space="preserve">, soit l’atteinte intentionnelle aux intérêts commerciaux et le complot, et ont sollicité des </w:t>
            </w:r>
            <w:proofErr w:type="spellStart"/>
            <w:r w:rsidRPr="006D4413">
              <w:rPr>
                <w:rFonts w:eastAsia="Calibri"/>
                <w:sz w:val="20"/>
                <w:szCs w:val="20"/>
                <w:lang w:val="fr-CA"/>
              </w:rPr>
              <w:t>dommages</w:t>
            </w:r>
            <w:r w:rsidRPr="006D4413">
              <w:rPr>
                <w:rFonts w:eastAsia="Calibri"/>
                <w:sz w:val="20"/>
                <w:szCs w:val="20"/>
                <w:lang w:val="fr-CA"/>
              </w:rPr>
              <w:noBreakHyphen/>
              <w:t>intérêts</w:t>
            </w:r>
            <w:proofErr w:type="spellEnd"/>
            <w:r w:rsidRPr="006D4413">
              <w:rPr>
                <w:rFonts w:eastAsia="Calibri"/>
                <w:sz w:val="20"/>
                <w:szCs w:val="20"/>
                <w:lang w:val="fr-CA"/>
              </w:rPr>
              <w:t xml:space="preserve"> en vertu de l’art. 36 de la</w:t>
            </w:r>
            <w:r w:rsidRPr="006D4413">
              <w:rPr>
                <w:rFonts w:eastAsia="Calibri"/>
                <w:i/>
                <w:sz w:val="20"/>
                <w:szCs w:val="20"/>
                <w:lang w:val="fr-CA"/>
              </w:rPr>
              <w:t xml:space="preserve"> Loi sur la concurrence</w:t>
            </w:r>
            <w:r w:rsidRPr="006D4413">
              <w:rPr>
                <w:rFonts w:eastAsia="Calibri"/>
                <w:sz w:val="20"/>
                <w:szCs w:val="20"/>
                <w:lang w:val="fr-CA"/>
              </w:rPr>
              <w:t>, L.R.C. 1985, ch. C</w:t>
            </w:r>
            <w:r w:rsidRPr="006D4413">
              <w:rPr>
                <w:rFonts w:eastAsia="Calibri"/>
                <w:sz w:val="20"/>
                <w:szCs w:val="20"/>
                <w:lang w:val="fr-CA"/>
              </w:rPr>
              <w:noBreakHyphen/>
              <w:t xml:space="preserve">34 pour violation des articles 45 et 52 de cette loi.  Ils ont également allégué l’enrichissement sans cause et la renonciation à un recours délictuel.  Ils ont demandé la certification du recours collectif aux termes de la </w:t>
            </w:r>
            <w:r w:rsidRPr="006D4413">
              <w:rPr>
                <w:rFonts w:eastAsia="Calibri"/>
                <w:i/>
                <w:sz w:val="20"/>
                <w:szCs w:val="20"/>
                <w:lang w:val="fr-CA"/>
              </w:rPr>
              <w:t xml:space="preserve">Class </w:t>
            </w:r>
            <w:proofErr w:type="spellStart"/>
            <w:r w:rsidRPr="006D4413">
              <w:rPr>
                <w:rFonts w:eastAsia="Calibri"/>
                <w:i/>
                <w:sz w:val="20"/>
                <w:szCs w:val="20"/>
                <w:lang w:val="fr-CA"/>
              </w:rPr>
              <w:t>Proceedings</w:t>
            </w:r>
            <w:proofErr w:type="spellEnd"/>
            <w:r w:rsidRPr="006D4413">
              <w:rPr>
                <w:rFonts w:eastAsia="Calibri"/>
                <w:i/>
                <w:sz w:val="20"/>
                <w:szCs w:val="20"/>
                <w:lang w:val="fr-CA"/>
              </w:rPr>
              <w:t xml:space="preserve"> </w:t>
            </w:r>
            <w:proofErr w:type="spellStart"/>
            <w:r w:rsidRPr="006D4413">
              <w:rPr>
                <w:rFonts w:eastAsia="Calibri"/>
                <w:i/>
                <w:sz w:val="20"/>
                <w:szCs w:val="20"/>
                <w:lang w:val="fr-CA"/>
              </w:rPr>
              <w:t>Act</w:t>
            </w:r>
            <w:proofErr w:type="spellEnd"/>
            <w:r w:rsidRPr="006D4413">
              <w:rPr>
                <w:rFonts w:eastAsia="Calibri"/>
                <w:sz w:val="20"/>
                <w:szCs w:val="20"/>
                <w:lang w:val="fr-CA"/>
              </w:rPr>
              <w:t>, R.S.B.C. 1996, ch. 50.  Les intimées ont contesté la demande, plaidant qu’elle ne répondait pas aux conditions de certification.</w:t>
            </w:r>
          </w:p>
          <w:p w:rsidR="004E2535" w:rsidRPr="006D4413" w:rsidRDefault="004E2535" w:rsidP="004C3B4A">
            <w:pPr>
              <w:jc w:val="both"/>
              <w:rPr>
                <w:rFonts w:eastAsia="Calibri"/>
                <w:sz w:val="20"/>
                <w:szCs w:val="20"/>
                <w:lang w:val="fr-CA"/>
              </w:rPr>
            </w:pP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La Cour suprême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a accueilli la demande de certification du recours collectif.  Les juges majoritaires de la Cour d’appel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ont accueilli l’appel, annulé l’ordonnance de certification et rejeté l’action des demandeurs au motif qu’il était clair et évident que les demandeurs représentants, en tant qu’acheteurs indirects, n’avaient aucune cause d’action fondée en droit.</w:t>
            </w:r>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6 juillet 2006</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Cour suprême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(Juge </w:t>
            </w:r>
            <w:proofErr w:type="spellStart"/>
            <w:r w:rsidRPr="006D4413">
              <w:rPr>
                <w:rFonts w:eastAsia="Calibri"/>
                <w:sz w:val="20"/>
                <w:szCs w:val="20"/>
                <w:lang w:val="fr-CA"/>
              </w:rPr>
              <w:t>Tysoe</w:t>
            </w:r>
            <w:proofErr w:type="spellEnd"/>
            <w:r w:rsidRPr="006D4413">
              <w:rPr>
                <w:rFonts w:eastAsia="Calibri"/>
                <w:sz w:val="20"/>
                <w:szCs w:val="20"/>
                <w:lang w:val="fr-CA"/>
              </w:rPr>
              <w:t>)</w:t>
            </w:r>
          </w:p>
          <w:p w:rsidR="004E2535" w:rsidRPr="006D4413" w:rsidRDefault="004E2535" w:rsidP="004C3B4A">
            <w:pPr>
              <w:jc w:val="both"/>
              <w:rPr>
                <w:rFonts w:eastAsia="Calibri"/>
                <w:sz w:val="20"/>
                <w:szCs w:val="20"/>
                <w:lang w:val="fr-CA"/>
              </w:rPr>
            </w:pPr>
            <w:r w:rsidRPr="006D4413">
              <w:rPr>
                <w:rFonts w:eastAsia="Calibri"/>
                <w:sz w:val="20"/>
                <w:szCs w:val="20"/>
                <w:lang w:val="fr-CA"/>
              </w:rPr>
              <w:t>2006 BCSC 1047</w:t>
            </w:r>
          </w:p>
          <w:p w:rsidR="004E2535" w:rsidRPr="006D4413" w:rsidRDefault="004E2535" w:rsidP="004C3B4A">
            <w:pPr>
              <w:jc w:val="both"/>
              <w:rPr>
                <w:rFonts w:eastAsia="Calibri"/>
                <w:sz w:val="20"/>
                <w:szCs w:val="20"/>
                <w:lang w:val="fr-CA"/>
              </w:rPr>
            </w:pP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Demande de radiation de la déclaration des demandeurs au complet et d’annulation de l’action, rejetée; ordonnance de radiation de certaines parties de la déclaration, accordée</w:t>
            </w:r>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24 novembre 2006</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Cour suprême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(Juge </w:t>
            </w:r>
            <w:proofErr w:type="spellStart"/>
            <w:r w:rsidRPr="006D4413">
              <w:rPr>
                <w:rFonts w:eastAsia="Calibri"/>
                <w:sz w:val="20"/>
                <w:szCs w:val="20"/>
                <w:lang w:val="fr-CA"/>
              </w:rPr>
              <w:t>Tysoe</w:t>
            </w:r>
            <w:proofErr w:type="spellEnd"/>
            <w:r w:rsidRPr="006D4413">
              <w:rPr>
                <w:rFonts w:eastAsia="Calibri"/>
                <w:sz w:val="20"/>
                <w:szCs w:val="20"/>
                <w:lang w:val="fr-CA"/>
              </w:rPr>
              <w:t>)</w:t>
            </w:r>
          </w:p>
          <w:p w:rsidR="004E2535" w:rsidRPr="006D4413" w:rsidRDefault="004E2535" w:rsidP="004C3B4A">
            <w:pPr>
              <w:jc w:val="both"/>
              <w:rPr>
                <w:rFonts w:eastAsia="Calibri"/>
                <w:sz w:val="20"/>
                <w:szCs w:val="20"/>
                <w:lang w:val="fr-CA"/>
              </w:rPr>
            </w:pPr>
            <w:r w:rsidRPr="006D4413">
              <w:rPr>
                <w:rFonts w:eastAsia="Calibri"/>
                <w:sz w:val="20"/>
                <w:szCs w:val="20"/>
                <w:lang w:val="fr-CA"/>
              </w:rPr>
              <w:t>2006 BCSC 1738</w:t>
            </w:r>
          </w:p>
          <w:p w:rsidR="004E2535" w:rsidRPr="006D4413" w:rsidRDefault="004E2535" w:rsidP="004C3B4A">
            <w:pPr>
              <w:jc w:val="both"/>
              <w:rPr>
                <w:rFonts w:eastAsia="Calibri"/>
                <w:sz w:val="20"/>
                <w:szCs w:val="20"/>
                <w:lang w:val="fr-CA"/>
              </w:rPr>
            </w:pP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Autorisation accordée aux demandeurs de modifier la déclaration </w:t>
            </w:r>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5 mars 2010</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Cour suprême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w:t>
            </w:r>
          </w:p>
          <w:p w:rsidR="004E2535" w:rsidRPr="006D4413" w:rsidRDefault="004E2535" w:rsidP="004C3B4A">
            <w:pPr>
              <w:jc w:val="both"/>
              <w:rPr>
                <w:rFonts w:eastAsia="Calibri"/>
                <w:sz w:val="20"/>
                <w:szCs w:val="20"/>
                <w:lang w:val="fr-CA"/>
              </w:rPr>
            </w:pPr>
            <w:r w:rsidRPr="006D4413">
              <w:rPr>
                <w:rFonts w:eastAsia="Calibri"/>
                <w:sz w:val="20"/>
                <w:szCs w:val="20"/>
                <w:lang w:val="fr-CA"/>
              </w:rPr>
              <w:t>(Juge Myers)</w:t>
            </w:r>
          </w:p>
          <w:p w:rsidR="004E2535" w:rsidRPr="006D4413" w:rsidRDefault="004E2535" w:rsidP="004C3B4A">
            <w:pPr>
              <w:jc w:val="both"/>
              <w:rPr>
                <w:rFonts w:eastAsia="Calibri"/>
                <w:sz w:val="20"/>
                <w:szCs w:val="20"/>
                <w:lang w:val="fr-CA"/>
              </w:rPr>
            </w:pPr>
            <w:r w:rsidRPr="006D4413">
              <w:rPr>
                <w:rFonts w:eastAsia="Calibri"/>
                <w:sz w:val="20"/>
                <w:szCs w:val="20"/>
                <w:lang w:val="fr-CA"/>
              </w:rPr>
              <w:t>2010 BCSC 285</w:t>
            </w:r>
          </w:p>
          <w:p w:rsidR="004E2535" w:rsidRPr="006D4413" w:rsidRDefault="004E2535" w:rsidP="004C3B4A">
            <w:pPr>
              <w:jc w:val="both"/>
              <w:rPr>
                <w:rFonts w:eastAsia="Calibri"/>
                <w:sz w:val="20"/>
                <w:szCs w:val="20"/>
                <w:lang w:val="fr-CA"/>
              </w:rPr>
            </w:pP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Demande de certification du recours collectif, accueillie </w:t>
            </w:r>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15 avril 2011</w:t>
            </w:r>
          </w:p>
          <w:p w:rsidR="004E2535" w:rsidRPr="006D4413" w:rsidRDefault="004E2535" w:rsidP="004C3B4A">
            <w:pPr>
              <w:jc w:val="both"/>
              <w:rPr>
                <w:rFonts w:eastAsia="Calibri"/>
                <w:sz w:val="20"/>
                <w:szCs w:val="20"/>
                <w:lang w:val="fr-CA"/>
              </w:rPr>
            </w:pPr>
            <w:r w:rsidRPr="006D4413">
              <w:rPr>
                <w:rFonts w:eastAsia="Calibri"/>
                <w:sz w:val="20"/>
                <w:szCs w:val="20"/>
                <w:lang w:val="fr-CA"/>
              </w:rPr>
              <w:t>Cour d’appel de la Colombie Britannique (Vancouver)</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(Juges Donald (dissident), Lowry et </w:t>
            </w:r>
            <w:proofErr w:type="spellStart"/>
            <w:r w:rsidRPr="006D4413">
              <w:rPr>
                <w:rFonts w:eastAsia="Calibri"/>
                <w:sz w:val="20"/>
                <w:szCs w:val="20"/>
                <w:lang w:val="fr-CA"/>
              </w:rPr>
              <w:t>Frankel</w:t>
            </w:r>
            <w:proofErr w:type="spellEnd"/>
            <w:r w:rsidRPr="006D4413">
              <w:rPr>
                <w:rFonts w:eastAsia="Calibri"/>
                <w:sz w:val="20"/>
                <w:szCs w:val="20"/>
                <w:lang w:val="fr-CA"/>
              </w:rPr>
              <w:t>)</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2011 BCCA 186; CA034325; CA037968 </w:t>
            </w:r>
          </w:p>
          <w:p w:rsidR="004E2535" w:rsidRPr="006D4413" w:rsidRDefault="004E2535" w:rsidP="004C3B4A">
            <w:pPr>
              <w:jc w:val="both"/>
              <w:rPr>
                <w:rFonts w:eastAsia="Calibri"/>
                <w:sz w:val="20"/>
                <w:szCs w:val="20"/>
                <w:lang w:val="fr-CA"/>
              </w:rPr>
            </w:pP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Appel accueilli, ordonnance de certification annulée, action des demandeurs, rejetée</w:t>
            </w:r>
          </w:p>
          <w:p w:rsidR="004E2535" w:rsidRPr="006D4413" w:rsidRDefault="004E2535" w:rsidP="004C3B4A">
            <w:pPr>
              <w:jc w:val="both"/>
              <w:rPr>
                <w:rFonts w:eastAsia="Calibri"/>
                <w:sz w:val="20"/>
                <w:szCs w:val="20"/>
                <w:lang w:val="fr-CA"/>
              </w:rPr>
            </w:pPr>
          </w:p>
        </w:tc>
      </w:tr>
      <w:tr w:rsidR="004E2535" w:rsidRPr="006D4413"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30 mai 2011</w:t>
            </w:r>
          </w:p>
          <w:p w:rsidR="004E2535" w:rsidRPr="006D4413" w:rsidRDefault="004E2535" w:rsidP="004C3B4A">
            <w:pPr>
              <w:jc w:val="both"/>
              <w:rPr>
                <w:rFonts w:eastAsia="Calibri"/>
                <w:sz w:val="20"/>
                <w:szCs w:val="20"/>
                <w:lang w:val="fr-CA"/>
              </w:rPr>
            </w:pPr>
            <w:r w:rsidRPr="006D4413">
              <w:rPr>
                <w:rFonts w:eastAsia="Calibri"/>
                <w:sz w:val="20"/>
                <w:szCs w:val="20"/>
                <w:lang w:val="fr-CA"/>
              </w:rPr>
              <w:t>Cour suprême du Canada</w:t>
            </w: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Demande d’autorisation d’appel, déposée</w:t>
            </w:r>
          </w:p>
          <w:p w:rsidR="004E2535" w:rsidRPr="006D4413" w:rsidRDefault="004E2535" w:rsidP="004C3B4A">
            <w:pPr>
              <w:jc w:val="both"/>
              <w:rPr>
                <w:rFonts w:eastAsia="Calibri"/>
                <w:sz w:val="20"/>
                <w:szCs w:val="20"/>
                <w:lang w:val="fr-CA"/>
              </w:rPr>
            </w:pPr>
          </w:p>
        </w:tc>
      </w:tr>
    </w:tbl>
    <w:p w:rsidR="00C454C8" w:rsidRDefault="00C454C8" w:rsidP="00C454C8">
      <w:pPr>
        <w:rPr>
          <w:sz w:val="20"/>
          <w:szCs w:val="20"/>
          <w:lang w:val="fr-CA"/>
        </w:rPr>
      </w:pPr>
    </w:p>
    <w:p w:rsidR="00C454C8" w:rsidRDefault="008754B5" w:rsidP="00C454C8">
      <w:pPr>
        <w:rPr>
          <w:sz w:val="20"/>
          <w:szCs w:val="20"/>
          <w:lang w:val="fr-CA"/>
        </w:rPr>
      </w:pPr>
      <w:r w:rsidRPr="008754B5">
        <w:rPr>
          <w:sz w:val="20"/>
          <w:szCs w:val="20"/>
          <w:lang w:val="fr-CA"/>
        </w:rPr>
        <w:pict>
          <v:rect id="_x0000_i1048" style="width:2in;height:1pt" o:hrpct="0" o:hralign="center" o:hrstd="t" o:hrnoshade="t" o:hr="t" fillcolor="black [3213]" stroked="f"/>
        </w:pict>
      </w:r>
    </w:p>
    <w:p w:rsidR="00C454C8" w:rsidRPr="00C454C8" w:rsidRDefault="00C454C8" w:rsidP="00C454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4A1C" w:rsidRPr="002622ED" w:rsidTr="00A27223">
        <w:trPr>
          <w:cantSplit/>
        </w:trPr>
        <w:tc>
          <w:tcPr>
            <w:tcW w:w="1458" w:type="dxa"/>
          </w:tcPr>
          <w:p w:rsidR="00824A1C" w:rsidRPr="002622ED" w:rsidRDefault="00824A1C" w:rsidP="00A27223">
            <w:pPr>
              <w:rPr>
                <w:sz w:val="20"/>
                <w:szCs w:val="20"/>
              </w:rPr>
            </w:pPr>
            <w:r w:rsidRPr="002622ED">
              <w:rPr>
                <w:rStyle w:val="SCCFileNumberChar"/>
                <w:sz w:val="20"/>
                <w:szCs w:val="20"/>
              </w:rPr>
              <w:lastRenderedPageBreak/>
              <w:t>34283</w:t>
            </w:r>
          </w:p>
          <w:p w:rsidR="00824A1C" w:rsidRPr="002622ED" w:rsidRDefault="00824A1C" w:rsidP="00A27223">
            <w:pPr>
              <w:rPr>
                <w:b/>
                <w:sz w:val="20"/>
                <w:szCs w:val="20"/>
                <w:lang w:val="fr-CA"/>
              </w:rPr>
            </w:pPr>
          </w:p>
        </w:tc>
        <w:tc>
          <w:tcPr>
            <w:tcW w:w="8118" w:type="dxa"/>
          </w:tcPr>
          <w:p w:rsidR="00824A1C" w:rsidRPr="002622ED" w:rsidRDefault="00824A1C" w:rsidP="00A27223">
            <w:pPr>
              <w:jc w:val="both"/>
              <w:rPr>
                <w:sz w:val="20"/>
                <w:szCs w:val="20"/>
              </w:rPr>
            </w:pPr>
            <w:r w:rsidRPr="00824A1C">
              <w:rPr>
                <w:rStyle w:val="SCCLsocChar"/>
                <w:sz w:val="20"/>
                <w:szCs w:val="20"/>
                <w:lang w:val="en-CA"/>
              </w:rPr>
              <w:t>Sun-</w:t>
            </w:r>
            <w:proofErr w:type="spellStart"/>
            <w:r w:rsidRPr="00824A1C">
              <w:rPr>
                <w:rStyle w:val="SCCLsocChar"/>
                <w:sz w:val="20"/>
                <w:szCs w:val="20"/>
                <w:lang w:val="en-CA"/>
              </w:rPr>
              <w:t>Rype</w:t>
            </w:r>
            <w:proofErr w:type="spellEnd"/>
            <w:r w:rsidRPr="00824A1C">
              <w:rPr>
                <w:rStyle w:val="SCCLsocChar"/>
                <w:sz w:val="20"/>
                <w:szCs w:val="20"/>
                <w:lang w:val="en-CA"/>
              </w:rPr>
              <w:t xml:space="preserve"> Products Ltd. and Wendy </w:t>
            </w:r>
            <w:proofErr w:type="spellStart"/>
            <w:r w:rsidRPr="00824A1C">
              <w:rPr>
                <w:rStyle w:val="SCCLsocChar"/>
                <w:sz w:val="20"/>
                <w:szCs w:val="20"/>
                <w:lang w:val="en-CA"/>
              </w:rPr>
              <w:t>Weberg</w:t>
            </w:r>
            <w:proofErr w:type="spellEnd"/>
            <w:r w:rsidRPr="00824A1C">
              <w:rPr>
                <w:rStyle w:val="SCCLsocChar"/>
                <w:sz w:val="20"/>
                <w:szCs w:val="20"/>
                <w:lang w:val="en-CA"/>
              </w:rPr>
              <w:t xml:space="preserve"> v. Archer Daniels Midland Company, Cargill Incorporated, </w:t>
            </w:r>
            <w:proofErr w:type="spellStart"/>
            <w:r w:rsidRPr="00824A1C">
              <w:rPr>
                <w:rStyle w:val="SCCLsocChar"/>
                <w:sz w:val="20"/>
                <w:szCs w:val="20"/>
                <w:lang w:val="en-CA"/>
              </w:rPr>
              <w:t>Cerestar</w:t>
            </w:r>
            <w:proofErr w:type="spellEnd"/>
            <w:r w:rsidRPr="00824A1C">
              <w:rPr>
                <w:rStyle w:val="SCCLsocChar"/>
                <w:sz w:val="20"/>
                <w:szCs w:val="20"/>
                <w:lang w:val="en-CA"/>
              </w:rPr>
              <w:t xml:space="preserve"> USA Inc., formerly known as America Maize-Products Company, Corn Products International Inc., </w:t>
            </w:r>
            <w:proofErr w:type="spellStart"/>
            <w:r w:rsidRPr="00824A1C">
              <w:rPr>
                <w:rStyle w:val="SCCLsocChar"/>
                <w:sz w:val="20"/>
                <w:szCs w:val="20"/>
                <w:lang w:val="en-CA"/>
              </w:rPr>
              <w:t>Bestfoods</w:t>
            </w:r>
            <w:proofErr w:type="spellEnd"/>
            <w:r w:rsidRPr="00824A1C">
              <w:rPr>
                <w:rStyle w:val="SCCLsocChar"/>
                <w:sz w:val="20"/>
                <w:szCs w:val="20"/>
                <w:lang w:val="en-CA"/>
              </w:rPr>
              <w:t xml:space="preserve"> Inc., formerly known as CPC International Inc., ADM Agri-Industries Company, Cargill Limited, Casco Inc. and Unilever PLC doing business as Unilever </w:t>
            </w:r>
            <w:proofErr w:type="spellStart"/>
            <w:r w:rsidRPr="00824A1C">
              <w:rPr>
                <w:rStyle w:val="SCCLsocChar"/>
                <w:sz w:val="20"/>
                <w:szCs w:val="20"/>
                <w:lang w:val="en-CA"/>
              </w:rPr>
              <w:t>Bestfoods</w:t>
            </w:r>
            <w:proofErr w:type="spellEnd"/>
            <w:r w:rsidRPr="00824A1C">
              <w:rPr>
                <w:rStyle w:val="SCCLsocChar"/>
                <w:sz w:val="20"/>
                <w:szCs w:val="20"/>
                <w:lang w:val="en-CA"/>
              </w:rPr>
              <w:t xml:space="preserve"> North America</w:t>
            </w:r>
            <w:r w:rsidRPr="002622ED">
              <w:rPr>
                <w:sz w:val="20"/>
                <w:szCs w:val="20"/>
              </w:rPr>
              <w:t xml:space="preserve"> (B.C.) (Civil) (By Leave)</w:t>
            </w:r>
          </w:p>
          <w:p w:rsidR="00824A1C" w:rsidRPr="002622ED" w:rsidRDefault="00824A1C" w:rsidP="00A27223">
            <w:pPr>
              <w:rPr>
                <w:sz w:val="20"/>
                <w:szCs w:val="20"/>
              </w:rPr>
            </w:pPr>
          </w:p>
        </w:tc>
      </w:tr>
      <w:tr w:rsidR="00824A1C" w:rsidRPr="002622ED" w:rsidTr="00A27223">
        <w:trPr>
          <w:cantSplit/>
        </w:trPr>
        <w:tc>
          <w:tcPr>
            <w:tcW w:w="1458" w:type="dxa"/>
          </w:tcPr>
          <w:p w:rsidR="00824A1C" w:rsidRPr="002622ED" w:rsidRDefault="00824A1C" w:rsidP="00A27223">
            <w:pPr>
              <w:rPr>
                <w:sz w:val="20"/>
                <w:szCs w:val="20"/>
              </w:rPr>
            </w:pPr>
            <w:r w:rsidRPr="002622ED">
              <w:rPr>
                <w:sz w:val="20"/>
                <w:szCs w:val="20"/>
              </w:rPr>
              <w:t>Coram :</w:t>
            </w:r>
          </w:p>
        </w:tc>
        <w:tc>
          <w:tcPr>
            <w:tcW w:w="8118" w:type="dxa"/>
          </w:tcPr>
          <w:p w:rsidR="00824A1C" w:rsidRPr="002622ED" w:rsidRDefault="00824A1C" w:rsidP="00A27223">
            <w:pPr>
              <w:rPr>
                <w:sz w:val="20"/>
                <w:szCs w:val="20"/>
              </w:rPr>
            </w:pPr>
            <w:proofErr w:type="spellStart"/>
            <w:r w:rsidRPr="00824A1C">
              <w:rPr>
                <w:rStyle w:val="SCCCoramChar"/>
                <w:sz w:val="20"/>
                <w:szCs w:val="20"/>
                <w:lang w:val="en-CA"/>
              </w:rPr>
              <w:t>LeBel</w:t>
            </w:r>
            <w:proofErr w:type="spellEnd"/>
            <w:r w:rsidRPr="00824A1C">
              <w:rPr>
                <w:rStyle w:val="SCCCoramChar"/>
                <w:sz w:val="20"/>
                <w:szCs w:val="20"/>
                <w:lang w:val="en-CA"/>
              </w:rPr>
              <w:t>, Fish and Cromwell JJ.</w:t>
            </w:r>
          </w:p>
          <w:p w:rsidR="00824A1C" w:rsidRPr="002622ED" w:rsidRDefault="00824A1C" w:rsidP="00A27223">
            <w:pPr>
              <w:rPr>
                <w:sz w:val="20"/>
                <w:szCs w:val="20"/>
                <w:u w:val="single"/>
              </w:rPr>
            </w:pPr>
          </w:p>
        </w:tc>
      </w:tr>
      <w:tr w:rsidR="00824A1C" w:rsidRPr="008608D5" w:rsidTr="00A27223">
        <w:trPr>
          <w:cantSplit/>
        </w:trPr>
        <w:tc>
          <w:tcPr>
            <w:tcW w:w="9576" w:type="dxa"/>
            <w:gridSpan w:val="2"/>
          </w:tcPr>
          <w:p w:rsidR="00824A1C" w:rsidRPr="002622ED" w:rsidRDefault="00824A1C" w:rsidP="00A27223">
            <w:pPr>
              <w:pStyle w:val="SCCShortJudgment"/>
              <w:rPr>
                <w:szCs w:val="20"/>
              </w:rPr>
            </w:pPr>
            <w:r w:rsidRPr="002622ED">
              <w:rPr>
                <w:szCs w:val="20"/>
              </w:rPr>
              <w:t>The application for leave to appeal and the applications for leave to cross-appeal from the judgment of the Court of Appeal for British Columbia (Vancouver), Numbers CA038308, CA038314 and CA038324, 2011 BCCA 187, dated April 15, 2011, are granted with costs in the cause. The motion for a stay of consideration of the leave application is dismissed.</w:t>
            </w:r>
          </w:p>
          <w:p w:rsidR="00824A1C" w:rsidRPr="002622ED" w:rsidRDefault="00824A1C" w:rsidP="00A27223">
            <w:pPr>
              <w:pStyle w:val="SCCShortJudgment"/>
              <w:ind w:firstLine="0"/>
              <w:rPr>
                <w:szCs w:val="20"/>
              </w:rPr>
            </w:pPr>
          </w:p>
          <w:p w:rsidR="00824A1C" w:rsidRPr="002622ED" w:rsidRDefault="00824A1C" w:rsidP="00A27223">
            <w:pPr>
              <w:pStyle w:val="SCCShortJudgment"/>
              <w:rPr>
                <w:szCs w:val="20"/>
                <w:lang w:val="fr-CA"/>
              </w:rPr>
            </w:pPr>
            <w:r w:rsidRPr="002622ED">
              <w:rPr>
                <w:szCs w:val="20"/>
                <w:lang w:val="fr-CA"/>
              </w:rPr>
              <w:t>La demande d’autorisation d’appel et les demandes d’autorisation d’appel incident de l’arrêt de la Cour d’appel de la Colombie-Britannique (Vancouver), numéros CA038308, CA038314 et CA038324, 2011 BCCA 187, daté du 15 avril 2011, sont accordées avec dépens suivant l’issue de la cause. La requête en sursis d’examen de la demande d’autorisation d’appel est rejetée.</w:t>
            </w:r>
          </w:p>
        </w:tc>
      </w:tr>
    </w:tbl>
    <w:p w:rsidR="00C454C8" w:rsidRPr="00824A1C" w:rsidRDefault="00C454C8" w:rsidP="00C454C8">
      <w:pPr>
        <w:rPr>
          <w:sz w:val="20"/>
          <w:szCs w:val="20"/>
          <w:lang w:val="fr-CA"/>
        </w:rPr>
      </w:pPr>
    </w:p>
    <w:p w:rsidR="00C454C8" w:rsidRPr="00517AED" w:rsidRDefault="00C454C8" w:rsidP="00C454C8">
      <w:pPr>
        <w:rPr>
          <w:sz w:val="20"/>
          <w:szCs w:val="20"/>
          <w:u w:val="single"/>
        </w:rPr>
      </w:pPr>
      <w:r w:rsidRPr="00517AED">
        <w:rPr>
          <w:sz w:val="20"/>
          <w:szCs w:val="20"/>
          <w:u w:val="single"/>
        </w:rPr>
        <w:t>CASE SUMMARY</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9527"/>
      </w:tblGrid>
      <w:tr w:rsidR="004E2535" w:rsidRPr="006D4413" w:rsidTr="004C3B4A">
        <w:tc>
          <w:tcPr>
            <w:tcW w:w="5000" w:type="pct"/>
          </w:tcPr>
          <w:p w:rsidR="004E2535" w:rsidRPr="006D4413" w:rsidRDefault="004E2535" w:rsidP="004C3B4A">
            <w:pPr>
              <w:jc w:val="both"/>
              <w:rPr>
                <w:rFonts w:eastAsia="Calibri"/>
                <w:sz w:val="20"/>
                <w:szCs w:val="20"/>
              </w:rPr>
            </w:pPr>
            <w:r w:rsidRPr="006D4413">
              <w:rPr>
                <w:rFonts w:eastAsia="Calibri"/>
                <w:sz w:val="20"/>
                <w:szCs w:val="20"/>
              </w:rPr>
              <w:t xml:space="preserve">Civil procedure — Class actions — Certification — Cause of action — </w:t>
            </w:r>
            <w:proofErr w:type="spellStart"/>
            <w:r w:rsidRPr="006D4413">
              <w:rPr>
                <w:rFonts w:eastAsia="Calibri"/>
                <w:sz w:val="20"/>
                <w:szCs w:val="20"/>
              </w:rPr>
              <w:t>Passing</w:t>
            </w:r>
            <w:r w:rsidRPr="006D4413">
              <w:rPr>
                <w:rFonts w:eastAsia="Calibri"/>
                <w:sz w:val="20"/>
                <w:szCs w:val="20"/>
              </w:rPr>
              <w:noBreakHyphen/>
              <w:t>on</w:t>
            </w:r>
            <w:proofErr w:type="spellEnd"/>
            <w:r w:rsidRPr="006D4413">
              <w:rPr>
                <w:rFonts w:eastAsia="Calibri"/>
                <w:sz w:val="20"/>
                <w:szCs w:val="20"/>
              </w:rPr>
              <w:t xml:space="preserve"> defence —Corollary principle barring claims of indirect purchasers — What are the boundaries of the Court’s decision in </w:t>
            </w:r>
            <w:proofErr w:type="spellStart"/>
            <w:r w:rsidRPr="006D4413">
              <w:rPr>
                <w:rFonts w:eastAsia="Calibri"/>
                <w:i/>
                <w:sz w:val="20"/>
                <w:szCs w:val="20"/>
              </w:rPr>
              <w:t>Kingstreet</w:t>
            </w:r>
            <w:proofErr w:type="spellEnd"/>
            <w:r w:rsidRPr="006D4413">
              <w:rPr>
                <w:rFonts w:eastAsia="Calibri"/>
                <w:sz w:val="20"/>
                <w:szCs w:val="20"/>
              </w:rPr>
              <w:t xml:space="preserve"> </w:t>
            </w:r>
            <w:r w:rsidRPr="006D4413">
              <w:rPr>
                <w:rFonts w:eastAsia="Calibri"/>
                <w:i/>
                <w:sz w:val="20"/>
                <w:szCs w:val="20"/>
              </w:rPr>
              <w:t>Investments Ltd. v. New Brunswick (Finance)</w:t>
            </w:r>
            <w:r w:rsidRPr="006D4413">
              <w:rPr>
                <w:rFonts w:eastAsia="Calibri"/>
                <w:sz w:val="20"/>
                <w:szCs w:val="20"/>
              </w:rPr>
              <w:t xml:space="preserve">, 2007 SCC 1, [2007] 1 S.C.R. 3 — Should the United States Supreme Court decision in </w:t>
            </w:r>
            <w:r w:rsidRPr="006D4413">
              <w:rPr>
                <w:rFonts w:eastAsia="Calibri"/>
                <w:i/>
                <w:sz w:val="20"/>
                <w:szCs w:val="20"/>
              </w:rPr>
              <w:t>Illinois Brick Co. v. Illinois</w:t>
            </w:r>
            <w:r w:rsidRPr="006D4413">
              <w:rPr>
                <w:rFonts w:eastAsia="Calibri"/>
                <w:sz w:val="20"/>
                <w:szCs w:val="20"/>
              </w:rPr>
              <w:t xml:space="preserve">, 431 U.S. 720, 97 </w:t>
            </w:r>
            <w:proofErr w:type="spellStart"/>
            <w:r w:rsidRPr="006D4413">
              <w:rPr>
                <w:rFonts w:eastAsia="Calibri"/>
                <w:sz w:val="20"/>
                <w:szCs w:val="20"/>
              </w:rPr>
              <w:t>S.Ct</w:t>
            </w:r>
            <w:proofErr w:type="spellEnd"/>
            <w:r w:rsidRPr="006D4413">
              <w:rPr>
                <w:rFonts w:eastAsia="Calibri"/>
                <w:sz w:val="20"/>
                <w:szCs w:val="20"/>
              </w:rPr>
              <w:t>. 2061 (1977) be imported into Canada and, if so, on what terms — Can a constructive trust be ordered in the absence of a direct link or proprietary nexus — If a direct link or proprietary nexus is required, what is the content of that requirement.</w:t>
            </w:r>
          </w:p>
        </w:tc>
      </w:tr>
      <w:tr w:rsidR="004E2535" w:rsidRPr="006D4413" w:rsidTr="004C3B4A">
        <w:tc>
          <w:tcPr>
            <w:tcW w:w="5000" w:type="pct"/>
          </w:tcPr>
          <w:p w:rsidR="004E2535" w:rsidRPr="006D4413" w:rsidRDefault="004E2535" w:rsidP="004C3B4A">
            <w:pPr>
              <w:jc w:val="both"/>
              <w:rPr>
                <w:rFonts w:eastAsia="Calibri"/>
                <w:sz w:val="20"/>
                <w:szCs w:val="20"/>
              </w:rPr>
            </w:pPr>
          </w:p>
        </w:tc>
      </w:tr>
      <w:tr w:rsidR="004E2535" w:rsidRPr="006D4413" w:rsidTr="004C3B4A">
        <w:tc>
          <w:tcPr>
            <w:tcW w:w="5000" w:type="pct"/>
          </w:tcPr>
          <w:p w:rsidR="004E2535" w:rsidRPr="006D4413" w:rsidRDefault="004E2535" w:rsidP="004C3B4A">
            <w:pPr>
              <w:jc w:val="both"/>
              <w:rPr>
                <w:rFonts w:eastAsia="Calibri"/>
                <w:sz w:val="20"/>
                <w:szCs w:val="20"/>
              </w:rPr>
            </w:pPr>
            <w:r w:rsidRPr="006D4413">
              <w:rPr>
                <w:rFonts w:eastAsia="Calibri"/>
                <w:sz w:val="20"/>
                <w:szCs w:val="20"/>
              </w:rPr>
              <w:t xml:space="preserve">The applicants (the “Purchasers”) brought claims against the respondents (the “Producers”) alleging that they illegally engaged in an intentional, secret conspiracy to fix the price of high </w:t>
            </w:r>
            <w:proofErr w:type="spellStart"/>
            <w:r w:rsidRPr="006D4413">
              <w:rPr>
                <w:rFonts w:eastAsia="Calibri"/>
                <w:sz w:val="20"/>
                <w:szCs w:val="20"/>
              </w:rPr>
              <w:t>frustose</w:t>
            </w:r>
            <w:proofErr w:type="spellEnd"/>
            <w:r w:rsidRPr="006D4413">
              <w:rPr>
                <w:rFonts w:eastAsia="Calibri"/>
                <w:sz w:val="20"/>
                <w:szCs w:val="20"/>
              </w:rPr>
              <w:t xml:space="preserve"> corn syrup (“HFCS”), a sweetener used in various manufactured food products, predominantly soft drinks. As a result of the Producers’ </w:t>
            </w:r>
            <w:proofErr w:type="spellStart"/>
            <w:r w:rsidRPr="006D4413">
              <w:rPr>
                <w:rFonts w:eastAsia="Calibri"/>
                <w:sz w:val="20"/>
                <w:szCs w:val="20"/>
              </w:rPr>
              <w:t>price</w:t>
            </w:r>
            <w:r w:rsidRPr="006D4413">
              <w:rPr>
                <w:rFonts w:eastAsia="Calibri"/>
                <w:sz w:val="20"/>
                <w:szCs w:val="20"/>
              </w:rPr>
              <w:noBreakHyphen/>
              <w:t>fixing</w:t>
            </w:r>
            <w:proofErr w:type="spellEnd"/>
            <w:r w:rsidRPr="006D4413">
              <w:rPr>
                <w:rFonts w:eastAsia="Calibri"/>
                <w:sz w:val="20"/>
                <w:szCs w:val="20"/>
              </w:rPr>
              <w:t xml:space="preserve"> activity, it is alleged that they overcharged direct purchasers (“DPs”) like the representative plaintiff </w:t>
            </w:r>
            <w:proofErr w:type="spellStart"/>
            <w:r w:rsidRPr="006D4413">
              <w:rPr>
                <w:rFonts w:eastAsia="Calibri"/>
                <w:sz w:val="20"/>
                <w:szCs w:val="20"/>
              </w:rPr>
              <w:t>Sun</w:t>
            </w:r>
            <w:r w:rsidRPr="006D4413">
              <w:rPr>
                <w:rFonts w:eastAsia="Calibri"/>
                <w:sz w:val="20"/>
                <w:szCs w:val="20"/>
              </w:rPr>
              <w:noBreakHyphen/>
              <w:t>Rype</w:t>
            </w:r>
            <w:proofErr w:type="spellEnd"/>
            <w:r w:rsidRPr="006D4413">
              <w:rPr>
                <w:rFonts w:eastAsia="Calibri"/>
                <w:sz w:val="20"/>
                <w:szCs w:val="20"/>
              </w:rPr>
              <w:t xml:space="preserve"> Products Ltd. for the syrup.  The overcharge was passed through to indirect purchasers (“IPs”) like the representative plaintiff Wendy </w:t>
            </w:r>
            <w:proofErr w:type="spellStart"/>
            <w:r w:rsidRPr="006D4413">
              <w:rPr>
                <w:rFonts w:eastAsia="Calibri"/>
                <w:sz w:val="20"/>
                <w:szCs w:val="20"/>
              </w:rPr>
              <w:t>Weberg</w:t>
            </w:r>
            <w:proofErr w:type="spellEnd"/>
            <w:r w:rsidRPr="006D4413">
              <w:rPr>
                <w:rFonts w:eastAsia="Calibri"/>
                <w:sz w:val="20"/>
                <w:szCs w:val="20"/>
              </w:rPr>
              <w:t xml:space="preserve">, who consumed the end product.  The causes of action alleged by the Purchasers were:  </w:t>
            </w:r>
            <w:proofErr w:type="spellStart"/>
            <w:r w:rsidRPr="006D4413">
              <w:rPr>
                <w:rFonts w:eastAsia="Calibri"/>
                <w:sz w:val="20"/>
                <w:szCs w:val="20"/>
              </w:rPr>
              <w:t>i</w:t>
            </w:r>
            <w:proofErr w:type="spellEnd"/>
            <w:r w:rsidRPr="006D4413">
              <w:rPr>
                <w:rFonts w:eastAsia="Calibri"/>
                <w:sz w:val="20"/>
                <w:szCs w:val="20"/>
              </w:rPr>
              <w:t xml:space="preserve">) contraventions of s. 45(1) of Part VI of the </w:t>
            </w:r>
            <w:r w:rsidRPr="006D4413">
              <w:rPr>
                <w:rFonts w:eastAsia="Calibri"/>
                <w:i/>
                <w:sz w:val="20"/>
                <w:szCs w:val="20"/>
              </w:rPr>
              <w:t>Competition Act</w:t>
            </w:r>
            <w:r w:rsidRPr="006D4413">
              <w:rPr>
                <w:rFonts w:eastAsia="Calibri"/>
                <w:sz w:val="20"/>
                <w:szCs w:val="20"/>
              </w:rPr>
              <w:t>, R.S.C. 1985, c. C</w:t>
            </w:r>
            <w:r w:rsidRPr="006D4413">
              <w:rPr>
                <w:rFonts w:eastAsia="Calibri"/>
                <w:sz w:val="20"/>
                <w:szCs w:val="20"/>
              </w:rPr>
              <w:noBreakHyphen/>
              <w:t xml:space="preserve">34 and damages under s. 36(1); ii) </w:t>
            </w:r>
            <w:proofErr w:type="spellStart"/>
            <w:r w:rsidRPr="006D4413">
              <w:rPr>
                <w:rFonts w:eastAsia="Calibri"/>
                <w:sz w:val="20"/>
                <w:szCs w:val="20"/>
              </w:rPr>
              <w:t>tortious</w:t>
            </w:r>
            <w:proofErr w:type="spellEnd"/>
            <w:r w:rsidRPr="006D4413">
              <w:rPr>
                <w:rFonts w:eastAsia="Calibri"/>
                <w:sz w:val="20"/>
                <w:szCs w:val="20"/>
              </w:rPr>
              <w:t xml:space="preserve"> conspiracy and intentional interference with economic interests; iii) unjust enrichment, waiver of tort and constructive trust; and iv) punitive damages. </w:t>
            </w:r>
          </w:p>
          <w:p w:rsidR="004E2535" w:rsidRPr="006D4413" w:rsidRDefault="004E2535" w:rsidP="004C3B4A">
            <w:pPr>
              <w:jc w:val="both"/>
              <w:rPr>
                <w:rFonts w:eastAsia="Calibri"/>
                <w:sz w:val="20"/>
                <w:szCs w:val="20"/>
              </w:rPr>
            </w:pPr>
          </w:p>
          <w:p w:rsidR="004E2535" w:rsidRPr="006D4413" w:rsidRDefault="004E2535" w:rsidP="004C3B4A">
            <w:pPr>
              <w:jc w:val="both"/>
              <w:rPr>
                <w:rFonts w:eastAsia="Calibri"/>
                <w:sz w:val="20"/>
                <w:szCs w:val="20"/>
              </w:rPr>
            </w:pPr>
            <w:r w:rsidRPr="006D4413">
              <w:rPr>
                <w:rFonts w:eastAsia="Calibri"/>
                <w:sz w:val="20"/>
                <w:szCs w:val="20"/>
              </w:rPr>
              <w:t xml:space="preserve">The Purchasers brought an application to have the action certified as a class action pursuant to the </w:t>
            </w:r>
            <w:r w:rsidRPr="006D4413">
              <w:rPr>
                <w:rFonts w:eastAsia="Calibri"/>
                <w:i/>
                <w:sz w:val="20"/>
                <w:szCs w:val="20"/>
              </w:rPr>
              <w:t>Class Proceedings Act</w:t>
            </w:r>
            <w:r w:rsidRPr="006D4413">
              <w:rPr>
                <w:rFonts w:eastAsia="Calibri"/>
                <w:sz w:val="20"/>
                <w:szCs w:val="20"/>
              </w:rPr>
              <w:t xml:space="preserve">, R.S.B.C. 1996, c. 50, with the proposed class comprised of both DPs and IPs of the HFCS.  The Producers denied any wrongdoing and challenged the application on many fronts.  A focus became whether the Producers were precluded from relying on the </w:t>
            </w:r>
            <w:proofErr w:type="spellStart"/>
            <w:r w:rsidRPr="006D4413">
              <w:rPr>
                <w:rFonts w:eastAsia="Calibri"/>
                <w:sz w:val="20"/>
                <w:szCs w:val="20"/>
              </w:rPr>
              <w:t>passing</w:t>
            </w:r>
            <w:r w:rsidRPr="006D4413">
              <w:rPr>
                <w:rFonts w:eastAsia="Calibri"/>
                <w:sz w:val="20"/>
                <w:szCs w:val="20"/>
              </w:rPr>
              <w:noBreakHyphen/>
              <w:t>on</w:t>
            </w:r>
            <w:proofErr w:type="spellEnd"/>
            <w:r w:rsidRPr="006D4413">
              <w:rPr>
                <w:rFonts w:eastAsia="Calibri"/>
                <w:sz w:val="20"/>
                <w:szCs w:val="20"/>
              </w:rPr>
              <w:t xml:space="preserve"> defence </w:t>
            </w:r>
            <w:proofErr w:type="spellStart"/>
            <w:r w:rsidRPr="006D4413">
              <w:rPr>
                <w:rFonts w:eastAsia="Calibri"/>
                <w:sz w:val="20"/>
                <w:szCs w:val="20"/>
              </w:rPr>
              <w:t>vis</w:t>
            </w:r>
            <w:r w:rsidRPr="006D4413">
              <w:rPr>
                <w:rFonts w:eastAsia="Calibri"/>
                <w:sz w:val="20"/>
                <w:szCs w:val="20"/>
              </w:rPr>
              <w:noBreakHyphen/>
              <w:t>à</w:t>
            </w:r>
            <w:r w:rsidRPr="006D4413">
              <w:rPr>
                <w:rFonts w:eastAsia="Calibri"/>
                <w:sz w:val="20"/>
                <w:szCs w:val="20"/>
              </w:rPr>
              <w:noBreakHyphen/>
              <w:t>vis</w:t>
            </w:r>
            <w:proofErr w:type="spellEnd"/>
            <w:r w:rsidRPr="006D4413">
              <w:rPr>
                <w:rFonts w:eastAsia="Calibri"/>
                <w:sz w:val="20"/>
                <w:szCs w:val="20"/>
              </w:rPr>
              <w:t xml:space="preserve"> the DPs and, if so, whether IPs are similarly precluded from having a cause of action against the Producers. </w:t>
            </w:r>
          </w:p>
          <w:p w:rsidR="004E2535" w:rsidRPr="006D4413" w:rsidRDefault="004E2535" w:rsidP="004C3B4A">
            <w:pPr>
              <w:jc w:val="both"/>
              <w:rPr>
                <w:rFonts w:eastAsia="Calibri"/>
                <w:sz w:val="20"/>
                <w:szCs w:val="20"/>
              </w:rPr>
            </w:pPr>
          </w:p>
          <w:p w:rsidR="004E2535" w:rsidRPr="006D4413" w:rsidRDefault="004E2535" w:rsidP="004C3B4A">
            <w:pPr>
              <w:jc w:val="both"/>
              <w:rPr>
                <w:rFonts w:eastAsia="Calibri"/>
                <w:sz w:val="20"/>
                <w:szCs w:val="20"/>
              </w:rPr>
            </w:pPr>
            <w:r w:rsidRPr="006D4413">
              <w:rPr>
                <w:rFonts w:eastAsia="Calibri"/>
                <w:sz w:val="20"/>
                <w:szCs w:val="20"/>
              </w:rPr>
              <w:t>The Supreme Court of British Columbia granted the application for certification.  A majority of the Court of Appeal for British Columbia allowed the Producer’s appeal and set aside the certification order with respect to those Purchasers who are IPs, holding that they had no cause of action.  The application was remitted to the trial court for consideration with respect to DPs.</w:t>
            </w:r>
          </w:p>
          <w:p w:rsidR="004E2535" w:rsidRPr="006D4413" w:rsidRDefault="004E2535" w:rsidP="004C3B4A">
            <w:pPr>
              <w:jc w:val="both"/>
              <w:rPr>
                <w:rFonts w:eastAsia="Calibri"/>
                <w:sz w:val="20"/>
                <w:szCs w:val="20"/>
              </w:rPr>
            </w:pPr>
          </w:p>
        </w:tc>
      </w:tr>
    </w:tbl>
    <w:p w:rsidR="00824A1C" w:rsidRDefault="00824A1C"/>
    <w:tbl>
      <w:tblPr>
        <w:tblW w:w="4952" w:type="pct"/>
        <w:tblLayout w:type="fixed"/>
        <w:tblCellMar>
          <w:left w:w="0" w:type="dxa"/>
          <w:bottom w:w="99" w:type="dxa"/>
          <w:right w:w="0" w:type="dxa"/>
        </w:tblCellMar>
        <w:tblLook w:val="04A0"/>
      </w:tblPr>
      <w:tblGrid>
        <w:gridCol w:w="4624"/>
        <w:gridCol w:w="463"/>
        <w:gridCol w:w="4440"/>
      </w:tblGrid>
      <w:tr w:rsidR="004E2535" w:rsidRPr="006D4413" w:rsidTr="00824A1C">
        <w:trPr>
          <w:cantSplit/>
        </w:trPr>
        <w:tc>
          <w:tcPr>
            <w:tcW w:w="2427" w:type="pct"/>
          </w:tcPr>
          <w:p w:rsidR="004E2535" w:rsidRPr="006D4413" w:rsidRDefault="004E2535" w:rsidP="004C3B4A">
            <w:pPr>
              <w:jc w:val="both"/>
              <w:rPr>
                <w:rFonts w:eastAsia="Calibri"/>
                <w:sz w:val="20"/>
                <w:szCs w:val="20"/>
              </w:rPr>
            </w:pPr>
            <w:r w:rsidRPr="006D4413">
              <w:rPr>
                <w:rFonts w:eastAsia="Calibri"/>
                <w:sz w:val="20"/>
                <w:szCs w:val="20"/>
              </w:rPr>
              <w:lastRenderedPageBreak/>
              <w:t>June 30, 2010</w:t>
            </w:r>
          </w:p>
          <w:p w:rsidR="004E2535" w:rsidRPr="006D4413" w:rsidRDefault="004E2535" w:rsidP="004C3B4A">
            <w:pPr>
              <w:jc w:val="both"/>
              <w:rPr>
                <w:rFonts w:eastAsia="Calibri"/>
                <w:sz w:val="20"/>
                <w:szCs w:val="20"/>
              </w:rPr>
            </w:pPr>
            <w:r w:rsidRPr="006D4413">
              <w:rPr>
                <w:rFonts w:eastAsia="Calibri"/>
                <w:sz w:val="20"/>
                <w:szCs w:val="20"/>
              </w:rPr>
              <w:t>Supreme Court of British Columbia</w:t>
            </w:r>
          </w:p>
          <w:p w:rsidR="004E2535" w:rsidRPr="006D4413" w:rsidRDefault="004E2535" w:rsidP="004C3B4A">
            <w:pPr>
              <w:jc w:val="both"/>
              <w:rPr>
                <w:rFonts w:eastAsia="Calibri"/>
                <w:sz w:val="20"/>
                <w:szCs w:val="20"/>
              </w:rPr>
            </w:pPr>
            <w:r w:rsidRPr="006D4413">
              <w:rPr>
                <w:rFonts w:eastAsia="Calibri"/>
                <w:sz w:val="20"/>
                <w:szCs w:val="20"/>
              </w:rPr>
              <w:t>(Rice J.)</w:t>
            </w:r>
          </w:p>
          <w:p w:rsidR="004E2535" w:rsidRPr="006D4413" w:rsidRDefault="004E2535" w:rsidP="004C3B4A">
            <w:pPr>
              <w:jc w:val="both"/>
              <w:rPr>
                <w:rFonts w:eastAsia="Calibri"/>
                <w:sz w:val="20"/>
                <w:szCs w:val="20"/>
              </w:rPr>
            </w:pPr>
            <w:r w:rsidRPr="006D4413">
              <w:rPr>
                <w:rFonts w:eastAsia="Calibri"/>
                <w:sz w:val="20"/>
                <w:szCs w:val="20"/>
              </w:rPr>
              <w:t>2010 BCSC 922</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Application for certification as a class action, granted</w:t>
            </w:r>
          </w:p>
          <w:p w:rsidR="004E2535" w:rsidRPr="006D4413" w:rsidRDefault="004E2535" w:rsidP="004C3B4A">
            <w:pPr>
              <w:jc w:val="both"/>
              <w:rPr>
                <w:rFonts w:eastAsia="Calibri"/>
                <w:sz w:val="20"/>
                <w:szCs w:val="20"/>
              </w:rPr>
            </w:pPr>
          </w:p>
        </w:tc>
      </w:tr>
      <w:tr w:rsidR="004E2535" w:rsidRPr="006D4413" w:rsidTr="00824A1C">
        <w:trPr>
          <w:cantSplit/>
        </w:trPr>
        <w:tc>
          <w:tcPr>
            <w:tcW w:w="2427" w:type="pct"/>
          </w:tcPr>
          <w:p w:rsidR="004E2535" w:rsidRPr="006D4413" w:rsidRDefault="004E2535" w:rsidP="004C3B4A">
            <w:pPr>
              <w:jc w:val="both"/>
              <w:rPr>
                <w:rFonts w:eastAsia="Calibri"/>
                <w:sz w:val="20"/>
                <w:szCs w:val="20"/>
              </w:rPr>
            </w:pPr>
            <w:r w:rsidRPr="006D4413">
              <w:rPr>
                <w:rFonts w:eastAsia="Calibri"/>
                <w:sz w:val="20"/>
                <w:szCs w:val="20"/>
              </w:rPr>
              <w:t>April 15, 2011</w:t>
            </w:r>
          </w:p>
          <w:p w:rsidR="004E2535" w:rsidRPr="006D4413" w:rsidRDefault="004E2535" w:rsidP="004C3B4A">
            <w:pPr>
              <w:jc w:val="both"/>
              <w:rPr>
                <w:rFonts w:eastAsia="Calibri"/>
                <w:sz w:val="20"/>
                <w:szCs w:val="20"/>
              </w:rPr>
            </w:pPr>
            <w:r w:rsidRPr="006D4413">
              <w:rPr>
                <w:rFonts w:eastAsia="Calibri"/>
                <w:sz w:val="20"/>
                <w:szCs w:val="20"/>
              </w:rPr>
              <w:t>Court of Appeal for British Columbia (Vancouver)</w:t>
            </w:r>
          </w:p>
          <w:p w:rsidR="004E2535" w:rsidRPr="006D4413" w:rsidRDefault="004E2535" w:rsidP="004C3B4A">
            <w:pPr>
              <w:jc w:val="both"/>
              <w:rPr>
                <w:rFonts w:eastAsia="Calibri"/>
                <w:sz w:val="20"/>
                <w:szCs w:val="20"/>
              </w:rPr>
            </w:pPr>
            <w:r w:rsidRPr="006D4413">
              <w:rPr>
                <w:rFonts w:eastAsia="Calibri"/>
                <w:sz w:val="20"/>
                <w:szCs w:val="20"/>
              </w:rPr>
              <w:t>(Donald (dissenting), Lowry and Frankel JJ.A.)</w:t>
            </w:r>
          </w:p>
          <w:p w:rsidR="004E2535" w:rsidRPr="006D4413" w:rsidRDefault="004E2535" w:rsidP="004C3B4A">
            <w:pPr>
              <w:jc w:val="both"/>
              <w:rPr>
                <w:rFonts w:eastAsia="Calibri"/>
                <w:sz w:val="20"/>
                <w:szCs w:val="20"/>
              </w:rPr>
            </w:pPr>
            <w:r w:rsidRPr="006D4413">
              <w:rPr>
                <w:rFonts w:eastAsia="Calibri"/>
                <w:sz w:val="20"/>
                <w:szCs w:val="20"/>
              </w:rPr>
              <w:t>2011 BCCA 187; CA038308; CA038314; CA038324</w:t>
            </w: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Appeal allowed; declaration that pleadings do not disclose a cause of action by indirect purchasers; certification order set aside and application for certification remitted to trial court for further consideration</w:t>
            </w:r>
          </w:p>
          <w:p w:rsidR="004E2535" w:rsidRPr="006D4413" w:rsidRDefault="004E2535" w:rsidP="004C3B4A">
            <w:pPr>
              <w:jc w:val="both"/>
              <w:rPr>
                <w:rFonts w:eastAsia="Calibri"/>
                <w:sz w:val="20"/>
                <w:szCs w:val="20"/>
              </w:rPr>
            </w:pPr>
          </w:p>
        </w:tc>
      </w:tr>
      <w:tr w:rsidR="004E2535" w:rsidRPr="006D4413" w:rsidTr="00824A1C">
        <w:trPr>
          <w:cantSplit/>
        </w:trPr>
        <w:tc>
          <w:tcPr>
            <w:tcW w:w="2427" w:type="pct"/>
          </w:tcPr>
          <w:p w:rsidR="004E2535" w:rsidRPr="006D4413" w:rsidRDefault="004E2535" w:rsidP="004C3B4A">
            <w:pPr>
              <w:jc w:val="both"/>
              <w:rPr>
                <w:rFonts w:eastAsia="Calibri"/>
                <w:sz w:val="20"/>
                <w:szCs w:val="20"/>
              </w:rPr>
            </w:pPr>
            <w:r w:rsidRPr="006D4413">
              <w:rPr>
                <w:rFonts w:eastAsia="Calibri"/>
                <w:sz w:val="20"/>
                <w:szCs w:val="20"/>
              </w:rPr>
              <w:t>May 30, 2011</w:t>
            </w:r>
          </w:p>
          <w:p w:rsidR="004E2535" w:rsidRPr="006D4413" w:rsidRDefault="004E2535" w:rsidP="004C3B4A">
            <w:pPr>
              <w:jc w:val="both"/>
              <w:rPr>
                <w:rFonts w:eastAsia="Calibri"/>
                <w:sz w:val="20"/>
                <w:szCs w:val="20"/>
              </w:rPr>
            </w:pPr>
            <w:r w:rsidRPr="006D4413">
              <w:rPr>
                <w:rFonts w:eastAsia="Calibri"/>
                <w:sz w:val="20"/>
                <w:szCs w:val="20"/>
              </w:rPr>
              <w:t>Supreme Court of Canada</w:t>
            </w:r>
          </w:p>
          <w:p w:rsidR="004E2535" w:rsidRPr="006D4413" w:rsidRDefault="004E2535" w:rsidP="004C3B4A">
            <w:pPr>
              <w:jc w:val="both"/>
              <w:rPr>
                <w:rFonts w:eastAsia="Calibri"/>
                <w:sz w:val="20"/>
                <w:szCs w:val="20"/>
              </w:rPr>
            </w:pP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Application for leave to appeal filed</w:t>
            </w:r>
          </w:p>
        </w:tc>
      </w:tr>
      <w:tr w:rsidR="004E2535" w:rsidRPr="006D4413" w:rsidTr="00824A1C">
        <w:trPr>
          <w:cantSplit/>
        </w:trPr>
        <w:tc>
          <w:tcPr>
            <w:tcW w:w="2427" w:type="pct"/>
          </w:tcPr>
          <w:p w:rsidR="004E2535" w:rsidRPr="006D4413" w:rsidRDefault="004E2535" w:rsidP="004C3B4A">
            <w:pPr>
              <w:jc w:val="both"/>
              <w:rPr>
                <w:rFonts w:eastAsia="Calibri"/>
                <w:sz w:val="20"/>
                <w:szCs w:val="20"/>
              </w:rPr>
            </w:pPr>
            <w:r w:rsidRPr="006D4413">
              <w:rPr>
                <w:rFonts w:eastAsia="Calibri"/>
                <w:sz w:val="20"/>
                <w:szCs w:val="20"/>
              </w:rPr>
              <w:t>June 16, 2011</w:t>
            </w:r>
          </w:p>
          <w:p w:rsidR="004E2535" w:rsidRPr="006D4413" w:rsidRDefault="004E2535" w:rsidP="004C3B4A">
            <w:pPr>
              <w:jc w:val="both"/>
              <w:rPr>
                <w:rFonts w:eastAsia="Calibri"/>
                <w:sz w:val="20"/>
                <w:szCs w:val="20"/>
              </w:rPr>
            </w:pPr>
            <w:r w:rsidRPr="006D4413">
              <w:rPr>
                <w:rFonts w:eastAsia="Calibri"/>
                <w:sz w:val="20"/>
                <w:szCs w:val="20"/>
              </w:rPr>
              <w:t>Supreme Court of Canada</w:t>
            </w: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 xml:space="preserve">Application for leave to </w:t>
            </w:r>
            <w:proofErr w:type="spellStart"/>
            <w:r w:rsidRPr="006D4413">
              <w:rPr>
                <w:rFonts w:eastAsia="Calibri"/>
                <w:sz w:val="20"/>
                <w:szCs w:val="20"/>
              </w:rPr>
              <w:t>cross</w:t>
            </w:r>
            <w:r w:rsidRPr="006D4413">
              <w:rPr>
                <w:rFonts w:eastAsia="Calibri"/>
                <w:sz w:val="20"/>
                <w:szCs w:val="20"/>
              </w:rPr>
              <w:noBreakHyphen/>
              <w:t>appeal</w:t>
            </w:r>
            <w:proofErr w:type="spellEnd"/>
            <w:r w:rsidRPr="006D4413">
              <w:rPr>
                <w:rFonts w:eastAsia="Calibri"/>
                <w:sz w:val="20"/>
                <w:szCs w:val="20"/>
              </w:rPr>
              <w:t xml:space="preserve"> filed by Corn Products International, Inc., </w:t>
            </w:r>
            <w:proofErr w:type="spellStart"/>
            <w:r w:rsidRPr="006D4413">
              <w:rPr>
                <w:rFonts w:eastAsia="Calibri"/>
                <w:sz w:val="20"/>
                <w:szCs w:val="20"/>
              </w:rPr>
              <w:t>Bestfoods</w:t>
            </w:r>
            <w:proofErr w:type="spellEnd"/>
            <w:r w:rsidRPr="006D4413">
              <w:rPr>
                <w:rFonts w:eastAsia="Calibri"/>
                <w:sz w:val="20"/>
                <w:szCs w:val="20"/>
              </w:rPr>
              <w:t>, Inc. and Unilever PLC</w:t>
            </w:r>
          </w:p>
          <w:p w:rsidR="004E2535" w:rsidRPr="006D4413" w:rsidRDefault="004E2535" w:rsidP="004C3B4A">
            <w:pPr>
              <w:jc w:val="both"/>
              <w:rPr>
                <w:rFonts w:eastAsia="Calibri"/>
                <w:sz w:val="20"/>
                <w:szCs w:val="20"/>
              </w:rPr>
            </w:pPr>
          </w:p>
        </w:tc>
      </w:tr>
      <w:tr w:rsidR="004E2535" w:rsidRPr="006D4413" w:rsidTr="00824A1C">
        <w:trPr>
          <w:cantSplit/>
        </w:trPr>
        <w:tc>
          <w:tcPr>
            <w:tcW w:w="2427" w:type="pct"/>
          </w:tcPr>
          <w:p w:rsidR="004E2535" w:rsidRPr="006D4413" w:rsidRDefault="004E2535" w:rsidP="004C3B4A">
            <w:pPr>
              <w:jc w:val="both"/>
              <w:rPr>
                <w:rFonts w:eastAsia="Calibri"/>
                <w:sz w:val="20"/>
                <w:szCs w:val="20"/>
              </w:rPr>
            </w:pPr>
            <w:r w:rsidRPr="006D4413">
              <w:rPr>
                <w:rFonts w:eastAsia="Calibri"/>
                <w:sz w:val="20"/>
                <w:szCs w:val="20"/>
              </w:rPr>
              <w:t>June 28, 2011</w:t>
            </w:r>
          </w:p>
          <w:p w:rsidR="004E2535" w:rsidRPr="006D4413" w:rsidRDefault="004E2535" w:rsidP="004C3B4A">
            <w:pPr>
              <w:jc w:val="both"/>
              <w:rPr>
                <w:rFonts w:eastAsia="Calibri"/>
                <w:sz w:val="20"/>
                <w:szCs w:val="20"/>
              </w:rPr>
            </w:pPr>
            <w:r w:rsidRPr="006D4413">
              <w:rPr>
                <w:rFonts w:eastAsia="Calibri"/>
                <w:sz w:val="20"/>
                <w:szCs w:val="20"/>
              </w:rPr>
              <w:t>Supreme Court of Canada</w:t>
            </w: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 xml:space="preserve">Application for leave to </w:t>
            </w:r>
            <w:proofErr w:type="spellStart"/>
            <w:r w:rsidRPr="006D4413">
              <w:rPr>
                <w:rFonts w:eastAsia="Calibri"/>
                <w:sz w:val="20"/>
                <w:szCs w:val="20"/>
              </w:rPr>
              <w:t>cross</w:t>
            </w:r>
            <w:r w:rsidRPr="006D4413">
              <w:rPr>
                <w:rFonts w:eastAsia="Calibri"/>
                <w:sz w:val="20"/>
                <w:szCs w:val="20"/>
              </w:rPr>
              <w:noBreakHyphen/>
              <w:t>appeal</w:t>
            </w:r>
            <w:proofErr w:type="spellEnd"/>
            <w:r w:rsidRPr="006D4413">
              <w:rPr>
                <w:rFonts w:eastAsia="Calibri"/>
                <w:sz w:val="20"/>
                <w:szCs w:val="20"/>
              </w:rPr>
              <w:t xml:space="preserve"> filed by Archer Daniels Midland Company and ADM </w:t>
            </w:r>
            <w:proofErr w:type="spellStart"/>
            <w:r w:rsidRPr="006D4413">
              <w:rPr>
                <w:rFonts w:eastAsia="Calibri"/>
                <w:sz w:val="20"/>
                <w:szCs w:val="20"/>
              </w:rPr>
              <w:t>Agri</w:t>
            </w:r>
            <w:r w:rsidRPr="006D4413">
              <w:rPr>
                <w:rFonts w:eastAsia="Calibri"/>
                <w:sz w:val="20"/>
                <w:szCs w:val="20"/>
              </w:rPr>
              <w:noBreakHyphen/>
              <w:t>Industries</w:t>
            </w:r>
            <w:proofErr w:type="spellEnd"/>
            <w:r w:rsidRPr="006D4413">
              <w:rPr>
                <w:rFonts w:eastAsia="Calibri"/>
                <w:sz w:val="20"/>
                <w:szCs w:val="20"/>
              </w:rPr>
              <w:t xml:space="preserve"> Company</w:t>
            </w:r>
          </w:p>
          <w:p w:rsidR="004E2535" w:rsidRPr="006D4413" w:rsidRDefault="004E2535" w:rsidP="004C3B4A">
            <w:pPr>
              <w:jc w:val="both"/>
              <w:rPr>
                <w:rFonts w:eastAsia="Calibri"/>
                <w:sz w:val="20"/>
                <w:szCs w:val="20"/>
              </w:rPr>
            </w:pPr>
          </w:p>
        </w:tc>
      </w:tr>
      <w:tr w:rsidR="004E2535" w:rsidRPr="006D4413" w:rsidTr="00824A1C">
        <w:trPr>
          <w:cantSplit/>
        </w:trPr>
        <w:tc>
          <w:tcPr>
            <w:tcW w:w="2427" w:type="pct"/>
          </w:tcPr>
          <w:p w:rsidR="004E2535" w:rsidRPr="006D4413" w:rsidRDefault="004E2535" w:rsidP="004C3B4A">
            <w:pPr>
              <w:jc w:val="both"/>
              <w:rPr>
                <w:rFonts w:eastAsia="Calibri"/>
                <w:sz w:val="20"/>
                <w:szCs w:val="20"/>
              </w:rPr>
            </w:pPr>
            <w:r w:rsidRPr="006D4413">
              <w:rPr>
                <w:rFonts w:eastAsia="Calibri"/>
                <w:sz w:val="20"/>
                <w:szCs w:val="20"/>
              </w:rPr>
              <w:t>June 29, 2011</w:t>
            </w:r>
          </w:p>
          <w:p w:rsidR="004E2535" w:rsidRPr="006D4413" w:rsidRDefault="004E2535" w:rsidP="004C3B4A">
            <w:pPr>
              <w:jc w:val="both"/>
              <w:rPr>
                <w:rFonts w:eastAsia="Calibri"/>
                <w:sz w:val="20"/>
                <w:szCs w:val="20"/>
              </w:rPr>
            </w:pPr>
            <w:r w:rsidRPr="006D4413">
              <w:rPr>
                <w:rFonts w:eastAsia="Calibri"/>
                <w:sz w:val="20"/>
                <w:szCs w:val="20"/>
              </w:rPr>
              <w:t>Supreme Court of Canada</w:t>
            </w:r>
          </w:p>
        </w:tc>
        <w:tc>
          <w:tcPr>
            <w:tcW w:w="243" w:type="pct"/>
          </w:tcPr>
          <w:p w:rsidR="004E2535" w:rsidRPr="006D4413" w:rsidRDefault="004E2535" w:rsidP="004C3B4A">
            <w:pPr>
              <w:jc w:val="both"/>
              <w:rPr>
                <w:rFonts w:eastAsia="Calibri"/>
                <w:sz w:val="20"/>
                <w:szCs w:val="20"/>
              </w:rPr>
            </w:pPr>
          </w:p>
        </w:tc>
        <w:tc>
          <w:tcPr>
            <w:tcW w:w="2330" w:type="pct"/>
          </w:tcPr>
          <w:p w:rsidR="004E2535" w:rsidRPr="006D4413" w:rsidRDefault="004E2535" w:rsidP="004C3B4A">
            <w:pPr>
              <w:jc w:val="both"/>
              <w:rPr>
                <w:rFonts w:eastAsia="Calibri"/>
                <w:sz w:val="20"/>
                <w:szCs w:val="20"/>
              </w:rPr>
            </w:pPr>
            <w:r w:rsidRPr="006D4413">
              <w:rPr>
                <w:rFonts w:eastAsia="Calibri"/>
                <w:sz w:val="20"/>
                <w:szCs w:val="20"/>
              </w:rPr>
              <w:t xml:space="preserve">Application for leave to </w:t>
            </w:r>
            <w:proofErr w:type="spellStart"/>
            <w:r w:rsidRPr="006D4413">
              <w:rPr>
                <w:rFonts w:eastAsia="Calibri"/>
                <w:sz w:val="20"/>
                <w:szCs w:val="20"/>
              </w:rPr>
              <w:t>cross</w:t>
            </w:r>
            <w:r w:rsidRPr="006D4413">
              <w:rPr>
                <w:rFonts w:eastAsia="Calibri"/>
                <w:sz w:val="20"/>
                <w:szCs w:val="20"/>
              </w:rPr>
              <w:noBreakHyphen/>
              <w:t>appeal</w:t>
            </w:r>
            <w:proofErr w:type="spellEnd"/>
            <w:r w:rsidRPr="006D4413">
              <w:rPr>
                <w:rFonts w:eastAsia="Calibri"/>
                <w:sz w:val="20"/>
                <w:szCs w:val="20"/>
              </w:rPr>
              <w:t xml:space="preserve"> filed by Cargill, Incorporated, Cargill Limited and </w:t>
            </w:r>
            <w:proofErr w:type="spellStart"/>
            <w:r w:rsidRPr="006D4413">
              <w:rPr>
                <w:rFonts w:eastAsia="Calibri"/>
                <w:sz w:val="20"/>
                <w:szCs w:val="20"/>
              </w:rPr>
              <w:t>Cerestar</w:t>
            </w:r>
            <w:proofErr w:type="spellEnd"/>
            <w:r w:rsidRPr="006D4413">
              <w:rPr>
                <w:rFonts w:eastAsia="Calibri"/>
                <w:sz w:val="20"/>
                <w:szCs w:val="20"/>
              </w:rPr>
              <w:t xml:space="preserve"> USA, Inc.</w:t>
            </w:r>
          </w:p>
        </w:tc>
      </w:tr>
    </w:tbl>
    <w:p w:rsidR="00C454C8" w:rsidRPr="004E2535" w:rsidRDefault="00C454C8" w:rsidP="00C454C8">
      <w:pPr>
        <w:rPr>
          <w:sz w:val="20"/>
          <w:szCs w:val="20"/>
        </w:rPr>
      </w:pPr>
    </w:p>
    <w:p w:rsidR="00C454C8" w:rsidRDefault="008754B5" w:rsidP="00C454C8">
      <w:pPr>
        <w:rPr>
          <w:sz w:val="20"/>
          <w:szCs w:val="20"/>
          <w:lang w:val="fr-CA"/>
        </w:rPr>
      </w:pPr>
      <w:r w:rsidRPr="008754B5">
        <w:rPr>
          <w:sz w:val="20"/>
          <w:szCs w:val="20"/>
          <w:lang w:val="fr-CA"/>
        </w:rPr>
        <w:pict>
          <v:rect id="_x0000_i1049" style="width:2in;height:1pt" o:hrpct="0" o:hralign="center" o:hrstd="t" o:hrnoshade="t" o:hr="t" fillcolor="black [3213]" stroked="f"/>
        </w:pict>
      </w:r>
    </w:p>
    <w:p w:rsidR="00C454C8" w:rsidRDefault="00C454C8" w:rsidP="00C454C8">
      <w:pPr>
        <w:rPr>
          <w:sz w:val="20"/>
          <w:szCs w:val="20"/>
          <w:lang w:val="fr-CA"/>
        </w:rPr>
      </w:pPr>
    </w:p>
    <w:p w:rsidR="00C454C8" w:rsidRPr="00517AED" w:rsidRDefault="00C454C8" w:rsidP="00C454C8">
      <w:pPr>
        <w:rPr>
          <w:sz w:val="20"/>
          <w:szCs w:val="20"/>
          <w:u w:val="single"/>
          <w:lang w:val="fr-CA"/>
        </w:rPr>
      </w:pPr>
      <w:r w:rsidRPr="00517AED">
        <w:rPr>
          <w:sz w:val="20"/>
          <w:szCs w:val="20"/>
          <w:u w:val="single"/>
          <w:lang w:val="fr-CA"/>
        </w:rPr>
        <w:t>RÉSUMÉ DE L’AFFAIRE</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4E2535" w:rsidRPr="008608D5" w:rsidTr="004C3B4A">
        <w:tc>
          <w:tcPr>
            <w:tcW w:w="5000" w:type="pct"/>
            <w:gridSpan w:val="3"/>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Procédure civile — Recours collectif — Certification — Cause d’action — Moyen de défense fondé sur le transfert de la perte — Principe corollaire qui rend irrecevables les demandes d’acheteurs indirects — Quelles sont les limites de l’arrêt de cette Cour dans l’affaire </w:t>
            </w:r>
            <w:proofErr w:type="spellStart"/>
            <w:r w:rsidRPr="006D4413">
              <w:rPr>
                <w:rFonts w:eastAsia="Calibri"/>
                <w:i/>
                <w:sz w:val="20"/>
                <w:szCs w:val="20"/>
                <w:lang w:val="fr-CA"/>
              </w:rPr>
              <w:t>Kingstreet</w:t>
            </w:r>
            <w:proofErr w:type="spellEnd"/>
            <w:r w:rsidRPr="006D4413">
              <w:rPr>
                <w:rFonts w:eastAsia="Calibri"/>
                <w:sz w:val="20"/>
                <w:szCs w:val="20"/>
                <w:lang w:val="fr-CA"/>
              </w:rPr>
              <w:t xml:space="preserve"> </w:t>
            </w:r>
            <w:proofErr w:type="spellStart"/>
            <w:r w:rsidRPr="006D4413">
              <w:rPr>
                <w:rFonts w:eastAsia="Calibri"/>
                <w:i/>
                <w:sz w:val="20"/>
                <w:szCs w:val="20"/>
                <w:lang w:val="fr-CA"/>
              </w:rPr>
              <w:t>Investments</w:t>
            </w:r>
            <w:proofErr w:type="spellEnd"/>
            <w:r w:rsidRPr="006D4413">
              <w:rPr>
                <w:rFonts w:eastAsia="Calibri"/>
                <w:i/>
                <w:sz w:val="20"/>
                <w:szCs w:val="20"/>
                <w:lang w:val="fr-CA"/>
              </w:rPr>
              <w:t xml:space="preserve"> Ltd. c. </w:t>
            </w:r>
            <w:proofErr w:type="spellStart"/>
            <w:r w:rsidRPr="006D4413">
              <w:rPr>
                <w:rFonts w:eastAsia="Calibri"/>
                <w:i/>
                <w:sz w:val="20"/>
                <w:szCs w:val="20"/>
                <w:lang w:val="fr-CA"/>
              </w:rPr>
              <w:t>Nouveau</w:t>
            </w:r>
            <w:r w:rsidRPr="006D4413">
              <w:rPr>
                <w:rFonts w:eastAsia="Calibri"/>
                <w:i/>
                <w:sz w:val="20"/>
                <w:szCs w:val="20"/>
                <w:lang w:val="fr-CA"/>
              </w:rPr>
              <w:noBreakHyphen/>
              <w:t>Brunswick</w:t>
            </w:r>
            <w:proofErr w:type="spellEnd"/>
            <w:r w:rsidRPr="006D4413">
              <w:rPr>
                <w:rFonts w:eastAsia="Calibri"/>
                <w:i/>
                <w:sz w:val="20"/>
                <w:szCs w:val="20"/>
                <w:lang w:val="fr-CA"/>
              </w:rPr>
              <w:t xml:space="preserve"> (Finances)</w:t>
            </w:r>
            <w:r w:rsidRPr="006D4413">
              <w:rPr>
                <w:rFonts w:eastAsia="Calibri"/>
                <w:sz w:val="20"/>
                <w:szCs w:val="20"/>
                <w:lang w:val="fr-CA"/>
              </w:rPr>
              <w:t xml:space="preserve">, 2007 CSC 1, [2007] 1 R.C.S. 3? — L’arrêt de la Cour suprême des </w:t>
            </w:r>
            <w:proofErr w:type="spellStart"/>
            <w:r w:rsidRPr="006D4413">
              <w:rPr>
                <w:rFonts w:eastAsia="Calibri"/>
                <w:sz w:val="20"/>
                <w:szCs w:val="20"/>
                <w:lang w:val="fr-CA"/>
              </w:rPr>
              <w:t>États</w:t>
            </w:r>
            <w:r w:rsidRPr="006D4413">
              <w:rPr>
                <w:rFonts w:eastAsia="Calibri"/>
                <w:sz w:val="20"/>
                <w:szCs w:val="20"/>
                <w:lang w:val="fr-CA"/>
              </w:rPr>
              <w:noBreakHyphen/>
              <w:t>Unis</w:t>
            </w:r>
            <w:proofErr w:type="spellEnd"/>
            <w:r w:rsidRPr="006D4413">
              <w:rPr>
                <w:rFonts w:eastAsia="Calibri"/>
                <w:sz w:val="20"/>
                <w:szCs w:val="20"/>
                <w:lang w:val="fr-CA"/>
              </w:rPr>
              <w:t xml:space="preserve"> dans l’affaire </w:t>
            </w:r>
            <w:r w:rsidRPr="006D4413">
              <w:rPr>
                <w:rFonts w:eastAsia="Calibri"/>
                <w:i/>
                <w:sz w:val="20"/>
                <w:szCs w:val="20"/>
                <w:lang w:val="fr-CA"/>
              </w:rPr>
              <w:t>Illinois Brick Co. v. Illinois,</w:t>
            </w:r>
            <w:r w:rsidRPr="006D4413">
              <w:rPr>
                <w:rFonts w:eastAsia="Calibri"/>
                <w:sz w:val="20"/>
                <w:szCs w:val="20"/>
                <w:lang w:val="fr-CA"/>
              </w:rPr>
              <w:t xml:space="preserve"> 431 U.S. 720, 97 </w:t>
            </w:r>
            <w:proofErr w:type="spellStart"/>
            <w:r w:rsidRPr="006D4413">
              <w:rPr>
                <w:rFonts w:eastAsia="Calibri"/>
                <w:sz w:val="20"/>
                <w:szCs w:val="20"/>
                <w:lang w:val="fr-CA"/>
              </w:rPr>
              <w:t>S.Ct</w:t>
            </w:r>
            <w:proofErr w:type="spellEnd"/>
            <w:r w:rsidRPr="006D4413">
              <w:rPr>
                <w:rFonts w:eastAsia="Calibri"/>
                <w:sz w:val="20"/>
                <w:szCs w:val="20"/>
                <w:lang w:val="fr-CA"/>
              </w:rPr>
              <w:t xml:space="preserve">. 2061 (1977) </w:t>
            </w:r>
            <w:proofErr w:type="spellStart"/>
            <w:r w:rsidRPr="006D4413">
              <w:rPr>
                <w:rFonts w:eastAsia="Calibri"/>
                <w:sz w:val="20"/>
                <w:szCs w:val="20"/>
                <w:lang w:val="fr-CA"/>
              </w:rPr>
              <w:t>devrait</w:t>
            </w:r>
            <w:r w:rsidRPr="006D4413">
              <w:rPr>
                <w:rFonts w:eastAsia="Calibri"/>
                <w:sz w:val="20"/>
                <w:szCs w:val="20"/>
                <w:lang w:val="fr-CA"/>
              </w:rPr>
              <w:noBreakHyphen/>
              <w:t>il</w:t>
            </w:r>
            <w:proofErr w:type="spellEnd"/>
            <w:r w:rsidRPr="006D4413">
              <w:rPr>
                <w:rFonts w:eastAsia="Calibri"/>
                <w:sz w:val="20"/>
                <w:szCs w:val="20"/>
                <w:lang w:val="fr-CA"/>
              </w:rPr>
              <w:t xml:space="preserve"> être importé en droit canadien et dans l’affirmative, à quelles conditions? — Une fiducie </w:t>
            </w:r>
            <w:proofErr w:type="spellStart"/>
            <w:r w:rsidRPr="006D4413">
              <w:rPr>
                <w:rFonts w:eastAsia="Calibri"/>
                <w:sz w:val="20"/>
                <w:szCs w:val="20"/>
                <w:lang w:val="fr-CA"/>
              </w:rPr>
              <w:t>constructoire</w:t>
            </w:r>
            <w:proofErr w:type="spellEnd"/>
            <w:r w:rsidRPr="006D4413">
              <w:rPr>
                <w:rFonts w:eastAsia="Calibri"/>
                <w:sz w:val="20"/>
                <w:szCs w:val="20"/>
                <w:lang w:val="fr-CA"/>
              </w:rPr>
              <w:t xml:space="preserve"> </w:t>
            </w:r>
            <w:proofErr w:type="spellStart"/>
            <w:r w:rsidRPr="006D4413">
              <w:rPr>
                <w:rFonts w:eastAsia="Calibri"/>
                <w:sz w:val="20"/>
                <w:szCs w:val="20"/>
                <w:lang w:val="fr-CA"/>
              </w:rPr>
              <w:t>peut</w:t>
            </w:r>
            <w:r w:rsidRPr="006D4413">
              <w:rPr>
                <w:rFonts w:eastAsia="Calibri"/>
                <w:sz w:val="20"/>
                <w:szCs w:val="20"/>
                <w:lang w:val="fr-CA"/>
              </w:rPr>
              <w:noBreakHyphen/>
              <w:t>elle</w:t>
            </w:r>
            <w:proofErr w:type="spellEnd"/>
            <w:r w:rsidRPr="006D4413">
              <w:rPr>
                <w:rFonts w:eastAsia="Calibri"/>
                <w:sz w:val="20"/>
                <w:szCs w:val="20"/>
                <w:lang w:val="fr-CA"/>
              </w:rPr>
              <w:t xml:space="preserve"> être ordonnée en l’absence d’un lien direct ou exclusif? — Si un lien direct ou exclusif est exigé, quel est le contenu de cette exigence?</w:t>
            </w:r>
          </w:p>
        </w:tc>
      </w:tr>
      <w:tr w:rsidR="004E2535" w:rsidRPr="008608D5" w:rsidTr="004C3B4A">
        <w:tc>
          <w:tcPr>
            <w:tcW w:w="5000" w:type="pct"/>
            <w:gridSpan w:val="3"/>
          </w:tcPr>
          <w:p w:rsidR="004E2535" w:rsidRPr="006D4413" w:rsidRDefault="004E2535" w:rsidP="004C3B4A">
            <w:pPr>
              <w:jc w:val="both"/>
              <w:rPr>
                <w:rFonts w:eastAsia="Calibri"/>
                <w:sz w:val="20"/>
                <w:szCs w:val="20"/>
                <w:lang w:val="fr-CA"/>
              </w:rPr>
            </w:pPr>
          </w:p>
        </w:tc>
      </w:tr>
      <w:tr w:rsidR="004E2535" w:rsidRPr="008608D5" w:rsidTr="004C3B4A">
        <w:tc>
          <w:tcPr>
            <w:tcW w:w="5000" w:type="pct"/>
            <w:gridSpan w:val="3"/>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Les </w:t>
            </w:r>
            <w:proofErr w:type="spellStart"/>
            <w:r w:rsidRPr="006D4413">
              <w:rPr>
                <w:rFonts w:eastAsia="Calibri"/>
                <w:sz w:val="20"/>
                <w:szCs w:val="20"/>
                <w:lang w:val="fr-CA"/>
              </w:rPr>
              <w:t>demanderesses</w:t>
            </w:r>
            <w:proofErr w:type="spellEnd"/>
            <w:r w:rsidRPr="006D4413">
              <w:rPr>
                <w:rFonts w:eastAsia="Calibri"/>
                <w:sz w:val="20"/>
                <w:szCs w:val="20"/>
                <w:lang w:val="fr-CA"/>
              </w:rPr>
              <w:t xml:space="preserve"> (les « acheteurs ») ont introduit des demandes contre les intimées (les « producteurs ») alléguant qu’elles avaient participé illégalement à un complot intentionnel secret pour se concerter sur le prix du sirop de maïs à haute teneur de fructose (« HFCS »), un édulcorant utilisé dans divers produits alimentaires fabriqués, principalement des boissons gazeuses.  En conséquence de cette activité de concertation sur les prix des producteurs, il est allégué que ces derniers auraient demandé un prix excessif aux acheteurs directs (AD) comme la représentante des demandeurs, </w:t>
            </w:r>
            <w:proofErr w:type="spellStart"/>
            <w:r w:rsidRPr="006D4413">
              <w:rPr>
                <w:rFonts w:eastAsia="Calibri"/>
                <w:sz w:val="20"/>
                <w:szCs w:val="20"/>
                <w:lang w:val="fr-CA"/>
              </w:rPr>
              <w:t>Sun</w:t>
            </w:r>
            <w:r w:rsidRPr="006D4413">
              <w:rPr>
                <w:rFonts w:eastAsia="Calibri"/>
                <w:sz w:val="20"/>
                <w:szCs w:val="20"/>
                <w:lang w:val="fr-CA"/>
              </w:rPr>
              <w:noBreakHyphen/>
              <w:t>Rype</w:t>
            </w:r>
            <w:proofErr w:type="spellEnd"/>
            <w:r w:rsidRPr="006D4413">
              <w:rPr>
                <w:rFonts w:eastAsia="Calibri"/>
                <w:sz w:val="20"/>
                <w:szCs w:val="20"/>
                <w:lang w:val="fr-CA"/>
              </w:rPr>
              <w:t xml:space="preserve"> </w:t>
            </w:r>
            <w:proofErr w:type="spellStart"/>
            <w:r w:rsidRPr="006D4413">
              <w:rPr>
                <w:rFonts w:eastAsia="Calibri"/>
                <w:sz w:val="20"/>
                <w:szCs w:val="20"/>
                <w:lang w:val="fr-CA"/>
              </w:rPr>
              <w:t>Products</w:t>
            </w:r>
            <w:proofErr w:type="spellEnd"/>
            <w:r w:rsidRPr="006D4413">
              <w:rPr>
                <w:rFonts w:eastAsia="Calibri"/>
                <w:sz w:val="20"/>
                <w:szCs w:val="20"/>
                <w:lang w:val="fr-CA"/>
              </w:rPr>
              <w:t xml:space="preserve"> Ltd. pour le sirop.  Le </w:t>
            </w:r>
            <w:proofErr w:type="spellStart"/>
            <w:r w:rsidRPr="006D4413">
              <w:rPr>
                <w:rFonts w:eastAsia="Calibri"/>
                <w:sz w:val="20"/>
                <w:szCs w:val="20"/>
                <w:lang w:val="fr-CA"/>
              </w:rPr>
              <w:t>trop</w:t>
            </w:r>
            <w:r w:rsidRPr="006D4413">
              <w:rPr>
                <w:rFonts w:eastAsia="Calibri"/>
                <w:sz w:val="20"/>
                <w:szCs w:val="20"/>
                <w:lang w:val="fr-CA"/>
              </w:rPr>
              <w:noBreakHyphen/>
              <w:t>perçu</w:t>
            </w:r>
            <w:proofErr w:type="spellEnd"/>
            <w:r w:rsidRPr="006D4413">
              <w:rPr>
                <w:rFonts w:eastAsia="Calibri"/>
                <w:sz w:val="20"/>
                <w:szCs w:val="20"/>
                <w:lang w:val="fr-CA"/>
              </w:rPr>
              <w:t xml:space="preserve"> était imputé aux acheteurs indirects (AI) comme la représentante des demandeurs, Wendy </w:t>
            </w:r>
            <w:proofErr w:type="spellStart"/>
            <w:r w:rsidRPr="006D4413">
              <w:rPr>
                <w:rFonts w:eastAsia="Calibri"/>
                <w:sz w:val="20"/>
                <w:szCs w:val="20"/>
                <w:lang w:val="fr-CA"/>
              </w:rPr>
              <w:t>Weberg</w:t>
            </w:r>
            <w:proofErr w:type="spellEnd"/>
            <w:r w:rsidRPr="006D4413">
              <w:rPr>
                <w:rFonts w:eastAsia="Calibri"/>
                <w:sz w:val="20"/>
                <w:szCs w:val="20"/>
                <w:lang w:val="fr-CA"/>
              </w:rPr>
              <w:t>, qui consommaient le produit final. Les acheteurs ont allégué les causes d’actions suivantes : i) des contraventions au par. 45(1) de la Partie VI de la</w:t>
            </w:r>
            <w:r w:rsidRPr="006D4413">
              <w:rPr>
                <w:rFonts w:eastAsia="Calibri"/>
                <w:i/>
                <w:sz w:val="20"/>
                <w:szCs w:val="20"/>
                <w:lang w:val="fr-CA"/>
              </w:rPr>
              <w:t xml:space="preserve"> Loi sur la concurrence</w:t>
            </w:r>
            <w:r w:rsidRPr="006D4413">
              <w:rPr>
                <w:rFonts w:eastAsia="Calibri"/>
                <w:sz w:val="20"/>
                <w:szCs w:val="20"/>
                <w:lang w:val="fr-CA"/>
              </w:rPr>
              <w:t>, L.R.C. 1985, ch. C</w:t>
            </w:r>
            <w:r w:rsidRPr="006D4413">
              <w:rPr>
                <w:rFonts w:eastAsia="Calibri"/>
                <w:sz w:val="20"/>
                <w:szCs w:val="20"/>
                <w:lang w:val="fr-CA"/>
              </w:rPr>
              <w:noBreakHyphen/>
              <w:t xml:space="preserve">34 et des </w:t>
            </w:r>
            <w:proofErr w:type="spellStart"/>
            <w:r w:rsidRPr="006D4413">
              <w:rPr>
                <w:rFonts w:eastAsia="Calibri"/>
                <w:sz w:val="20"/>
                <w:szCs w:val="20"/>
                <w:lang w:val="fr-CA"/>
              </w:rPr>
              <w:t>dommages</w:t>
            </w:r>
            <w:r w:rsidRPr="006D4413">
              <w:rPr>
                <w:rFonts w:eastAsia="Calibri"/>
                <w:sz w:val="20"/>
                <w:szCs w:val="20"/>
                <w:lang w:val="fr-CA"/>
              </w:rPr>
              <w:noBreakHyphen/>
              <w:t>intérêts</w:t>
            </w:r>
            <w:proofErr w:type="spellEnd"/>
            <w:r w:rsidRPr="006D4413">
              <w:rPr>
                <w:rFonts w:eastAsia="Calibri"/>
                <w:sz w:val="20"/>
                <w:szCs w:val="20"/>
                <w:lang w:val="fr-CA"/>
              </w:rPr>
              <w:t xml:space="preserve"> aux termes du par. 36(1); ii) le complot délictuel et l’atteinte intentionnelle aux intérêts économiques; iii) l’enrichissement sans cause, la renonciation à un recours délictuel et la fiducie </w:t>
            </w:r>
            <w:proofErr w:type="spellStart"/>
            <w:r w:rsidRPr="006D4413">
              <w:rPr>
                <w:rFonts w:eastAsia="Calibri"/>
                <w:sz w:val="20"/>
                <w:szCs w:val="20"/>
                <w:lang w:val="fr-CA"/>
              </w:rPr>
              <w:t>constructoire</w:t>
            </w:r>
            <w:proofErr w:type="spellEnd"/>
            <w:r w:rsidRPr="006D4413">
              <w:rPr>
                <w:rFonts w:eastAsia="Calibri"/>
                <w:sz w:val="20"/>
                <w:szCs w:val="20"/>
                <w:lang w:val="fr-CA"/>
              </w:rPr>
              <w:t xml:space="preserve">; iv) des </w:t>
            </w:r>
            <w:proofErr w:type="spellStart"/>
            <w:r w:rsidRPr="006D4413">
              <w:rPr>
                <w:rFonts w:eastAsia="Calibri"/>
                <w:sz w:val="20"/>
                <w:szCs w:val="20"/>
                <w:lang w:val="fr-CA"/>
              </w:rPr>
              <w:t>dommages</w:t>
            </w:r>
            <w:r w:rsidRPr="006D4413">
              <w:rPr>
                <w:rFonts w:eastAsia="Calibri"/>
                <w:sz w:val="20"/>
                <w:szCs w:val="20"/>
                <w:lang w:val="fr-CA"/>
              </w:rPr>
              <w:noBreakHyphen/>
              <w:t>intérêts</w:t>
            </w:r>
            <w:proofErr w:type="spellEnd"/>
            <w:r w:rsidRPr="006D4413">
              <w:rPr>
                <w:rFonts w:eastAsia="Calibri"/>
                <w:sz w:val="20"/>
                <w:szCs w:val="20"/>
                <w:lang w:val="fr-CA"/>
              </w:rPr>
              <w:t xml:space="preserve"> punitifs. </w:t>
            </w:r>
          </w:p>
          <w:p w:rsidR="004E2535" w:rsidRPr="006D4413" w:rsidRDefault="004E2535" w:rsidP="004C3B4A">
            <w:pPr>
              <w:jc w:val="both"/>
              <w:rPr>
                <w:rFonts w:eastAsia="Calibri"/>
                <w:sz w:val="20"/>
                <w:szCs w:val="20"/>
                <w:lang w:val="fr-CA"/>
              </w:rPr>
            </w:pP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Les acheteurs ont présenté une demande en certification de l’action comme recours collectif en vertu de la </w:t>
            </w:r>
            <w:r w:rsidRPr="006D4413">
              <w:rPr>
                <w:rFonts w:eastAsia="Calibri"/>
                <w:i/>
                <w:sz w:val="20"/>
                <w:szCs w:val="20"/>
                <w:lang w:val="fr-CA"/>
              </w:rPr>
              <w:t xml:space="preserve">Class </w:t>
            </w:r>
            <w:proofErr w:type="spellStart"/>
            <w:r w:rsidRPr="006D4413">
              <w:rPr>
                <w:rFonts w:eastAsia="Calibri"/>
                <w:i/>
                <w:sz w:val="20"/>
                <w:szCs w:val="20"/>
                <w:lang w:val="fr-CA"/>
              </w:rPr>
              <w:lastRenderedPageBreak/>
              <w:t>Proceedings</w:t>
            </w:r>
            <w:proofErr w:type="spellEnd"/>
            <w:r w:rsidRPr="006D4413">
              <w:rPr>
                <w:rFonts w:eastAsia="Calibri"/>
                <w:i/>
                <w:sz w:val="20"/>
                <w:szCs w:val="20"/>
                <w:lang w:val="fr-CA"/>
              </w:rPr>
              <w:t xml:space="preserve"> </w:t>
            </w:r>
            <w:proofErr w:type="spellStart"/>
            <w:r w:rsidRPr="006D4413">
              <w:rPr>
                <w:rFonts w:eastAsia="Calibri"/>
                <w:i/>
                <w:sz w:val="20"/>
                <w:szCs w:val="20"/>
                <w:lang w:val="fr-CA"/>
              </w:rPr>
              <w:t>Act</w:t>
            </w:r>
            <w:proofErr w:type="spellEnd"/>
            <w:r w:rsidRPr="006D4413">
              <w:rPr>
                <w:rFonts w:eastAsia="Calibri"/>
                <w:sz w:val="20"/>
                <w:szCs w:val="20"/>
                <w:lang w:val="fr-CA"/>
              </w:rPr>
              <w:t xml:space="preserve">, R.S.B.C. 1996, ch. 50, dont le groupe proposé comprendrait à la fois les AD et les AI de la HFCS. Les producteurs ont nié toute faute et ont contesté la demande à plusieurs titres.  En définitive, une des principales questions en litige était de savoir si les producteurs étaient forclos de s’appuyer sur la moyen de défense fondé sur le transfert de la perte à l’égard des AD et, dans l’affirmative, si les AI étaient pareillement forclos d’avoir une cause d’action contre les producteurs. </w:t>
            </w:r>
          </w:p>
          <w:p w:rsidR="004E2535" w:rsidRPr="006D4413" w:rsidRDefault="004E2535" w:rsidP="004C3B4A">
            <w:pPr>
              <w:jc w:val="both"/>
              <w:rPr>
                <w:rFonts w:eastAsia="Calibri"/>
                <w:sz w:val="20"/>
                <w:szCs w:val="20"/>
                <w:lang w:val="fr-CA"/>
              </w:rPr>
            </w:pP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La Cour suprême de la Colombie Britannique a accueilli la demande de certification.  Les juges majoritaires de la Cour d’appel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ont accueilli l’appel des producteurs et annulé l’ordonnance de certification à l’égard des acheteurs qui étaient des AI, statuant que ces derniers n’avaient aucune cause d’action.  La demande a été renvoyée au tribunal de première instance pour examen à l’égard des AD.</w:t>
            </w:r>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lastRenderedPageBreak/>
              <w:t>30 juin 2010</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Cour suprême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(Juge </w:t>
            </w:r>
            <w:proofErr w:type="spellStart"/>
            <w:r w:rsidRPr="006D4413">
              <w:rPr>
                <w:rFonts w:eastAsia="Calibri"/>
                <w:sz w:val="20"/>
                <w:szCs w:val="20"/>
                <w:lang w:val="fr-CA"/>
              </w:rPr>
              <w:t>Rice</w:t>
            </w:r>
            <w:proofErr w:type="spellEnd"/>
            <w:r w:rsidRPr="006D4413">
              <w:rPr>
                <w:rFonts w:eastAsia="Calibri"/>
                <w:sz w:val="20"/>
                <w:szCs w:val="20"/>
                <w:lang w:val="fr-CA"/>
              </w:rPr>
              <w:t>)</w:t>
            </w:r>
          </w:p>
          <w:p w:rsidR="004E2535" w:rsidRPr="006D4413" w:rsidRDefault="004E2535" w:rsidP="004C3B4A">
            <w:pPr>
              <w:jc w:val="both"/>
              <w:rPr>
                <w:rFonts w:eastAsia="Calibri"/>
                <w:sz w:val="20"/>
                <w:szCs w:val="20"/>
                <w:lang w:val="fr-CA"/>
              </w:rPr>
            </w:pPr>
            <w:r w:rsidRPr="006D4413">
              <w:rPr>
                <w:rFonts w:eastAsia="Calibri"/>
                <w:sz w:val="20"/>
                <w:szCs w:val="20"/>
                <w:lang w:val="fr-CA"/>
              </w:rPr>
              <w:t>2010 BCSC 922</w:t>
            </w:r>
          </w:p>
          <w:p w:rsidR="004E2535" w:rsidRPr="006D4413" w:rsidRDefault="004E2535" w:rsidP="004C3B4A">
            <w:pPr>
              <w:jc w:val="both"/>
              <w:rPr>
                <w:rFonts w:eastAsia="Calibri"/>
                <w:sz w:val="20"/>
                <w:szCs w:val="20"/>
                <w:lang w:val="fr-CA"/>
              </w:rPr>
            </w:pP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Demande de certification comme recours collectif, accueillie</w:t>
            </w:r>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15 avril 2011</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Cour d’appel de la </w:t>
            </w:r>
            <w:proofErr w:type="spellStart"/>
            <w:r w:rsidRPr="006D4413">
              <w:rPr>
                <w:rFonts w:eastAsia="Calibri"/>
                <w:sz w:val="20"/>
                <w:szCs w:val="20"/>
                <w:lang w:val="fr-CA"/>
              </w:rPr>
              <w:t>Colombie</w:t>
            </w:r>
            <w:r w:rsidRPr="006D4413">
              <w:rPr>
                <w:rFonts w:eastAsia="Calibri"/>
                <w:sz w:val="20"/>
                <w:szCs w:val="20"/>
                <w:lang w:val="fr-CA"/>
              </w:rPr>
              <w:noBreakHyphen/>
              <w:t>Britannique</w:t>
            </w:r>
            <w:proofErr w:type="spellEnd"/>
            <w:r w:rsidRPr="006D4413">
              <w:rPr>
                <w:rFonts w:eastAsia="Calibri"/>
                <w:sz w:val="20"/>
                <w:szCs w:val="20"/>
                <w:lang w:val="fr-CA"/>
              </w:rPr>
              <w:t xml:space="preserve"> (Vancouver)</w:t>
            </w:r>
          </w:p>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(Juges Donald (dissident), Lowry et </w:t>
            </w:r>
            <w:proofErr w:type="spellStart"/>
            <w:r w:rsidRPr="006D4413">
              <w:rPr>
                <w:rFonts w:eastAsia="Calibri"/>
                <w:sz w:val="20"/>
                <w:szCs w:val="20"/>
                <w:lang w:val="fr-CA"/>
              </w:rPr>
              <w:t>Frankel</w:t>
            </w:r>
            <w:proofErr w:type="spellEnd"/>
            <w:r w:rsidRPr="006D4413">
              <w:rPr>
                <w:rFonts w:eastAsia="Calibri"/>
                <w:sz w:val="20"/>
                <w:szCs w:val="20"/>
                <w:lang w:val="fr-CA"/>
              </w:rPr>
              <w:t>)</w:t>
            </w:r>
          </w:p>
          <w:p w:rsidR="004E2535" w:rsidRPr="006D4413" w:rsidRDefault="004E2535" w:rsidP="004C3B4A">
            <w:pPr>
              <w:jc w:val="both"/>
              <w:rPr>
                <w:rFonts w:eastAsia="Calibri"/>
                <w:sz w:val="20"/>
                <w:szCs w:val="20"/>
                <w:lang w:val="fr-CA"/>
              </w:rPr>
            </w:pPr>
            <w:r w:rsidRPr="006D4413">
              <w:rPr>
                <w:rFonts w:eastAsia="Calibri"/>
                <w:sz w:val="20"/>
                <w:szCs w:val="20"/>
                <w:lang w:val="fr-CA"/>
              </w:rPr>
              <w:t>2011 BCCA 187; CA038308; CA038314; CA038324</w:t>
            </w: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Appel accueilli; déclaration portant que les actes de procédure ne révèlent aucune cause d’action pour ce qui est des acheteurs indirects; ordonnance de certification annulée et demande de certification renvoyée au tribunal de première instance pour un supplément d’examen</w:t>
            </w:r>
          </w:p>
          <w:p w:rsidR="004E2535" w:rsidRPr="006D4413" w:rsidRDefault="004E2535" w:rsidP="004C3B4A">
            <w:pPr>
              <w:jc w:val="both"/>
              <w:rPr>
                <w:rFonts w:eastAsia="Calibri"/>
                <w:sz w:val="20"/>
                <w:szCs w:val="20"/>
                <w:lang w:val="fr-CA"/>
              </w:rPr>
            </w:pPr>
          </w:p>
        </w:tc>
      </w:tr>
      <w:tr w:rsidR="004E2535" w:rsidRPr="006D4413"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30 mai 2011</w:t>
            </w:r>
          </w:p>
          <w:p w:rsidR="004E2535" w:rsidRPr="006D4413" w:rsidRDefault="004E2535" w:rsidP="004C3B4A">
            <w:pPr>
              <w:jc w:val="both"/>
              <w:rPr>
                <w:rFonts w:eastAsia="Calibri"/>
                <w:sz w:val="20"/>
                <w:szCs w:val="20"/>
                <w:lang w:val="fr-CA"/>
              </w:rPr>
            </w:pPr>
            <w:r w:rsidRPr="006D4413">
              <w:rPr>
                <w:rFonts w:eastAsia="Calibri"/>
                <w:sz w:val="20"/>
                <w:szCs w:val="20"/>
                <w:lang w:val="fr-CA"/>
              </w:rPr>
              <w:t>Cour suprême du Canada</w:t>
            </w:r>
          </w:p>
          <w:p w:rsidR="004E2535" w:rsidRPr="006D4413" w:rsidRDefault="004E2535" w:rsidP="004C3B4A">
            <w:pPr>
              <w:jc w:val="both"/>
              <w:rPr>
                <w:rFonts w:eastAsia="Calibri"/>
                <w:sz w:val="20"/>
                <w:szCs w:val="20"/>
                <w:lang w:val="fr-CA"/>
              </w:rPr>
            </w:pP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Demande d’autorisation d’appel, déposée</w:t>
            </w: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16 juin 2011</w:t>
            </w:r>
          </w:p>
          <w:p w:rsidR="004E2535" w:rsidRPr="006D4413" w:rsidRDefault="004E2535" w:rsidP="004C3B4A">
            <w:pPr>
              <w:jc w:val="both"/>
              <w:rPr>
                <w:rFonts w:eastAsia="Calibri"/>
                <w:sz w:val="20"/>
                <w:szCs w:val="20"/>
                <w:lang w:val="fr-CA"/>
              </w:rPr>
            </w:pPr>
            <w:r w:rsidRPr="006D4413">
              <w:rPr>
                <w:rFonts w:eastAsia="Calibri"/>
                <w:sz w:val="20"/>
                <w:szCs w:val="20"/>
                <w:lang w:val="fr-CA"/>
              </w:rPr>
              <w:t>Cour suprême du Canada</w:t>
            </w:r>
          </w:p>
          <w:p w:rsidR="004E2535" w:rsidRPr="006D4413" w:rsidRDefault="004E2535" w:rsidP="004C3B4A">
            <w:pPr>
              <w:jc w:val="both"/>
              <w:rPr>
                <w:rFonts w:eastAsia="Calibri"/>
                <w:sz w:val="20"/>
                <w:szCs w:val="20"/>
                <w:lang w:val="fr-CA"/>
              </w:rPr>
            </w:pP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Demande d’autorisation d’appel incident déposée par Corn </w:t>
            </w:r>
            <w:proofErr w:type="spellStart"/>
            <w:r w:rsidRPr="006D4413">
              <w:rPr>
                <w:rFonts w:eastAsia="Calibri"/>
                <w:sz w:val="20"/>
                <w:szCs w:val="20"/>
                <w:lang w:val="fr-CA"/>
              </w:rPr>
              <w:t>Products</w:t>
            </w:r>
            <w:proofErr w:type="spellEnd"/>
            <w:r w:rsidRPr="006D4413">
              <w:rPr>
                <w:rFonts w:eastAsia="Calibri"/>
                <w:sz w:val="20"/>
                <w:szCs w:val="20"/>
                <w:lang w:val="fr-CA"/>
              </w:rPr>
              <w:t xml:space="preserve"> International, Inc., </w:t>
            </w:r>
            <w:proofErr w:type="spellStart"/>
            <w:r w:rsidRPr="006D4413">
              <w:rPr>
                <w:rFonts w:eastAsia="Calibri"/>
                <w:sz w:val="20"/>
                <w:szCs w:val="20"/>
                <w:lang w:val="fr-CA"/>
              </w:rPr>
              <w:t>Bestfoods</w:t>
            </w:r>
            <w:proofErr w:type="spellEnd"/>
            <w:r w:rsidRPr="006D4413">
              <w:rPr>
                <w:rFonts w:eastAsia="Calibri"/>
                <w:sz w:val="20"/>
                <w:szCs w:val="20"/>
                <w:lang w:val="fr-CA"/>
              </w:rPr>
              <w:t>, Inc. et Unilever PLC</w:t>
            </w:r>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28 juin 2011</w:t>
            </w:r>
          </w:p>
          <w:p w:rsidR="004E2535" w:rsidRPr="006D4413" w:rsidRDefault="004E2535" w:rsidP="004C3B4A">
            <w:pPr>
              <w:jc w:val="both"/>
              <w:rPr>
                <w:rFonts w:eastAsia="Calibri"/>
                <w:sz w:val="20"/>
                <w:szCs w:val="20"/>
                <w:lang w:val="fr-CA"/>
              </w:rPr>
            </w:pPr>
            <w:r w:rsidRPr="006D4413">
              <w:rPr>
                <w:rFonts w:eastAsia="Calibri"/>
                <w:sz w:val="20"/>
                <w:szCs w:val="20"/>
                <w:lang w:val="fr-CA"/>
              </w:rPr>
              <w:t>Cour suprême du Canada</w:t>
            </w: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Demande d’autorisation d’appel incident déposée par Archer Daniels Midland </w:t>
            </w:r>
            <w:proofErr w:type="spellStart"/>
            <w:r w:rsidRPr="006D4413">
              <w:rPr>
                <w:rFonts w:eastAsia="Calibri"/>
                <w:sz w:val="20"/>
                <w:szCs w:val="20"/>
                <w:lang w:val="fr-CA"/>
              </w:rPr>
              <w:t>Company</w:t>
            </w:r>
            <w:proofErr w:type="spellEnd"/>
            <w:r w:rsidRPr="006D4413">
              <w:rPr>
                <w:rFonts w:eastAsia="Calibri"/>
                <w:sz w:val="20"/>
                <w:szCs w:val="20"/>
                <w:lang w:val="fr-CA"/>
              </w:rPr>
              <w:t xml:space="preserve"> et ADM </w:t>
            </w:r>
            <w:proofErr w:type="spellStart"/>
            <w:r w:rsidRPr="006D4413">
              <w:rPr>
                <w:rFonts w:eastAsia="Calibri"/>
                <w:sz w:val="20"/>
                <w:szCs w:val="20"/>
                <w:lang w:val="fr-CA"/>
              </w:rPr>
              <w:t>Agri</w:t>
            </w:r>
            <w:r w:rsidRPr="006D4413">
              <w:rPr>
                <w:rFonts w:eastAsia="Calibri"/>
                <w:sz w:val="20"/>
                <w:szCs w:val="20"/>
                <w:lang w:val="fr-CA"/>
              </w:rPr>
              <w:noBreakHyphen/>
              <w:t>Industries</w:t>
            </w:r>
            <w:proofErr w:type="spellEnd"/>
            <w:r w:rsidRPr="006D4413">
              <w:rPr>
                <w:rFonts w:eastAsia="Calibri"/>
                <w:sz w:val="20"/>
                <w:szCs w:val="20"/>
                <w:lang w:val="fr-CA"/>
              </w:rPr>
              <w:t xml:space="preserve"> </w:t>
            </w:r>
            <w:proofErr w:type="spellStart"/>
            <w:r w:rsidRPr="006D4413">
              <w:rPr>
                <w:rFonts w:eastAsia="Calibri"/>
                <w:sz w:val="20"/>
                <w:szCs w:val="20"/>
                <w:lang w:val="fr-CA"/>
              </w:rPr>
              <w:t>Company</w:t>
            </w:r>
            <w:proofErr w:type="spellEnd"/>
          </w:p>
          <w:p w:rsidR="004E2535" w:rsidRPr="006D4413" w:rsidRDefault="004E2535" w:rsidP="004C3B4A">
            <w:pPr>
              <w:jc w:val="both"/>
              <w:rPr>
                <w:rFonts w:eastAsia="Calibri"/>
                <w:sz w:val="20"/>
                <w:szCs w:val="20"/>
                <w:lang w:val="fr-CA"/>
              </w:rPr>
            </w:pPr>
          </w:p>
        </w:tc>
      </w:tr>
      <w:tr w:rsidR="004E2535" w:rsidRPr="008608D5" w:rsidTr="004C3B4A">
        <w:tc>
          <w:tcPr>
            <w:tcW w:w="2427"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29 juin 2011</w:t>
            </w:r>
          </w:p>
          <w:p w:rsidR="004E2535" w:rsidRPr="006D4413" w:rsidRDefault="004E2535" w:rsidP="004C3B4A">
            <w:pPr>
              <w:jc w:val="both"/>
              <w:rPr>
                <w:rFonts w:eastAsia="Calibri"/>
                <w:sz w:val="20"/>
                <w:szCs w:val="20"/>
                <w:lang w:val="fr-CA"/>
              </w:rPr>
            </w:pPr>
            <w:r w:rsidRPr="006D4413">
              <w:rPr>
                <w:rFonts w:eastAsia="Calibri"/>
                <w:sz w:val="20"/>
                <w:szCs w:val="20"/>
                <w:lang w:val="fr-CA"/>
              </w:rPr>
              <w:t>Cour suprême du Canada</w:t>
            </w:r>
          </w:p>
        </w:tc>
        <w:tc>
          <w:tcPr>
            <w:tcW w:w="243" w:type="pct"/>
          </w:tcPr>
          <w:p w:rsidR="004E2535" w:rsidRPr="006D4413" w:rsidRDefault="004E2535" w:rsidP="004C3B4A">
            <w:pPr>
              <w:jc w:val="both"/>
              <w:rPr>
                <w:rFonts w:eastAsia="Calibri"/>
                <w:sz w:val="20"/>
                <w:szCs w:val="20"/>
                <w:lang w:val="fr-CA"/>
              </w:rPr>
            </w:pPr>
          </w:p>
        </w:tc>
        <w:tc>
          <w:tcPr>
            <w:tcW w:w="2330" w:type="pct"/>
          </w:tcPr>
          <w:p w:rsidR="004E2535" w:rsidRPr="006D4413" w:rsidRDefault="004E2535" w:rsidP="004C3B4A">
            <w:pPr>
              <w:jc w:val="both"/>
              <w:rPr>
                <w:rFonts w:eastAsia="Calibri"/>
                <w:sz w:val="20"/>
                <w:szCs w:val="20"/>
                <w:lang w:val="fr-CA"/>
              </w:rPr>
            </w:pPr>
            <w:r w:rsidRPr="006D4413">
              <w:rPr>
                <w:rFonts w:eastAsia="Calibri"/>
                <w:sz w:val="20"/>
                <w:szCs w:val="20"/>
                <w:lang w:val="fr-CA"/>
              </w:rPr>
              <w:t xml:space="preserve">Demande d’autorisation d’appel incident déposée par Cargill, </w:t>
            </w:r>
            <w:proofErr w:type="spellStart"/>
            <w:r w:rsidRPr="006D4413">
              <w:rPr>
                <w:rFonts w:eastAsia="Calibri"/>
                <w:sz w:val="20"/>
                <w:szCs w:val="20"/>
                <w:lang w:val="fr-CA"/>
              </w:rPr>
              <w:t>Incorporated</w:t>
            </w:r>
            <w:proofErr w:type="spellEnd"/>
            <w:r w:rsidRPr="006D4413">
              <w:rPr>
                <w:rFonts w:eastAsia="Calibri"/>
                <w:sz w:val="20"/>
                <w:szCs w:val="20"/>
                <w:lang w:val="fr-CA"/>
              </w:rPr>
              <w:t xml:space="preserve">, Cargill Limited et </w:t>
            </w:r>
            <w:proofErr w:type="spellStart"/>
            <w:r w:rsidRPr="006D4413">
              <w:rPr>
                <w:rFonts w:eastAsia="Calibri"/>
                <w:sz w:val="20"/>
                <w:szCs w:val="20"/>
                <w:lang w:val="fr-CA"/>
              </w:rPr>
              <w:t>Cerestar</w:t>
            </w:r>
            <w:proofErr w:type="spellEnd"/>
            <w:r w:rsidRPr="006D4413">
              <w:rPr>
                <w:rFonts w:eastAsia="Calibri"/>
                <w:sz w:val="20"/>
                <w:szCs w:val="20"/>
                <w:lang w:val="fr-CA"/>
              </w:rPr>
              <w:t xml:space="preserve"> USA, Inc.</w:t>
            </w:r>
          </w:p>
        </w:tc>
      </w:tr>
    </w:tbl>
    <w:p w:rsidR="00C454C8" w:rsidRDefault="00C454C8" w:rsidP="00C454C8">
      <w:pPr>
        <w:rPr>
          <w:sz w:val="20"/>
          <w:szCs w:val="20"/>
          <w:lang w:val="fr-CA"/>
        </w:rPr>
      </w:pPr>
    </w:p>
    <w:p w:rsidR="00C454C8" w:rsidRDefault="008754B5" w:rsidP="00C454C8">
      <w:pPr>
        <w:rPr>
          <w:sz w:val="20"/>
          <w:szCs w:val="20"/>
          <w:lang w:val="fr-CA"/>
        </w:rPr>
      </w:pPr>
      <w:r w:rsidRPr="008754B5">
        <w:rPr>
          <w:sz w:val="20"/>
          <w:szCs w:val="20"/>
          <w:lang w:val="fr-CA"/>
        </w:rPr>
        <w:pict>
          <v:rect id="_x0000_i1050" style="width:2in;height:1pt" o:hrpct="0" o:hralign="center" o:hrstd="t" o:hrnoshade="t" o:hr="t" fillcolor="black [3213]" stroked="f"/>
        </w:pict>
      </w:r>
    </w:p>
    <w:p w:rsidR="00C454C8" w:rsidRPr="00C454C8" w:rsidRDefault="00C454C8" w:rsidP="00C454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7F44" w:rsidRPr="002622ED" w:rsidTr="00A27223">
        <w:trPr>
          <w:cantSplit/>
        </w:trPr>
        <w:tc>
          <w:tcPr>
            <w:tcW w:w="1458" w:type="dxa"/>
          </w:tcPr>
          <w:p w:rsidR="009B7F44" w:rsidRPr="002622ED" w:rsidRDefault="009B7F44" w:rsidP="00A27223">
            <w:pPr>
              <w:rPr>
                <w:sz w:val="20"/>
                <w:szCs w:val="20"/>
              </w:rPr>
            </w:pPr>
            <w:r w:rsidRPr="002622ED">
              <w:rPr>
                <w:rStyle w:val="SCCFileNumberChar"/>
                <w:sz w:val="20"/>
                <w:szCs w:val="20"/>
              </w:rPr>
              <w:lastRenderedPageBreak/>
              <w:t>34308</w:t>
            </w:r>
          </w:p>
          <w:p w:rsidR="009B7F44" w:rsidRPr="002622ED" w:rsidRDefault="009B7F44" w:rsidP="00A27223">
            <w:pPr>
              <w:rPr>
                <w:b/>
                <w:sz w:val="20"/>
                <w:szCs w:val="20"/>
                <w:lang w:val="fr-CA"/>
              </w:rPr>
            </w:pPr>
          </w:p>
        </w:tc>
        <w:tc>
          <w:tcPr>
            <w:tcW w:w="8118" w:type="dxa"/>
          </w:tcPr>
          <w:p w:rsidR="009B7F44" w:rsidRPr="002622ED" w:rsidRDefault="009B7F44" w:rsidP="00A27223">
            <w:pPr>
              <w:jc w:val="both"/>
              <w:rPr>
                <w:sz w:val="20"/>
                <w:szCs w:val="20"/>
              </w:rPr>
            </w:pPr>
            <w:r w:rsidRPr="009B7F44">
              <w:rPr>
                <w:rStyle w:val="SCCLsocChar"/>
                <w:sz w:val="20"/>
                <w:szCs w:val="20"/>
                <w:lang w:val="en-CA"/>
              </w:rPr>
              <w:t xml:space="preserve">Sun </w:t>
            </w:r>
            <w:proofErr w:type="spellStart"/>
            <w:r w:rsidRPr="009B7F44">
              <w:rPr>
                <w:rStyle w:val="SCCLsocChar"/>
                <w:sz w:val="20"/>
                <w:szCs w:val="20"/>
                <w:lang w:val="en-CA"/>
              </w:rPr>
              <w:t>Indalex</w:t>
            </w:r>
            <w:proofErr w:type="spellEnd"/>
            <w:r w:rsidRPr="009B7F44">
              <w:rPr>
                <w:rStyle w:val="SCCLsocChar"/>
                <w:sz w:val="20"/>
                <w:szCs w:val="20"/>
                <w:lang w:val="en-CA"/>
              </w:rPr>
              <w:t xml:space="preserve"> Finance, LLC v. United Steelworkers, Keith </w:t>
            </w:r>
            <w:proofErr w:type="spellStart"/>
            <w:r w:rsidRPr="009B7F44">
              <w:rPr>
                <w:rStyle w:val="SCCLsocChar"/>
                <w:sz w:val="20"/>
                <w:szCs w:val="20"/>
                <w:lang w:val="en-CA"/>
              </w:rPr>
              <w:t>Carruthers</w:t>
            </w:r>
            <w:proofErr w:type="spellEnd"/>
            <w:r w:rsidRPr="009B7F44">
              <w:rPr>
                <w:rStyle w:val="SCCLsocChar"/>
                <w:sz w:val="20"/>
                <w:szCs w:val="20"/>
                <w:lang w:val="en-CA"/>
              </w:rPr>
              <w:t xml:space="preserve">, Leon </w:t>
            </w:r>
            <w:proofErr w:type="spellStart"/>
            <w:r w:rsidRPr="009B7F44">
              <w:rPr>
                <w:rStyle w:val="SCCLsocChar"/>
                <w:sz w:val="20"/>
                <w:szCs w:val="20"/>
                <w:lang w:val="en-CA"/>
              </w:rPr>
              <w:t>Kozierok</w:t>
            </w:r>
            <w:proofErr w:type="spellEnd"/>
            <w:r w:rsidRPr="009B7F44">
              <w:rPr>
                <w:rStyle w:val="SCCLsocChar"/>
                <w:sz w:val="20"/>
                <w:szCs w:val="20"/>
                <w:lang w:val="en-CA"/>
              </w:rPr>
              <w:t xml:space="preserve">, Richard Benson, John </w:t>
            </w:r>
            <w:proofErr w:type="spellStart"/>
            <w:r w:rsidRPr="009B7F44">
              <w:rPr>
                <w:rStyle w:val="SCCLsocChar"/>
                <w:sz w:val="20"/>
                <w:szCs w:val="20"/>
                <w:lang w:val="en-CA"/>
              </w:rPr>
              <w:t>Faveri</w:t>
            </w:r>
            <w:proofErr w:type="spellEnd"/>
            <w:r w:rsidRPr="009B7F44">
              <w:rPr>
                <w:rStyle w:val="SCCLsocChar"/>
                <w:sz w:val="20"/>
                <w:szCs w:val="20"/>
                <w:lang w:val="en-CA"/>
              </w:rPr>
              <w:t xml:space="preserve">, Ken </w:t>
            </w:r>
            <w:proofErr w:type="spellStart"/>
            <w:r w:rsidRPr="009B7F44">
              <w:rPr>
                <w:rStyle w:val="SCCLsocChar"/>
                <w:sz w:val="20"/>
                <w:szCs w:val="20"/>
                <w:lang w:val="en-CA"/>
              </w:rPr>
              <w:t>Wladron</w:t>
            </w:r>
            <w:proofErr w:type="spellEnd"/>
            <w:r w:rsidRPr="009B7F44">
              <w:rPr>
                <w:rStyle w:val="SCCLsocChar"/>
                <w:sz w:val="20"/>
                <w:szCs w:val="20"/>
                <w:lang w:val="en-CA"/>
              </w:rPr>
              <w:t xml:space="preserve">, John (Jack) W. Rooney, Bertram McBride, Max </w:t>
            </w:r>
            <w:proofErr w:type="spellStart"/>
            <w:r w:rsidRPr="009B7F44">
              <w:rPr>
                <w:rStyle w:val="SCCLsocChar"/>
                <w:sz w:val="20"/>
                <w:szCs w:val="20"/>
                <w:lang w:val="en-CA"/>
              </w:rPr>
              <w:t>Degen</w:t>
            </w:r>
            <w:proofErr w:type="spellEnd"/>
            <w:r w:rsidRPr="009B7F44">
              <w:rPr>
                <w:rStyle w:val="SCCLsocChar"/>
                <w:sz w:val="20"/>
                <w:szCs w:val="20"/>
                <w:lang w:val="en-CA"/>
              </w:rPr>
              <w:t xml:space="preserve">, Eugene </w:t>
            </w:r>
            <w:proofErr w:type="spellStart"/>
            <w:r w:rsidRPr="009B7F44">
              <w:rPr>
                <w:rStyle w:val="SCCLsocChar"/>
                <w:sz w:val="20"/>
                <w:szCs w:val="20"/>
                <w:lang w:val="en-CA"/>
              </w:rPr>
              <w:t>D'Iorio</w:t>
            </w:r>
            <w:proofErr w:type="spellEnd"/>
            <w:r w:rsidRPr="009B7F44">
              <w:rPr>
                <w:rStyle w:val="SCCLsocChar"/>
                <w:sz w:val="20"/>
                <w:szCs w:val="20"/>
                <w:lang w:val="en-CA"/>
              </w:rPr>
              <w:t xml:space="preserve">, Neil Fraser, Richard Smith, Robert </w:t>
            </w:r>
            <w:proofErr w:type="spellStart"/>
            <w:r w:rsidRPr="009B7F44">
              <w:rPr>
                <w:rStyle w:val="SCCLsocChar"/>
                <w:sz w:val="20"/>
                <w:szCs w:val="20"/>
                <w:lang w:val="en-CA"/>
              </w:rPr>
              <w:t>Leckie</w:t>
            </w:r>
            <w:proofErr w:type="spellEnd"/>
            <w:r w:rsidRPr="009B7F44">
              <w:rPr>
                <w:rStyle w:val="SCCLsocChar"/>
                <w:sz w:val="20"/>
                <w:szCs w:val="20"/>
                <w:lang w:val="en-CA"/>
              </w:rPr>
              <w:t xml:space="preserve"> and Fred Granville, George L. Miller, The Chapter 7 Trustee of the Bankruptcy Estates of the US </w:t>
            </w:r>
            <w:proofErr w:type="spellStart"/>
            <w:r w:rsidRPr="009B7F44">
              <w:rPr>
                <w:rStyle w:val="SCCLsocChar"/>
                <w:sz w:val="20"/>
                <w:szCs w:val="20"/>
                <w:lang w:val="en-CA"/>
              </w:rPr>
              <w:t>Indalex</w:t>
            </w:r>
            <w:proofErr w:type="spellEnd"/>
            <w:r w:rsidRPr="009B7F44">
              <w:rPr>
                <w:rStyle w:val="SCCLsocChar"/>
                <w:sz w:val="20"/>
                <w:szCs w:val="20"/>
                <w:lang w:val="en-CA"/>
              </w:rPr>
              <w:t xml:space="preserve"> Debtors, The Monitor FTI Consulting Canada ULC AND BETWEEN George L. Miller and  The Chapter 7 Trustee of the Bankruptcy Estates of the US </w:t>
            </w:r>
            <w:proofErr w:type="spellStart"/>
            <w:r w:rsidRPr="009B7F44">
              <w:rPr>
                <w:rStyle w:val="SCCLsocChar"/>
                <w:sz w:val="20"/>
                <w:szCs w:val="20"/>
                <w:lang w:val="en-CA"/>
              </w:rPr>
              <w:t>Indalex</w:t>
            </w:r>
            <w:proofErr w:type="spellEnd"/>
            <w:r w:rsidRPr="009B7F44">
              <w:rPr>
                <w:rStyle w:val="SCCLsocChar"/>
                <w:sz w:val="20"/>
                <w:szCs w:val="20"/>
                <w:lang w:val="en-CA"/>
              </w:rPr>
              <w:t xml:space="preserve"> Debtors v. Sun </w:t>
            </w:r>
            <w:proofErr w:type="spellStart"/>
            <w:r w:rsidRPr="009B7F44">
              <w:rPr>
                <w:rStyle w:val="SCCLsocChar"/>
                <w:sz w:val="20"/>
                <w:szCs w:val="20"/>
                <w:lang w:val="en-CA"/>
              </w:rPr>
              <w:t>Indalex</w:t>
            </w:r>
            <w:proofErr w:type="spellEnd"/>
            <w:r w:rsidRPr="009B7F44">
              <w:rPr>
                <w:rStyle w:val="SCCLsocChar"/>
                <w:sz w:val="20"/>
                <w:szCs w:val="20"/>
                <w:lang w:val="en-CA"/>
              </w:rPr>
              <w:t xml:space="preserve"> Finance, LLC, United Steelworkers, Keith </w:t>
            </w:r>
            <w:proofErr w:type="spellStart"/>
            <w:r w:rsidRPr="009B7F44">
              <w:rPr>
                <w:rStyle w:val="SCCLsocChar"/>
                <w:sz w:val="20"/>
                <w:szCs w:val="20"/>
                <w:lang w:val="en-CA"/>
              </w:rPr>
              <w:t>Carruthers</w:t>
            </w:r>
            <w:proofErr w:type="spellEnd"/>
            <w:r w:rsidRPr="009B7F44">
              <w:rPr>
                <w:rStyle w:val="SCCLsocChar"/>
                <w:sz w:val="20"/>
                <w:szCs w:val="20"/>
                <w:lang w:val="en-CA"/>
              </w:rPr>
              <w:t xml:space="preserve">, Leon </w:t>
            </w:r>
            <w:proofErr w:type="spellStart"/>
            <w:r w:rsidRPr="009B7F44">
              <w:rPr>
                <w:rStyle w:val="SCCLsocChar"/>
                <w:sz w:val="20"/>
                <w:szCs w:val="20"/>
                <w:lang w:val="en-CA"/>
              </w:rPr>
              <w:t>Kozierok</w:t>
            </w:r>
            <w:proofErr w:type="spellEnd"/>
            <w:r w:rsidRPr="009B7F44">
              <w:rPr>
                <w:rStyle w:val="SCCLsocChar"/>
                <w:sz w:val="20"/>
                <w:szCs w:val="20"/>
                <w:lang w:val="en-CA"/>
              </w:rPr>
              <w:t xml:space="preserve">, Richard Benson, John </w:t>
            </w:r>
            <w:proofErr w:type="spellStart"/>
            <w:r w:rsidRPr="009B7F44">
              <w:rPr>
                <w:rStyle w:val="SCCLsocChar"/>
                <w:sz w:val="20"/>
                <w:szCs w:val="20"/>
                <w:lang w:val="en-CA"/>
              </w:rPr>
              <w:t>Faveri</w:t>
            </w:r>
            <w:proofErr w:type="spellEnd"/>
            <w:r w:rsidRPr="009B7F44">
              <w:rPr>
                <w:rStyle w:val="SCCLsocChar"/>
                <w:sz w:val="20"/>
                <w:szCs w:val="20"/>
                <w:lang w:val="en-CA"/>
              </w:rPr>
              <w:t xml:space="preserve">, Ken </w:t>
            </w:r>
            <w:proofErr w:type="spellStart"/>
            <w:r w:rsidRPr="009B7F44">
              <w:rPr>
                <w:rStyle w:val="SCCLsocChar"/>
                <w:sz w:val="20"/>
                <w:szCs w:val="20"/>
                <w:lang w:val="en-CA"/>
              </w:rPr>
              <w:t>Wladron</w:t>
            </w:r>
            <w:proofErr w:type="spellEnd"/>
            <w:r w:rsidRPr="009B7F44">
              <w:rPr>
                <w:rStyle w:val="SCCLsocChar"/>
                <w:sz w:val="20"/>
                <w:szCs w:val="20"/>
                <w:lang w:val="en-CA"/>
              </w:rPr>
              <w:t xml:space="preserve">, John (Jack) W. Rooney, Bertram McBride, Max </w:t>
            </w:r>
            <w:proofErr w:type="spellStart"/>
            <w:r w:rsidRPr="009B7F44">
              <w:rPr>
                <w:rStyle w:val="SCCLsocChar"/>
                <w:sz w:val="20"/>
                <w:szCs w:val="20"/>
                <w:lang w:val="en-CA"/>
              </w:rPr>
              <w:t>Degen</w:t>
            </w:r>
            <w:proofErr w:type="spellEnd"/>
            <w:r w:rsidRPr="009B7F44">
              <w:rPr>
                <w:rStyle w:val="SCCLsocChar"/>
                <w:sz w:val="20"/>
                <w:szCs w:val="20"/>
                <w:lang w:val="en-CA"/>
              </w:rPr>
              <w:t xml:space="preserve">, Eugene </w:t>
            </w:r>
            <w:proofErr w:type="spellStart"/>
            <w:r w:rsidRPr="009B7F44">
              <w:rPr>
                <w:rStyle w:val="SCCLsocChar"/>
                <w:sz w:val="20"/>
                <w:szCs w:val="20"/>
                <w:lang w:val="en-CA"/>
              </w:rPr>
              <w:t>D'Iorio</w:t>
            </w:r>
            <w:proofErr w:type="spellEnd"/>
            <w:r w:rsidRPr="009B7F44">
              <w:rPr>
                <w:rStyle w:val="SCCLsocChar"/>
                <w:sz w:val="20"/>
                <w:szCs w:val="20"/>
                <w:lang w:val="en-CA"/>
              </w:rPr>
              <w:t xml:space="preserve">, Neil Fraser, Richard Smith, Robert </w:t>
            </w:r>
            <w:proofErr w:type="spellStart"/>
            <w:r w:rsidRPr="009B7F44">
              <w:rPr>
                <w:rStyle w:val="SCCLsocChar"/>
                <w:sz w:val="20"/>
                <w:szCs w:val="20"/>
                <w:lang w:val="en-CA"/>
              </w:rPr>
              <w:t>Leckie</w:t>
            </w:r>
            <w:proofErr w:type="spellEnd"/>
            <w:r w:rsidRPr="009B7F44">
              <w:rPr>
                <w:rStyle w:val="SCCLsocChar"/>
                <w:sz w:val="20"/>
                <w:szCs w:val="20"/>
                <w:lang w:val="en-CA"/>
              </w:rPr>
              <w:t xml:space="preserve"> and Fred Granville and The Monitor FTI Consulting Canada ULC AND BETWEEN FTI Consulting Canada ULC, In its capacity as court-appointed monitor of </w:t>
            </w:r>
            <w:proofErr w:type="spellStart"/>
            <w:r w:rsidRPr="009B7F44">
              <w:rPr>
                <w:rStyle w:val="SCCLsocChar"/>
                <w:sz w:val="20"/>
                <w:szCs w:val="20"/>
                <w:lang w:val="en-CA"/>
              </w:rPr>
              <w:t>Indalex</w:t>
            </w:r>
            <w:proofErr w:type="spellEnd"/>
            <w:r w:rsidRPr="009B7F44">
              <w:rPr>
                <w:rStyle w:val="SCCLsocChar"/>
                <w:sz w:val="20"/>
                <w:szCs w:val="20"/>
                <w:lang w:val="en-CA"/>
              </w:rPr>
              <w:t xml:space="preserve"> Limited, on behalf of </w:t>
            </w:r>
            <w:proofErr w:type="spellStart"/>
            <w:r w:rsidRPr="009B7F44">
              <w:rPr>
                <w:rStyle w:val="SCCLsocChar"/>
                <w:sz w:val="20"/>
                <w:szCs w:val="20"/>
                <w:lang w:val="en-CA"/>
              </w:rPr>
              <w:t>Indalex</w:t>
            </w:r>
            <w:proofErr w:type="spellEnd"/>
            <w:r w:rsidRPr="009B7F44">
              <w:rPr>
                <w:rStyle w:val="SCCLsocChar"/>
                <w:sz w:val="20"/>
                <w:szCs w:val="20"/>
                <w:lang w:val="en-CA"/>
              </w:rPr>
              <w:t xml:space="preserve"> Limited v. Keith </w:t>
            </w:r>
            <w:proofErr w:type="spellStart"/>
            <w:r w:rsidRPr="009B7F44">
              <w:rPr>
                <w:rStyle w:val="SCCLsocChar"/>
                <w:sz w:val="20"/>
                <w:szCs w:val="20"/>
                <w:lang w:val="en-CA"/>
              </w:rPr>
              <w:t>Carruthers</w:t>
            </w:r>
            <w:proofErr w:type="spellEnd"/>
            <w:r w:rsidRPr="009B7F44">
              <w:rPr>
                <w:rStyle w:val="SCCLsocChar"/>
                <w:sz w:val="20"/>
                <w:szCs w:val="20"/>
                <w:lang w:val="en-CA"/>
              </w:rPr>
              <w:t xml:space="preserve">, Leon </w:t>
            </w:r>
            <w:proofErr w:type="spellStart"/>
            <w:r w:rsidRPr="009B7F44">
              <w:rPr>
                <w:rStyle w:val="SCCLsocChar"/>
                <w:sz w:val="20"/>
                <w:szCs w:val="20"/>
                <w:lang w:val="en-CA"/>
              </w:rPr>
              <w:t>Kozierok</w:t>
            </w:r>
            <w:proofErr w:type="spellEnd"/>
            <w:r w:rsidRPr="009B7F44">
              <w:rPr>
                <w:rStyle w:val="SCCLsocChar"/>
                <w:sz w:val="20"/>
                <w:szCs w:val="20"/>
                <w:lang w:val="en-CA"/>
              </w:rPr>
              <w:t xml:space="preserve">, Richard Benson, John </w:t>
            </w:r>
            <w:proofErr w:type="spellStart"/>
            <w:r w:rsidRPr="009B7F44">
              <w:rPr>
                <w:rStyle w:val="SCCLsocChar"/>
                <w:sz w:val="20"/>
                <w:szCs w:val="20"/>
                <w:lang w:val="en-CA"/>
              </w:rPr>
              <w:t>Faveri</w:t>
            </w:r>
            <w:proofErr w:type="spellEnd"/>
            <w:r w:rsidRPr="009B7F44">
              <w:rPr>
                <w:rStyle w:val="SCCLsocChar"/>
                <w:sz w:val="20"/>
                <w:szCs w:val="20"/>
                <w:lang w:val="en-CA"/>
              </w:rPr>
              <w:t xml:space="preserve">, Ken </w:t>
            </w:r>
            <w:proofErr w:type="spellStart"/>
            <w:r w:rsidRPr="009B7F44">
              <w:rPr>
                <w:rStyle w:val="SCCLsocChar"/>
                <w:sz w:val="20"/>
                <w:szCs w:val="20"/>
                <w:lang w:val="en-CA"/>
              </w:rPr>
              <w:t>Wladron</w:t>
            </w:r>
            <w:proofErr w:type="spellEnd"/>
            <w:r w:rsidRPr="009B7F44">
              <w:rPr>
                <w:rStyle w:val="SCCLsocChar"/>
                <w:sz w:val="20"/>
                <w:szCs w:val="20"/>
                <w:lang w:val="en-CA"/>
              </w:rPr>
              <w:t xml:space="preserve">, John (Jack) W. Rooney, Bertram McBride, Max </w:t>
            </w:r>
            <w:proofErr w:type="spellStart"/>
            <w:r w:rsidRPr="009B7F44">
              <w:rPr>
                <w:rStyle w:val="SCCLsocChar"/>
                <w:sz w:val="20"/>
                <w:szCs w:val="20"/>
                <w:lang w:val="en-CA"/>
              </w:rPr>
              <w:t>Degen</w:t>
            </w:r>
            <w:proofErr w:type="spellEnd"/>
            <w:r w:rsidRPr="009B7F44">
              <w:rPr>
                <w:rStyle w:val="SCCLsocChar"/>
                <w:sz w:val="20"/>
                <w:szCs w:val="20"/>
                <w:lang w:val="en-CA"/>
              </w:rPr>
              <w:t xml:space="preserve">, Eugene </w:t>
            </w:r>
            <w:proofErr w:type="spellStart"/>
            <w:r w:rsidRPr="009B7F44">
              <w:rPr>
                <w:rStyle w:val="SCCLsocChar"/>
                <w:sz w:val="20"/>
                <w:szCs w:val="20"/>
                <w:lang w:val="en-CA"/>
              </w:rPr>
              <w:t>D'Iorio</w:t>
            </w:r>
            <w:proofErr w:type="spellEnd"/>
            <w:r w:rsidRPr="009B7F44">
              <w:rPr>
                <w:rStyle w:val="SCCLsocChar"/>
                <w:sz w:val="20"/>
                <w:szCs w:val="20"/>
                <w:lang w:val="en-CA"/>
              </w:rPr>
              <w:t xml:space="preserve">, Neil Fraser, Richard Smith, Robert </w:t>
            </w:r>
            <w:proofErr w:type="spellStart"/>
            <w:r w:rsidRPr="009B7F44">
              <w:rPr>
                <w:rStyle w:val="SCCLsocChar"/>
                <w:sz w:val="20"/>
                <w:szCs w:val="20"/>
                <w:lang w:val="en-CA"/>
              </w:rPr>
              <w:t>Leckie</w:t>
            </w:r>
            <w:proofErr w:type="spellEnd"/>
            <w:r w:rsidRPr="009B7F44">
              <w:rPr>
                <w:rStyle w:val="SCCLsocChar"/>
                <w:sz w:val="20"/>
                <w:szCs w:val="20"/>
                <w:lang w:val="en-CA"/>
              </w:rPr>
              <w:t>,  Fred Granville and United Steelworkers</w:t>
            </w:r>
            <w:r w:rsidRPr="002622ED">
              <w:rPr>
                <w:sz w:val="20"/>
                <w:szCs w:val="20"/>
              </w:rPr>
              <w:t xml:space="preserve"> (Ont.) (Civil) (By Leave)</w:t>
            </w:r>
          </w:p>
          <w:p w:rsidR="009B7F44" w:rsidRPr="002622ED" w:rsidRDefault="009B7F44" w:rsidP="00A27223">
            <w:pPr>
              <w:rPr>
                <w:sz w:val="20"/>
                <w:szCs w:val="20"/>
              </w:rPr>
            </w:pPr>
          </w:p>
        </w:tc>
      </w:tr>
      <w:tr w:rsidR="009B7F44" w:rsidRPr="002622ED" w:rsidTr="00A27223">
        <w:trPr>
          <w:cantSplit/>
        </w:trPr>
        <w:tc>
          <w:tcPr>
            <w:tcW w:w="1458" w:type="dxa"/>
          </w:tcPr>
          <w:p w:rsidR="009B7F44" w:rsidRPr="002622ED" w:rsidRDefault="009B7F44" w:rsidP="00A27223">
            <w:pPr>
              <w:rPr>
                <w:sz w:val="20"/>
                <w:szCs w:val="20"/>
              </w:rPr>
            </w:pPr>
            <w:r w:rsidRPr="002622ED">
              <w:rPr>
                <w:sz w:val="20"/>
                <w:szCs w:val="20"/>
              </w:rPr>
              <w:t>Coram :</w:t>
            </w:r>
          </w:p>
        </w:tc>
        <w:tc>
          <w:tcPr>
            <w:tcW w:w="8118" w:type="dxa"/>
          </w:tcPr>
          <w:p w:rsidR="009B7F44" w:rsidRPr="002622ED" w:rsidRDefault="009B7F44" w:rsidP="00A27223">
            <w:pPr>
              <w:rPr>
                <w:sz w:val="20"/>
                <w:szCs w:val="20"/>
              </w:rPr>
            </w:pPr>
            <w:proofErr w:type="spellStart"/>
            <w:r w:rsidRPr="009B7F44">
              <w:rPr>
                <w:rStyle w:val="SCCCoramChar"/>
                <w:sz w:val="20"/>
                <w:szCs w:val="20"/>
                <w:lang w:val="en-CA"/>
              </w:rPr>
              <w:t>LeBel</w:t>
            </w:r>
            <w:proofErr w:type="spellEnd"/>
            <w:r w:rsidRPr="009B7F44">
              <w:rPr>
                <w:rStyle w:val="SCCCoramChar"/>
                <w:sz w:val="20"/>
                <w:szCs w:val="20"/>
                <w:lang w:val="en-CA"/>
              </w:rPr>
              <w:t>, Fish and Cromwell JJ.</w:t>
            </w:r>
          </w:p>
          <w:p w:rsidR="009B7F44" w:rsidRPr="002622ED" w:rsidRDefault="009B7F44" w:rsidP="00A27223">
            <w:pPr>
              <w:rPr>
                <w:sz w:val="20"/>
                <w:szCs w:val="20"/>
                <w:u w:val="single"/>
              </w:rPr>
            </w:pPr>
          </w:p>
        </w:tc>
      </w:tr>
      <w:tr w:rsidR="009B7F44" w:rsidRPr="008608D5" w:rsidTr="00A27223">
        <w:trPr>
          <w:cantSplit/>
        </w:trPr>
        <w:tc>
          <w:tcPr>
            <w:tcW w:w="9576" w:type="dxa"/>
            <w:gridSpan w:val="2"/>
          </w:tcPr>
          <w:p w:rsidR="009B7F44" w:rsidRPr="002622ED" w:rsidRDefault="009B7F44" w:rsidP="00A27223">
            <w:pPr>
              <w:pStyle w:val="SCCShortJudgment"/>
              <w:rPr>
                <w:szCs w:val="20"/>
              </w:rPr>
            </w:pPr>
            <w:r w:rsidRPr="002622ED">
              <w:rPr>
                <w:szCs w:val="20"/>
              </w:rPr>
              <w:t>The motion to strike out the affidavit of Jay Swartz from the Application Record of FTI Consulting Canada ULC is granted without costs. The applications for leave to appeal from the judgment of the Court of Appeal for Ontario, Numbers C52187 and C52346, 2011 ONCA 265, dated April 7, 2011, are granted with costs in the cause.</w:t>
            </w:r>
          </w:p>
          <w:p w:rsidR="009B7F44" w:rsidRPr="002622ED" w:rsidRDefault="009B7F44" w:rsidP="00A27223">
            <w:pPr>
              <w:pStyle w:val="SCCShortJudgment"/>
              <w:ind w:firstLine="0"/>
              <w:rPr>
                <w:szCs w:val="20"/>
              </w:rPr>
            </w:pPr>
          </w:p>
          <w:p w:rsidR="009B7F44" w:rsidRPr="002622ED" w:rsidRDefault="009B7F44" w:rsidP="00A27223">
            <w:pPr>
              <w:pStyle w:val="SCCShortJudgment"/>
              <w:rPr>
                <w:szCs w:val="20"/>
                <w:lang w:val="fr-CA"/>
              </w:rPr>
            </w:pPr>
            <w:r w:rsidRPr="002622ED">
              <w:rPr>
                <w:szCs w:val="20"/>
                <w:lang w:val="fr-CA"/>
              </w:rPr>
              <w:t xml:space="preserve">La requête pour radier l’affidavit de Jay </w:t>
            </w:r>
            <w:proofErr w:type="spellStart"/>
            <w:r w:rsidRPr="002622ED">
              <w:rPr>
                <w:szCs w:val="20"/>
                <w:lang w:val="fr-CA"/>
              </w:rPr>
              <w:t>Swartz</w:t>
            </w:r>
            <w:proofErr w:type="spellEnd"/>
            <w:r w:rsidRPr="002622ED">
              <w:rPr>
                <w:szCs w:val="20"/>
                <w:lang w:val="fr-CA"/>
              </w:rPr>
              <w:t xml:space="preserve"> du dossier de la demande de FTI Consulting Canada ULC est accordée sans dépens. Les demandes d’autorisation d’appel de l’arrêt de la Cour d’appel de l’Ontario, numéros C52187 et C52346, 2011 ONCA 265, daté du 7 avril 2011, sont accordées avec dépens suivant l’issue de la cause.</w:t>
            </w:r>
          </w:p>
        </w:tc>
      </w:tr>
    </w:tbl>
    <w:p w:rsidR="00C454C8" w:rsidRDefault="00C454C8" w:rsidP="00C454C8">
      <w:pPr>
        <w:rPr>
          <w:sz w:val="20"/>
          <w:szCs w:val="20"/>
          <w:lang w:val="fr-CA"/>
        </w:rPr>
      </w:pPr>
    </w:p>
    <w:p w:rsidR="00C454C8" w:rsidRPr="00517AED" w:rsidRDefault="00C454C8" w:rsidP="00C454C8">
      <w:pPr>
        <w:rPr>
          <w:sz w:val="20"/>
          <w:szCs w:val="20"/>
          <w:u w:val="single"/>
        </w:rPr>
      </w:pPr>
      <w:r w:rsidRPr="00517AED">
        <w:rPr>
          <w:sz w:val="20"/>
          <w:szCs w:val="20"/>
          <w:u w:val="single"/>
        </w:rPr>
        <w:t>CASE SUMMARY</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587A4D" w:rsidRPr="006D4413" w:rsidTr="004C3B4A">
        <w:tc>
          <w:tcPr>
            <w:tcW w:w="5000" w:type="pct"/>
            <w:gridSpan w:val="3"/>
          </w:tcPr>
          <w:p w:rsidR="00587A4D" w:rsidRPr="006D4413" w:rsidRDefault="00587A4D" w:rsidP="004C3B4A">
            <w:pPr>
              <w:jc w:val="both"/>
              <w:rPr>
                <w:rFonts w:eastAsia="Calibri"/>
                <w:sz w:val="20"/>
                <w:szCs w:val="20"/>
              </w:rPr>
            </w:pPr>
            <w:r w:rsidRPr="006D4413">
              <w:rPr>
                <w:rFonts w:eastAsia="Calibri"/>
                <w:sz w:val="20"/>
                <w:szCs w:val="20"/>
              </w:rPr>
              <w:t xml:space="preserve">Pensions – Deemed trust provisions – Bankruptcy and Insolvency – Priorities – </w:t>
            </w:r>
            <w:proofErr w:type="spellStart"/>
            <w:r w:rsidRPr="006D4413">
              <w:rPr>
                <w:rFonts w:eastAsia="Calibri"/>
                <w:sz w:val="20"/>
                <w:szCs w:val="20"/>
              </w:rPr>
              <w:t>Paramountcy</w:t>
            </w:r>
            <w:proofErr w:type="spellEnd"/>
            <w:r w:rsidRPr="006D4413">
              <w:rPr>
                <w:rFonts w:eastAsia="Calibri"/>
                <w:sz w:val="20"/>
                <w:szCs w:val="20"/>
              </w:rPr>
              <w:t xml:space="preserve"> – Fiduciary duty – Pension administrators - Legislation – Interpretation - Does the </w:t>
            </w:r>
            <w:r w:rsidRPr="006D4413">
              <w:rPr>
                <w:rFonts w:eastAsia="Calibri"/>
                <w:i/>
                <w:sz w:val="20"/>
                <w:szCs w:val="20"/>
              </w:rPr>
              <w:t>Pension Benefits Act</w:t>
            </w:r>
            <w:r w:rsidRPr="006D4413">
              <w:rPr>
                <w:rFonts w:eastAsia="Calibri"/>
                <w:sz w:val="20"/>
                <w:szCs w:val="20"/>
              </w:rPr>
              <w:t xml:space="preserve">, R.S.O. 1990, c. P-8 create a deemed trust for a pension plan wind-up deficiency - Whether deemed trust in favour of pension plan beneficiaries under provincial pension legislation prevails over a court ordered super-priority given to debtor-in-possession lenders - Whether the Court of Appeal erred in holding that a </w:t>
            </w:r>
            <w:r w:rsidRPr="006D4413">
              <w:rPr>
                <w:rFonts w:eastAsia="Calibri"/>
                <w:i/>
                <w:sz w:val="20"/>
                <w:szCs w:val="20"/>
              </w:rPr>
              <w:t>Companies’ Creditors Arrangement Ac</w:t>
            </w:r>
            <w:r w:rsidRPr="006D4413">
              <w:rPr>
                <w:rFonts w:eastAsia="Calibri"/>
                <w:sz w:val="20"/>
                <w:szCs w:val="20"/>
              </w:rPr>
              <w:t>t, R.S.C. 1985, c. C-36 (“</w:t>
            </w:r>
            <w:r w:rsidRPr="006D4413">
              <w:rPr>
                <w:rFonts w:eastAsia="Calibri"/>
                <w:i/>
                <w:sz w:val="20"/>
                <w:szCs w:val="20"/>
              </w:rPr>
              <w:t>CCAA</w:t>
            </w:r>
            <w:r w:rsidRPr="006D4413">
              <w:rPr>
                <w:rFonts w:eastAsia="Calibri"/>
                <w:sz w:val="20"/>
                <w:szCs w:val="20"/>
              </w:rPr>
              <w:t xml:space="preserve">”) debtor is a fiduciary to pensioners when making decisions to borrow money under a “debtor in possession” loan and to sell its assets, both pursuant to Court Orders - Whether the Court of Appeal erred in holding that a constructive trust with super-priority can be granted as a remedy for alleged breaches of fiduciary duties in liquidating </w:t>
            </w:r>
            <w:r w:rsidRPr="006D4413">
              <w:rPr>
                <w:rFonts w:eastAsia="Calibri"/>
                <w:i/>
                <w:sz w:val="20"/>
                <w:szCs w:val="20"/>
              </w:rPr>
              <w:t>CCAA</w:t>
            </w:r>
            <w:r w:rsidRPr="006D4413">
              <w:rPr>
                <w:rFonts w:eastAsia="Calibri"/>
                <w:sz w:val="20"/>
                <w:szCs w:val="20"/>
              </w:rPr>
              <w:t xml:space="preserve"> proceedings to avoid the application of federal bankruptcy priorities - Does a company’s need to take steps under the </w:t>
            </w:r>
            <w:r w:rsidRPr="006D4413">
              <w:rPr>
                <w:rFonts w:eastAsia="Calibri"/>
                <w:i/>
                <w:sz w:val="20"/>
                <w:szCs w:val="20"/>
              </w:rPr>
              <w:t>CCAA</w:t>
            </w:r>
            <w:r w:rsidRPr="006D4413">
              <w:rPr>
                <w:rFonts w:eastAsia="Calibri"/>
                <w:sz w:val="20"/>
                <w:szCs w:val="20"/>
              </w:rPr>
              <w:t xml:space="preserve"> place it in an irremediable conflict with its fiduciary obligations as administrator of a pension plan - Can a super-priority charge, granted by a supervising judge under the </w:t>
            </w:r>
            <w:r w:rsidRPr="006D4413">
              <w:rPr>
                <w:rFonts w:eastAsia="Calibri"/>
                <w:i/>
                <w:sz w:val="20"/>
                <w:szCs w:val="20"/>
              </w:rPr>
              <w:t>CCAA</w:t>
            </w:r>
            <w:r w:rsidRPr="006D4413">
              <w:rPr>
                <w:rFonts w:eastAsia="Calibri"/>
                <w:sz w:val="20"/>
                <w:szCs w:val="20"/>
              </w:rPr>
              <w:t xml:space="preserve"> pursuant to an order that has not been appealed, be retroactively revoked to the detriment of parties who have advanced funds in reliance thereon - Whether the Court of Appeal erred in holding that because the court Orders that granted a debtor-in-possession loan super-priority failed to sufficiently invoke </w:t>
            </w:r>
            <w:proofErr w:type="spellStart"/>
            <w:r w:rsidRPr="006D4413">
              <w:rPr>
                <w:rFonts w:eastAsia="Calibri"/>
                <w:sz w:val="20"/>
                <w:szCs w:val="20"/>
              </w:rPr>
              <w:t>paramountcy</w:t>
            </w:r>
            <w:proofErr w:type="spellEnd"/>
            <w:r w:rsidRPr="006D4413">
              <w:rPr>
                <w:rFonts w:eastAsia="Calibri"/>
                <w:sz w:val="20"/>
                <w:szCs w:val="20"/>
              </w:rPr>
              <w:t xml:space="preserve">, there was no operational conflict between: (a) recognition of the provincial priority for deemed trusts; and (b) the requirements of federal priority and the Orders made under the </w:t>
            </w:r>
            <w:r w:rsidRPr="006D4413">
              <w:rPr>
                <w:rFonts w:eastAsia="Calibri"/>
                <w:i/>
                <w:sz w:val="20"/>
                <w:szCs w:val="20"/>
              </w:rPr>
              <w:t>CCAA</w:t>
            </w:r>
            <w:r w:rsidRPr="006D4413">
              <w:rPr>
                <w:rFonts w:eastAsia="Calibri"/>
                <w:sz w:val="20"/>
                <w:szCs w:val="20"/>
              </w:rPr>
              <w:t xml:space="preserve"> for the payment of the same money to others - Whether the Court of Appeal erred in failing to follow the decisions of </w:t>
            </w:r>
            <w:r w:rsidRPr="006D4413">
              <w:rPr>
                <w:rFonts w:eastAsia="Calibri"/>
                <w:i/>
                <w:sz w:val="20"/>
                <w:szCs w:val="20"/>
              </w:rPr>
              <w:t>Century Services Inc. v. Canada (Attorney General)</w:t>
            </w:r>
            <w:r w:rsidRPr="006D4413">
              <w:rPr>
                <w:rFonts w:eastAsia="Calibri"/>
                <w:sz w:val="20"/>
                <w:szCs w:val="20"/>
              </w:rPr>
              <w:t xml:space="preserve">, 2010 SCC 60, [2010] 3 S.C.R. 379 and </w:t>
            </w:r>
            <w:proofErr w:type="spellStart"/>
            <w:r w:rsidRPr="006D4413">
              <w:rPr>
                <w:rFonts w:eastAsia="Calibri"/>
                <w:i/>
                <w:sz w:val="20"/>
                <w:szCs w:val="20"/>
              </w:rPr>
              <w:t>Ivaco</w:t>
            </w:r>
            <w:proofErr w:type="spellEnd"/>
            <w:r w:rsidRPr="006D4413">
              <w:rPr>
                <w:rFonts w:eastAsia="Calibri"/>
                <w:i/>
                <w:sz w:val="20"/>
                <w:szCs w:val="20"/>
              </w:rPr>
              <w:t xml:space="preserve"> Inc., Re</w:t>
            </w:r>
            <w:r w:rsidRPr="006D4413">
              <w:rPr>
                <w:rFonts w:eastAsia="Calibri"/>
                <w:sz w:val="20"/>
                <w:szCs w:val="20"/>
              </w:rPr>
              <w:t xml:space="preserve"> (2006), 83 O.R. (3d) 108 (C.A.).</w:t>
            </w:r>
          </w:p>
        </w:tc>
      </w:tr>
      <w:tr w:rsidR="00587A4D" w:rsidRPr="006D4413" w:rsidTr="004C3B4A">
        <w:tc>
          <w:tcPr>
            <w:tcW w:w="5000" w:type="pct"/>
            <w:gridSpan w:val="3"/>
          </w:tcPr>
          <w:p w:rsidR="00587A4D" w:rsidRPr="006D4413" w:rsidRDefault="00587A4D" w:rsidP="004C3B4A">
            <w:pPr>
              <w:jc w:val="both"/>
              <w:rPr>
                <w:rFonts w:eastAsia="Calibri"/>
                <w:sz w:val="20"/>
                <w:szCs w:val="20"/>
              </w:rPr>
            </w:pPr>
          </w:p>
        </w:tc>
      </w:tr>
      <w:tr w:rsidR="00587A4D" w:rsidRPr="006D4413" w:rsidTr="004C3B4A">
        <w:tc>
          <w:tcPr>
            <w:tcW w:w="5000" w:type="pct"/>
            <w:gridSpan w:val="3"/>
          </w:tcPr>
          <w:p w:rsidR="00587A4D" w:rsidRPr="006D4413" w:rsidRDefault="00587A4D" w:rsidP="004C3B4A">
            <w:pPr>
              <w:jc w:val="both"/>
              <w:rPr>
                <w:rFonts w:eastAsia="Calibri"/>
                <w:sz w:val="20"/>
                <w:szCs w:val="20"/>
              </w:rPr>
            </w:pPr>
            <w:proofErr w:type="spellStart"/>
            <w:r w:rsidRPr="006D4413">
              <w:rPr>
                <w:rFonts w:eastAsia="Calibri"/>
                <w:sz w:val="20"/>
                <w:szCs w:val="20"/>
              </w:rPr>
              <w:t>Indalex</w:t>
            </w:r>
            <w:proofErr w:type="spellEnd"/>
            <w:r w:rsidRPr="006D4413">
              <w:rPr>
                <w:rFonts w:eastAsia="Calibri"/>
                <w:sz w:val="20"/>
                <w:szCs w:val="20"/>
              </w:rPr>
              <w:t xml:space="preserve"> Limited, </w:t>
            </w:r>
            <w:proofErr w:type="spellStart"/>
            <w:r w:rsidRPr="006D4413">
              <w:rPr>
                <w:rFonts w:eastAsia="Calibri"/>
                <w:sz w:val="20"/>
                <w:szCs w:val="20"/>
              </w:rPr>
              <w:t>Indalex</w:t>
            </w:r>
            <w:proofErr w:type="spellEnd"/>
            <w:r w:rsidRPr="006D4413">
              <w:rPr>
                <w:rFonts w:eastAsia="Calibri"/>
                <w:sz w:val="20"/>
                <w:szCs w:val="20"/>
              </w:rPr>
              <w:t xml:space="preserve"> Holdings (B.C.) Ltd., 6326765 Canada Inc. and Novar Inc. (collectively referred to as “</w:t>
            </w:r>
            <w:proofErr w:type="spellStart"/>
            <w:r w:rsidRPr="006D4413">
              <w:rPr>
                <w:rFonts w:eastAsia="Calibri"/>
                <w:sz w:val="20"/>
                <w:szCs w:val="20"/>
              </w:rPr>
              <w:t>Indalex</w:t>
            </w:r>
            <w:proofErr w:type="spellEnd"/>
            <w:r w:rsidRPr="006D4413">
              <w:rPr>
                <w:rFonts w:eastAsia="Calibri"/>
                <w:sz w:val="20"/>
                <w:szCs w:val="20"/>
              </w:rPr>
              <w:t xml:space="preserve">”) obtained </w:t>
            </w:r>
            <w:r w:rsidRPr="006D4413">
              <w:rPr>
                <w:rFonts w:eastAsia="Calibri"/>
                <w:i/>
                <w:sz w:val="20"/>
                <w:szCs w:val="20"/>
              </w:rPr>
              <w:t>CCAA</w:t>
            </w:r>
            <w:r w:rsidRPr="006D4413">
              <w:rPr>
                <w:rFonts w:eastAsia="Calibri"/>
                <w:sz w:val="20"/>
                <w:szCs w:val="20"/>
              </w:rPr>
              <w:t xml:space="preserve"> protection. At the time, its two pension plans were underfunded and one was being wound up. FTI Consulting Canada ULC was appointed as monitor. By court order, </w:t>
            </w:r>
            <w:proofErr w:type="spellStart"/>
            <w:r w:rsidRPr="006D4413">
              <w:rPr>
                <w:rFonts w:eastAsia="Calibri"/>
                <w:sz w:val="20"/>
                <w:szCs w:val="20"/>
              </w:rPr>
              <w:t>Indalex</w:t>
            </w:r>
            <w:proofErr w:type="spellEnd"/>
            <w:r w:rsidRPr="006D4413">
              <w:rPr>
                <w:rFonts w:eastAsia="Calibri"/>
                <w:sz w:val="20"/>
                <w:szCs w:val="20"/>
              </w:rPr>
              <w:t xml:space="preserve"> was authorized to borrow funds under a DIP credit agreement, and the DIP lenders were granted a “super-priority” charge. The obligation to pay the DIP lenders was guaranteed by </w:t>
            </w:r>
            <w:proofErr w:type="spellStart"/>
            <w:r w:rsidRPr="006D4413">
              <w:rPr>
                <w:rFonts w:eastAsia="Calibri"/>
                <w:sz w:val="20"/>
                <w:szCs w:val="20"/>
              </w:rPr>
              <w:t>Indalex’s</w:t>
            </w:r>
            <w:proofErr w:type="spellEnd"/>
            <w:r w:rsidRPr="006D4413">
              <w:rPr>
                <w:rFonts w:eastAsia="Calibri"/>
                <w:sz w:val="20"/>
                <w:szCs w:val="20"/>
              </w:rPr>
              <w:t xml:space="preserve"> parent company and its affiliates (“</w:t>
            </w:r>
            <w:proofErr w:type="spellStart"/>
            <w:r w:rsidRPr="006D4413">
              <w:rPr>
                <w:rFonts w:eastAsia="Calibri"/>
                <w:sz w:val="20"/>
                <w:szCs w:val="20"/>
              </w:rPr>
              <w:t>Indalex</w:t>
            </w:r>
            <w:proofErr w:type="spellEnd"/>
            <w:r w:rsidRPr="006D4413">
              <w:rPr>
                <w:rFonts w:eastAsia="Calibri"/>
                <w:sz w:val="20"/>
                <w:szCs w:val="20"/>
              </w:rPr>
              <w:t xml:space="preserve"> U.S”).  The court approved the sale of </w:t>
            </w:r>
            <w:proofErr w:type="spellStart"/>
            <w:r w:rsidRPr="006D4413">
              <w:rPr>
                <w:rFonts w:eastAsia="Calibri"/>
                <w:sz w:val="20"/>
                <w:szCs w:val="20"/>
              </w:rPr>
              <w:t>Indalex’s</w:t>
            </w:r>
            <w:proofErr w:type="spellEnd"/>
            <w:r w:rsidRPr="006D4413">
              <w:rPr>
                <w:rFonts w:eastAsia="Calibri"/>
                <w:sz w:val="20"/>
                <w:szCs w:val="20"/>
              </w:rPr>
              <w:t xml:space="preserve"> assets on a going–concern basis, but United Steelworkers (“USW”) and representatives of former </w:t>
            </w:r>
            <w:r w:rsidRPr="006D4413">
              <w:rPr>
                <w:rFonts w:eastAsia="Calibri"/>
                <w:sz w:val="20"/>
                <w:szCs w:val="20"/>
              </w:rPr>
              <w:lastRenderedPageBreak/>
              <w:t xml:space="preserve">executives of </w:t>
            </w:r>
            <w:proofErr w:type="spellStart"/>
            <w:r w:rsidRPr="006D4413">
              <w:rPr>
                <w:rFonts w:eastAsia="Calibri"/>
                <w:sz w:val="20"/>
                <w:szCs w:val="20"/>
              </w:rPr>
              <w:t>Indalex</w:t>
            </w:r>
            <w:proofErr w:type="spellEnd"/>
            <w:r w:rsidRPr="006D4413">
              <w:rPr>
                <w:rFonts w:eastAsia="Calibri"/>
                <w:sz w:val="20"/>
                <w:szCs w:val="20"/>
              </w:rPr>
              <w:t xml:space="preserve"> (the “Retirees”) challenged the distribution of the sale proceeds to the DIP lenders. They brought motions for a declaration that there were deemed trusts in favour of pension beneficiaries to the extent of the fund deficiencies and for orders for the release and payment of those amounts. Meanwhile, </w:t>
            </w:r>
            <w:proofErr w:type="spellStart"/>
            <w:r w:rsidRPr="006D4413">
              <w:rPr>
                <w:rFonts w:eastAsia="Calibri"/>
                <w:sz w:val="20"/>
                <w:szCs w:val="20"/>
              </w:rPr>
              <w:t>Indalex</w:t>
            </w:r>
            <w:proofErr w:type="spellEnd"/>
            <w:r w:rsidRPr="006D4413">
              <w:rPr>
                <w:rFonts w:eastAsia="Calibri"/>
                <w:sz w:val="20"/>
                <w:szCs w:val="20"/>
              </w:rPr>
              <w:t xml:space="preserve"> brought a motion to lift the stay under the CCAA and assign itself into bankruptcy.</w:t>
            </w:r>
          </w:p>
          <w:p w:rsidR="00587A4D" w:rsidRPr="006D4413" w:rsidRDefault="00587A4D" w:rsidP="004C3B4A">
            <w:pPr>
              <w:jc w:val="both"/>
              <w:rPr>
                <w:rFonts w:eastAsia="Calibri"/>
                <w:sz w:val="20"/>
                <w:szCs w:val="20"/>
              </w:rPr>
            </w:pPr>
          </w:p>
          <w:p w:rsidR="00587A4D" w:rsidRPr="006D4413" w:rsidRDefault="00587A4D" w:rsidP="004C3B4A">
            <w:pPr>
              <w:jc w:val="both"/>
              <w:rPr>
                <w:rFonts w:eastAsia="Calibri"/>
                <w:sz w:val="20"/>
                <w:szCs w:val="20"/>
              </w:rPr>
            </w:pPr>
            <w:r w:rsidRPr="006D4413">
              <w:rPr>
                <w:rFonts w:eastAsia="Calibri"/>
                <w:sz w:val="20"/>
                <w:szCs w:val="20"/>
              </w:rPr>
              <w:t xml:space="preserve">The Ontario Superior Court of Justice dismissed motions by USW and the Retirees, finding that there had been no deemed trusts in favour of the pension plans at the time of the sale of </w:t>
            </w:r>
            <w:proofErr w:type="spellStart"/>
            <w:r w:rsidRPr="006D4413">
              <w:rPr>
                <w:rFonts w:eastAsia="Calibri"/>
                <w:sz w:val="20"/>
                <w:szCs w:val="20"/>
              </w:rPr>
              <w:t>Indalex’s</w:t>
            </w:r>
            <w:proofErr w:type="spellEnd"/>
            <w:r w:rsidRPr="006D4413">
              <w:rPr>
                <w:rFonts w:eastAsia="Calibri"/>
                <w:sz w:val="20"/>
                <w:szCs w:val="20"/>
              </w:rPr>
              <w:t xml:space="preserve"> assets. The Court dismissed </w:t>
            </w:r>
            <w:proofErr w:type="spellStart"/>
            <w:r w:rsidRPr="006D4413">
              <w:rPr>
                <w:rFonts w:eastAsia="Calibri"/>
                <w:sz w:val="20"/>
                <w:szCs w:val="20"/>
              </w:rPr>
              <w:t>Indalex’s</w:t>
            </w:r>
            <w:proofErr w:type="spellEnd"/>
            <w:r w:rsidRPr="006D4413">
              <w:rPr>
                <w:rFonts w:eastAsia="Calibri"/>
                <w:sz w:val="20"/>
                <w:szCs w:val="20"/>
              </w:rPr>
              <w:t xml:space="preserve"> motion as unnecessary. The Ontario Court of Appeal allowed the appeal. The Court declared that there was a deemed trust in favour of one pension plan and breaches of common law and </w:t>
            </w:r>
            <w:proofErr w:type="spellStart"/>
            <w:r w:rsidRPr="006D4413">
              <w:rPr>
                <w:rFonts w:eastAsia="Calibri"/>
                <w:sz w:val="20"/>
                <w:szCs w:val="20"/>
              </w:rPr>
              <w:t>statutoru</w:t>
            </w:r>
            <w:proofErr w:type="spellEnd"/>
            <w:r w:rsidRPr="006D4413">
              <w:rPr>
                <w:rFonts w:eastAsia="Calibri"/>
                <w:sz w:val="20"/>
                <w:szCs w:val="20"/>
              </w:rPr>
              <w:t xml:space="preserve"> fiduciary duties resulting in a constructive trust in favour of the other pension plan. The plans were declared to have priority and the deficiencies were ordered to be paid out of the reserve fund.</w:t>
            </w:r>
          </w:p>
          <w:p w:rsidR="00587A4D" w:rsidRPr="006D4413" w:rsidRDefault="00587A4D" w:rsidP="004C3B4A">
            <w:pPr>
              <w:jc w:val="both"/>
              <w:rPr>
                <w:rFonts w:eastAsia="Calibri"/>
                <w:sz w:val="20"/>
                <w:szCs w:val="20"/>
              </w:rPr>
            </w:pPr>
          </w:p>
        </w:tc>
      </w:tr>
      <w:tr w:rsidR="00587A4D" w:rsidRPr="006D4413" w:rsidTr="004C3B4A">
        <w:tc>
          <w:tcPr>
            <w:tcW w:w="2427" w:type="pct"/>
          </w:tcPr>
          <w:p w:rsidR="00587A4D" w:rsidRPr="006D4413" w:rsidRDefault="00587A4D" w:rsidP="004C3B4A">
            <w:pPr>
              <w:jc w:val="both"/>
              <w:rPr>
                <w:rFonts w:eastAsia="Calibri"/>
                <w:sz w:val="20"/>
                <w:szCs w:val="20"/>
              </w:rPr>
            </w:pPr>
            <w:r w:rsidRPr="006D4413">
              <w:rPr>
                <w:rFonts w:eastAsia="Calibri"/>
                <w:sz w:val="20"/>
                <w:szCs w:val="20"/>
              </w:rPr>
              <w:lastRenderedPageBreak/>
              <w:t>February 18, 2010</w:t>
            </w:r>
          </w:p>
          <w:p w:rsidR="00587A4D" w:rsidRPr="006D4413" w:rsidRDefault="00587A4D" w:rsidP="004C3B4A">
            <w:pPr>
              <w:jc w:val="both"/>
              <w:rPr>
                <w:rFonts w:eastAsia="Calibri"/>
                <w:sz w:val="20"/>
                <w:szCs w:val="20"/>
              </w:rPr>
            </w:pPr>
            <w:r w:rsidRPr="006D4413">
              <w:rPr>
                <w:rFonts w:eastAsia="Calibri"/>
                <w:sz w:val="20"/>
                <w:szCs w:val="20"/>
              </w:rPr>
              <w:t>Ontario Superior Court of Justice</w:t>
            </w:r>
          </w:p>
          <w:p w:rsidR="00587A4D" w:rsidRPr="006D4413" w:rsidRDefault="00587A4D" w:rsidP="004C3B4A">
            <w:pPr>
              <w:jc w:val="both"/>
              <w:rPr>
                <w:rFonts w:eastAsia="Calibri"/>
                <w:sz w:val="20"/>
                <w:szCs w:val="20"/>
              </w:rPr>
            </w:pPr>
            <w:r w:rsidRPr="006D4413">
              <w:rPr>
                <w:rFonts w:eastAsia="Calibri"/>
                <w:sz w:val="20"/>
                <w:szCs w:val="20"/>
              </w:rPr>
              <w:t>(Campbell J.)</w:t>
            </w:r>
          </w:p>
          <w:p w:rsidR="00587A4D" w:rsidRPr="006D4413" w:rsidRDefault="00587A4D" w:rsidP="004C3B4A">
            <w:pPr>
              <w:jc w:val="both"/>
              <w:rPr>
                <w:rFonts w:eastAsia="Calibri"/>
                <w:sz w:val="20"/>
                <w:szCs w:val="20"/>
              </w:rPr>
            </w:pPr>
            <w:r w:rsidRPr="006D4413">
              <w:rPr>
                <w:rFonts w:eastAsia="Calibri"/>
                <w:sz w:val="20"/>
                <w:szCs w:val="20"/>
              </w:rPr>
              <w:t>2010 ONSC1114</w:t>
            </w:r>
          </w:p>
          <w:p w:rsidR="00587A4D" w:rsidRPr="006D4413" w:rsidRDefault="00587A4D" w:rsidP="004C3B4A">
            <w:pPr>
              <w:jc w:val="both"/>
              <w:rPr>
                <w:rFonts w:eastAsia="Calibri"/>
                <w:sz w:val="20"/>
                <w:szCs w:val="20"/>
              </w:rPr>
            </w:pPr>
          </w:p>
        </w:tc>
        <w:tc>
          <w:tcPr>
            <w:tcW w:w="243" w:type="pct"/>
          </w:tcPr>
          <w:p w:rsidR="00587A4D" w:rsidRPr="006D4413" w:rsidRDefault="00587A4D" w:rsidP="004C3B4A">
            <w:pPr>
              <w:jc w:val="both"/>
              <w:rPr>
                <w:rFonts w:eastAsia="Calibri"/>
                <w:sz w:val="20"/>
                <w:szCs w:val="20"/>
              </w:rPr>
            </w:pPr>
          </w:p>
        </w:tc>
        <w:tc>
          <w:tcPr>
            <w:tcW w:w="2330" w:type="pct"/>
          </w:tcPr>
          <w:p w:rsidR="00587A4D" w:rsidRPr="006D4413" w:rsidRDefault="00587A4D" w:rsidP="004C3B4A">
            <w:pPr>
              <w:jc w:val="both"/>
              <w:rPr>
                <w:rFonts w:eastAsia="Calibri"/>
                <w:sz w:val="20"/>
                <w:szCs w:val="20"/>
              </w:rPr>
            </w:pPr>
            <w:r w:rsidRPr="006D4413">
              <w:rPr>
                <w:rFonts w:eastAsia="Calibri"/>
                <w:sz w:val="20"/>
                <w:szCs w:val="20"/>
              </w:rPr>
              <w:t xml:space="preserve">Motions for declaration of deemed trust and Order of payment of amount of deficiencies out of reserve fund, dismissed; Motion for lifting of stay and assignment into bankruptcy, dismissed </w:t>
            </w:r>
          </w:p>
        </w:tc>
      </w:tr>
      <w:tr w:rsidR="00587A4D" w:rsidRPr="006D4413" w:rsidTr="004C3B4A">
        <w:tc>
          <w:tcPr>
            <w:tcW w:w="2427" w:type="pct"/>
          </w:tcPr>
          <w:p w:rsidR="00587A4D" w:rsidRPr="006D4413" w:rsidRDefault="00587A4D" w:rsidP="004C3B4A">
            <w:pPr>
              <w:jc w:val="both"/>
              <w:rPr>
                <w:rFonts w:eastAsia="Calibri"/>
                <w:sz w:val="20"/>
                <w:szCs w:val="20"/>
              </w:rPr>
            </w:pPr>
            <w:r w:rsidRPr="006D4413">
              <w:rPr>
                <w:rFonts w:eastAsia="Calibri"/>
                <w:sz w:val="20"/>
                <w:szCs w:val="20"/>
              </w:rPr>
              <w:t>April 7, 2011</w:t>
            </w:r>
          </w:p>
          <w:p w:rsidR="00587A4D" w:rsidRPr="006D4413" w:rsidRDefault="00587A4D" w:rsidP="004C3B4A">
            <w:pPr>
              <w:jc w:val="both"/>
              <w:rPr>
                <w:rFonts w:eastAsia="Calibri"/>
                <w:sz w:val="20"/>
                <w:szCs w:val="20"/>
              </w:rPr>
            </w:pPr>
            <w:r w:rsidRPr="006D4413">
              <w:rPr>
                <w:rFonts w:eastAsia="Calibri"/>
                <w:sz w:val="20"/>
                <w:szCs w:val="20"/>
              </w:rPr>
              <w:t>Court of Appeal for Ontario</w:t>
            </w:r>
          </w:p>
          <w:p w:rsidR="00587A4D" w:rsidRPr="006D4413" w:rsidRDefault="00587A4D" w:rsidP="004C3B4A">
            <w:pPr>
              <w:jc w:val="both"/>
              <w:rPr>
                <w:rFonts w:eastAsia="Calibri"/>
                <w:sz w:val="20"/>
                <w:szCs w:val="20"/>
              </w:rPr>
            </w:pPr>
            <w:r w:rsidRPr="006D4413">
              <w:rPr>
                <w:rFonts w:eastAsia="Calibri"/>
                <w:sz w:val="20"/>
                <w:szCs w:val="20"/>
              </w:rPr>
              <w:t>(</w:t>
            </w:r>
            <w:proofErr w:type="spellStart"/>
            <w:r w:rsidRPr="006D4413">
              <w:rPr>
                <w:rFonts w:eastAsia="Calibri"/>
                <w:sz w:val="20"/>
                <w:szCs w:val="20"/>
              </w:rPr>
              <w:t>Gillese</w:t>
            </w:r>
            <w:proofErr w:type="spellEnd"/>
            <w:r w:rsidRPr="006D4413">
              <w:rPr>
                <w:rFonts w:eastAsia="Calibri"/>
                <w:sz w:val="20"/>
                <w:szCs w:val="20"/>
              </w:rPr>
              <w:t xml:space="preserve">, </w:t>
            </w:r>
            <w:proofErr w:type="spellStart"/>
            <w:r w:rsidRPr="006D4413">
              <w:rPr>
                <w:rFonts w:eastAsia="Calibri"/>
                <w:sz w:val="20"/>
                <w:szCs w:val="20"/>
              </w:rPr>
              <w:t>MacPherson</w:t>
            </w:r>
            <w:proofErr w:type="spellEnd"/>
            <w:r w:rsidRPr="006D4413">
              <w:rPr>
                <w:rFonts w:eastAsia="Calibri"/>
                <w:sz w:val="20"/>
                <w:szCs w:val="20"/>
              </w:rPr>
              <w:t xml:space="preserve"> and </w:t>
            </w:r>
            <w:proofErr w:type="spellStart"/>
            <w:r w:rsidRPr="006D4413">
              <w:rPr>
                <w:rFonts w:eastAsia="Calibri"/>
                <w:sz w:val="20"/>
                <w:szCs w:val="20"/>
              </w:rPr>
              <w:t>Juriansz</w:t>
            </w:r>
            <w:proofErr w:type="spellEnd"/>
            <w:r w:rsidRPr="006D4413">
              <w:rPr>
                <w:rFonts w:eastAsia="Calibri"/>
                <w:sz w:val="20"/>
                <w:szCs w:val="20"/>
              </w:rPr>
              <w:t xml:space="preserve"> JJ.A.)</w:t>
            </w:r>
          </w:p>
          <w:p w:rsidR="00587A4D" w:rsidRPr="006D4413" w:rsidRDefault="00587A4D" w:rsidP="004C3B4A">
            <w:pPr>
              <w:jc w:val="both"/>
              <w:rPr>
                <w:rFonts w:eastAsia="Calibri"/>
                <w:sz w:val="20"/>
                <w:szCs w:val="20"/>
              </w:rPr>
            </w:pPr>
            <w:r w:rsidRPr="006D4413">
              <w:rPr>
                <w:rFonts w:eastAsia="Calibri"/>
                <w:sz w:val="20"/>
                <w:szCs w:val="20"/>
              </w:rPr>
              <w:t>2011 ONCA 265</w:t>
            </w:r>
          </w:p>
          <w:p w:rsidR="00587A4D" w:rsidRPr="006D4413" w:rsidRDefault="00587A4D" w:rsidP="004C3B4A">
            <w:pPr>
              <w:jc w:val="both"/>
              <w:rPr>
                <w:rFonts w:eastAsia="Calibri"/>
                <w:sz w:val="20"/>
                <w:szCs w:val="20"/>
              </w:rPr>
            </w:pPr>
          </w:p>
        </w:tc>
        <w:tc>
          <w:tcPr>
            <w:tcW w:w="243" w:type="pct"/>
          </w:tcPr>
          <w:p w:rsidR="00587A4D" w:rsidRPr="006D4413" w:rsidRDefault="00587A4D" w:rsidP="004C3B4A">
            <w:pPr>
              <w:jc w:val="both"/>
              <w:rPr>
                <w:rFonts w:eastAsia="Calibri"/>
                <w:sz w:val="20"/>
                <w:szCs w:val="20"/>
              </w:rPr>
            </w:pPr>
          </w:p>
        </w:tc>
        <w:tc>
          <w:tcPr>
            <w:tcW w:w="2330" w:type="pct"/>
          </w:tcPr>
          <w:p w:rsidR="00587A4D" w:rsidRPr="006D4413" w:rsidRDefault="00587A4D" w:rsidP="004C3B4A">
            <w:pPr>
              <w:jc w:val="both"/>
              <w:rPr>
                <w:rFonts w:eastAsia="Calibri"/>
                <w:sz w:val="20"/>
                <w:szCs w:val="20"/>
              </w:rPr>
            </w:pPr>
            <w:r w:rsidRPr="006D4413">
              <w:rPr>
                <w:rFonts w:eastAsia="Calibri"/>
                <w:sz w:val="20"/>
                <w:szCs w:val="20"/>
              </w:rPr>
              <w:t xml:space="preserve">Appeal allowed; Declarations of: deemed trust, constructive trust, breaches of common law and statutory fiduciary duties, priority by plans; Order to pay deficiencies out of fund </w:t>
            </w:r>
          </w:p>
        </w:tc>
      </w:tr>
      <w:tr w:rsidR="00587A4D" w:rsidRPr="006D4413" w:rsidTr="004C3B4A">
        <w:tc>
          <w:tcPr>
            <w:tcW w:w="2427" w:type="pct"/>
          </w:tcPr>
          <w:p w:rsidR="00587A4D" w:rsidRPr="006D4413" w:rsidRDefault="00587A4D" w:rsidP="004C3B4A">
            <w:pPr>
              <w:jc w:val="both"/>
              <w:rPr>
                <w:rFonts w:eastAsia="Calibri"/>
                <w:sz w:val="20"/>
                <w:szCs w:val="20"/>
              </w:rPr>
            </w:pPr>
            <w:r w:rsidRPr="006D4413">
              <w:rPr>
                <w:rFonts w:eastAsia="Calibri"/>
                <w:sz w:val="20"/>
                <w:szCs w:val="20"/>
              </w:rPr>
              <w:t>June 6, 2011</w:t>
            </w:r>
          </w:p>
          <w:p w:rsidR="00587A4D" w:rsidRPr="006D4413" w:rsidRDefault="00587A4D" w:rsidP="004C3B4A">
            <w:pPr>
              <w:jc w:val="both"/>
              <w:rPr>
                <w:rFonts w:eastAsia="Calibri"/>
                <w:sz w:val="20"/>
                <w:szCs w:val="20"/>
              </w:rPr>
            </w:pPr>
            <w:r w:rsidRPr="006D4413">
              <w:rPr>
                <w:rFonts w:eastAsia="Calibri"/>
                <w:sz w:val="20"/>
                <w:szCs w:val="20"/>
              </w:rPr>
              <w:t>Supreme Court of Canada</w:t>
            </w:r>
          </w:p>
          <w:p w:rsidR="00587A4D" w:rsidRPr="006D4413" w:rsidRDefault="00587A4D" w:rsidP="004C3B4A">
            <w:pPr>
              <w:jc w:val="both"/>
              <w:rPr>
                <w:rFonts w:eastAsia="Calibri"/>
                <w:sz w:val="20"/>
                <w:szCs w:val="20"/>
              </w:rPr>
            </w:pPr>
          </w:p>
        </w:tc>
        <w:tc>
          <w:tcPr>
            <w:tcW w:w="243" w:type="pct"/>
          </w:tcPr>
          <w:p w:rsidR="00587A4D" w:rsidRPr="006D4413" w:rsidRDefault="00587A4D" w:rsidP="004C3B4A">
            <w:pPr>
              <w:jc w:val="both"/>
              <w:rPr>
                <w:rFonts w:eastAsia="Calibri"/>
                <w:sz w:val="20"/>
                <w:szCs w:val="20"/>
              </w:rPr>
            </w:pPr>
          </w:p>
        </w:tc>
        <w:tc>
          <w:tcPr>
            <w:tcW w:w="2330" w:type="pct"/>
          </w:tcPr>
          <w:p w:rsidR="00587A4D" w:rsidRPr="006D4413" w:rsidRDefault="00587A4D" w:rsidP="004C3B4A">
            <w:pPr>
              <w:jc w:val="both"/>
              <w:rPr>
                <w:rFonts w:eastAsia="Calibri"/>
                <w:sz w:val="20"/>
                <w:szCs w:val="20"/>
              </w:rPr>
            </w:pPr>
            <w:r w:rsidRPr="006D4413">
              <w:rPr>
                <w:rFonts w:eastAsia="Calibri"/>
                <w:sz w:val="20"/>
                <w:szCs w:val="20"/>
              </w:rPr>
              <w:t xml:space="preserve">Separate applications for leave to appeal filed by Sun </w:t>
            </w:r>
            <w:proofErr w:type="spellStart"/>
            <w:r w:rsidRPr="006D4413">
              <w:rPr>
                <w:rFonts w:eastAsia="Calibri"/>
                <w:sz w:val="20"/>
                <w:szCs w:val="20"/>
              </w:rPr>
              <w:t>Indalex</w:t>
            </w:r>
            <w:proofErr w:type="spellEnd"/>
            <w:r w:rsidRPr="006D4413">
              <w:rPr>
                <w:rFonts w:eastAsia="Calibri"/>
                <w:sz w:val="20"/>
                <w:szCs w:val="20"/>
              </w:rPr>
              <w:t xml:space="preserve"> Finance LLC, George L. Miller and FTI Consulting Canada ULC</w:t>
            </w:r>
          </w:p>
        </w:tc>
      </w:tr>
    </w:tbl>
    <w:p w:rsidR="00C454C8" w:rsidRPr="00587A4D" w:rsidRDefault="00C454C8" w:rsidP="00C454C8">
      <w:pPr>
        <w:rPr>
          <w:sz w:val="20"/>
          <w:szCs w:val="20"/>
        </w:rPr>
      </w:pPr>
    </w:p>
    <w:p w:rsidR="00C454C8" w:rsidRDefault="008754B5" w:rsidP="00C454C8">
      <w:pPr>
        <w:rPr>
          <w:sz w:val="20"/>
          <w:szCs w:val="20"/>
          <w:lang w:val="fr-CA"/>
        </w:rPr>
      </w:pPr>
      <w:r w:rsidRPr="008754B5">
        <w:rPr>
          <w:sz w:val="20"/>
          <w:szCs w:val="20"/>
          <w:lang w:val="fr-CA"/>
        </w:rPr>
        <w:pict>
          <v:rect id="_x0000_i1051" style="width:2in;height:1pt" o:hrpct="0" o:hralign="center" o:hrstd="t" o:hrnoshade="t" o:hr="t" fillcolor="black [3213]" stroked="f"/>
        </w:pict>
      </w:r>
    </w:p>
    <w:p w:rsidR="00C454C8" w:rsidRDefault="00C454C8" w:rsidP="00C454C8">
      <w:pPr>
        <w:rPr>
          <w:sz w:val="20"/>
          <w:szCs w:val="20"/>
          <w:lang w:val="fr-CA"/>
        </w:rPr>
      </w:pPr>
    </w:p>
    <w:p w:rsidR="00C454C8" w:rsidRPr="00517AED" w:rsidRDefault="00C454C8" w:rsidP="00C454C8">
      <w:pPr>
        <w:rPr>
          <w:sz w:val="20"/>
          <w:szCs w:val="20"/>
          <w:u w:val="single"/>
          <w:lang w:val="fr-CA"/>
        </w:rPr>
      </w:pPr>
      <w:r w:rsidRPr="00517AED">
        <w:rPr>
          <w:sz w:val="20"/>
          <w:szCs w:val="20"/>
          <w:u w:val="single"/>
          <w:lang w:val="fr-CA"/>
        </w:rPr>
        <w:t>RÉSUMÉ DE L’AFFAIRE</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587A4D" w:rsidRPr="008608D5" w:rsidTr="004C3B4A">
        <w:tc>
          <w:tcPr>
            <w:tcW w:w="5000" w:type="pct"/>
            <w:gridSpan w:val="3"/>
          </w:tcPr>
          <w:p w:rsidR="00587A4D" w:rsidRPr="006D4413" w:rsidRDefault="00587A4D" w:rsidP="004C3B4A">
            <w:pPr>
              <w:jc w:val="both"/>
              <w:rPr>
                <w:rFonts w:eastAsia="Calibri"/>
                <w:sz w:val="20"/>
                <w:szCs w:val="20"/>
                <w:lang w:val="fr-CA"/>
              </w:rPr>
            </w:pPr>
            <w:r w:rsidRPr="006D4413">
              <w:rPr>
                <w:rFonts w:eastAsia="Calibri"/>
                <w:sz w:val="20"/>
                <w:szCs w:val="20"/>
                <w:lang w:val="fr-CA"/>
              </w:rPr>
              <w:t>Pensions — Dispositions de la fiducie présumée — Faillite et insolvabilité — Priorités — Prépondérance — Obligation fiduciaire — Administrateurs de régimes de retraite — Législation — Interprétation — La</w:t>
            </w:r>
            <w:r w:rsidRPr="006D4413">
              <w:rPr>
                <w:rFonts w:eastAsia="Calibri"/>
                <w:i/>
                <w:sz w:val="20"/>
                <w:szCs w:val="20"/>
                <w:lang w:val="fr-CA"/>
              </w:rPr>
              <w:t xml:space="preserve"> Loi sur les régimes de retraite</w:t>
            </w:r>
            <w:r w:rsidRPr="006D4413">
              <w:rPr>
                <w:rFonts w:eastAsia="Calibri"/>
                <w:sz w:val="20"/>
                <w:szCs w:val="20"/>
                <w:lang w:val="fr-CA"/>
              </w:rPr>
              <w:t>, L.R.O. 1990, ch. P</w:t>
            </w:r>
            <w:r w:rsidRPr="006D4413">
              <w:rPr>
                <w:rFonts w:eastAsia="Calibri"/>
                <w:sz w:val="20"/>
                <w:szCs w:val="20"/>
                <w:lang w:val="fr-CA"/>
              </w:rPr>
              <w:noBreakHyphen/>
              <w:t xml:space="preserve">8 </w:t>
            </w:r>
            <w:proofErr w:type="spellStart"/>
            <w:r w:rsidRPr="006D4413">
              <w:rPr>
                <w:rFonts w:eastAsia="Calibri"/>
                <w:sz w:val="20"/>
                <w:szCs w:val="20"/>
                <w:lang w:val="fr-CA"/>
              </w:rPr>
              <w:t>créée</w:t>
            </w:r>
            <w:r w:rsidRPr="006D4413">
              <w:rPr>
                <w:rFonts w:eastAsia="Calibri"/>
                <w:sz w:val="20"/>
                <w:szCs w:val="20"/>
                <w:lang w:val="fr-CA"/>
              </w:rPr>
              <w:noBreakHyphen/>
              <w:t>t</w:t>
            </w:r>
            <w:r w:rsidRPr="006D4413">
              <w:rPr>
                <w:rFonts w:eastAsia="Calibri"/>
                <w:sz w:val="20"/>
                <w:szCs w:val="20"/>
                <w:lang w:val="fr-CA"/>
              </w:rPr>
              <w:noBreakHyphen/>
              <w:t>elle</w:t>
            </w:r>
            <w:proofErr w:type="spellEnd"/>
            <w:r w:rsidRPr="006D4413">
              <w:rPr>
                <w:rFonts w:eastAsia="Calibri"/>
                <w:sz w:val="20"/>
                <w:szCs w:val="20"/>
                <w:lang w:val="fr-CA"/>
              </w:rPr>
              <w:t xml:space="preserve"> une fiducie présumée pour l'insuffisance de l’actif à la liquidation d’un régime de retraite? — La fiducie présumée en faveur des bénéficiaires du régime de retraite aux termes de la loi provinciale sur les régimes de retraite l'emporte</w:t>
            </w:r>
            <w:r w:rsidRPr="006D4413">
              <w:rPr>
                <w:rFonts w:eastAsia="Calibri"/>
                <w:sz w:val="20"/>
                <w:szCs w:val="20"/>
                <w:lang w:val="fr-CA"/>
              </w:rPr>
              <w:noBreakHyphen/>
            </w:r>
            <w:proofErr w:type="spellStart"/>
            <w:r w:rsidRPr="006D4413">
              <w:rPr>
                <w:rFonts w:eastAsia="Calibri"/>
                <w:sz w:val="20"/>
                <w:szCs w:val="20"/>
                <w:lang w:val="fr-CA"/>
              </w:rPr>
              <w:t>t</w:t>
            </w:r>
            <w:r w:rsidRPr="006D4413">
              <w:rPr>
                <w:rFonts w:eastAsia="Calibri"/>
                <w:sz w:val="20"/>
                <w:szCs w:val="20"/>
                <w:lang w:val="fr-CA"/>
              </w:rPr>
              <w:noBreakHyphen/>
              <w:t>elle</w:t>
            </w:r>
            <w:proofErr w:type="spellEnd"/>
            <w:r w:rsidRPr="006D4413">
              <w:rPr>
                <w:rFonts w:eastAsia="Calibri"/>
                <w:sz w:val="20"/>
                <w:szCs w:val="20"/>
                <w:lang w:val="fr-CA"/>
              </w:rPr>
              <w:t xml:space="preserve"> sur </w:t>
            </w:r>
            <w:proofErr w:type="spellStart"/>
            <w:r w:rsidRPr="006D4413">
              <w:rPr>
                <w:rFonts w:eastAsia="Calibri"/>
                <w:sz w:val="20"/>
                <w:szCs w:val="20"/>
                <w:lang w:val="fr-CA"/>
              </w:rPr>
              <w:t>super</w:t>
            </w:r>
            <w:r w:rsidRPr="006D4413">
              <w:rPr>
                <w:rFonts w:eastAsia="Calibri"/>
                <w:sz w:val="20"/>
                <w:szCs w:val="20"/>
                <w:lang w:val="fr-CA"/>
              </w:rPr>
              <w:noBreakHyphen/>
              <w:t>priorité</w:t>
            </w:r>
            <w:proofErr w:type="spellEnd"/>
            <w:r w:rsidRPr="006D4413">
              <w:rPr>
                <w:rFonts w:eastAsia="Calibri"/>
                <w:sz w:val="20"/>
                <w:szCs w:val="20"/>
                <w:lang w:val="fr-CA"/>
              </w:rPr>
              <w:t xml:space="preserve"> ordonnée par la cour en faveur des prêteurs des débiteurs demeurés en possession? — La Cour d'appel </w:t>
            </w:r>
            <w:proofErr w:type="spellStart"/>
            <w:r w:rsidRPr="006D4413">
              <w:rPr>
                <w:rFonts w:eastAsia="Calibri"/>
                <w:sz w:val="20"/>
                <w:szCs w:val="20"/>
                <w:lang w:val="fr-CA"/>
              </w:rPr>
              <w:t>a</w:t>
            </w:r>
            <w:r w:rsidRPr="006D4413">
              <w:rPr>
                <w:rFonts w:eastAsia="Calibri"/>
                <w:sz w:val="20"/>
                <w:szCs w:val="20"/>
                <w:lang w:val="fr-CA"/>
              </w:rPr>
              <w:noBreakHyphen/>
              <w:t>t</w:t>
            </w:r>
            <w:r w:rsidRPr="006D4413">
              <w:rPr>
                <w:rFonts w:eastAsia="Calibri"/>
                <w:sz w:val="20"/>
                <w:szCs w:val="20"/>
                <w:lang w:val="fr-CA"/>
              </w:rPr>
              <w:noBreakHyphen/>
              <w:t>elle</w:t>
            </w:r>
            <w:proofErr w:type="spellEnd"/>
            <w:r w:rsidRPr="006D4413">
              <w:rPr>
                <w:rFonts w:eastAsia="Calibri"/>
                <w:sz w:val="20"/>
                <w:szCs w:val="20"/>
                <w:lang w:val="fr-CA"/>
              </w:rPr>
              <w:t xml:space="preserve"> eu tort de statuer qu'un débiteur sous le régime de la</w:t>
            </w:r>
            <w:r w:rsidRPr="006D4413">
              <w:rPr>
                <w:rFonts w:eastAsia="Calibri"/>
                <w:i/>
                <w:sz w:val="20"/>
                <w:szCs w:val="20"/>
                <w:lang w:val="fr-CA"/>
              </w:rPr>
              <w:t xml:space="preserve"> Loi sur les arrangements avec les créanciers des compagnies</w:t>
            </w:r>
            <w:r w:rsidRPr="006D4413">
              <w:rPr>
                <w:rFonts w:eastAsia="Calibri"/>
                <w:sz w:val="20"/>
                <w:szCs w:val="20"/>
                <w:lang w:val="fr-CA"/>
              </w:rPr>
              <w:t>, L.R.C. 1985, ch. C</w:t>
            </w:r>
            <w:r w:rsidRPr="006D4413">
              <w:rPr>
                <w:rFonts w:eastAsia="Calibri"/>
                <w:sz w:val="20"/>
                <w:szCs w:val="20"/>
                <w:lang w:val="fr-CA"/>
              </w:rPr>
              <w:noBreakHyphen/>
              <w:t>36 (« </w:t>
            </w:r>
            <w:r w:rsidRPr="006D4413">
              <w:rPr>
                <w:rFonts w:eastAsia="Calibri"/>
                <w:i/>
                <w:sz w:val="20"/>
                <w:szCs w:val="20"/>
                <w:lang w:val="fr-CA"/>
              </w:rPr>
              <w:t>LACC </w:t>
            </w:r>
            <w:r w:rsidRPr="006D4413">
              <w:rPr>
                <w:rFonts w:eastAsia="Calibri"/>
                <w:sz w:val="20"/>
                <w:szCs w:val="20"/>
                <w:lang w:val="fr-CA"/>
              </w:rPr>
              <w:t xml:space="preserve">») est un fiduciaire des pensionnés lorsqu'il prend des décisions d'emprunter de l'argent à titre de « débiteur demeuré en possession » et de vendre son actif, le tout en vertu d'ordonnances judiciaires? — La Cour d'appel </w:t>
            </w:r>
            <w:proofErr w:type="spellStart"/>
            <w:r w:rsidRPr="006D4413">
              <w:rPr>
                <w:rFonts w:eastAsia="Calibri"/>
                <w:sz w:val="20"/>
                <w:szCs w:val="20"/>
                <w:lang w:val="fr-CA"/>
              </w:rPr>
              <w:t>a</w:t>
            </w:r>
            <w:r w:rsidRPr="006D4413">
              <w:rPr>
                <w:rFonts w:eastAsia="Calibri"/>
                <w:sz w:val="20"/>
                <w:szCs w:val="20"/>
                <w:lang w:val="fr-CA"/>
              </w:rPr>
              <w:noBreakHyphen/>
              <w:t>t</w:t>
            </w:r>
            <w:r w:rsidRPr="006D4413">
              <w:rPr>
                <w:rFonts w:eastAsia="Calibri"/>
                <w:sz w:val="20"/>
                <w:szCs w:val="20"/>
                <w:lang w:val="fr-CA"/>
              </w:rPr>
              <w:noBreakHyphen/>
              <w:t>elle</w:t>
            </w:r>
            <w:proofErr w:type="spellEnd"/>
            <w:r w:rsidRPr="006D4413">
              <w:rPr>
                <w:rFonts w:eastAsia="Calibri"/>
                <w:sz w:val="20"/>
                <w:szCs w:val="20"/>
                <w:lang w:val="fr-CA"/>
              </w:rPr>
              <w:t xml:space="preserve"> eu tort de conclure qu'une fiducie </w:t>
            </w:r>
            <w:proofErr w:type="spellStart"/>
            <w:r w:rsidRPr="006D4413">
              <w:rPr>
                <w:rFonts w:eastAsia="Calibri"/>
                <w:sz w:val="20"/>
                <w:szCs w:val="20"/>
                <w:lang w:val="fr-CA"/>
              </w:rPr>
              <w:t>constructoire</w:t>
            </w:r>
            <w:proofErr w:type="spellEnd"/>
            <w:r w:rsidRPr="006D4413">
              <w:rPr>
                <w:rFonts w:eastAsia="Calibri"/>
                <w:sz w:val="20"/>
                <w:szCs w:val="20"/>
                <w:lang w:val="fr-CA"/>
              </w:rPr>
              <w:t xml:space="preserve"> ayant rang </w:t>
            </w:r>
            <w:proofErr w:type="spellStart"/>
            <w:r w:rsidRPr="006D4413">
              <w:rPr>
                <w:rFonts w:eastAsia="Calibri"/>
                <w:sz w:val="20"/>
                <w:szCs w:val="20"/>
                <w:lang w:val="fr-CA"/>
              </w:rPr>
              <w:t>super</w:t>
            </w:r>
            <w:r w:rsidRPr="006D4413">
              <w:rPr>
                <w:rFonts w:eastAsia="Calibri"/>
                <w:sz w:val="20"/>
                <w:szCs w:val="20"/>
                <w:lang w:val="fr-CA"/>
              </w:rPr>
              <w:noBreakHyphen/>
              <w:t>prioritaire</w:t>
            </w:r>
            <w:proofErr w:type="spellEnd"/>
            <w:r w:rsidRPr="006D4413">
              <w:rPr>
                <w:rFonts w:eastAsia="Calibri"/>
                <w:sz w:val="20"/>
                <w:szCs w:val="20"/>
                <w:lang w:val="fr-CA"/>
              </w:rPr>
              <w:t xml:space="preserve"> </w:t>
            </w:r>
            <w:proofErr w:type="spellStart"/>
            <w:r w:rsidRPr="006D4413">
              <w:rPr>
                <w:rFonts w:eastAsia="Calibri"/>
                <w:sz w:val="20"/>
                <w:szCs w:val="20"/>
                <w:lang w:val="fr-CA"/>
              </w:rPr>
              <w:t>peut</w:t>
            </w:r>
            <w:r w:rsidRPr="006D4413">
              <w:rPr>
                <w:rFonts w:eastAsia="Calibri"/>
                <w:sz w:val="20"/>
                <w:szCs w:val="20"/>
                <w:lang w:val="fr-CA"/>
              </w:rPr>
              <w:noBreakHyphen/>
              <w:t>être</w:t>
            </w:r>
            <w:proofErr w:type="spellEnd"/>
            <w:r w:rsidRPr="006D4413">
              <w:rPr>
                <w:rFonts w:eastAsia="Calibri"/>
                <w:sz w:val="20"/>
                <w:szCs w:val="20"/>
                <w:lang w:val="fr-CA"/>
              </w:rPr>
              <w:t xml:space="preserve"> accordée comme réparation pour des violations présumées d'obligation fiduciaire dans une instance de liquidation au terme de la </w:t>
            </w:r>
            <w:r w:rsidRPr="006D4413">
              <w:rPr>
                <w:rFonts w:eastAsia="Calibri"/>
                <w:i/>
                <w:sz w:val="20"/>
                <w:szCs w:val="20"/>
                <w:lang w:val="fr-CA"/>
              </w:rPr>
              <w:t>LACC</w:t>
            </w:r>
            <w:r w:rsidRPr="006D4413">
              <w:rPr>
                <w:rFonts w:eastAsia="Calibri"/>
                <w:sz w:val="20"/>
                <w:szCs w:val="20"/>
                <w:lang w:val="fr-CA"/>
              </w:rPr>
              <w:t xml:space="preserve"> pour éviter l'application des priorités de faillite de régime fédéral? — L'obligation qu'a une compagnie de prendre des mesures en vertu de la </w:t>
            </w:r>
            <w:r w:rsidRPr="006D4413">
              <w:rPr>
                <w:rFonts w:eastAsia="Calibri"/>
                <w:i/>
                <w:sz w:val="20"/>
                <w:szCs w:val="20"/>
                <w:lang w:val="fr-CA"/>
              </w:rPr>
              <w:t>LACC</w:t>
            </w:r>
            <w:r w:rsidRPr="006D4413">
              <w:rPr>
                <w:rFonts w:eastAsia="Calibri"/>
                <w:sz w:val="20"/>
                <w:szCs w:val="20"/>
                <w:lang w:val="fr-CA"/>
              </w:rPr>
              <w:t xml:space="preserve"> la </w:t>
            </w:r>
            <w:proofErr w:type="spellStart"/>
            <w:r w:rsidRPr="006D4413">
              <w:rPr>
                <w:rFonts w:eastAsia="Calibri"/>
                <w:sz w:val="20"/>
                <w:szCs w:val="20"/>
                <w:lang w:val="fr-CA"/>
              </w:rPr>
              <w:t>place</w:t>
            </w:r>
            <w:r w:rsidRPr="006D4413">
              <w:rPr>
                <w:rFonts w:eastAsia="Calibri"/>
                <w:sz w:val="20"/>
                <w:szCs w:val="20"/>
                <w:lang w:val="fr-CA"/>
              </w:rPr>
              <w:noBreakHyphen/>
              <w:t>t</w:t>
            </w:r>
            <w:r w:rsidRPr="006D4413">
              <w:rPr>
                <w:rFonts w:eastAsia="Calibri"/>
                <w:sz w:val="20"/>
                <w:szCs w:val="20"/>
                <w:lang w:val="fr-CA"/>
              </w:rPr>
              <w:noBreakHyphen/>
              <w:t>elle</w:t>
            </w:r>
            <w:proofErr w:type="spellEnd"/>
            <w:r w:rsidRPr="006D4413">
              <w:rPr>
                <w:rFonts w:eastAsia="Calibri"/>
                <w:sz w:val="20"/>
                <w:szCs w:val="20"/>
                <w:lang w:val="fr-CA"/>
              </w:rPr>
              <w:t xml:space="preserve"> dans une situation de conflit irrémédiable avec ses obligations fiduciaires en tant qu'administrateur d’un régime de retraite? — Une charge </w:t>
            </w:r>
            <w:proofErr w:type="spellStart"/>
            <w:r w:rsidRPr="006D4413">
              <w:rPr>
                <w:rFonts w:eastAsia="Calibri"/>
                <w:sz w:val="20"/>
                <w:szCs w:val="20"/>
                <w:lang w:val="fr-CA"/>
              </w:rPr>
              <w:t>super</w:t>
            </w:r>
            <w:r w:rsidRPr="006D4413">
              <w:rPr>
                <w:rFonts w:eastAsia="Calibri"/>
                <w:sz w:val="20"/>
                <w:szCs w:val="20"/>
                <w:lang w:val="fr-CA"/>
              </w:rPr>
              <w:noBreakHyphen/>
              <w:t>prioritaire</w:t>
            </w:r>
            <w:proofErr w:type="spellEnd"/>
            <w:r w:rsidRPr="006D4413">
              <w:rPr>
                <w:rFonts w:eastAsia="Calibri"/>
                <w:sz w:val="20"/>
                <w:szCs w:val="20"/>
                <w:lang w:val="fr-CA"/>
              </w:rPr>
              <w:t xml:space="preserve">, constituée par un juge surveillant sous le régime de la </w:t>
            </w:r>
            <w:r w:rsidRPr="006D4413">
              <w:rPr>
                <w:rFonts w:eastAsia="Calibri"/>
                <w:i/>
                <w:sz w:val="20"/>
                <w:szCs w:val="20"/>
                <w:lang w:val="fr-CA"/>
              </w:rPr>
              <w:t>LACC</w:t>
            </w:r>
            <w:r w:rsidRPr="006D4413">
              <w:rPr>
                <w:rFonts w:eastAsia="Calibri"/>
                <w:sz w:val="20"/>
                <w:szCs w:val="20"/>
                <w:lang w:val="fr-CA"/>
              </w:rPr>
              <w:t xml:space="preserve"> en application d'une ordonnance qui n'a pas fait l'objet d'un appel, </w:t>
            </w:r>
            <w:proofErr w:type="spellStart"/>
            <w:r w:rsidRPr="006D4413">
              <w:rPr>
                <w:rFonts w:eastAsia="Calibri"/>
                <w:sz w:val="20"/>
                <w:szCs w:val="20"/>
                <w:lang w:val="fr-CA"/>
              </w:rPr>
              <w:t>peut</w:t>
            </w:r>
            <w:r w:rsidRPr="006D4413">
              <w:rPr>
                <w:rFonts w:eastAsia="Calibri"/>
                <w:sz w:val="20"/>
                <w:szCs w:val="20"/>
                <w:lang w:val="fr-CA"/>
              </w:rPr>
              <w:noBreakHyphen/>
              <w:t>elle</w:t>
            </w:r>
            <w:proofErr w:type="spellEnd"/>
            <w:r w:rsidRPr="006D4413">
              <w:rPr>
                <w:rFonts w:eastAsia="Calibri"/>
                <w:sz w:val="20"/>
                <w:szCs w:val="20"/>
                <w:lang w:val="fr-CA"/>
              </w:rPr>
              <w:t xml:space="preserve"> être rétroactivement révoquée au détriment de parties qui ont avancé des fonds en s'appuyant sur cette charge? — La Cour d'appel </w:t>
            </w:r>
            <w:proofErr w:type="spellStart"/>
            <w:r w:rsidRPr="006D4413">
              <w:rPr>
                <w:rFonts w:eastAsia="Calibri"/>
                <w:sz w:val="20"/>
                <w:szCs w:val="20"/>
                <w:lang w:val="fr-CA"/>
              </w:rPr>
              <w:t>a</w:t>
            </w:r>
            <w:r w:rsidRPr="006D4413">
              <w:rPr>
                <w:rFonts w:eastAsia="Calibri"/>
                <w:sz w:val="20"/>
                <w:szCs w:val="20"/>
                <w:lang w:val="fr-CA"/>
              </w:rPr>
              <w:noBreakHyphen/>
              <w:t>t</w:t>
            </w:r>
            <w:r w:rsidRPr="006D4413">
              <w:rPr>
                <w:rFonts w:eastAsia="Calibri"/>
                <w:sz w:val="20"/>
                <w:szCs w:val="20"/>
                <w:lang w:val="fr-CA"/>
              </w:rPr>
              <w:noBreakHyphen/>
              <w:t>elle</w:t>
            </w:r>
            <w:proofErr w:type="spellEnd"/>
            <w:r w:rsidRPr="006D4413">
              <w:rPr>
                <w:rFonts w:eastAsia="Calibri"/>
                <w:sz w:val="20"/>
                <w:szCs w:val="20"/>
                <w:lang w:val="fr-CA"/>
              </w:rPr>
              <w:t xml:space="preserve"> eu tort de conclure que parce que les ordonnances judiciaires qui ont accordé un rang </w:t>
            </w:r>
            <w:proofErr w:type="spellStart"/>
            <w:r w:rsidRPr="006D4413">
              <w:rPr>
                <w:rFonts w:eastAsia="Calibri"/>
                <w:sz w:val="20"/>
                <w:szCs w:val="20"/>
                <w:lang w:val="fr-CA"/>
              </w:rPr>
              <w:t>super</w:t>
            </w:r>
            <w:r w:rsidRPr="006D4413">
              <w:rPr>
                <w:rFonts w:eastAsia="Calibri"/>
                <w:sz w:val="20"/>
                <w:szCs w:val="20"/>
                <w:lang w:val="fr-CA"/>
              </w:rPr>
              <w:noBreakHyphen/>
              <w:t>prioritaire</w:t>
            </w:r>
            <w:proofErr w:type="spellEnd"/>
            <w:r w:rsidRPr="006D4413">
              <w:rPr>
                <w:rFonts w:eastAsia="Calibri"/>
                <w:sz w:val="20"/>
                <w:szCs w:val="20"/>
                <w:lang w:val="fr-CA"/>
              </w:rPr>
              <w:t xml:space="preserve"> au prêt au débiteur demeuré en possession ont omis d'évoquer suffisamment la prépondérance, il n'y avait aucun conflit d’application entre : a) la reconnaissance de la priorité provinciale relativement aux fiducies présumées et b) les exigences de la priorité fédérale et des ordonnances faites sous le régime de la </w:t>
            </w:r>
            <w:r w:rsidRPr="006D4413">
              <w:rPr>
                <w:rFonts w:eastAsia="Calibri"/>
                <w:i/>
                <w:sz w:val="20"/>
                <w:szCs w:val="20"/>
                <w:lang w:val="fr-CA"/>
              </w:rPr>
              <w:t>LACC</w:t>
            </w:r>
            <w:r w:rsidRPr="006D4413">
              <w:rPr>
                <w:rFonts w:eastAsia="Calibri"/>
                <w:sz w:val="20"/>
                <w:szCs w:val="20"/>
                <w:lang w:val="fr-CA"/>
              </w:rPr>
              <w:t xml:space="preserve"> pour le paiement des mêmes sommes d'argent à d'autres? — La Cour d'appel </w:t>
            </w:r>
            <w:proofErr w:type="spellStart"/>
            <w:r w:rsidRPr="006D4413">
              <w:rPr>
                <w:rFonts w:eastAsia="Calibri"/>
                <w:sz w:val="20"/>
                <w:szCs w:val="20"/>
                <w:lang w:val="fr-CA"/>
              </w:rPr>
              <w:t>a</w:t>
            </w:r>
            <w:r w:rsidRPr="006D4413">
              <w:rPr>
                <w:rFonts w:eastAsia="Calibri"/>
                <w:sz w:val="20"/>
                <w:szCs w:val="20"/>
                <w:lang w:val="fr-CA"/>
              </w:rPr>
              <w:noBreakHyphen/>
              <w:t>t</w:t>
            </w:r>
            <w:r w:rsidRPr="006D4413">
              <w:rPr>
                <w:rFonts w:eastAsia="Calibri"/>
                <w:sz w:val="20"/>
                <w:szCs w:val="20"/>
                <w:lang w:val="fr-CA"/>
              </w:rPr>
              <w:noBreakHyphen/>
              <w:t>elle</w:t>
            </w:r>
            <w:proofErr w:type="spellEnd"/>
            <w:r w:rsidRPr="006D4413">
              <w:rPr>
                <w:rFonts w:eastAsia="Calibri"/>
                <w:sz w:val="20"/>
                <w:szCs w:val="20"/>
                <w:lang w:val="fr-CA"/>
              </w:rPr>
              <w:t xml:space="preserve"> eu tort de ne pas suivre les arrêts </w:t>
            </w:r>
            <w:r w:rsidRPr="006D4413">
              <w:rPr>
                <w:rFonts w:eastAsia="Calibri"/>
                <w:i/>
                <w:sz w:val="20"/>
                <w:szCs w:val="20"/>
                <w:lang w:val="fr-CA"/>
              </w:rPr>
              <w:t>Century Services Inc</w:t>
            </w:r>
            <w:r w:rsidRPr="006D4413">
              <w:rPr>
                <w:rFonts w:eastAsia="Calibri"/>
                <w:b/>
                <w:bCs/>
                <w:i/>
                <w:sz w:val="20"/>
                <w:szCs w:val="20"/>
                <w:lang w:val="fr-CA"/>
              </w:rPr>
              <w:t>.</w:t>
            </w:r>
            <w:r w:rsidRPr="006D4413">
              <w:rPr>
                <w:rFonts w:eastAsia="Calibri"/>
                <w:i/>
                <w:sz w:val="20"/>
                <w:szCs w:val="20"/>
                <w:lang w:val="fr-CA"/>
              </w:rPr>
              <w:t xml:space="preserve"> </w:t>
            </w:r>
            <w:r w:rsidRPr="006D4413">
              <w:rPr>
                <w:rFonts w:eastAsia="Calibri"/>
                <w:i/>
                <w:iCs/>
                <w:sz w:val="20"/>
                <w:szCs w:val="20"/>
                <w:lang w:val="fr-CA"/>
              </w:rPr>
              <w:t xml:space="preserve">c. </w:t>
            </w:r>
            <w:r w:rsidRPr="006D4413">
              <w:rPr>
                <w:rFonts w:eastAsia="Calibri"/>
                <w:i/>
                <w:sz w:val="20"/>
                <w:szCs w:val="20"/>
                <w:lang w:val="fr-CA"/>
              </w:rPr>
              <w:t>Canada (Procureur général)</w:t>
            </w:r>
            <w:r w:rsidRPr="006D4413">
              <w:rPr>
                <w:rFonts w:eastAsia="Calibri"/>
                <w:sz w:val="20"/>
                <w:szCs w:val="20"/>
                <w:lang w:val="fr-CA"/>
              </w:rPr>
              <w:t xml:space="preserve">, 2010 CSC 60 et </w:t>
            </w:r>
            <w:proofErr w:type="spellStart"/>
            <w:r w:rsidRPr="006D4413">
              <w:rPr>
                <w:rFonts w:eastAsia="Calibri"/>
                <w:i/>
                <w:sz w:val="20"/>
                <w:szCs w:val="20"/>
                <w:lang w:val="fr-CA"/>
              </w:rPr>
              <w:t>Ivaco</w:t>
            </w:r>
            <w:proofErr w:type="spellEnd"/>
            <w:r w:rsidRPr="006D4413">
              <w:rPr>
                <w:rFonts w:eastAsia="Calibri"/>
                <w:i/>
                <w:sz w:val="20"/>
                <w:szCs w:val="20"/>
                <w:lang w:val="fr-CA"/>
              </w:rPr>
              <w:t xml:space="preserve"> Inc., </w:t>
            </w:r>
            <w:proofErr w:type="spellStart"/>
            <w:r w:rsidRPr="006D4413">
              <w:rPr>
                <w:rFonts w:eastAsia="Calibri"/>
                <w:i/>
                <w:sz w:val="20"/>
                <w:szCs w:val="20"/>
                <w:lang w:val="fr-CA"/>
              </w:rPr>
              <w:t>Re</w:t>
            </w:r>
            <w:proofErr w:type="spellEnd"/>
            <w:r w:rsidRPr="006D4413">
              <w:rPr>
                <w:rFonts w:eastAsia="Calibri"/>
                <w:sz w:val="20"/>
                <w:szCs w:val="20"/>
                <w:lang w:val="fr-CA"/>
              </w:rPr>
              <w:t xml:space="preserve"> (2006), 83 O.R. (3d) 108 (C.A.)?</w:t>
            </w:r>
          </w:p>
        </w:tc>
      </w:tr>
      <w:tr w:rsidR="00587A4D" w:rsidRPr="008608D5" w:rsidTr="004C3B4A">
        <w:tc>
          <w:tcPr>
            <w:tcW w:w="5000" w:type="pct"/>
            <w:gridSpan w:val="3"/>
          </w:tcPr>
          <w:p w:rsidR="00587A4D" w:rsidRPr="006D4413" w:rsidRDefault="00587A4D" w:rsidP="004C3B4A">
            <w:pPr>
              <w:jc w:val="both"/>
              <w:rPr>
                <w:rFonts w:eastAsia="Calibri"/>
                <w:sz w:val="20"/>
                <w:szCs w:val="20"/>
                <w:lang w:val="fr-CA"/>
              </w:rPr>
            </w:pPr>
          </w:p>
        </w:tc>
      </w:tr>
      <w:tr w:rsidR="00587A4D" w:rsidRPr="008608D5" w:rsidTr="004C3B4A">
        <w:tc>
          <w:tcPr>
            <w:tcW w:w="5000" w:type="pct"/>
            <w:gridSpan w:val="3"/>
          </w:tcPr>
          <w:p w:rsidR="00587A4D" w:rsidRPr="006D4413" w:rsidRDefault="00587A4D" w:rsidP="004C3B4A">
            <w:pPr>
              <w:jc w:val="both"/>
              <w:rPr>
                <w:rFonts w:eastAsia="Calibri"/>
                <w:sz w:val="20"/>
                <w:szCs w:val="20"/>
                <w:lang w:val="fr-CA"/>
              </w:rPr>
            </w:pPr>
            <w:proofErr w:type="spellStart"/>
            <w:r w:rsidRPr="006D4413">
              <w:rPr>
                <w:rFonts w:eastAsia="Calibri"/>
                <w:sz w:val="20"/>
                <w:szCs w:val="20"/>
                <w:lang w:val="fr-CA"/>
              </w:rPr>
              <w:t>Indalex</w:t>
            </w:r>
            <w:proofErr w:type="spellEnd"/>
            <w:r w:rsidRPr="006D4413">
              <w:rPr>
                <w:rFonts w:eastAsia="Calibri"/>
                <w:sz w:val="20"/>
                <w:szCs w:val="20"/>
                <w:lang w:val="fr-CA"/>
              </w:rPr>
              <w:t xml:space="preserve"> Limited, </w:t>
            </w:r>
            <w:proofErr w:type="spellStart"/>
            <w:r w:rsidRPr="006D4413">
              <w:rPr>
                <w:rFonts w:eastAsia="Calibri"/>
                <w:sz w:val="20"/>
                <w:szCs w:val="20"/>
                <w:lang w:val="fr-CA"/>
              </w:rPr>
              <w:t>Indalex</w:t>
            </w:r>
            <w:proofErr w:type="spellEnd"/>
            <w:r w:rsidRPr="006D4413">
              <w:rPr>
                <w:rFonts w:eastAsia="Calibri"/>
                <w:sz w:val="20"/>
                <w:szCs w:val="20"/>
                <w:lang w:val="fr-CA"/>
              </w:rPr>
              <w:t xml:space="preserve"> Holdings (B.C.) Ltd., 6326765 Canada Inc. et </w:t>
            </w:r>
            <w:proofErr w:type="spellStart"/>
            <w:r w:rsidRPr="006D4413">
              <w:rPr>
                <w:rFonts w:eastAsia="Calibri"/>
                <w:sz w:val="20"/>
                <w:szCs w:val="20"/>
                <w:lang w:val="fr-CA"/>
              </w:rPr>
              <w:t>Novar</w:t>
            </w:r>
            <w:proofErr w:type="spellEnd"/>
            <w:r w:rsidRPr="006D4413">
              <w:rPr>
                <w:rFonts w:eastAsia="Calibri"/>
                <w:sz w:val="20"/>
                <w:szCs w:val="20"/>
                <w:lang w:val="fr-CA"/>
              </w:rPr>
              <w:t xml:space="preserve"> Inc. (collectivement appelées « </w:t>
            </w:r>
            <w:proofErr w:type="spellStart"/>
            <w:r w:rsidRPr="006D4413">
              <w:rPr>
                <w:rFonts w:eastAsia="Calibri"/>
                <w:sz w:val="20"/>
                <w:szCs w:val="20"/>
                <w:lang w:val="fr-CA"/>
              </w:rPr>
              <w:t>Indalex</w:t>
            </w:r>
            <w:proofErr w:type="spellEnd"/>
            <w:r w:rsidRPr="006D4413">
              <w:rPr>
                <w:rFonts w:eastAsia="Calibri"/>
                <w:sz w:val="20"/>
                <w:szCs w:val="20"/>
                <w:lang w:val="fr-CA"/>
              </w:rPr>
              <w:t xml:space="preserve"> ») ont obtenu la protection sous le régime de la </w:t>
            </w:r>
            <w:r w:rsidRPr="006D4413">
              <w:rPr>
                <w:rFonts w:eastAsia="Calibri"/>
                <w:i/>
                <w:sz w:val="20"/>
                <w:szCs w:val="20"/>
                <w:lang w:val="fr-CA"/>
              </w:rPr>
              <w:t>LACC</w:t>
            </w:r>
            <w:r w:rsidRPr="006D4413">
              <w:rPr>
                <w:rFonts w:eastAsia="Calibri"/>
                <w:sz w:val="20"/>
                <w:szCs w:val="20"/>
                <w:lang w:val="fr-CA"/>
              </w:rPr>
              <w:t xml:space="preserve">. À l'époque, ses deux régimes de retraite étaient </w:t>
            </w:r>
            <w:proofErr w:type="spellStart"/>
            <w:r w:rsidRPr="006D4413">
              <w:rPr>
                <w:rFonts w:eastAsia="Calibri"/>
                <w:sz w:val="20"/>
                <w:szCs w:val="20"/>
                <w:lang w:val="fr-CA"/>
              </w:rPr>
              <w:t>sous</w:t>
            </w:r>
            <w:r w:rsidRPr="006D4413">
              <w:rPr>
                <w:rFonts w:eastAsia="Calibri"/>
                <w:sz w:val="20"/>
                <w:szCs w:val="20"/>
                <w:lang w:val="fr-CA"/>
              </w:rPr>
              <w:noBreakHyphen/>
              <w:t>capitalisés</w:t>
            </w:r>
            <w:proofErr w:type="spellEnd"/>
            <w:r w:rsidRPr="006D4413">
              <w:rPr>
                <w:rFonts w:eastAsia="Calibri"/>
                <w:sz w:val="20"/>
                <w:szCs w:val="20"/>
                <w:lang w:val="fr-CA"/>
              </w:rPr>
              <w:t xml:space="preserve"> et l'un d'entre eux était en voie d'être liquidé.  FTI Consulting Canada ULC a été nommée contrôleur.  Par ordonnance de la cour, </w:t>
            </w:r>
            <w:proofErr w:type="spellStart"/>
            <w:r w:rsidRPr="006D4413">
              <w:rPr>
                <w:rFonts w:eastAsia="Calibri"/>
                <w:sz w:val="20"/>
                <w:szCs w:val="20"/>
                <w:lang w:val="fr-CA"/>
              </w:rPr>
              <w:t>Indalex</w:t>
            </w:r>
            <w:proofErr w:type="spellEnd"/>
            <w:r w:rsidRPr="006D4413">
              <w:rPr>
                <w:rFonts w:eastAsia="Calibri"/>
                <w:sz w:val="20"/>
                <w:szCs w:val="20"/>
                <w:lang w:val="fr-CA"/>
              </w:rPr>
              <w:t xml:space="preserve"> a été autorisée à emprunter des fonds en vertu d'un accord de crédit à titre de débiteur demeuré en possession, et les prêteurs se sont vu accorder une charge « </w:t>
            </w:r>
            <w:proofErr w:type="spellStart"/>
            <w:r w:rsidRPr="006D4413">
              <w:rPr>
                <w:rFonts w:eastAsia="Calibri"/>
                <w:sz w:val="20"/>
                <w:szCs w:val="20"/>
                <w:lang w:val="fr-CA"/>
              </w:rPr>
              <w:t>super</w:t>
            </w:r>
            <w:r w:rsidRPr="006D4413">
              <w:rPr>
                <w:rFonts w:eastAsia="Calibri"/>
                <w:sz w:val="20"/>
                <w:szCs w:val="20"/>
                <w:lang w:val="fr-CA"/>
              </w:rPr>
              <w:noBreakHyphen/>
              <w:t>prioritaire</w:t>
            </w:r>
            <w:proofErr w:type="spellEnd"/>
            <w:r w:rsidRPr="006D4413">
              <w:rPr>
                <w:rFonts w:eastAsia="Calibri"/>
                <w:sz w:val="20"/>
                <w:szCs w:val="20"/>
                <w:lang w:val="fr-CA"/>
              </w:rPr>
              <w:t> ».  L'obligation de payer le prêteur du débiteur demeuré en possession était garantie par la société mère d’</w:t>
            </w:r>
            <w:proofErr w:type="spellStart"/>
            <w:r w:rsidRPr="006D4413">
              <w:rPr>
                <w:rFonts w:eastAsia="Calibri"/>
                <w:sz w:val="20"/>
                <w:szCs w:val="20"/>
                <w:lang w:val="fr-CA"/>
              </w:rPr>
              <w:t>Indalex</w:t>
            </w:r>
            <w:proofErr w:type="spellEnd"/>
            <w:r w:rsidRPr="006D4413">
              <w:rPr>
                <w:rFonts w:eastAsia="Calibri"/>
                <w:sz w:val="20"/>
                <w:szCs w:val="20"/>
                <w:lang w:val="fr-CA"/>
              </w:rPr>
              <w:t xml:space="preserve"> et ses affiliés (« </w:t>
            </w:r>
            <w:proofErr w:type="spellStart"/>
            <w:r w:rsidRPr="006D4413">
              <w:rPr>
                <w:rFonts w:eastAsia="Calibri"/>
                <w:sz w:val="20"/>
                <w:szCs w:val="20"/>
                <w:lang w:val="fr-CA"/>
              </w:rPr>
              <w:t>Indalex</w:t>
            </w:r>
            <w:proofErr w:type="spellEnd"/>
            <w:r w:rsidRPr="006D4413">
              <w:rPr>
                <w:rFonts w:eastAsia="Calibri"/>
                <w:sz w:val="20"/>
                <w:szCs w:val="20"/>
                <w:lang w:val="fr-CA"/>
              </w:rPr>
              <w:t xml:space="preserve"> U.S. »).  La cour a homologué la vente de l’actif d’</w:t>
            </w:r>
            <w:proofErr w:type="spellStart"/>
            <w:r w:rsidRPr="006D4413">
              <w:rPr>
                <w:rFonts w:eastAsia="Calibri"/>
                <w:sz w:val="20"/>
                <w:szCs w:val="20"/>
                <w:lang w:val="fr-CA"/>
              </w:rPr>
              <w:t>Indalex</w:t>
            </w:r>
            <w:proofErr w:type="spellEnd"/>
            <w:r w:rsidRPr="006D4413">
              <w:rPr>
                <w:rFonts w:eastAsia="Calibri"/>
                <w:sz w:val="20"/>
                <w:szCs w:val="20"/>
                <w:lang w:val="fr-CA"/>
              </w:rPr>
              <w:t xml:space="preserve"> dans une perspective de continuité de l'exploitation, mais les Métallurgistes unis (« MU ») et les représentants des anciens cadres d’</w:t>
            </w:r>
            <w:proofErr w:type="spellStart"/>
            <w:r w:rsidRPr="006D4413">
              <w:rPr>
                <w:rFonts w:eastAsia="Calibri"/>
                <w:sz w:val="20"/>
                <w:szCs w:val="20"/>
                <w:lang w:val="fr-CA"/>
              </w:rPr>
              <w:t>Indalex</w:t>
            </w:r>
            <w:proofErr w:type="spellEnd"/>
            <w:r w:rsidRPr="006D4413">
              <w:rPr>
                <w:rFonts w:eastAsia="Calibri"/>
                <w:sz w:val="20"/>
                <w:szCs w:val="20"/>
                <w:lang w:val="fr-CA"/>
              </w:rPr>
              <w:t xml:space="preserve"> (les « retraités ») ont contesté la distribution du produit de la vente aux prêteurs du débiteur demeuré en possession.  Ils ont présenté des motions en vue d'obtenir un jugement déclarant qu'il existait des fiducies présumées en faveur des bénéficiaires du régime de retraite dans la mesure de l'insuffisance de l'actif du régime et en vue d'obtenir des ordonnances de mainlevée et de paiement de ces montants.  </w:t>
            </w:r>
            <w:proofErr w:type="spellStart"/>
            <w:r w:rsidRPr="006D4413">
              <w:rPr>
                <w:rFonts w:eastAsia="Calibri"/>
                <w:sz w:val="20"/>
                <w:szCs w:val="20"/>
                <w:lang w:val="fr-CA"/>
              </w:rPr>
              <w:t>Entre</w:t>
            </w:r>
            <w:r w:rsidRPr="006D4413">
              <w:rPr>
                <w:rFonts w:eastAsia="Calibri"/>
                <w:sz w:val="20"/>
                <w:szCs w:val="20"/>
                <w:lang w:val="fr-CA"/>
              </w:rPr>
              <w:noBreakHyphen/>
              <w:t>temps</w:t>
            </w:r>
            <w:proofErr w:type="spellEnd"/>
            <w:r w:rsidRPr="006D4413">
              <w:rPr>
                <w:rFonts w:eastAsia="Calibri"/>
                <w:sz w:val="20"/>
                <w:szCs w:val="20"/>
                <w:lang w:val="fr-CA"/>
              </w:rPr>
              <w:t xml:space="preserve">, </w:t>
            </w:r>
            <w:proofErr w:type="spellStart"/>
            <w:r w:rsidRPr="006D4413">
              <w:rPr>
                <w:rFonts w:eastAsia="Calibri"/>
                <w:sz w:val="20"/>
                <w:szCs w:val="20"/>
                <w:lang w:val="fr-CA"/>
              </w:rPr>
              <w:t>Indalex</w:t>
            </w:r>
            <w:proofErr w:type="spellEnd"/>
            <w:r w:rsidRPr="006D4413">
              <w:rPr>
                <w:rFonts w:eastAsia="Calibri"/>
                <w:sz w:val="20"/>
                <w:szCs w:val="20"/>
                <w:lang w:val="fr-CA"/>
              </w:rPr>
              <w:t xml:space="preserve"> a présenté une motion pour lever le sursis prononcé en vertu de la </w:t>
            </w:r>
            <w:r w:rsidRPr="006D4413">
              <w:rPr>
                <w:rFonts w:eastAsia="Calibri"/>
                <w:i/>
                <w:sz w:val="20"/>
                <w:szCs w:val="20"/>
                <w:lang w:val="fr-CA"/>
              </w:rPr>
              <w:t>LACC</w:t>
            </w:r>
            <w:r w:rsidRPr="006D4413">
              <w:rPr>
                <w:rFonts w:eastAsia="Calibri"/>
                <w:sz w:val="20"/>
                <w:szCs w:val="20"/>
                <w:lang w:val="fr-CA"/>
              </w:rPr>
              <w:t xml:space="preserve"> et pour faire cession de faillite.</w:t>
            </w:r>
          </w:p>
          <w:p w:rsidR="00587A4D" w:rsidRPr="006D4413" w:rsidRDefault="00587A4D" w:rsidP="004C3B4A">
            <w:pPr>
              <w:jc w:val="both"/>
              <w:rPr>
                <w:rFonts w:eastAsia="Calibri"/>
                <w:sz w:val="20"/>
                <w:szCs w:val="20"/>
                <w:lang w:val="fr-CA"/>
              </w:rPr>
            </w:pPr>
          </w:p>
          <w:p w:rsidR="00587A4D" w:rsidRPr="006D4413" w:rsidRDefault="00587A4D" w:rsidP="004C3B4A">
            <w:pPr>
              <w:jc w:val="both"/>
              <w:rPr>
                <w:rFonts w:eastAsia="Calibri"/>
                <w:sz w:val="20"/>
                <w:szCs w:val="20"/>
                <w:lang w:val="fr-CA"/>
              </w:rPr>
            </w:pPr>
            <w:r w:rsidRPr="006D4413">
              <w:rPr>
                <w:rFonts w:eastAsia="Calibri"/>
                <w:sz w:val="20"/>
                <w:szCs w:val="20"/>
                <w:lang w:val="fr-CA"/>
              </w:rPr>
              <w:t>La Cour supérieure de justice de l'Ontario a rejeté les motions des MU et des retraités, concluant qu'il n'y avait eu aucune fiducie présumée en faveur des régimes de retraite au moment de la vente de l'actif d’</w:t>
            </w:r>
            <w:proofErr w:type="spellStart"/>
            <w:r w:rsidRPr="006D4413">
              <w:rPr>
                <w:rFonts w:eastAsia="Calibri"/>
                <w:sz w:val="20"/>
                <w:szCs w:val="20"/>
                <w:lang w:val="fr-CA"/>
              </w:rPr>
              <w:t>Indalex</w:t>
            </w:r>
            <w:proofErr w:type="spellEnd"/>
            <w:r w:rsidRPr="006D4413">
              <w:rPr>
                <w:rFonts w:eastAsia="Calibri"/>
                <w:sz w:val="20"/>
                <w:szCs w:val="20"/>
                <w:lang w:val="fr-CA"/>
              </w:rPr>
              <w:t>.  La Cour a rejeté la motion d’</w:t>
            </w:r>
            <w:proofErr w:type="spellStart"/>
            <w:r w:rsidRPr="006D4413">
              <w:rPr>
                <w:rFonts w:eastAsia="Calibri"/>
                <w:sz w:val="20"/>
                <w:szCs w:val="20"/>
                <w:lang w:val="fr-CA"/>
              </w:rPr>
              <w:t>Indalex</w:t>
            </w:r>
            <w:proofErr w:type="spellEnd"/>
            <w:r w:rsidRPr="006D4413">
              <w:rPr>
                <w:rFonts w:eastAsia="Calibri"/>
                <w:sz w:val="20"/>
                <w:szCs w:val="20"/>
                <w:lang w:val="fr-CA"/>
              </w:rPr>
              <w:t xml:space="preserve"> comme inutile. La Cour d'appel de l'Ontario a accueilli l'appel.  La Cour a déclaré qu'il y avait une fiducie présumée en faveur d'un des régimes de retraite et qu'il y avait eu des violations d'obligations fiduciaires de </w:t>
            </w:r>
            <w:proofErr w:type="spellStart"/>
            <w:r w:rsidRPr="006D4413">
              <w:rPr>
                <w:rFonts w:eastAsia="Calibri"/>
                <w:sz w:val="20"/>
                <w:szCs w:val="20"/>
                <w:lang w:val="fr-CA"/>
              </w:rPr>
              <w:t>common</w:t>
            </w:r>
            <w:proofErr w:type="spellEnd"/>
            <w:r w:rsidRPr="006D4413">
              <w:rPr>
                <w:rFonts w:eastAsia="Calibri"/>
                <w:sz w:val="20"/>
                <w:szCs w:val="20"/>
                <w:lang w:val="fr-CA"/>
              </w:rPr>
              <w:t xml:space="preserve"> </w:t>
            </w:r>
            <w:proofErr w:type="spellStart"/>
            <w:r w:rsidRPr="006D4413">
              <w:rPr>
                <w:rFonts w:eastAsia="Calibri"/>
                <w:sz w:val="20"/>
                <w:szCs w:val="20"/>
                <w:lang w:val="fr-CA"/>
              </w:rPr>
              <w:t>law</w:t>
            </w:r>
            <w:proofErr w:type="spellEnd"/>
            <w:r w:rsidRPr="006D4413">
              <w:rPr>
                <w:rFonts w:eastAsia="Calibri"/>
                <w:sz w:val="20"/>
                <w:szCs w:val="20"/>
                <w:lang w:val="fr-CA"/>
              </w:rPr>
              <w:t xml:space="preserve"> et prévues par la loi qui ont donné lieu à une fiducie </w:t>
            </w:r>
            <w:proofErr w:type="spellStart"/>
            <w:r w:rsidRPr="006D4413">
              <w:rPr>
                <w:rFonts w:eastAsia="Calibri"/>
                <w:sz w:val="20"/>
                <w:szCs w:val="20"/>
                <w:lang w:val="fr-CA"/>
              </w:rPr>
              <w:t>constructoire</w:t>
            </w:r>
            <w:proofErr w:type="spellEnd"/>
            <w:r w:rsidRPr="006D4413">
              <w:rPr>
                <w:rFonts w:eastAsia="Calibri"/>
                <w:sz w:val="20"/>
                <w:szCs w:val="20"/>
                <w:lang w:val="fr-CA"/>
              </w:rPr>
              <w:t xml:space="preserve"> en faveur de l'autre régime de retraite.  La Cour a déclaré que les régimes avaient priorité et que les insuffisances de l'actif devaient être comblées à partir du fonds de réserve. </w:t>
            </w:r>
          </w:p>
          <w:p w:rsidR="00587A4D" w:rsidRPr="006D4413" w:rsidRDefault="00587A4D" w:rsidP="004C3B4A">
            <w:pPr>
              <w:jc w:val="both"/>
              <w:rPr>
                <w:rFonts w:eastAsia="Calibri"/>
                <w:sz w:val="20"/>
                <w:szCs w:val="20"/>
                <w:lang w:val="fr-CA"/>
              </w:rPr>
            </w:pPr>
          </w:p>
        </w:tc>
      </w:tr>
      <w:tr w:rsidR="00587A4D" w:rsidRPr="008608D5" w:rsidTr="004C3B4A">
        <w:tc>
          <w:tcPr>
            <w:tcW w:w="2427" w:type="pct"/>
          </w:tcPr>
          <w:p w:rsidR="00587A4D" w:rsidRPr="006D4413" w:rsidRDefault="00587A4D" w:rsidP="004C3B4A">
            <w:pPr>
              <w:jc w:val="both"/>
              <w:rPr>
                <w:rFonts w:eastAsia="Calibri"/>
                <w:sz w:val="20"/>
                <w:szCs w:val="20"/>
                <w:lang w:val="fr-CA"/>
              </w:rPr>
            </w:pPr>
            <w:r w:rsidRPr="006D4413">
              <w:rPr>
                <w:rFonts w:eastAsia="Calibri"/>
                <w:sz w:val="20"/>
                <w:szCs w:val="20"/>
                <w:lang w:val="fr-CA"/>
              </w:rPr>
              <w:t>18 février 2010</w:t>
            </w:r>
          </w:p>
          <w:p w:rsidR="00587A4D" w:rsidRPr="006D4413" w:rsidRDefault="00587A4D" w:rsidP="004C3B4A">
            <w:pPr>
              <w:jc w:val="both"/>
              <w:rPr>
                <w:rFonts w:eastAsia="Calibri"/>
                <w:sz w:val="20"/>
                <w:szCs w:val="20"/>
                <w:lang w:val="fr-CA"/>
              </w:rPr>
            </w:pPr>
            <w:r w:rsidRPr="006D4413">
              <w:rPr>
                <w:rFonts w:eastAsia="Calibri"/>
                <w:sz w:val="20"/>
                <w:szCs w:val="20"/>
                <w:lang w:val="fr-CA"/>
              </w:rPr>
              <w:t xml:space="preserve">Cour supérieure de justice de l'Ontario </w:t>
            </w:r>
          </w:p>
          <w:p w:rsidR="00587A4D" w:rsidRPr="006D4413" w:rsidRDefault="00587A4D" w:rsidP="004C3B4A">
            <w:pPr>
              <w:jc w:val="both"/>
              <w:rPr>
                <w:rFonts w:eastAsia="Calibri"/>
                <w:sz w:val="20"/>
                <w:szCs w:val="20"/>
                <w:lang w:val="fr-CA"/>
              </w:rPr>
            </w:pPr>
            <w:r w:rsidRPr="006D4413">
              <w:rPr>
                <w:rFonts w:eastAsia="Calibri"/>
                <w:sz w:val="20"/>
                <w:szCs w:val="20"/>
                <w:lang w:val="fr-CA"/>
              </w:rPr>
              <w:t>(Juge Campbell)</w:t>
            </w:r>
          </w:p>
          <w:p w:rsidR="00587A4D" w:rsidRPr="006D4413" w:rsidRDefault="00587A4D" w:rsidP="004C3B4A">
            <w:pPr>
              <w:jc w:val="both"/>
              <w:rPr>
                <w:rFonts w:eastAsia="Calibri"/>
                <w:sz w:val="20"/>
                <w:szCs w:val="20"/>
                <w:lang w:val="fr-CA"/>
              </w:rPr>
            </w:pPr>
            <w:r w:rsidRPr="006D4413">
              <w:rPr>
                <w:rFonts w:eastAsia="Calibri"/>
                <w:sz w:val="20"/>
                <w:szCs w:val="20"/>
                <w:lang w:val="fr-CA"/>
              </w:rPr>
              <w:t>2010 ONSC1114</w:t>
            </w:r>
          </w:p>
        </w:tc>
        <w:tc>
          <w:tcPr>
            <w:tcW w:w="243" w:type="pct"/>
          </w:tcPr>
          <w:p w:rsidR="00587A4D" w:rsidRPr="006D4413" w:rsidRDefault="00587A4D" w:rsidP="004C3B4A">
            <w:pPr>
              <w:jc w:val="both"/>
              <w:rPr>
                <w:rFonts w:eastAsia="Calibri"/>
                <w:sz w:val="20"/>
                <w:szCs w:val="20"/>
                <w:lang w:val="fr-CA"/>
              </w:rPr>
            </w:pPr>
          </w:p>
        </w:tc>
        <w:tc>
          <w:tcPr>
            <w:tcW w:w="2330" w:type="pct"/>
          </w:tcPr>
          <w:p w:rsidR="00587A4D" w:rsidRPr="006D4413" w:rsidRDefault="00587A4D" w:rsidP="004C3B4A">
            <w:pPr>
              <w:jc w:val="both"/>
              <w:rPr>
                <w:rFonts w:eastAsia="Calibri"/>
                <w:sz w:val="20"/>
                <w:szCs w:val="20"/>
                <w:lang w:val="fr-CA"/>
              </w:rPr>
            </w:pPr>
            <w:r w:rsidRPr="006D4413">
              <w:rPr>
                <w:rFonts w:eastAsia="Calibri"/>
                <w:sz w:val="20"/>
                <w:szCs w:val="20"/>
                <w:lang w:val="fr-CA"/>
              </w:rPr>
              <w:t>Motions en vue d'obtenir un jugement déclarant l’existence d’une fiducie présumée et une ordonnance pour que les insuffisances de l'actif soient comblées à partir du fonds de réserve, rejetées; motion en suspension du sursis et en cession de faillite, rejetée</w:t>
            </w:r>
          </w:p>
          <w:p w:rsidR="00587A4D" w:rsidRPr="006D4413" w:rsidRDefault="00587A4D" w:rsidP="004C3B4A">
            <w:pPr>
              <w:jc w:val="both"/>
              <w:rPr>
                <w:rFonts w:eastAsia="Calibri"/>
                <w:sz w:val="20"/>
                <w:szCs w:val="20"/>
                <w:lang w:val="fr-CA"/>
              </w:rPr>
            </w:pPr>
          </w:p>
        </w:tc>
      </w:tr>
      <w:tr w:rsidR="00587A4D" w:rsidRPr="008608D5" w:rsidTr="004C3B4A">
        <w:tc>
          <w:tcPr>
            <w:tcW w:w="2427" w:type="pct"/>
          </w:tcPr>
          <w:p w:rsidR="00587A4D" w:rsidRPr="006D4413" w:rsidRDefault="00587A4D" w:rsidP="004C3B4A">
            <w:pPr>
              <w:jc w:val="both"/>
              <w:rPr>
                <w:rFonts w:eastAsia="Calibri"/>
                <w:sz w:val="20"/>
                <w:szCs w:val="20"/>
                <w:lang w:val="fr-CA"/>
              </w:rPr>
            </w:pPr>
            <w:r w:rsidRPr="006D4413">
              <w:rPr>
                <w:rFonts w:eastAsia="Calibri"/>
                <w:sz w:val="20"/>
                <w:szCs w:val="20"/>
                <w:lang w:val="fr-CA"/>
              </w:rPr>
              <w:t>7 avril 2011</w:t>
            </w:r>
          </w:p>
          <w:p w:rsidR="00587A4D" w:rsidRPr="006D4413" w:rsidRDefault="00587A4D" w:rsidP="004C3B4A">
            <w:pPr>
              <w:jc w:val="both"/>
              <w:rPr>
                <w:rFonts w:eastAsia="Calibri"/>
                <w:sz w:val="20"/>
                <w:szCs w:val="20"/>
                <w:lang w:val="fr-CA"/>
              </w:rPr>
            </w:pPr>
            <w:r w:rsidRPr="006D4413">
              <w:rPr>
                <w:rFonts w:eastAsia="Calibri"/>
                <w:sz w:val="20"/>
                <w:szCs w:val="20"/>
                <w:lang w:val="fr-CA"/>
              </w:rPr>
              <w:t xml:space="preserve">Cour d'appel de l'Ontario </w:t>
            </w:r>
          </w:p>
          <w:p w:rsidR="00587A4D" w:rsidRPr="006D4413" w:rsidRDefault="00587A4D" w:rsidP="004C3B4A">
            <w:pPr>
              <w:jc w:val="both"/>
              <w:rPr>
                <w:rFonts w:eastAsia="Calibri"/>
                <w:sz w:val="20"/>
                <w:szCs w:val="20"/>
                <w:lang w:val="fr-CA"/>
              </w:rPr>
            </w:pPr>
            <w:r w:rsidRPr="006D4413">
              <w:rPr>
                <w:rFonts w:eastAsia="Calibri"/>
                <w:sz w:val="20"/>
                <w:szCs w:val="20"/>
                <w:lang w:val="fr-CA"/>
              </w:rPr>
              <w:t xml:space="preserve">(Juges </w:t>
            </w:r>
            <w:proofErr w:type="spellStart"/>
            <w:r w:rsidRPr="006D4413">
              <w:rPr>
                <w:rFonts w:eastAsia="Calibri"/>
                <w:sz w:val="20"/>
                <w:szCs w:val="20"/>
                <w:lang w:val="fr-CA"/>
              </w:rPr>
              <w:t>Gillese</w:t>
            </w:r>
            <w:proofErr w:type="spellEnd"/>
            <w:r w:rsidRPr="006D4413">
              <w:rPr>
                <w:rFonts w:eastAsia="Calibri"/>
                <w:sz w:val="20"/>
                <w:szCs w:val="20"/>
                <w:lang w:val="fr-CA"/>
              </w:rPr>
              <w:t xml:space="preserve">, </w:t>
            </w:r>
            <w:proofErr w:type="spellStart"/>
            <w:r w:rsidRPr="006D4413">
              <w:rPr>
                <w:rFonts w:eastAsia="Calibri"/>
                <w:sz w:val="20"/>
                <w:szCs w:val="20"/>
                <w:lang w:val="fr-CA"/>
              </w:rPr>
              <w:t>MacPherson</w:t>
            </w:r>
            <w:proofErr w:type="spellEnd"/>
            <w:r w:rsidRPr="006D4413">
              <w:rPr>
                <w:rFonts w:eastAsia="Calibri"/>
                <w:sz w:val="20"/>
                <w:szCs w:val="20"/>
                <w:lang w:val="fr-CA"/>
              </w:rPr>
              <w:t xml:space="preserve"> et </w:t>
            </w:r>
            <w:proofErr w:type="spellStart"/>
            <w:r w:rsidRPr="006D4413">
              <w:rPr>
                <w:rFonts w:eastAsia="Calibri"/>
                <w:sz w:val="20"/>
                <w:szCs w:val="20"/>
                <w:lang w:val="fr-CA"/>
              </w:rPr>
              <w:t>Juriansz</w:t>
            </w:r>
            <w:proofErr w:type="spellEnd"/>
            <w:r w:rsidRPr="006D4413">
              <w:rPr>
                <w:rFonts w:eastAsia="Calibri"/>
                <w:sz w:val="20"/>
                <w:szCs w:val="20"/>
                <w:lang w:val="fr-CA"/>
              </w:rPr>
              <w:t>)</w:t>
            </w:r>
          </w:p>
          <w:p w:rsidR="00587A4D" w:rsidRPr="006D4413" w:rsidRDefault="00587A4D" w:rsidP="004C3B4A">
            <w:pPr>
              <w:jc w:val="both"/>
              <w:rPr>
                <w:rFonts w:eastAsia="Calibri"/>
                <w:sz w:val="20"/>
                <w:szCs w:val="20"/>
                <w:lang w:val="fr-CA"/>
              </w:rPr>
            </w:pPr>
            <w:r w:rsidRPr="006D4413">
              <w:rPr>
                <w:rFonts w:eastAsia="Calibri"/>
                <w:sz w:val="20"/>
                <w:szCs w:val="20"/>
                <w:lang w:val="fr-CA"/>
              </w:rPr>
              <w:t>2011 ONCA 265</w:t>
            </w:r>
          </w:p>
          <w:p w:rsidR="00587A4D" w:rsidRPr="006D4413" w:rsidRDefault="00587A4D" w:rsidP="004C3B4A">
            <w:pPr>
              <w:jc w:val="both"/>
              <w:rPr>
                <w:rFonts w:eastAsia="Calibri"/>
                <w:sz w:val="20"/>
                <w:szCs w:val="20"/>
                <w:lang w:val="fr-CA"/>
              </w:rPr>
            </w:pPr>
          </w:p>
        </w:tc>
        <w:tc>
          <w:tcPr>
            <w:tcW w:w="243" w:type="pct"/>
          </w:tcPr>
          <w:p w:rsidR="00587A4D" w:rsidRPr="006D4413" w:rsidRDefault="00587A4D" w:rsidP="004C3B4A">
            <w:pPr>
              <w:jc w:val="both"/>
              <w:rPr>
                <w:rFonts w:eastAsia="Calibri"/>
                <w:sz w:val="20"/>
                <w:szCs w:val="20"/>
                <w:lang w:val="fr-CA"/>
              </w:rPr>
            </w:pPr>
          </w:p>
        </w:tc>
        <w:tc>
          <w:tcPr>
            <w:tcW w:w="2330" w:type="pct"/>
          </w:tcPr>
          <w:p w:rsidR="00587A4D" w:rsidRPr="006D4413" w:rsidRDefault="00587A4D" w:rsidP="004C3B4A">
            <w:pPr>
              <w:jc w:val="both"/>
              <w:rPr>
                <w:rFonts w:eastAsia="Calibri"/>
                <w:sz w:val="20"/>
                <w:szCs w:val="20"/>
                <w:lang w:val="fr-CA"/>
              </w:rPr>
            </w:pPr>
            <w:r w:rsidRPr="006D4413">
              <w:rPr>
                <w:rFonts w:eastAsia="Calibri"/>
                <w:sz w:val="20"/>
                <w:szCs w:val="20"/>
                <w:lang w:val="fr-CA"/>
              </w:rPr>
              <w:t xml:space="preserve">Appel accueilli; jugement déclaratoire de fiducie présumée, de fiducie </w:t>
            </w:r>
            <w:proofErr w:type="spellStart"/>
            <w:r w:rsidRPr="006D4413">
              <w:rPr>
                <w:rFonts w:eastAsia="Calibri"/>
                <w:sz w:val="20"/>
                <w:szCs w:val="20"/>
                <w:lang w:val="fr-CA"/>
              </w:rPr>
              <w:t>constructoire</w:t>
            </w:r>
            <w:proofErr w:type="spellEnd"/>
            <w:r w:rsidRPr="006D4413">
              <w:rPr>
                <w:rFonts w:eastAsia="Calibri"/>
                <w:sz w:val="20"/>
                <w:szCs w:val="20"/>
                <w:lang w:val="fr-CA"/>
              </w:rPr>
              <w:t xml:space="preserve">, de violations d'obligations fiduciaires de </w:t>
            </w:r>
            <w:proofErr w:type="spellStart"/>
            <w:r w:rsidRPr="006D4413">
              <w:rPr>
                <w:rFonts w:eastAsia="Calibri"/>
                <w:sz w:val="20"/>
                <w:szCs w:val="20"/>
                <w:lang w:val="fr-CA"/>
              </w:rPr>
              <w:t>common</w:t>
            </w:r>
            <w:proofErr w:type="spellEnd"/>
            <w:r w:rsidRPr="006D4413">
              <w:rPr>
                <w:rFonts w:eastAsia="Calibri"/>
                <w:sz w:val="20"/>
                <w:szCs w:val="20"/>
                <w:lang w:val="fr-CA"/>
              </w:rPr>
              <w:t xml:space="preserve"> </w:t>
            </w:r>
            <w:proofErr w:type="spellStart"/>
            <w:r w:rsidRPr="006D4413">
              <w:rPr>
                <w:rFonts w:eastAsia="Calibri"/>
                <w:sz w:val="20"/>
                <w:szCs w:val="20"/>
                <w:lang w:val="fr-CA"/>
              </w:rPr>
              <w:t>law</w:t>
            </w:r>
            <w:proofErr w:type="spellEnd"/>
            <w:r w:rsidRPr="006D4413">
              <w:rPr>
                <w:rFonts w:eastAsia="Calibri"/>
                <w:sz w:val="20"/>
                <w:szCs w:val="20"/>
                <w:lang w:val="fr-CA"/>
              </w:rPr>
              <w:t xml:space="preserve"> et en vertu de la loi, priorité des régimes; ordonnance pour que les insuffisances de l'actif soient comblées à partir du fonds</w:t>
            </w:r>
          </w:p>
          <w:p w:rsidR="00587A4D" w:rsidRPr="006D4413" w:rsidRDefault="00587A4D" w:rsidP="004C3B4A">
            <w:pPr>
              <w:jc w:val="both"/>
              <w:rPr>
                <w:rFonts w:eastAsia="Calibri"/>
                <w:sz w:val="20"/>
                <w:szCs w:val="20"/>
                <w:lang w:val="fr-CA"/>
              </w:rPr>
            </w:pPr>
          </w:p>
        </w:tc>
      </w:tr>
      <w:tr w:rsidR="00587A4D" w:rsidRPr="008608D5" w:rsidTr="004C3B4A">
        <w:tc>
          <w:tcPr>
            <w:tcW w:w="2427" w:type="pct"/>
          </w:tcPr>
          <w:p w:rsidR="00587A4D" w:rsidRPr="006D4413" w:rsidRDefault="00587A4D" w:rsidP="004C3B4A">
            <w:pPr>
              <w:jc w:val="both"/>
              <w:rPr>
                <w:rFonts w:eastAsia="Calibri"/>
                <w:sz w:val="20"/>
                <w:szCs w:val="20"/>
                <w:lang w:val="fr-CA"/>
              </w:rPr>
            </w:pPr>
            <w:r w:rsidRPr="006D4413">
              <w:rPr>
                <w:rFonts w:eastAsia="Calibri"/>
                <w:sz w:val="20"/>
                <w:szCs w:val="20"/>
                <w:lang w:val="fr-CA"/>
              </w:rPr>
              <w:t>6 juin 2011</w:t>
            </w:r>
          </w:p>
          <w:p w:rsidR="00587A4D" w:rsidRPr="006D4413" w:rsidRDefault="00587A4D" w:rsidP="004C3B4A">
            <w:pPr>
              <w:jc w:val="both"/>
              <w:rPr>
                <w:rFonts w:eastAsia="Calibri"/>
                <w:sz w:val="20"/>
                <w:szCs w:val="20"/>
                <w:lang w:val="fr-CA"/>
              </w:rPr>
            </w:pPr>
            <w:r w:rsidRPr="006D4413">
              <w:rPr>
                <w:rFonts w:eastAsia="Calibri"/>
                <w:sz w:val="20"/>
                <w:szCs w:val="20"/>
                <w:lang w:val="fr-CA"/>
              </w:rPr>
              <w:t>Cour suprême du Canada</w:t>
            </w:r>
          </w:p>
          <w:p w:rsidR="00587A4D" w:rsidRPr="006D4413" w:rsidRDefault="00587A4D" w:rsidP="004C3B4A">
            <w:pPr>
              <w:jc w:val="both"/>
              <w:rPr>
                <w:rFonts w:eastAsia="Calibri"/>
                <w:sz w:val="20"/>
                <w:szCs w:val="20"/>
                <w:lang w:val="fr-CA"/>
              </w:rPr>
            </w:pPr>
          </w:p>
        </w:tc>
        <w:tc>
          <w:tcPr>
            <w:tcW w:w="243" w:type="pct"/>
          </w:tcPr>
          <w:p w:rsidR="00587A4D" w:rsidRPr="006D4413" w:rsidRDefault="00587A4D" w:rsidP="004C3B4A">
            <w:pPr>
              <w:jc w:val="both"/>
              <w:rPr>
                <w:rFonts w:eastAsia="Calibri"/>
                <w:sz w:val="20"/>
                <w:szCs w:val="20"/>
                <w:lang w:val="fr-CA"/>
              </w:rPr>
            </w:pPr>
          </w:p>
        </w:tc>
        <w:tc>
          <w:tcPr>
            <w:tcW w:w="2330" w:type="pct"/>
          </w:tcPr>
          <w:p w:rsidR="00587A4D" w:rsidRPr="006D4413" w:rsidRDefault="00587A4D" w:rsidP="004C3B4A">
            <w:pPr>
              <w:jc w:val="both"/>
              <w:rPr>
                <w:rFonts w:eastAsia="Calibri"/>
                <w:sz w:val="20"/>
                <w:szCs w:val="20"/>
                <w:lang w:val="fr-CA"/>
              </w:rPr>
            </w:pPr>
            <w:r w:rsidRPr="006D4413">
              <w:rPr>
                <w:rFonts w:eastAsia="Calibri"/>
                <w:sz w:val="20"/>
                <w:szCs w:val="20"/>
                <w:lang w:val="fr-CA"/>
              </w:rPr>
              <w:t xml:space="preserve">Demandes distinctes d'autorisation d'appel déposées par Sun </w:t>
            </w:r>
            <w:proofErr w:type="spellStart"/>
            <w:r w:rsidRPr="006D4413">
              <w:rPr>
                <w:rFonts w:eastAsia="Calibri"/>
                <w:sz w:val="20"/>
                <w:szCs w:val="20"/>
                <w:lang w:val="fr-CA"/>
              </w:rPr>
              <w:t>Indalex</w:t>
            </w:r>
            <w:proofErr w:type="spellEnd"/>
            <w:r w:rsidRPr="006D4413">
              <w:rPr>
                <w:rFonts w:eastAsia="Calibri"/>
                <w:sz w:val="20"/>
                <w:szCs w:val="20"/>
                <w:lang w:val="fr-CA"/>
              </w:rPr>
              <w:t xml:space="preserve"> Finance LLC, George L. Miller et FTI Consulting Canada ULC</w:t>
            </w:r>
          </w:p>
        </w:tc>
      </w:tr>
    </w:tbl>
    <w:p w:rsidR="00C454C8" w:rsidRDefault="00C454C8" w:rsidP="00C454C8">
      <w:pPr>
        <w:rPr>
          <w:sz w:val="20"/>
          <w:szCs w:val="20"/>
          <w:lang w:val="fr-CA"/>
        </w:rPr>
      </w:pPr>
    </w:p>
    <w:p w:rsidR="00C454C8" w:rsidRDefault="008754B5" w:rsidP="00C454C8">
      <w:pPr>
        <w:rPr>
          <w:sz w:val="20"/>
          <w:szCs w:val="20"/>
          <w:lang w:val="fr-CA"/>
        </w:rPr>
      </w:pPr>
      <w:r w:rsidRPr="008754B5">
        <w:rPr>
          <w:sz w:val="20"/>
          <w:szCs w:val="20"/>
          <w:lang w:val="fr-CA"/>
        </w:rPr>
        <w:pict>
          <v:rect id="_x0000_i1052" style="width:2in;height:1pt" o:hrpct="0" o:hralign="center" o:hrstd="t" o:hrnoshade="t" o:hr="t" fillcolor="black [3213]" stroked="f"/>
        </w:pict>
      </w:r>
    </w:p>
    <w:p w:rsidR="00C454C8" w:rsidRPr="00C454C8" w:rsidRDefault="00C454C8" w:rsidP="00C454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A1037" w:rsidRPr="002622ED" w:rsidTr="00A27223">
        <w:trPr>
          <w:cantSplit/>
        </w:trPr>
        <w:tc>
          <w:tcPr>
            <w:tcW w:w="1458" w:type="dxa"/>
          </w:tcPr>
          <w:p w:rsidR="00FA1037" w:rsidRPr="002622ED" w:rsidRDefault="00FA1037" w:rsidP="00A27223">
            <w:pPr>
              <w:rPr>
                <w:sz w:val="20"/>
                <w:szCs w:val="20"/>
              </w:rPr>
            </w:pPr>
            <w:r w:rsidRPr="002622ED">
              <w:rPr>
                <w:rStyle w:val="SCCFileNumberChar"/>
                <w:sz w:val="20"/>
                <w:szCs w:val="20"/>
              </w:rPr>
              <w:t>34309</w:t>
            </w:r>
          </w:p>
          <w:p w:rsidR="00FA1037" w:rsidRPr="002622ED" w:rsidRDefault="00FA1037" w:rsidP="00A27223">
            <w:pPr>
              <w:rPr>
                <w:b/>
                <w:sz w:val="20"/>
                <w:szCs w:val="20"/>
                <w:lang w:val="fr-CA"/>
              </w:rPr>
            </w:pPr>
          </w:p>
        </w:tc>
        <w:tc>
          <w:tcPr>
            <w:tcW w:w="8118" w:type="dxa"/>
          </w:tcPr>
          <w:p w:rsidR="00FA1037" w:rsidRPr="002622ED" w:rsidRDefault="00FA1037" w:rsidP="00A27223">
            <w:pPr>
              <w:rPr>
                <w:sz w:val="20"/>
                <w:szCs w:val="20"/>
              </w:rPr>
            </w:pPr>
            <w:r w:rsidRPr="00FA1037">
              <w:rPr>
                <w:rStyle w:val="SCCLsocChar"/>
                <w:sz w:val="20"/>
                <w:szCs w:val="20"/>
                <w:lang w:val="en-CA"/>
              </w:rPr>
              <w:t>Lyle Jacob John v. National Parole Board</w:t>
            </w:r>
            <w:r w:rsidRPr="002622ED">
              <w:rPr>
                <w:sz w:val="20"/>
                <w:szCs w:val="20"/>
              </w:rPr>
              <w:t xml:space="preserve"> (B.C.) (Criminal) (By Leave)</w:t>
            </w:r>
          </w:p>
          <w:p w:rsidR="00FA1037" w:rsidRPr="002622ED" w:rsidRDefault="00FA1037" w:rsidP="00A27223">
            <w:pPr>
              <w:rPr>
                <w:sz w:val="20"/>
                <w:szCs w:val="20"/>
              </w:rPr>
            </w:pPr>
          </w:p>
        </w:tc>
      </w:tr>
      <w:tr w:rsidR="00FA1037" w:rsidRPr="002622ED" w:rsidTr="00A27223">
        <w:trPr>
          <w:cantSplit/>
        </w:trPr>
        <w:tc>
          <w:tcPr>
            <w:tcW w:w="1458" w:type="dxa"/>
          </w:tcPr>
          <w:p w:rsidR="00FA1037" w:rsidRPr="002622ED" w:rsidRDefault="00FA1037" w:rsidP="00A27223">
            <w:pPr>
              <w:rPr>
                <w:sz w:val="20"/>
                <w:szCs w:val="20"/>
              </w:rPr>
            </w:pPr>
            <w:r w:rsidRPr="002622ED">
              <w:rPr>
                <w:sz w:val="20"/>
                <w:szCs w:val="20"/>
              </w:rPr>
              <w:t>Coram :</w:t>
            </w:r>
          </w:p>
        </w:tc>
        <w:tc>
          <w:tcPr>
            <w:tcW w:w="8118" w:type="dxa"/>
          </w:tcPr>
          <w:p w:rsidR="00FA1037" w:rsidRPr="002622ED" w:rsidRDefault="00FA1037" w:rsidP="00A27223">
            <w:pPr>
              <w:rPr>
                <w:sz w:val="20"/>
                <w:szCs w:val="20"/>
              </w:rPr>
            </w:pPr>
            <w:proofErr w:type="spellStart"/>
            <w:r w:rsidRPr="00FA1037">
              <w:rPr>
                <w:rStyle w:val="SCCCoramChar"/>
                <w:sz w:val="20"/>
                <w:szCs w:val="20"/>
                <w:lang w:val="en-CA"/>
              </w:rPr>
              <w:t>Binnie</w:t>
            </w:r>
            <w:proofErr w:type="spellEnd"/>
            <w:r w:rsidRPr="00FA1037">
              <w:rPr>
                <w:rStyle w:val="SCCCoramChar"/>
                <w:sz w:val="20"/>
                <w:szCs w:val="20"/>
                <w:lang w:val="en-CA"/>
              </w:rPr>
              <w:t xml:space="preserve">, </w:t>
            </w:r>
            <w:proofErr w:type="spellStart"/>
            <w:r w:rsidRPr="00FA1037">
              <w:rPr>
                <w:rStyle w:val="SCCCoramChar"/>
                <w:sz w:val="20"/>
                <w:szCs w:val="20"/>
                <w:lang w:val="en-CA"/>
              </w:rPr>
              <w:t>Abella</w:t>
            </w:r>
            <w:proofErr w:type="spellEnd"/>
            <w:r w:rsidRPr="00FA1037">
              <w:rPr>
                <w:rStyle w:val="SCCCoramChar"/>
                <w:sz w:val="20"/>
                <w:szCs w:val="20"/>
                <w:lang w:val="en-CA"/>
              </w:rPr>
              <w:t xml:space="preserve"> and Rothstein JJ.</w:t>
            </w:r>
          </w:p>
          <w:p w:rsidR="00FA1037" w:rsidRPr="002622ED" w:rsidRDefault="00FA1037" w:rsidP="00A27223">
            <w:pPr>
              <w:rPr>
                <w:sz w:val="20"/>
                <w:szCs w:val="20"/>
                <w:u w:val="single"/>
              </w:rPr>
            </w:pPr>
          </w:p>
        </w:tc>
      </w:tr>
      <w:tr w:rsidR="00FA1037" w:rsidRPr="008608D5" w:rsidTr="00A27223">
        <w:trPr>
          <w:cantSplit/>
        </w:trPr>
        <w:tc>
          <w:tcPr>
            <w:tcW w:w="9576" w:type="dxa"/>
            <w:gridSpan w:val="2"/>
          </w:tcPr>
          <w:p w:rsidR="00FA1037" w:rsidRPr="002622ED" w:rsidRDefault="00FA1037" w:rsidP="00A27223">
            <w:pPr>
              <w:pStyle w:val="SCCShortJudgment"/>
              <w:rPr>
                <w:szCs w:val="20"/>
              </w:rPr>
            </w:pPr>
            <w:r w:rsidRPr="002622ED">
              <w:rPr>
                <w:szCs w:val="20"/>
              </w:rPr>
              <w:t>The application for leave to appeal from the judgment of the Court of Appeal for British Columbia (Vancouver), Number CA037868, 2011 BCCA 188, dated April 14, 2011, is dismissed without costs.</w:t>
            </w:r>
          </w:p>
          <w:p w:rsidR="00FA1037" w:rsidRPr="002622ED" w:rsidRDefault="00FA1037" w:rsidP="00A27223">
            <w:pPr>
              <w:pStyle w:val="SCCShortJudgment"/>
              <w:ind w:firstLine="0"/>
              <w:rPr>
                <w:szCs w:val="20"/>
              </w:rPr>
            </w:pPr>
          </w:p>
          <w:p w:rsidR="00FA1037" w:rsidRPr="002622ED" w:rsidRDefault="00FA1037" w:rsidP="00A27223">
            <w:pPr>
              <w:pStyle w:val="SCCShortJudgment"/>
              <w:rPr>
                <w:szCs w:val="20"/>
                <w:lang w:val="fr-CA"/>
              </w:rPr>
            </w:pPr>
            <w:r w:rsidRPr="002622ED">
              <w:rPr>
                <w:szCs w:val="20"/>
                <w:lang w:val="fr-CA"/>
              </w:rPr>
              <w:t>La demande d’autorisation d’appel de l’arrêt de la Cour d’appel de la Colombie-Britannique (Vancouver), numéro CA037868, 2011 BCCA 188, daté du 14 avril 2011, est rejetée sans dépens.</w:t>
            </w:r>
          </w:p>
        </w:tc>
      </w:tr>
    </w:tbl>
    <w:p w:rsidR="00C454C8" w:rsidRPr="00FA1037" w:rsidRDefault="00C454C8" w:rsidP="00C454C8">
      <w:pPr>
        <w:rPr>
          <w:sz w:val="20"/>
          <w:szCs w:val="20"/>
          <w:lang w:val="fr-CA"/>
        </w:rPr>
      </w:pPr>
    </w:p>
    <w:p w:rsidR="00C454C8" w:rsidRPr="00517AED" w:rsidRDefault="00C454C8" w:rsidP="00C454C8">
      <w:pPr>
        <w:rPr>
          <w:sz w:val="20"/>
          <w:szCs w:val="20"/>
          <w:u w:val="single"/>
        </w:rPr>
      </w:pPr>
      <w:r w:rsidRPr="00517AED">
        <w:rPr>
          <w:sz w:val="20"/>
          <w:szCs w:val="20"/>
          <w:u w:val="single"/>
        </w:rPr>
        <w:t>CASE SUMMARY</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587A4D" w:rsidRPr="006D4413" w:rsidTr="004C3B4A">
        <w:tc>
          <w:tcPr>
            <w:tcW w:w="5000" w:type="pct"/>
            <w:gridSpan w:val="3"/>
          </w:tcPr>
          <w:p w:rsidR="00587A4D" w:rsidRPr="006D4413" w:rsidRDefault="00587A4D" w:rsidP="004C3B4A">
            <w:pPr>
              <w:jc w:val="both"/>
              <w:rPr>
                <w:rFonts w:eastAsia="Calibri"/>
                <w:sz w:val="20"/>
                <w:szCs w:val="20"/>
              </w:rPr>
            </w:pPr>
            <w:r w:rsidRPr="006D4413">
              <w:rPr>
                <w:rFonts w:eastAsia="Calibri"/>
                <w:sz w:val="20"/>
                <w:szCs w:val="20"/>
              </w:rPr>
              <w:t xml:space="preserve">Criminal law — Parole — Administrative law — Judicial review — Prerogative writs — </w:t>
            </w:r>
            <w:r w:rsidRPr="006D4413">
              <w:rPr>
                <w:rFonts w:eastAsia="Calibri"/>
                <w:i/>
                <w:sz w:val="20"/>
                <w:szCs w:val="20"/>
              </w:rPr>
              <w:t xml:space="preserve">Habeas </w:t>
            </w:r>
            <w:r w:rsidRPr="006D4413">
              <w:rPr>
                <w:rFonts w:eastAsia="Calibri"/>
                <w:sz w:val="20"/>
                <w:szCs w:val="20"/>
              </w:rPr>
              <w:t>c</w:t>
            </w:r>
            <w:r w:rsidRPr="006D4413">
              <w:rPr>
                <w:rFonts w:eastAsia="Calibri"/>
                <w:i/>
                <w:sz w:val="20"/>
                <w:szCs w:val="20"/>
              </w:rPr>
              <w:t>orpus</w:t>
            </w:r>
            <w:r w:rsidRPr="006D4413">
              <w:rPr>
                <w:rFonts w:eastAsia="Calibri"/>
                <w:sz w:val="20"/>
                <w:szCs w:val="20"/>
              </w:rPr>
              <w:t xml:space="preserve"> — Applicant federal offender seeking relief by way of </w:t>
            </w:r>
            <w:r w:rsidRPr="006D4413">
              <w:rPr>
                <w:rFonts w:eastAsia="Calibri"/>
                <w:i/>
                <w:sz w:val="20"/>
                <w:szCs w:val="20"/>
              </w:rPr>
              <w:t xml:space="preserve">habeas </w:t>
            </w:r>
            <w:r w:rsidRPr="006D4413">
              <w:rPr>
                <w:rFonts w:eastAsia="Calibri"/>
                <w:sz w:val="20"/>
                <w:szCs w:val="20"/>
              </w:rPr>
              <w:t>c</w:t>
            </w:r>
            <w:r w:rsidRPr="006D4413">
              <w:rPr>
                <w:rFonts w:eastAsia="Calibri"/>
                <w:i/>
                <w:sz w:val="20"/>
                <w:szCs w:val="20"/>
              </w:rPr>
              <w:t>orpus</w:t>
            </w:r>
            <w:r w:rsidRPr="006D4413">
              <w:rPr>
                <w:rFonts w:eastAsia="Calibri"/>
                <w:sz w:val="20"/>
                <w:szCs w:val="20"/>
              </w:rPr>
              <w:t xml:space="preserve"> after his full parole had been suspended and revoked — Chambers judge declining to exercise jurisdiction and dismissing application — Whether Court of Appeal erred in holding that Federal Courts are part of “complete, comprehensive, and expert” process for review of National Parole Board decisions — Whether Court of Appeal erred in failing to consider need for timely judicial oversight over alleged unlawful deprivations of liberty of prisoners/parolees, and in failing to recognize purposive and flexible nature of remedy of </w:t>
            </w:r>
            <w:r w:rsidRPr="006D4413">
              <w:rPr>
                <w:rFonts w:eastAsia="Calibri"/>
                <w:i/>
                <w:sz w:val="20"/>
                <w:szCs w:val="20"/>
              </w:rPr>
              <w:t>habeas corpus</w:t>
            </w:r>
            <w:r w:rsidRPr="006D4413">
              <w:rPr>
                <w:rFonts w:eastAsia="Calibri"/>
                <w:sz w:val="20"/>
                <w:szCs w:val="20"/>
              </w:rPr>
              <w:t>.</w:t>
            </w:r>
          </w:p>
        </w:tc>
      </w:tr>
      <w:tr w:rsidR="00587A4D" w:rsidRPr="006D4413" w:rsidTr="004C3B4A">
        <w:tc>
          <w:tcPr>
            <w:tcW w:w="5000" w:type="pct"/>
            <w:gridSpan w:val="3"/>
          </w:tcPr>
          <w:p w:rsidR="00587A4D" w:rsidRPr="006D4413" w:rsidRDefault="00587A4D" w:rsidP="004C3B4A">
            <w:pPr>
              <w:jc w:val="both"/>
              <w:rPr>
                <w:rFonts w:eastAsia="Calibri"/>
                <w:sz w:val="20"/>
                <w:szCs w:val="20"/>
              </w:rPr>
            </w:pPr>
          </w:p>
        </w:tc>
      </w:tr>
      <w:tr w:rsidR="00587A4D" w:rsidRPr="006D4413" w:rsidTr="004C3B4A">
        <w:tc>
          <w:tcPr>
            <w:tcW w:w="5000" w:type="pct"/>
            <w:gridSpan w:val="3"/>
          </w:tcPr>
          <w:p w:rsidR="00587A4D" w:rsidRPr="006D4413" w:rsidRDefault="00587A4D" w:rsidP="004C3B4A">
            <w:pPr>
              <w:jc w:val="both"/>
              <w:rPr>
                <w:rFonts w:eastAsia="Calibri"/>
                <w:sz w:val="20"/>
                <w:szCs w:val="20"/>
              </w:rPr>
            </w:pPr>
            <w:r w:rsidRPr="006D4413">
              <w:rPr>
                <w:rFonts w:eastAsia="Calibri"/>
                <w:sz w:val="20"/>
                <w:szCs w:val="20"/>
              </w:rPr>
              <w:t xml:space="preserve">On November 6, 1987, the applicant, a federal offender of Aboriginal descent, began serving a life sentence for second degree murder with a minimum of ten years' incarceration before being eligible for parole.  On October 15, 1998, he was granted full parole and commenced living in the community.  On March 2, 2009, the applicant's parole was suspended by his Community Parole Officer.  The suspension was referred to the National Parole Board, which revoked his full parole.  The applicant appealed to the Board’s Appeal Division, which affirmed the Board’s decision.  While it was open to the applicant to apply to the Federal Court for judicial review of the revocation of his parole, instead he filed an application to the Supreme Court of British Columbia for relief by way of </w:t>
            </w:r>
            <w:r w:rsidRPr="006D4413">
              <w:rPr>
                <w:rFonts w:eastAsia="Calibri"/>
                <w:i/>
                <w:sz w:val="20"/>
                <w:szCs w:val="20"/>
              </w:rPr>
              <w:t>habeas corpus</w:t>
            </w:r>
            <w:r w:rsidRPr="006D4413">
              <w:rPr>
                <w:rFonts w:eastAsia="Calibri"/>
                <w:sz w:val="20"/>
                <w:szCs w:val="20"/>
              </w:rPr>
              <w:t xml:space="preserve"> with </w:t>
            </w:r>
            <w:r w:rsidRPr="006D4413">
              <w:rPr>
                <w:rFonts w:eastAsia="Calibri"/>
                <w:i/>
                <w:sz w:val="20"/>
                <w:szCs w:val="20"/>
              </w:rPr>
              <w:t>certiorari</w:t>
            </w:r>
            <w:r w:rsidRPr="006D4413">
              <w:rPr>
                <w:rFonts w:eastAsia="Calibri"/>
                <w:sz w:val="20"/>
                <w:szCs w:val="20"/>
              </w:rPr>
              <w:t xml:space="preserve"> in aid, if necessary.  That application was dismissed, and the Court of Appeal upheld that decision.</w:t>
            </w:r>
          </w:p>
          <w:p w:rsidR="00587A4D" w:rsidRPr="006D4413" w:rsidRDefault="00587A4D" w:rsidP="004C3B4A">
            <w:pPr>
              <w:jc w:val="both"/>
              <w:rPr>
                <w:rFonts w:eastAsia="Calibri"/>
                <w:sz w:val="20"/>
                <w:szCs w:val="20"/>
              </w:rPr>
            </w:pPr>
          </w:p>
        </w:tc>
      </w:tr>
      <w:tr w:rsidR="00587A4D" w:rsidRPr="006D4413" w:rsidTr="004C3B4A">
        <w:tc>
          <w:tcPr>
            <w:tcW w:w="2427" w:type="pct"/>
          </w:tcPr>
          <w:p w:rsidR="00587A4D" w:rsidRPr="006D4413" w:rsidRDefault="00587A4D" w:rsidP="004C3B4A">
            <w:pPr>
              <w:jc w:val="both"/>
              <w:rPr>
                <w:rFonts w:eastAsia="Calibri"/>
                <w:sz w:val="20"/>
                <w:szCs w:val="20"/>
              </w:rPr>
            </w:pPr>
            <w:r w:rsidRPr="006D4413">
              <w:rPr>
                <w:rFonts w:eastAsia="Calibri"/>
                <w:sz w:val="20"/>
                <w:szCs w:val="20"/>
              </w:rPr>
              <w:t>January 14, 2010</w:t>
            </w:r>
          </w:p>
          <w:p w:rsidR="00587A4D" w:rsidRPr="006D4413" w:rsidRDefault="00587A4D" w:rsidP="004C3B4A">
            <w:pPr>
              <w:jc w:val="both"/>
              <w:rPr>
                <w:rFonts w:eastAsia="Calibri"/>
                <w:sz w:val="20"/>
                <w:szCs w:val="20"/>
              </w:rPr>
            </w:pPr>
            <w:r w:rsidRPr="006D4413">
              <w:rPr>
                <w:rFonts w:eastAsia="Calibri"/>
                <w:sz w:val="20"/>
                <w:szCs w:val="20"/>
              </w:rPr>
              <w:t>Supreme Court of British Columbia</w:t>
            </w:r>
          </w:p>
          <w:p w:rsidR="00587A4D" w:rsidRPr="006D4413" w:rsidRDefault="00587A4D" w:rsidP="004C3B4A">
            <w:pPr>
              <w:jc w:val="both"/>
              <w:rPr>
                <w:rFonts w:eastAsia="Calibri"/>
                <w:sz w:val="20"/>
                <w:szCs w:val="20"/>
              </w:rPr>
            </w:pPr>
            <w:r w:rsidRPr="006D4413">
              <w:rPr>
                <w:rFonts w:eastAsia="Calibri"/>
                <w:sz w:val="20"/>
                <w:szCs w:val="20"/>
              </w:rPr>
              <w:t>(Curtis J.)</w:t>
            </w:r>
          </w:p>
          <w:p w:rsidR="00587A4D" w:rsidRPr="006D4413" w:rsidRDefault="00587A4D" w:rsidP="004C3B4A">
            <w:pPr>
              <w:jc w:val="both"/>
              <w:rPr>
                <w:rFonts w:eastAsia="Calibri"/>
                <w:sz w:val="20"/>
                <w:szCs w:val="20"/>
              </w:rPr>
            </w:pPr>
          </w:p>
        </w:tc>
        <w:tc>
          <w:tcPr>
            <w:tcW w:w="243" w:type="pct"/>
          </w:tcPr>
          <w:p w:rsidR="00587A4D" w:rsidRPr="006D4413" w:rsidRDefault="00587A4D" w:rsidP="004C3B4A">
            <w:pPr>
              <w:jc w:val="both"/>
              <w:rPr>
                <w:rFonts w:eastAsia="Calibri"/>
                <w:sz w:val="20"/>
                <w:szCs w:val="20"/>
              </w:rPr>
            </w:pPr>
          </w:p>
        </w:tc>
        <w:tc>
          <w:tcPr>
            <w:tcW w:w="2330" w:type="pct"/>
          </w:tcPr>
          <w:p w:rsidR="00587A4D" w:rsidRPr="006D4413" w:rsidRDefault="00587A4D" w:rsidP="004C3B4A">
            <w:pPr>
              <w:jc w:val="both"/>
              <w:rPr>
                <w:rFonts w:eastAsia="Calibri"/>
                <w:sz w:val="20"/>
                <w:szCs w:val="20"/>
              </w:rPr>
            </w:pPr>
            <w:r w:rsidRPr="006D4413">
              <w:rPr>
                <w:rFonts w:eastAsia="Calibri"/>
                <w:sz w:val="20"/>
                <w:szCs w:val="20"/>
              </w:rPr>
              <w:t xml:space="preserve">Application for relief by way of </w:t>
            </w:r>
            <w:r w:rsidRPr="006D4413">
              <w:rPr>
                <w:rFonts w:eastAsia="Calibri"/>
                <w:i/>
                <w:sz w:val="20"/>
                <w:szCs w:val="20"/>
              </w:rPr>
              <w:t>habeas corpus</w:t>
            </w:r>
            <w:r w:rsidRPr="006D4413">
              <w:rPr>
                <w:rFonts w:eastAsia="Calibri"/>
                <w:sz w:val="20"/>
                <w:szCs w:val="20"/>
              </w:rPr>
              <w:t xml:space="preserve"> dismissed</w:t>
            </w:r>
          </w:p>
          <w:p w:rsidR="00587A4D" w:rsidRPr="006D4413" w:rsidRDefault="00587A4D" w:rsidP="004C3B4A">
            <w:pPr>
              <w:jc w:val="both"/>
              <w:rPr>
                <w:rFonts w:eastAsia="Calibri"/>
                <w:sz w:val="20"/>
                <w:szCs w:val="20"/>
              </w:rPr>
            </w:pPr>
          </w:p>
        </w:tc>
      </w:tr>
      <w:tr w:rsidR="00587A4D" w:rsidRPr="006D4413" w:rsidTr="004C3B4A">
        <w:tc>
          <w:tcPr>
            <w:tcW w:w="2427" w:type="pct"/>
          </w:tcPr>
          <w:p w:rsidR="00587A4D" w:rsidRPr="006D4413" w:rsidRDefault="00587A4D" w:rsidP="004C3B4A">
            <w:pPr>
              <w:jc w:val="both"/>
              <w:rPr>
                <w:rFonts w:eastAsia="Calibri"/>
                <w:sz w:val="20"/>
                <w:szCs w:val="20"/>
              </w:rPr>
            </w:pPr>
            <w:r w:rsidRPr="006D4413">
              <w:rPr>
                <w:rFonts w:eastAsia="Calibri"/>
                <w:sz w:val="20"/>
                <w:szCs w:val="20"/>
              </w:rPr>
              <w:t>April 14, 2011</w:t>
            </w:r>
          </w:p>
          <w:p w:rsidR="00587A4D" w:rsidRPr="006D4413" w:rsidRDefault="00587A4D" w:rsidP="004C3B4A">
            <w:pPr>
              <w:jc w:val="both"/>
              <w:rPr>
                <w:rFonts w:eastAsia="Calibri"/>
                <w:sz w:val="20"/>
                <w:szCs w:val="20"/>
              </w:rPr>
            </w:pPr>
            <w:r w:rsidRPr="006D4413">
              <w:rPr>
                <w:rFonts w:eastAsia="Calibri"/>
                <w:sz w:val="20"/>
                <w:szCs w:val="20"/>
              </w:rPr>
              <w:t xml:space="preserve">Court of Appeal for British Columbia </w:t>
            </w:r>
          </w:p>
          <w:p w:rsidR="00587A4D" w:rsidRPr="006D4413" w:rsidRDefault="00587A4D" w:rsidP="004C3B4A">
            <w:pPr>
              <w:jc w:val="both"/>
              <w:rPr>
                <w:rFonts w:eastAsia="Calibri"/>
                <w:sz w:val="20"/>
                <w:szCs w:val="20"/>
              </w:rPr>
            </w:pPr>
            <w:r w:rsidRPr="006D4413">
              <w:rPr>
                <w:rFonts w:eastAsia="Calibri"/>
                <w:sz w:val="20"/>
                <w:szCs w:val="20"/>
              </w:rPr>
              <w:t>(Finch C.J., Newbury and Lowry JJ.A.)</w:t>
            </w:r>
          </w:p>
          <w:p w:rsidR="00587A4D" w:rsidRPr="006D4413" w:rsidRDefault="00587A4D" w:rsidP="004C3B4A">
            <w:pPr>
              <w:jc w:val="both"/>
              <w:rPr>
                <w:rFonts w:eastAsia="Calibri"/>
                <w:sz w:val="20"/>
                <w:szCs w:val="20"/>
              </w:rPr>
            </w:pPr>
          </w:p>
        </w:tc>
        <w:tc>
          <w:tcPr>
            <w:tcW w:w="243" w:type="pct"/>
          </w:tcPr>
          <w:p w:rsidR="00587A4D" w:rsidRPr="006D4413" w:rsidRDefault="00587A4D" w:rsidP="004C3B4A">
            <w:pPr>
              <w:jc w:val="both"/>
              <w:rPr>
                <w:rFonts w:eastAsia="Calibri"/>
                <w:sz w:val="20"/>
                <w:szCs w:val="20"/>
              </w:rPr>
            </w:pPr>
          </w:p>
        </w:tc>
        <w:tc>
          <w:tcPr>
            <w:tcW w:w="2330" w:type="pct"/>
          </w:tcPr>
          <w:p w:rsidR="00587A4D" w:rsidRPr="006D4413" w:rsidRDefault="00587A4D" w:rsidP="004C3B4A">
            <w:pPr>
              <w:jc w:val="both"/>
              <w:rPr>
                <w:rFonts w:eastAsia="Calibri"/>
                <w:sz w:val="20"/>
                <w:szCs w:val="20"/>
              </w:rPr>
            </w:pPr>
            <w:r w:rsidRPr="006D4413">
              <w:rPr>
                <w:rFonts w:eastAsia="Calibri"/>
                <w:sz w:val="20"/>
                <w:szCs w:val="20"/>
              </w:rPr>
              <w:t>Appeal dismissed</w:t>
            </w:r>
          </w:p>
          <w:p w:rsidR="00587A4D" w:rsidRPr="006D4413" w:rsidRDefault="00587A4D" w:rsidP="004C3B4A">
            <w:pPr>
              <w:jc w:val="both"/>
              <w:rPr>
                <w:rFonts w:eastAsia="Calibri"/>
                <w:sz w:val="20"/>
                <w:szCs w:val="20"/>
              </w:rPr>
            </w:pPr>
          </w:p>
        </w:tc>
      </w:tr>
      <w:tr w:rsidR="00587A4D" w:rsidRPr="006D4413" w:rsidTr="004C3B4A">
        <w:tc>
          <w:tcPr>
            <w:tcW w:w="2427" w:type="pct"/>
          </w:tcPr>
          <w:p w:rsidR="00587A4D" w:rsidRPr="006D4413" w:rsidRDefault="00587A4D" w:rsidP="004C3B4A">
            <w:pPr>
              <w:jc w:val="both"/>
              <w:rPr>
                <w:rFonts w:eastAsia="Calibri"/>
                <w:sz w:val="20"/>
                <w:szCs w:val="20"/>
              </w:rPr>
            </w:pPr>
            <w:r w:rsidRPr="006D4413">
              <w:rPr>
                <w:rFonts w:eastAsia="Calibri"/>
                <w:sz w:val="20"/>
                <w:szCs w:val="20"/>
              </w:rPr>
              <w:t>June 13, 2011</w:t>
            </w:r>
          </w:p>
          <w:p w:rsidR="00587A4D" w:rsidRPr="006D4413" w:rsidRDefault="00587A4D" w:rsidP="004C3B4A">
            <w:pPr>
              <w:jc w:val="both"/>
              <w:rPr>
                <w:rFonts w:eastAsia="Calibri"/>
                <w:sz w:val="20"/>
                <w:szCs w:val="20"/>
              </w:rPr>
            </w:pPr>
            <w:r w:rsidRPr="006D4413">
              <w:rPr>
                <w:rFonts w:eastAsia="Calibri"/>
                <w:sz w:val="20"/>
                <w:szCs w:val="20"/>
              </w:rPr>
              <w:t>Supreme Court of Canada</w:t>
            </w:r>
          </w:p>
        </w:tc>
        <w:tc>
          <w:tcPr>
            <w:tcW w:w="243" w:type="pct"/>
          </w:tcPr>
          <w:p w:rsidR="00587A4D" w:rsidRPr="006D4413" w:rsidRDefault="00587A4D" w:rsidP="004C3B4A">
            <w:pPr>
              <w:jc w:val="both"/>
              <w:rPr>
                <w:rFonts w:eastAsia="Calibri"/>
                <w:sz w:val="20"/>
                <w:szCs w:val="20"/>
              </w:rPr>
            </w:pPr>
          </w:p>
        </w:tc>
        <w:tc>
          <w:tcPr>
            <w:tcW w:w="2330" w:type="pct"/>
          </w:tcPr>
          <w:p w:rsidR="00587A4D" w:rsidRPr="006D4413" w:rsidRDefault="00587A4D" w:rsidP="004C3B4A">
            <w:pPr>
              <w:jc w:val="both"/>
              <w:rPr>
                <w:rFonts w:eastAsia="Calibri"/>
                <w:sz w:val="20"/>
                <w:szCs w:val="20"/>
              </w:rPr>
            </w:pPr>
            <w:r w:rsidRPr="006D4413">
              <w:rPr>
                <w:rFonts w:eastAsia="Calibri"/>
                <w:sz w:val="20"/>
                <w:szCs w:val="20"/>
              </w:rPr>
              <w:t>Application for leave to appeal filed</w:t>
            </w:r>
          </w:p>
          <w:p w:rsidR="00587A4D" w:rsidRPr="006D4413" w:rsidRDefault="00587A4D" w:rsidP="004C3B4A">
            <w:pPr>
              <w:jc w:val="both"/>
              <w:rPr>
                <w:rFonts w:eastAsia="Calibri"/>
                <w:sz w:val="20"/>
                <w:szCs w:val="20"/>
              </w:rPr>
            </w:pPr>
          </w:p>
        </w:tc>
      </w:tr>
    </w:tbl>
    <w:p w:rsidR="00C454C8" w:rsidRPr="00587A4D" w:rsidRDefault="00C454C8" w:rsidP="00C454C8">
      <w:pPr>
        <w:rPr>
          <w:sz w:val="20"/>
          <w:szCs w:val="20"/>
        </w:rPr>
      </w:pPr>
    </w:p>
    <w:p w:rsidR="00C454C8" w:rsidRDefault="008754B5" w:rsidP="00C454C8">
      <w:pPr>
        <w:rPr>
          <w:sz w:val="20"/>
          <w:szCs w:val="20"/>
          <w:lang w:val="fr-CA"/>
        </w:rPr>
      </w:pPr>
      <w:r w:rsidRPr="008754B5">
        <w:rPr>
          <w:sz w:val="20"/>
          <w:szCs w:val="20"/>
          <w:lang w:val="fr-CA"/>
        </w:rPr>
        <w:pict>
          <v:rect id="_x0000_i1053" style="width:2in;height:1pt" o:hrpct="0" o:hralign="center" o:hrstd="t" o:hrnoshade="t" o:hr="t" fillcolor="black [3213]" stroked="f"/>
        </w:pict>
      </w:r>
    </w:p>
    <w:p w:rsidR="00C454C8" w:rsidRDefault="00C454C8" w:rsidP="00C454C8">
      <w:pPr>
        <w:rPr>
          <w:sz w:val="20"/>
          <w:szCs w:val="20"/>
          <w:lang w:val="fr-CA"/>
        </w:rPr>
      </w:pPr>
    </w:p>
    <w:p w:rsidR="00C454C8" w:rsidRPr="00517AED" w:rsidRDefault="00C454C8" w:rsidP="00C454C8">
      <w:pPr>
        <w:rPr>
          <w:sz w:val="20"/>
          <w:szCs w:val="20"/>
          <w:u w:val="single"/>
          <w:lang w:val="fr-CA"/>
        </w:rPr>
      </w:pPr>
      <w:r w:rsidRPr="00517AED">
        <w:rPr>
          <w:sz w:val="20"/>
          <w:szCs w:val="20"/>
          <w:u w:val="single"/>
          <w:lang w:val="fr-CA"/>
        </w:rPr>
        <w:t>RÉSUMÉ DE L’AFFAIRE</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587A4D" w:rsidRPr="008608D5" w:rsidTr="004C3B4A">
        <w:tc>
          <w:tcPr>
            <w:tcW w:w="5000" w:type="pct"/>
            <w:gridSpan w:val="3"/>
          </w:tcPr>
          <w:p w:rsidR="00587A4D" w:rsidRPr="006D4413" w:rsidRDefault="00587A4D" w:rsidP="004C3B4A">
            <w:pPr>
              <w:jc w:val="both"/>
              <w:rPr>
                <w:sz w:val="20"/>
                <w:szCs w:val="20"/>
                <w:lang w:val="fr-CA"/>
              </w:rPr>
            </w:pPr>
            <w:r w:rsidRPr="006D4413">
              <w:rPr>
                <w:sz w:val="20"/>
                <w:szCs w:val="20"/>
                <w:lang w:val="fr-CA"/>
              </w:rPr>
              <w:t xml:space="preserve">Droit criminel — Libération conditionnelle — Droit administratif — Contrôle judiciaire — Brefs de prérogative — </w:t>
            </w:r>
            <w:r w:rsidRPr="006D4413">
              <w:rPr>
                <w:i/>
                <w:sz w:val="20"/>
                <w:szCs w:val="20"/>
                <w:lang w:val="fr-CA"/>
              </w:rPr>
              <w:t xml:space="preserve">Habeas </w:t>
            </w:r>
            <w:r w:rsidRPr="006D4413">
              <w:rPr>
                <w:sz w:val="20"/>
                <w:szCs w:val="20"/>
                <w:lang w:val="fr-CA"/>
              </w:rPr>
              <w:t>c</w:t>
            </w:r>
            <w:r w:rsidRPr="006D4413">
              <w:rPr>
                <w:i/>
                <w:sz w:val="20"/>
                <w:szCs w:val="20"/>
                <w:lang w:val="fr-CA"/>
              </w:rPr>
              <w:t>orpus</w:t>
            </w:r>
            <w:r w:rsidRPr="006D4413">
              <w:rPr>
                <w:sz w:val="20"/>
                <w:szCs w:val="20"/>
                <w:lang w:val="fr-CA"/>
              </w:rPr>
              <w:t xml:space="preserve"> — Le délinquant sous responsabilité fédérale demande un redressement par voie d’</w:t>
            </w:r>
            <w:r w:rsidRPr="006D4413">
              <w:rPr>
                <w:i/>
                <w:sz w:val="20"/>
                <w:szCs w:val="20"/>
                <w:lang w:val="fr-CA"/>
              </w:rPr>
              <w:t>habeas corpus</w:t>
            </w:r>
            <w:r w:rsidRPr="006D4413">
              <w:rPr>
                <w:sz w:val="20"/>
                <w:szCs w:val="20"/>
                <w:lang w:val="fr-CA"/>
              </w:rPr>
              <w:t xml:space="preserve"> après que sa libération conditionnelle totale a été suspendue et révoquée — Le juge siégeant en chambre a refusé d’exercer sa compétence et a rejeté la demande — La Cour d’appel </w:t>
            </w:r>
            <w:proofErr w:type="spellStart"/>
            <w:r w:rsidRPr="006D4413">
              <w:rPr>
                <w:sz w:val="20"/>
                <w:szCs w:val="20"/>
                <w:lang w:val="fr-CA"/>
              </w:rPr>
              <w:t>a</w:t>
            </w:r>
            <w:r w:rsidRPr="006D4413">
              <w:rPr>
                <w:sz w:val="20"/>
                <w:szCs w:val="20"/>
                <w:lang w:val="fr-CA"/>
              </w:rPr>
              <w:noBreakHyphen/>
              <w:t>t</w:t>
            </w:r>
            <w:r w:rsidRPr="006D4413">
              <w:rPr>
                <w:sz w:val="20"/>
                <w:szCs w:val="20"/>
                <w:lang w:val="fr-CA"/>
              </w:rPr>
              <w:noBreakHyphen/>
              <w:t>elle</w:t>
            </w:r>
            <w:proofErr w:type="spellEnd"/>
            <w:r w:rsidRPr="006D4413">
              <w:rPr>
                <w:sz w:val="20"/>
                <w:szCs w:val="20"/>
                <w:lang w:val="fr-CA"/>
              </w:rPr>
              <w:t xml:space="preserve"> eu tort de statuer que les Cours fédérales font partie d’un processus [</w:t>
            </w:r>
            <w:r w:rsidRPr="006D4413">
              <w:rPr>
                <w:smallCaps/>
                <w:sz w:val="20"/>
                <w:szCs w:val="20"/>
                <w:lang w:val="fr-CA"/>
              </w:rPr>
              <w:t>traduction</w:t>
            </w:r>
            <w:r w:rsidRPr="006D4413">
              <w:rPr>
                <w:sz w:val="20"/>
                <w:szCs w:val="20"/>
                <w:lang w:val="fr-CA"/>
              </w:rPr>
              <w:t xml:space="preserve">] « complet, global et compétent » pour le contrôle des décisions de la Commission nationale des libérations conditionnelles? — La Cour d’appel </w:t>
            </w:r>
            <w:proofErr w:type="spellStart"/>
            <w:r w:rsidRPr="006D4413">
              <w:rPr>
                <w:sz w:val="20"/>
                <w:szCs w:val="20"/>
                <w:lang w:val="fr-CA"/>
              </w:rPr>
              <w:t>a</w:t>
            </w:r>
            <w:r w:rsidRPr="006D4413">
              <w:rPr>
                <w:sz w:val="20"/>
                <w:szCs w:val="20"/>
                <w:lang w:val="fr-CA"/>
              </w:rPr>
              <w:noBreakHyphen/>
              <w:t>t</w:t>
            </w:r>
            <w:r w:rsidRPr="006D4413">
              <w:rPr>
                <w:sz w:val="20"/>
                <w:szCs w:val="20"/>
                <w:lang w:val="fr-CA"/>
              </w:rPr>
              <w:noBreakHyphen/>
              <w:t>elle</w:t>
            </w:r>
            <w:proofErr w:type="spellEnd"/>
            <w:r w:rsidRPr="006D4413">
              <w:rPr>
                <w:sz w:val="20"/>
                <w:szCs w:val="20"/>
                <w:lang w:val="fr-CA"/>
              </w:rPr>
              <w:t xml:space="preserve"> eu tort de ne pas avoir considéré le besoin d’une surveillance judiciaire au moment opportun à l’égard des présumées privations illégales de la liberté des détenus et des libérés conditionnels, et de ne pas avoir reconnu le caractère téléologique et souple du redressement de l’</w:t>
            </w:r>
            <w:r w:rsidRPr="006D4413">
              <w:rPr>
                <w:i/>
                <w:sz w:val="20"/>
                <w:szCs w:val="20"/>
                <w:lang w:val="fr-CA"/>
              </w:rPr>
              <w:t>habeas corpus</w:t>
            </w:r>
            <w:r w:rsidRPr="006D4413">
              <w:rPr>
                <w:sz w:val="20"/>
                <w:szCs w:val="20"/>
                <w:lang w:val="fr-CA"/>
              </w:rPr>
              <w:t>?</w:t>
            </w:r>
          </w:p>
        </w:tc>
      </w:tr>
      <w:tr w:rsidR="00587A4D" w:rsidRPr="008608D5" w:rsidTr="004C3B4A">
        <w:tc>
          <w:tcPr>
            <w:tcW w:w="5000" w:type="pct"/>
            <w:gridSpan w:val="3"/>
          </w:tcPr>
          <w:p w:rsidR="00587A4D" w:rsidRPr="006D4413" w:rsidRDefault="00587A4D" w:rsidP="004C3B4A">
            <w:pPr>
              <w:jc w:val="both"/>
              <w:rPr>
                <w:sz w:val="20"/>
                <w:szCs w:val="20"/>
                <w:lang w:val="fr-CA"/>
              </w:rPr>
            </w:pPr>
          </w:p>
        </w:tc>
      </w:tr>
      <w:tr w:rsidR="00587A4D" w:rsidRPr="008608D5" w:rsidTr="004C3B4A">
        <w:tc>
          <w:tcPr>
            <w:tcW w:w="5000" w:type="pct"/>
            <w:gridSpan w:val="3"/>
          </w:tcPr>
          <w:p w:rsidR="00587A4D" w:rsidRPr="006D4413" w:rsidRDefault="00587A4D" w:rsidP="004C3B4A">
            <w:pPr>
              <w:jc w:val="both"/>
              <w:rPr>
                <w:sz w:val="20"/>
                <w:szCs w:val="20"/>
                <w:lang w:val="fr-CA"/>
              </w:rPr>
            </w:pPr>
            <w:r w:rsidRPr="006D4413">
              <w:rPr>
                <w:sz w:val="20"/>
                <w:szCs w:val="20"/>
                <w:lang w:val="fr-CA"/>
              </w:rPr>
              <w:t xml:space="preserve">Le 6 novembre 1987, le demandeur, un délinquant sous responsabilité fédérale de descendance autochtone, a commencé à purger une peine d’emprisonnement à perpétuité pour meurtre au deuxième degré sans possibilité de libération conditionnelle avant d’avoir purgé au moins 10 ans de sa peine.  Le 15 octobre 1998, il s’est vu accorder la libération conditionnelle totale et a commencé à vivre dans la collectivité.  Le 2 mars 2009, l’agent de libération conditionnelle dans la collectivité a suspendu la libération conditionnelle du demandeur.  La suspension a été renvoyée </w:t>
            </w:r>
            <w:r w:rsidRPr="006D4413">
              <w:rPr>
                <w:sz w:val="20"/>
                <w:szCs w:val="20"/>
                <w:lang w:val="fr-CA"/>
              </w:rPr>
              <w:lastRenderedPageBreak/>
              <w:t>à la Commission nationale des libérations conditionnelles qui a révoqué sa libération conditionnelle totale.  Le demandeur a interjeté appel à la Section d’appel de la Commission qui a confirmé la décision de cette dernière.  Même s’il était loisible au demandeur de présenter à la Cour fédérale une demande de contrôle judiciaire de la révocation de sa libération conditionnelle, il a plutôt déposé une demande à la Cour suprême de la Colombie Britannique pour obtenir un redressement par voie d’</w:t>
            </w:r>
            <w:r w:rsidRPr="006D4413">
              <w:rPr>
                <w:i/>
                <w:sz w:val="20"/>
                <w:szCs w:val="20"/>
                <w:lang w:val="fr-CA"/>
              </w:rPr>
              <w:t>habeas corpus</w:t>
            </w:r>
            <w:r w:rsidRPr="006D4413">
              <w:rPr>
                <w:sz w:val="20"/>
                <w:szCs w:val="20"/>
                <w:lang w:val="fr-CA"/>
              </w:rPr>
              <w:t xml:space="preserve"> avec </w:t>
            </w:r>
            <w:proofErr w:type="spellStart"/>
            <w:r w:rsidRPr="006D4413">
              <w:rPr>
                <w:i/>
                <w:sz w:val="20"/>
                <w:szCs w:val="20"/>
                <w:lang w:val="fr-CA"/>
              </w:rPr>
              <w:t>certiorari</w:t>
            </w:r>
            <w:proofErr w:type="spellEnd"/>
            <w:r w:rsidRPr="006D4413">
              <w:rPr>
                <w:sz w:val="20"/>
                <w:szCs w:val="20"/>
                <w:lang w:val="fr-CA"/>
              </w:rPr>
              <w:t xml:space="preserve"> auxiliaire au besoin. Cette demande a été rejetée et la Cour d’appel a confirmé cette décision.</w:t>
            </w:r>
          </w:p>
          <w:p w:rsidR="00587A4D" w:rsidRPr="006D4413" w:rsidRDefault="00587A4D" w:rsidP="004C3B4A">
            <w:pPr>
              <w:jc w:val="both"/>
              <w:rPr>
                <w:sz w:val="20"/>
                <w:szCs w:val="20"/>
                <w:lang w:val="fr-CA"/>
              </w:rPr>
            </w:pPr>
          </w:p>
        </w:tc>
      </w:tr>
      <w:tr w:rsidR="00587A4D" w:rsidRPr="008608D5" w:rsidTr="004C3B4A">
        <w:tc>
          <w:tcPr>
            <w:tcW w:w="2427" w:type="pct"/>
          </w:tcPr>
          <w:p w:rsidR="00587A4D" w:rsidRPr="006D4413" w:rsidRDefault="00587A4D" w:rsidP="004C3B4A">
            <w:pPr>
              <w:jc w:val="both"/>
              <w:rPr>
                <w:sz w:val="20"/>
                <w:szCs w:val="20"/>
                <w:lang w:val="fr-CA"/>
              </w:rPr>
            </w:pPr>
            <w:r w:rsidRPr="006D4413">
              <w:rPr>
                <w:sz w:val="20"/>
                <w:szCs w:val="20"/>
                <w:lang w:val="fr-CA"/>
              </w:rPr>
              <w:lastRenderedPageBreak/>
              <w:t>14 janvier 2010</w:t>
            </w:r>
          </w:p>
          <w:p w:rsidR="00587A4D" w:rsidRPr="006D4413" w:rsidRDefault="00587A4D" w:rsidP="004C3B4A">
            <w:pPr>
              <w:jc w:val="both"/>
              <w:rPr>
                <w:sz w:val="20"/>
                <w:szCs w:val="20"/>
                <w:lang w:val="fr-CA"/>
              </w:rPr>
            </w:pPr>
            <w:r w:rsidRPr="006D4413">
              <w:rPr>
                <w:sz w:val="20"/>
                <w:szCs w:val="20"/>
                <w:lang w:val="fr-CA"/>
              </w:rPr>
              <w:t xml:space="preserve">Cour suprême de la Colombie Britannique </w:t>
            </w:r>
          </w:p>
          <w:p w:rsidR="00587A4D" w:rsidRPr="006D4413" w:rsidRDefault="00587A4D" w:rsidP="004C3B4A">
            <w:pPr>
              <w:jc w:val="both"/>
              <w:rPr>
                <w:sz w:val="20"/>
                <w:szCs w:val="20"/>
                <w:lang w:val="fr-CA"/>
              </w:rPr>
            </w:pPr>
            <w:r w:rsidRPr="006D4413">
              <w:rPr>
                <w:sz w:val="20"/>
                <w:szCs w:val="20"/>
                <w:lang w:val="fr-CA"/>
              </w:rPr>
              <w:t>(Juge Curtis)</w:t>
            </w:r>
          </w:p>
          <w:p w:rsidR="00587A4D" w:rsidRPr="006D4413" w:rsidRDefault="00587A4D" w:rsidP="004C3B4A">
            <w:pPr>
              <w:jc w:val="both"/>
              <w:rPr>
                <w:sz w:val="20"/>
                <w:szCs w:val="20"/>
                <w:lang w:val="fr-CA"/>
              </w:rPr>
            </w:pPr>
          </w:p>
        </w:tc>
        <w:tc>
          <w:tcPr>
            <w:tcW w:w="243" w:type="pct"/>
          </w:tcPr>
          <w:p w:rsidR="00587A4D" w:rsidRPr="006D4413" w:rsidRDefault="00587A4D" w:rsidP="004C3B4A">
            <w:pPr>
              <w:jc w:val="both"/>
              <w:rPr>
                <w:sz w:val="20"/>
                <w:szCs w:val="20"/>
                <w:lang w:val="fr-CA"/>
              </w:rPr>
            </w:pPr>
          </w:p>
        </w:tc>
        <w:tc>
          <w:tcPr>
            <w:tcW w:w="2330" w:type="pct"/>
          </w:tcPr>
          <w:p w:rsidR="00587A4D" w:rsidRPr="006D4413" w:rsidRDefault="00587A4D" w:rsidP="004C3B4A">
            <w:pPr>
              <w:jc w:val="both"/>
              <w:rPr>
                <w:sz w:val="20"/>
                <w:szCs w:val="20"/>
                <w:lang w:val="fr-CA"/>
              </w:rPr>
            </w:pPr>
            <w:r w:rsidRPr="006D4413">
              <w:rPr>
                <w:sz w:val="20"/>
                <w:szCs w:val="20"/>
                <w:lang w:val="fr-CA"/>
              </w:rPr>
              <w:t>Demande de redressement par voie d’</w:t>
            </w:r>
            <w:r w:rsidRPr="006D4413">
              <w:rPr>
                <w:i/>
                <w:sz w:val="20"/>
                <w:szCs w:val="20"/>
                <w:lang w:val="fr-CA"/>
              </w:rPr>
              <w:t>habeas corpus</w:t>
            </w:r>
            <w:r w:rsidRPr="006D4413">
              <w:rPr>
                <w:sz w:val="20"/>
                <w:szCs w:val="20"/>
                <w:lang w:val="fr-CA"/>
              </w:rPr>
              <w:t>, rejetée</w:t>
            </w:r>
          </w:p>
          <w:p w:rsidR="00587A4D" w:rsidRPr="006D4413" w:rsidRDefault="00587A4D" w:rsidP="004C3B4A">
            <w:pPr>
              <w:jc w:val="both"/>
              <w:rPr>
                <w:sz w:val="20"/>
                <w:szCs w:val="20"/>
                <w:lang w:val="fr-CA"/>
              </w:rPr>
            </w:pPr>
          </w:p>
        </w:tc>
      </w:tr>
      <w:tr w:rsidR="00587A4D" w:rsidRPr="006D4413" w:rsidTr="004C3B4A">
        <w:tc>
          <w:tcPr>
            <w:tcW w:w="2427" w:type="pct"/>
          </w:tcPr>
          <w:p w:rsidR="00587A4D" w:rsidRPr="006D4413" w:rsidRDefault="00587A4D" w:rsidP="004C3B4A">
            <w:pPr>
              <w:jc w:val="both"/>
              <w:rPr>
                <w:sz w:val="20"/>
                <w:szCs w:val="20"/>
                <w:lang w:val="fr-CA"/>
              </w:rPr>
            </w:pPr>
            <w:r w:rsidRPr="006D4413">
              <w:rPr>
                <w:sz w:val="20"/>
                <w:szCs w:val="20"/>
                <w:lang w:val="fr-CA"/>
              </w:rPr>
              <w:t>14 avril 2011</w:t>
            </w:r>
          </w:p>
          <w:p w:rsidR="00587A4D" w:rsidRPr="006D4413" w:rsidRDefault="00587A4D" w:rsidP="004C3B4A">
            <w:pPr>
              <w:jc w:val="both"/>
              <w:rPr>
                <w:sz w:val="20"/>
                <w:szCs w:val="20"/>
                <w:lang w:val="fr-CA"/>
              </w:rPr>
            </w:pPr>
            <w:r w:rsidRPr="006D4413">
              <w:rPr>
                <w:sz w:val="20"/>
                <w:szCs w:val="20"/>
                <w:lang w:val="fr-CA"/>
              </w:rPr>
              <w:t xml:space="preserve">Cour d’appel de la </w:t>
            </w:r>
            <w:proofErr w:type="spellStart"/>
            <w:r w:rsidRPr="006D4413">
              <w:rPr>
                <w:sz w:val="20"/>
                <w:szCs w:val="20"/>
                <w:lang w:val="fr-CA"/>
              </w:rPr>
              <w:t>Colombie</w:t>
            </w:r>
            <w:r w:rsidRPr="006D4413">
              <w:rPr>
                <w:sz w:val="20"/>
                <w:szCs w:val="20"/>
                <w:lang w:val="fr-CA"/>
              </w:rPr>
              <w:noBreakHyphen/>
              <w:t>Britannique</w:t>
            </w:r>
            <w:proofErr w:type="spellEnd"/>
            <w:r w:rsidRPr="006D4413">
              <w:rPr>
                <w:sz w:val="20"/>
                <w:szCs w:val="20"/>
                <w:lang w:val="fr-CA"/>
              </w:rPr>
              <w:t xml:space="preserve"> </w:t>
            </w:r>
          </w:p>
          <w:p w:rsidR="00587A4D" w:rsidRPr="006D4413" w:rsidRDefault="00587A4D" w:rsidP="004C3B4A">
            <w:pPr>
              <w:jc w:val="both"/>
              <w:rPr>
                <w:sz w:val="20"/>
                <w:szCs w:val="20"/>
                <w:lang w:val="fr-CA"/>
              </w:rPr>
            </w:pPr>
            <w:r w:rsidRPr="006D4413">
              <w:rPr>
                <w:sz w:val="20"/>
                <w:szCs w:val="20"/>
                <w:lang w:val="fr-CA"/>
              </w:rPr>
              <w:t xml:space="preserve">(Juge en chef </w:t>
            </w:r>
            <w:proofErr w:type="spellStart"/>
            <w:r w:rsidRPr="006D4413">
              <w:rPr>
                <w:sz w:val="20"/>
                <w:szCs w:val="20"/>
                <w:lang w:val="fr-CA"/>
              </w:rPr>
              <w:t>Finch</w:t>
            </w:r>
            <w:proofErr w:type="spellEnd"/>
            <w:r w:rsidRPr="006D4413">
              <w:rPr>
                <w:sz w:val="20"/>
                <w:szCs w:val="20"/>
                <w:lang w:val="fr-CA"/>
              </w:rPr>
              <w:t>, juges Newbury et Lowry)</w:t>
            </w:r>
          </w:p>
          <w:p w:rsidR="00587A4D" w:rsidRPr="006D4413" w:rsidRDefault="00587A4D" w:rsidP="004C3B4A">
            <w:pPr>
              <w:jc w:val="both"/>
              <w:rPr>
                <w:sz w:val="20"/>
                <w:szCs w:val="20"/>
                <w:lang w:val="fr-CA"/>
              </w:rPr>
            </w:pPr>
          </w:p>
        </w:tc>
        <w:tc>
          <w:tcPr>
            <w:tcW w:w="243" w:type="pct"/>
          </w:tcPr>
          <w:p w:rsidR="00587A4D" w:rsidRPr="006D4413" w:rsidRDefault="00587A4D" w:rsidP="004C3B4A">
            <w:pPr>
              <w:jc w:val="both"/>
              <w:rPr>
                <w:sz w:val="20"/>
                <w:szCs w:val="20"/>
                <w:lang w:val="fr-CA"/>
              </w:rPr>
            </w:pPr>
          </w:p>
        </w:tc>
        <w:tc>
          <w:tcPr>
            <w:tcW w:w="2330" w:type="pct"/>
          </w:tcPr>
          <w:p w:rsidR="00587A4D" w:rsidRPr="006D4413" w:rsidRDefault="00587A4D" w:rsidP="004C3B4A">
            <w:pPr>
              <w:jc w:val="both"/>
              <w:rPr>
                <w:sz w:val="20"/>
                <w:szCs w:val="20"/>
                <w:lang w:val="fr-CA"/>
              </w:rPr>
            </w:pPr>
            <w:r w:rsidRPr="006D4413">
              <w:rPr>
                <w:sz w:val="20"/>
                <w:szCs w:val="20"/>
                <w:lang w:val="fr-CA"/>
              </w:rPr>
              <w:t>Appel rejeté</w:t>
            </w:r>
          </w:p>
          <w:p w:rsidR="00587A4D" w:rsidRPr="006D4413" w:rsidRDefault="00587A4D" w:rsidP="004C3B4A">
            <w:pPr>
              <w:jc w:val="both"/>
              <w:rPr>
                <w:sz w:val="20"/>
                <w:szCs w:val="20"/>
                <w:lang w:val="fr-CA"/>
              </w:rPr>
            </w:pPr>
          </w:p>
        </w:tc>
      </w:tr>
      <w:tr w:rsidR="00587A4D" w:rsidRPr="006D4413" w:rsidTr="004C3B4A">
        <w:tc>
          <w:tcPr>
            <w:tcW w:w="2427" w:type="pct"/>
          </w:tcPr>
          <w:p w:rsidR="00587A4D" w:rsidRPr="006D4413" w:rsidRDefault="00587A4D" w:rsidP="004C3B4A">
            <w:pPr>
              <w:jc w:val="both"/>
              <w:rPr>
                <w:sz w:val="20"/>
                <w:szCs w:val="20"/>
                <w:lang w:val="fr-CA"/>
              </w:rPr>
            </w:pPr>
            <w:r w:rsidRPr="006D4413">
              <w:rPr>
                <w:sz w:val="20"/>
                <w:szCs w:val="20"/>
                <w:lang w:val="fr-CA"/>
              </w:rPr>
              <w:t>13 juin 2011</w:t>
            </w:r>
          </w:p>
          <w:p w:rsidR="00587A4D" w:rsidRPr="006D4413" w:rsidRDefault="00587A4D" w:rsidP="004C3B4A">
            <w:pPr>
              <w:jc w:val="both"/>
              <w:rPr>
                <w:sz w:val="20"/>
                <w:szCs w:val="20"/>
                <w:lang w:val="fr-CA"/>
              </w:rPr>
            </w:pPr>
            <w:r w:rsidRPr="006D4413">
              <w:rPr>
                <w:sz w:val="20"/>
                <w:szCs w:val="20"/>
                <w:lang w:val="fr-CA"/>
              </w:rPr>
              <w:t>Cour suprême du Canada</w:t>
            </w:r>
          </w:p>
        </w:tc>
        <w:tc>
          <w:tcPr>
            <w:tcW w:w="243" w:type="pct"/>
          </w:tcPr>
          <w:p w:rsidR="00587A4D" w:rsidRPr="006D4413" w:rsidRDefault="00587A4D" w:rsidP="004C3B4A">
            <w:pPr>
              <w:jc w:val="both"/>
              <w:rPr>
                <w:sz w:val="20"/>
                <w:szCs w:val="20"/>
                <w:lang w:val="fr-CA"/>
              </w:rPr>
            </w:pPr>
          </w:p>
        </w:tc>
        <w:tc>
          <w:tcPr>
            <w:tcW w:w="2330" w:type="pct"/>
          </w:tcPr>
          <w:p w:rsidR="00587A4D" w:rsidRPr="006D4413" w:rsidRDefault="00587A4D" w:rsidP="004C3B4A">
            <w:pPr>
              <w:jc w:val="both"/>
              <w:rPr>
                <w:sz w:val="20"/>
                <w:szCs w:val="20"/>
                <w:lang w:val="fr-CA"/>
              </w:rPr>
            </w:pPr>
            <w:r w:rsidRPr="006D4413">
              <w:rPr>
                <w:sz w:val="20"/>
                <w:szCs w:val="20"/>
                <w:lang w:val="fr-CA"/>
              </w:rPr>
              <w:t>Demande d’autorisation d’appel, déposée</w:t>
            </w:r>
          </w:p>
          <w:p w:rsidR="00587A4D" w:rsidRPr="006D4413" w:rsidRDefault="00587A4D" w:rsidP="004C3B4A">
            <w:pPr>
              <w:jc w:val="both"/>
              <w:rPr>
                <w:sz w:val="20"/>
                <w:szCs w:val="20"/>
                <w:lang w:val="fr-CA"/>
              </w:rPr>
            </w:pPr>
          </w:p>
        </w:tc>
      </w:tr>
    </w:tbl>
    <w:p w:rsidR="00C454C8" w:rsidRDefault="00C454C8" w:rsidP="00C454C8">
      <w:pPr>
        <w:rPr>
          <w:sz w:val="20"/>
          <w:szCs w:val="20"/>
          <w:lang w:val="fr-CA"/>
        </w:rPr>
      </w:pPr>
    </w:p>
    <w:p w:rsidR="00C454C8" w:rsidRDefault="008754B5" w:rsidP="00C454C8">
      <w:pPr>
        <w:rPr>
          <w:sz w:val="20"/>
          <w:szCs w:val="20"/>
          <w:lang w:val="fr-CA"/>
        </w:rPr>
      </w:pPr>
      <w:r w:rsidRPr="008754B5">
        <w:rPr>
          <w:sz w:val="20"/>
          <w:szCs w:val="20"/>
          <w:lang w:val="fr-CA"/>
        </w:rPr>
        <w:pict>
          <v:rect id="_x0000_i1054" style="width:2in;height:1pt" o:hrpct="0" o:hralign="center" o:hrstd="t" o:hrnoshade="t" o:hr="t" fillcolor="black [3213]" stroked="f"/>
        </w:pict>
      </w:r>
    </w:p>
    <w:p w:rsidR="00C454C8" w:rsidRPr="00C454C8" w:rsidRDefault="00C454C8" w:rsidP="00C454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7223" w:rsidRPr="008608D5" w:rsidTr="00A27223">
        <w:trPr>
          <w:cantSplit/>
        </w:trPr>
        <w:tc>
          <w:tcPr>
            <w:tcW w:w="1458" w:type="dxa"/>
          </w:tcPr>
          <w:p w:rsidR="00A27223" w:rsidRPr="002622ED" w:rsidRDefault="00A27223" w:rsidP="00A27223">
            <w:pPr>
              <w:rPr>
                <w:sz w:val="20"/>
                <w:szCs w:val="20"/>
              </w:rPr>
            </w:pPr>
            <w:r w:rsidRPr="002622ED">
              <w:rPr>
                <w:rStyle w:val="SCCFileNumberChar"/>
                <w:sz w:val="20"/>
                <w:szCs w:val="20"/>
              </w:rPr>
              <w:t>34370</w:t>
            </w:r>
          </w:p>
          <w:p w:rsidR="00A27223" w:rsidRPr="002622ED" w:rsidRDefault="00A27223" w:rsidP="00A27223">
            <w:pPr>
              <w:rPr>
                <w:b/>
                <w:sz w:val="20"/>
                <w:szCs w:val="20"/>
                <w:lang w:val="fr-CA"/>
              </w:rPr>
            </w:pPr>
          </w:p>
        </w:tc>
        <w:tc>
          <w:tcPr>
            <w:tcW w:w="8118" w:type="dxa"/>
          </w:tcPr>
          <w:p w:rsidR="00A27223" w:rsidRPr="002622ED" w:rsidRDefault="00A27223" w:rsidP="00A27223">
            <w:pPr>
              <w:jc w:val="both"/>
              <w:rPr>
                <w:sz w:val="20"/>
                <w:szCs w:val="20"/>
                <w:lang w:val="fr-CA"/>
              </w:rPr>
            </w:pPr>
            <w:r w:rsidRPr="002622ED">
              <w:rPr>
                <w:rStyle w:val="SCCLsocChar"/>
                <w:sz w:val="20"/>
                <w:szCs w:val="20"/>
              </w:rPr>
              <w:t xml:space="preserve">Manoir Richelieu </w:t>
            </w:r>
            <w:proofErr w:type="spellStart"/>
            <w:r w:rsidRPr="002622ED">
              <w:rPr>
                <w:rStyle w:val="SCCLsocChar"/>
                <w:sz w:val="20"/>
                <w:szCs w:val="20"/>
              </w:rPr>
              <w:t>Ltée</w:t>
            </w:r>
            <w:proofErr w:type="spellEnd"/>
            <w:r w:rsidRPr="002622ED">
              <w:rPr>
                <w:rStyle w:val="SCCLsocChar"/>
                <w:sz w:val="20"/>
                <w:szCs w:val="20"/>
              </w:rPr>
              <w:t xml:space="preserve"> c. Travailleurs et travailleuses unis de l'alimentation et du commerce, section locale 503</w:t>
            </w:r>
            <w:r w:rsidRPr="002622ED">
              <w:rPr>
                <w:sz w:val="20"/>
                <w:szCs w:val="20"/>
                <w:lang w:val="fr-CA"/>
              </w:rPr>
              <w:t xml:space="preserve"> (</w:t>
            </w:r>
            <w:proofErr w:type="spellStart"/>
            <w:r w:rsidRPr="002622ED">
              <w:rPr>
                <w:sz w:val="20"/>
                <w:szCs w:val="20"/>
                <w:lang w:val="fr-CA"/>
              </w:rPr>
              <w:t>Qc</w:t>
            </w:r>
            <w:proofErr w:type="spellEnd"/>
            <w:r w:rsidRPr="002622ED">
              <w:rPr>
                <w:sz w:val="20"/>
                <w:szCs w:val="20"/>
                <w:lang w:val="fr-CA"/>
              </w:rPr>
              <w:t>) (Civile) (Autorisation)</w:t>
            </w:r>
          </w:p>
          <w:p w:rsidR="00A27223" w:rsidRPr="002622ED" w:rsidRDefault="00A27223" w:rsidP="00A27223">
            <w:pPr>
              <w:rPr>
                <w:sz w:val="20"/>
                <w:szCs w:val="20"/>
                <w:lang w:val="fr-CA"/>
              </w:rPr>
            </w:pPr>
          </w:p>
        </w:tc>
      </w:tr>
      <w:tr w:rsidR="00A27223" w:rsidRPr="008608D5" w:rsidTr="00A27223">
        <w:trPr>
          <w:cantSplit/>
        </w:trPr>
        <w:tc>
          <w:tcPr>
            <w:tcW w:w="1458" w:type="dxa"/>
          </w:tcPr>
          <w:p w:rsidR="00A27223" w:rsidRPr="002622ED" w:rsidRDefault="00A27223" w:rsidP="00A27223">
            <w:pPr>
              <w:rPr>
                <w:sz w:val="20"/>
                <w:szCs w:val="20"/>
              </w:rPr>
            </w:pPr>
            <w:r w:rsidRPr="002622ED">
              <w:rPr>
                <w:sz w:val="20"/>
                <w:szCs w:val="20"/>
              </w:rPr>
              <w:t>Coram :</w:t>
            </w:r>
          </w:p>
        </w:tc>
        <w:tc>
          <w:tcPr>
            <w:tcW w:w="8118" w:type="dxa"/>
          </w:tcPr>
          <w:p w:rsidR="00A27223" w:rsidRPr="002622ED" w:rsidRDefault="00A27223" w:rsidP="00A27223">
            <w:pPr>
              <w:rPr>
                <w:sz w:val="20"/>
                <w:szCs w:val="20"/>
                <w:lang w:val="fr-CA"/>
              </w:rPr>
            </w:pPr>
            <w:r w:rsidRPr="002622ED">
              <w:rPr>
                <w:rStyle w:val="SCCCoramChar"/>
                <w:sz w:val="20"/>
                <w:szCs w:val="20"/>
              </w:rPr>
              <w:t xml:space="preserve">Les juges </w:t>
            </w:r>
            <w:proofErr w:type="spellStart"/>
            <w:r w:rsidRPr="002622ED">
              <w:rPr>
                <w:rStyle w:val="SCCCoramChar"/>
                <w:sz w:val="20"/>
                <w:szCs w:val="20"/>
              </w:rPr>
              <w:t>LeBel</w:t>
            </w:r>
            <w:proofErr w:type="spellEnd"/>
            <w:r w:rsidRPr="002622ED">
              <w:rPr>
                <w:rStyle w:val="SCCCoramChar"/>
                <w:sz w:val="20"/>
                <w:szCs w:val="20"/>
              </w:rPr>
              <w:t>, Fish et Cromwell</w:t>
            </w:r>
          </w:p>
          <w:p w:rsidR="00A27223" w:rsidRPr="002622ED" w:rsidRDefault="00A27223" w:rsidP="00A27223">
            <w:pPr>
              <w:rPr>
                <w:sz w:val="20"/>
                <w:szCs w:val="20"/>
                <w:u w:val="single"/>
                <w:lang w:val="fr-CA"/>
              </w:rPr>
            </w:pPr>
          </w:p>
        </w:tc>
      </w:tr>
      <w:tr w:rsidR="00A27223" w:rsidRPr="002622ED" w:rsidTr="00A27223">
        <w:trPr>
          <w:cantSplit/>
        </w:trPr>
        <w:tc>
          <w:tcPr>
            <w:tcW w:w="9576" w:type="dxa"/>
            <w:gridSpan w:val="2"/>
          </w:tcPr>
          <w:p w:rsidR="00A27223" w:rsidRPr="002622ED" w:rsidRDefault="00A27223" w:rsidP="00A27223">
            <w:pPr>
              <w:pStyle w:val="SCCShortJudgment"/>
              <w:rPr>
                <w:szCs w:val="20"/>
                <w:lang w:val="fr-CA"/>
              </w:rPr>
            </w:pPr>
            <w:r w:rsidRPr="002622ED">
              <w:rPr>
                <w:szCs w:val="20"/>
                <w:lang w:val="fr-CA"/>
              </w:rPr>
              <w:t>La demande d’autorisation d’appel de l’arrêt de la Cour d’appel du Québec (Québec), numéro 200-09-006964-107, 2011 QCCA 870, daté du 9 mai 2011, est rejetée avec dépens.</w:t>
            </w:r>
          </w:p>
          <w:p w:rsidR="00A27223" w:rsidRPr="002622ED" w:rsidRDefault="00A27223" w:rsidP="00A27223">
            <w:pPr>
              <w:pStyle w:val="SCCShortJudgment"/>
              <w:ind w:firstLine="0"/>
              <w:rPr>
                <w:szCs w:val="20"/>
                <w:lang w:val="fr-CA"/>
              </w:rPr>
            </w:pPr>
          </w:p>
          <w:p w:rsidR="00A27223" w:rsidRPr="002622ED" w:rsidRDefault="00A27223" w:rsidP="00A27223">
            <w:pPr>
              <w:pStyle w:val="SCCShortJudgment"/>
              <w:rPr>
                <w:szCs w:val="20"/>
              </w:rPr>
            </w:pPr>
            <w:r w:rsidRPr="002622ED">
              <w:rPr>
                <w:szCs w:val="20"/>
              </w:rPr>
              <w:t>The application for leave to appeal from the judgment of the Court of Appeal of Quebec (Québec), Number 200-09-006964-107, 2011 QCCA 870, dated May 9, 2011, is dismissed with costs.</w:t>
            </w:r>
          </w:p>
        </w:tc>
      </w:tr>
    </w:tbl>
    <w:p w:rsidR="00C454C8" w:rsidRPr="00A27223" w:rsidRDefault="00C454C8" w:rsidP="00C454C8">
      <w:pPr>
        <w:rPr>
          <w:sz w:val="20"/>
          <w:szCs w:val="20"/>
        </w:rPr>
      </w:pPr>
    </w:p>
    <w:p w:rsidR="00C454C8" w:rsidRPr="00517AED" w:rsidRDefault="00C454C8" w:rsidP="00C454C8">
      <w:pPr>
        <w:rPr>
          <w:sz w:val="20"/>
          <w:szCs w:val="20"/>
          <w:u w:val="single"/>
        </w:rPr>
      </w:pPr>
      <w:r w:rsidRPr="00517AED">
        <w:rPr>
          <w:sz w:val="20"/>
          <w:szCs w:val="20"/>
          <w:u w:val="single"/>
        </w:rPr>
        <w:t>CASE SUMMARY</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A50B0" w:rsidRPr="006D4413" w:rsidTr="004C3B4A">
        <w:tc>
          <w:tcPr>
            <w:tcW w:w="5000" w:type="pct"/>
            <w:gridSpan w:val="3"/>
          </w:tcPr>
          <w:p w:rsidR="00FA50B0" w:rsidRPr="006D4413" w:rsidRDefault="00FA50B0" w:rsidP="004C3B4A">
            <w:pPr>
              <w:jc w:val="both"/>
              <w:rPr>
                <w:rFonts w:eastAsia="Calibri"/>
                <w:sz w:val="20"/>
                <w:szCs w:val="20"/>
              </w:rPr>
            </w:pPr>
            <w:r w:rsidRPr="006D4413">
              <w:rPr>
                <w:rFonts w:eastAsia="Calibri"/>
                <w:sz w:val="20"/>
                <w:szCs w:val="20"/>
              </w:rPr>
              <w:t xml:space="preserve">Labour relations — Grievances — Arbitration — Labour standards — Gratuity or tip collected by employer — Under s. 50 of </w:t>
            </w:r>
            <w:r w:rsidRPr="006D4413">
              <w:rPr>
                <w:rFonts w:eastAsia="Calibri"/>
                <w:i/>
                <w:sz w:val="20"/>
                <w:szCs w:val="20"/>
              </w:rPr>
              <w:t>Act respecting labour standards</w:t>
            </w:r>
            <w:r w:rsidRPr="006D4413">
              <w:rPr>
                <w:rFonts w:eastAsia="Calibri"/>
                <w:sz w:val="20"/>
                <w:szCs w:val="20"/>
              </w:rPr>
              <w:t>, R.S.Q., c. N</w:t>
            </w:r>
            <w:r w:rsidRPr="006D4413">
              <w:rPr>
                <w:rFonts w:eastAsia="Calibri"/>
                <w:sz w:val="20"/>
                <w:szCs w:val="20"/>
              </w:rPr>
              <w:noBreakHyphen/>
              <w:t>1.1, where employer assumes responsibility for collecting service charges, whether employer can combine service charges and administrative costs into single rate — Whether employer discharged its burden of proving that costs billed to its patrons were actual administrative costs — Whether Court of Appeal properly applied reasonableness standard.</w:t>
            </w:r>
          </w:p>
        </w:tc>
      </w:tr>
      <w:tr w:rsidR="00FA50B0" w:rsidRPr="006D4413" w:rsidTr="004C3B4A">
        <w:tc>
          <w:tcPr>
            <w:tcW w:w="5000" w:type="pct"/>
            <w:gridSpan w:val="3"/>
          </w:tcPr>
          <w:p w:rsidR="00FA50B0" w:rsidRPr="006D4413" w:rsidRDefault="00FA50B0" w:rsidP="004C3B4A">
            <w:pPr>
              <w:jc w:val="both"/>
              <w:rPr>
                <w:rFonts w:eastAsia="Calibri"/>
                <w:sz w:val="20"/>
                <w:szCs w:val="20"/>
              </w:rPr>
            </w:pPr>
          </w:p>
        </w:tc>
      </w:tr>
      <w:tr w:rsidR="00FA50B0" w:rsidRPr="006D4413" w:rsidTr="004C3B4A">
        <w:tc>
          <w:tcPr>
            <w:tcW w:w="5000" w:type="pct"/>
            <w:gridSpan w:val="3"/>
          </w:tcPr>
          <w:p w:rsidR="00FA50B0" w:rsidRPr="006D4413" w:rsidRDefault="00FA50B0" w:rsidP="004C3B4A">
            <w:pPr>
              <w:jc w:val="both"/>
              <w:rPr>
                <w:rFonts w:eastAsia="Calibri"/>
                <w:sz w:val="20"/>
                <w:szCs w:val="20"/>
              </w:rPr>
            </w:pPr>
            <w:r w:rsidRPr="006D4413">
              <w:rPr>
                <w:rFonts w:eastAsia="Calibri"/>
                <w:sz w:val="20"/>
                <w:szCs w:val="20"/>
              </w:rPr>
              <w:t xml:space="preserve">The application for leave to appeal concerns the application of s. 50 of Quebec’s </w:t>
            </w:r>
            <w:r w:rsidRPr="006D4413">
              <w:rPr>
                <w:rFonts w:eastAsia="Calibri"/>
                <w:i/>
                <w:sz w:val="20"/>
                <w:szCs w:val="20"/>
              </w:rPr>
              <w:t>Act respecting labour standards</w:t>
            </w:r>
            <w:r w:rsidRPr="006D4413">
              <w:rPr>
                <w:rFonts w:eastAsia="Calibri"/>
                <w:sz w:val="20"/>
                <w:szCs w:val="20"/>
              </w:rPr>
              <w:t xml:space="preserve">, which prevails over any collective agreement as regards any gratuity or tip paid directly or indirectly by a patron.  The second paragraph of s. 50 provides that any gratuity or tip collected by the employer shall be remitted in full to the employee who rendered the service. It specifies that “[t]he words gratuity and tip include service charges added to the patron’s bill but do not include any administrative costs added to the bill”.  The dispute in this case arose out of the fact that, during the period in issue, </w:t>
            </w:r>
            <w:proofErr w:type="spellStart"/>
            <w:r w:rsidRPr="006D4413">
              <w:rPr>
                <w:rFonts w:eastAsia="Calibri"/>
                <w:sz w:val="20"/>
                <w:szCs w:val="20"/>
              </w:rPr>
              <w:t>Manoir</w:t>
            </w:r>
            <w:proofErr w:type="spellEnd"/>
            <w:r w:rsidRPr="006D4413">
              <w:rPr>
                <w:rFonts w:eastAsia="Calibri"/>
                <w:sz w:val="20"/>
                <w:szCs w:val="20"/>
              </w:rPr>
              <w:t> Richelieu stated on the bills it gave its patrons for banquet services that all prices were [</w:t>
            </w:r>
            <w:r w:rsidRPr="006D4413">
              <w:rPr>
                <w:rFonts w:eastAsia="Calibri"/>
                <w:smallCaps/>
                <w:sz w:val="20"/>
                <w:szCs w:val="20"/>
              </w:rPr>
              <w:t>translation</w:t>
            </w:r>
            <w:r w:rsidRPr="006D4413">
              <w:rPr>
                <w:rFonts w:eastAsia="Calibri"/>
                <w:sz w:val="20"/>
                <w:szCs w:val="20"/>
              </w:rPr>
              <w:t xml:space="preserve">] “subject to a payment of 15% for service charges and administrative costs”.  The respondent union filed a grievance claiming the full 15% rather than the 12% remitted by the employer to the unionized employees.  The union argued that </w:t>
            </w:r>
            <w:proofErr w:type="spellStart"/>
            <w:r w:rsidRPr="006D4413">
              <w:rPr>
                <w:rFonts w:eastAsia="Calibri"/>
                <w:sz w:val="20"/>
                <w:szCs w:val="20"/>
              </w:rPr>
              <w:t>Manoir</w:t>
            </w:r>
            <w:proofErr w:type="spellEnd"/>
            <w:r w:rsidRPr="006D4413">
              <w:rPr>
                <w:rFonts w:eastAsia="Calibri"/>
                <w:sz w:val="20"/>
                <w:szCs w:val="20"/>
              </w:rPr>
              <w:t xml:space="preserve"> Richelieu had not shown the actual value of the administrative costs it was purporting to claim.  Relying on a purposive analysis of s. 50 and the evidence in the record, the arbitrator concluded that </w:t>
            </w:r>
            <w:proofErr w:type="spellStart"/>
            <w:r w:rsidRPr="006D4413">
              <w:rPr>
                <w:rFonts w:eastAsia="Calibri"/>
                <w:sz w:val="20"/>
                <w:szCs w:val="20"/>
              </w:rPr>
              <w:t>Manoir</w:t>
            </w:r>
            <w:proofErr w:type="spellEnd"/>
            <w:r w:rsidRPr="006D4413">
              <w:rPr>
                <w:rFonts w:eastAsia="Calibri"/>
                <w:sz w:val="20"/>
                <w:szCs w:val="20"/>
              </w:rPr>
              <w:t xml:space="preserve"> Richelieu had not adduced conclusive evidence to show what portion of the disputed 15% </w:t>
            </w:r>
            <w:r w:rsidRPr="006D4413">
              <w:rPr>
                <w:rFonts w:eastAsia="Calibri"/>
                <w:sz w:val="20"/>
                <w:szCs w:val="20"/>
              </w:rPr>
              <w:lastRenderedPageBreak/>
              <w:t xml:space="preserve">actually represented administrative costs added to the patron’s bill.  He therefore ordered </w:t>
            </w:r>
            <w:proofErr w:type="spellStart"/>
            <w:r w:rsidRPr="006D4413">
              <w:rPr>
                <w:rFonts w:eastAsia="Calibri"/>
                <w:sz w:val="20"/>
                <w:szCs w:val="20"/>
              </w:rPr>
              <w:t>Manoir</w:t>
            </w:r>
            <w:proofErr w:type="spellEnd"/>
            <w:r w:rsidRPr="006D4413">
              <w:rPr>
                <w:rFonts w:eastAsia="Calibri"/>
                <w:sz w:val="20"/>
                <w:szCs w:val="20"/>
              </w:rPr>
              <w:t> Richelieu to pay the unionized employees the full 15%.</w:t>
            </w:r>
          </w:p>
          <w:p w:rsidR="00FA50B0" w:rsidRPr="006D4413" w:rsidRDefault="00FA50B0" w:rsidP="004C3B4A">
            <w:pPr>
              <w:jc w:val="both"/>
              <w:rPr>
                <w:rFonts w:eastAsia="Calibri"/>
                <w:sz w:val="20"/>
                <w:szCs w:val="20"/>
              </w:rPr>
            </w:pPr>
          </w:p>
        </w:tc>
      </w:tr>
      <w:tr w:rsidR="00FA50B0" w:rsidRPr="006D4413" w:rsidTr="004C3B4A">
        <w:tc>
          <w:tcPr>
            <w:tcW w:w="2427" w:type="pct"/>
          </w:tcPr>
          <w:p w:rsidR="00FA50B0" w:rsidRPr="006D4413" w:rsidRDefault="00FA50B0" w:rsidP="004C3B4A">
            <w:pPr>
              <w:jc w:val="both"/>
              <w:rPr>
                <w:rFonts w:eastAsia="Calibri"/>
                <w:sz w:val="20"/>
                <w:szCs w:val="20"/>
              </w:rPr>
            </w:pPr>
            <w:r w:rsidRPr="006D4413">
              <w:rPr>
                <w:rFonts w:eastAsia="Calibri"/>
                <w:sz w:val="20"/>
                <w:szCs w:val="20"/>
              </w:rPr>
              <w:lastRenderedPageBreak/>
              <w:t>January 22, 2010</w:t>
            </w:r>
          </w:p>
          <w:p w:rsidR="00FA50B0" w:rsidRPr="006D4413" w:rsidRDefault="00FA50B0" w:rsidP="004C3B4A">
            <w:pPr>
              <w:jc w:val="both"/>
              <w:rPr>
                <w:rFonts w:eastAsia="Calibri"/>
                <w:sz w:val="20"/>
                <w:szCs w:val="20"/>
              </w:rPr>
            </w:pPr>
            <w:r w:rsidRPr="006D4413">
              <w:rPr>
                <w:rFonts w:eastAsia="Calibri"/>
                <w:sz w:val="20"/>
                <w:szCs w:val="20"/>
              </w:rPr>
              <w:t>Quebec Superior Court</w:t>
            </w:r>
          </w:p>
          <w:p w:rsidR="00FA50B0" w:rsidRPr="006D4413" w:rsidRDefault="00FA50B0" w:rsidP="004C3B4A">
            <w:pPr>
              <w:jc w:val="both"/>
              <w:rPr>
                <w:rFonts w:eastAsia="Calibri"/>
                <w:sz w:val="20"/>
                <w:szCs w:val="20"/>
              </w:rPr>
            </w:pPr>
            <w:r w:rsidRPr="006D4413">
              <w:rPr>
                <w:rFonts w:eastAsia="Calibri"/>
                <w:sz w:val="20"/>
                <w:szCs w:val="20"/>
              </w:rPr>
              <w:t>(</w:t>
            </w:r>
            <w:proofErr w:type="spellStart"/>
            <w:r w:rsidRPr="006D4413">
              <w:rPr>
                <w:rFonts w:eastAsia="Calibri"/>
                <w:sz w:val="20"/>
                <w:szCs w:val="20"/>
              </w:rPr>
              <w:t>Pronovost</w:t>
            </w:r>
            <w:proofErr w:type="spellEnd"/>
            <w:r w:rsidRPr="006D4413">
              <w:rPr>
                <w:rFonts w:eastAsia="Calibri"/>
                <w:sz w:val="20"/>
                <w:szCs w:val="20"/>
              </w:rPr>
              <w:t xml:space="preserve"> J.)</w:t>
            </w:r>
          </w:p>
          <w:p w:rsidR="00FA50B0" w:rsidRPr="006D4413" w:rsidRDefault="00FA50B0" w:rsidP="004C3B4A">
            <w:pPr>
              <w:jc w:val="both"/>
              <w:rPr>
                <w:rFonts w:eastAsia="Calibri"/>
                <w:sz w:val="20"/>
                <w:szCs w:val="20"/>
              </w:rPr>
            </w:pPr>
            <w:r w:rsidRPr="006D4413">
              <w:rPr>
                <w:rFonts w:eastAsia="Calibri"/>
                <w:sz w:val="20"/>
                <w:szCs w:val="20"/>
              </w:rPr>
              <w:t>Neutral citation: 2010 QCCS 194</w:t>
            </w:r>
          </w:p>
          <w:p w:rsidR="00FA50B0" w:rsidRPr="006D4413" w:rsidRDefault="00FA50B0" w:rsidP="004C3B4A">
            <w:pPr>
              <w:jc w:val="both"/>
              <w:rPr>
                <w:rFonts w:eastAsia="Calibri"/>
                <w:sz w:val="20"/>
                <w:szCs w:val="20"/>
              </w:rPr>
            </w:pPr>
          </w:p>
        </w:tc>
        <w:tc>
          <w:tcPr>
            <w:tcW w:w="243" w:type="pct"/>
          </w:tcPr>
          <w:p w:rsidR="00FA50B0" w:rsidRPr="006D4413" w:rsidRDefault="00FA50B0" w:rsidP="004C3B4A">
            <w:pPr>
              <w:jc w:val="both"/>
              <w:rPr>
                <w:rFonts w:eastAsia="Calibri"/>
                <w:sz w:val="20"/>
                <w:szCs w:val="20"/>
              </w:rPr>
            </w:pPr>
          </w:p>
        </w:tc>
        <w:tc>
          <w:tcPr>
            <w:tcW w:w="2330" w:type="pct"/>
          </w:tcPr>
          <w:p w:rsidR="00FA50B0" w:rsidRPr="006D4413" w:rsidRDefault="00FA50B0" w:rsidP="004C3B4A">
            <w:pPr>
              <w:jc w:val="both"/>
              <w:rPr>
                <w:rFonts w:eastAsia="Calibri"/>
                <w:sz w:val="20"/>
                <w:szCs w:val="20"/>
              </w:rPr>
            </w:pPr>
            <w:r w:rsidRPr="006D4413">
              <w:rPr>
                <w:rFonts w:eastAsia="Calibri"/>
                <w:sz w:val="20"/>
                <w:szCs w:val="20"/>
              </w:rPr>
              <w:t>Motion for judicial review allowed; arbitration award of January 9, 2009 set aside and union’s grievance dismissed</w:t>
            </w:r>
          </w:p>
          <w:p w:rsidR="00FA50B0" w:rsidRPr="006D4413" w:rsidRDefault="00FA50B0" w:rsidP="004C3B4A">
            <w:pPr>
              <w:jc w:val="both"/>
              <w:rPr>
                <w:rFonts w:eastAsia="Calibri"/>
                <w:sz w:val="20"/>
                <w:szCs w:val="20"/>
              </w:rPr>
            </w:pPr>
          </w:p>
        </w:tc>
      </w:tr>
      <w:tr w:rsidR="00FA50B0" w:rsidRPr="006D4413" w:rsidTr="004C3B4A">
        <w:tc>
          <w:tcPr>
            <w:tcW w:w="2427" w:type="pct"/>
          </w:tcPr>
          <w:p w:rsidR="00FA50B0" w:rsidRPr="006D4413" w:rsidRDefault="00FA50B0" w:rsidP="004C3B4A">
            <w:pPr>
              <w:jc w:val="both"/>
              <w:rPr>
                <w:rFonts w:eastAsia="Calibri"/>
                <w:sz w:val="20"/>
                <w:szCs w:val="20"/>
              </w:rPr>
            </w:pPr>
            <w:r w:rsidRPr="006D4413">
              <w:rPr>
                <w:rFonts w:eastAsia="Calibri"/>
                <w:sz w:val="20"/>
                <w:szCs w:val="20"/>
              </w:rPr>
              <w:t>May 9, 2011</w:t>
            </w:r>
          </w:p>
          <w:p w:rsidR="00FA50B0" w:rsidRPr="006D4413" w:rsidRDefault="00FA50B0" w:rsidP="004C3B4A">
            <w:pPr>
              <w:jc w:val="both"/>
              <w:rPr>
                <w:rFonts w:eastAsia="Calibri"/>
                <w:sz w:val="20"/>
                <w:szCs w:val="20"/>
              </w:rPr>
            </w:pPr>
            <w:r w:rsidRPr="006D4413">
              <w:rPr>
                <w:rFonts w:eastAsia="Calibri"/>
                <w:sz w:val="20"/>
                <w:szCs w:val="20"/>
              </w:rPr>
              <w:t xml:space="preserve">Quebec Court of Appeal (Québec) </w:t>
            </w:r>
          </w:p>
          <w:p w:rsidR="00FA50B0" w:rsidRPr="006D4413" w:rsidRDefault="00FA50B0" w:rsidP="004C3B4A">
            <w:pPr>
              <w:jc w:val="both"/>
              <w:rPr>
                <w:rFonts w:eastAsia="Calibri"/>
                <w:sz w:val="20"/>
                <w:szCs w:val="20"/>
              </w:rPr>
            </w:pPr>
            <w:r w:rsidRPr="006D4413">
              <w:rPr>
                <w:rFonts w:eastAsia="Calibri"/>
                <w:sz w:val="20"/>
                <w:szCs w:val="20"/>
              </w:rPr>
              <w:t xml:space="preserve">(Doyon, </w:t>
            </w:r>
            <w:proofErr w:type="spellStart"/>
            <w:r w:rsidRPr="006D4413">
              <w:rPr>
                <w:rFonts w:eastAsia="Calibri"/>
                <w:sz w:val="20"/>
                <w:szCs w:val="20"/>
              </w:rPr>
              <w:t>Dutil</w:t>
            </w:r>
            <w:proofErr w:type="spellEnd"/>
            <w:r w:rsidRPr="006D4413">
              <w:rPr>
                <w:rFonts w:eastAsia="Calibri"/>
                <w:sz w:val="20"/>
                <w:szCs w:val="20"/>
              </w:rPr>
              <w:t xml:space="preserve"> and Gagnon [dissenting] JJ.A.)</w:t>
            </w:r>
          </w:p>
          <w:p w:rsidR="00FA50B0" w:rsidRPr="006D4413" w:rsidRDefault="00FA50B0" w:rsidP="004C3B4A">
            <w:pPr>
              <w:jc w:val="both"/>
              <w:rPr>
                <w:rFonts w:eastAsia="Calibri"/>
                <w:sz w:val="20"/>
                <w:szCs w:val="20"/>
              </w:rPr>
            </w:pPr>
            <w:r w:rsidRPr="006D4413">
              <w:rPr>
                <w:rFonts w:eastAsia="Calibri"/>
                <w:sz w:val="20"/>
                <w:szCs w:val="20"/>
              </w:rPr>
              <w:t>Neutral citation: 2011 QCCA 870</w:t>
            </w:r>
          </w:p>
          <w:p w:rsidR="00FA50B0" w:rsidRPr="006D4413" w:rsidRDefault="00FA50B0" w:rsidP="004C3B4A">
            <w:pPr>
              <w:jc w:val="both"/>
              <w:rPr>
                <w:rFonts w:eastAsia="Calibri"/>
                <w:sz w:val="20"/>
                <w:szCs w:val="20"/>
              </w:rPr>
            </w:pPr>
          </w:p>
        </w:tc>
        <w:tc>
          <w:tcPr>
            <w:tcW w:w="243" w:type="pct"/>
          </w:tcPr>
          <w:p w:rsidR="00FA50B0" w:rsidRPr="006D4413" w:rsidRDefault="00FA50B0" w:rsidP="004C3B4A">
            <w:pPr>
              <w:jc w:val="both"/>
              <w:rPr>
                <w:rFonts w:eastAsia="Calibri"/>
                <w:sz w:val="20"/>
                <w:szCs w:val="20"/>
              </w:rPr>
            </w:pPr>
          </w:p>
        </w:tc>
        <w:tc>
          <w:tcPr>
            <w:tcW w:w="2330" w:type="pct"/>
          </w:tcPr>
          <w:p w:rsidR="00FA50B0" w:rsidRPr="006D4413" w:rsidRDefault="00FA50B0" w:rsidP="004C3B4A">
            <w:pPr>
              <w:jc w:val="both"/>
              <w:rPr>
                <w:rFonts w:eastAsia="Calibri"/>
                <w:sz w:val="20"/>
                <w:szCs w:val="20"/>
              </w:rPr>
            </w:pPr>
            <w:r w:rsidRPr="006D4413">
              <w:rPr>
                <w:rFonts w:eastAsia="Calibri"/>
                <w:sz w:val="20"/>
                <w:szCs w:val="20"/>
              </w:rPr>
              <w:t>Appeal allowed and Superior Court’s judgment set aside</w:t>
            </w:r>
          </w:p>
          <w:p w:rsidR="00FA50B0" w:rsidRPr="006D4413" w:rsidRDefault="00FA50B0" w:rsidP="004C3B4A">
            <w:pPr>
              <w:jc w:val="both"/>
              <w:rPr>
                <w:rFonts w:eastAsia="Calibri"/>
                <w:sz w:val="20"/>
                <w:szCs w:val="20"/>
              </w:rPr>
            </w:pPr>
          </w:p>
        </w:tc>
      </w:tr>
      <w:tr w:rsidR="00FA50B0" w:rsidRPr="006D4413" w:rsidTr="004C3B4A">
        <w:tc>
          <w:tcPr>
            <w:tcW w:w="2427" w:type="pct"/>
          </w:tcPr>
          <w:p w:rsidR="00FA50B0" w:rsidRPr="006D4413" w:rsidRDefault="00FA50B0" w:rsidP="004C3B4A">
            <w:pPr>
              <w:jc w:val="both"/>
              <w:rPr>
                <w:rFonts w:eastAsia="Calibri"/>
                <w:sz w:val="20"/>
                <w:szCs w:val="20"/>
              </w:rPr>
            </w:pPr>
            <w:r w:rsidRPr="006D4413">
              <w:rPr>
                <w:rFonts w:eastAsia="Calibri"/>
                <w:sz w:val="20"/>
                <w:szCs w:val="20"/>
              </w:rPr>
              <w:t>August 4, 2011</w:t>
            </w:r>
          </w:p>
          <w:p w:rsidR="00FA50B0" w:rsidRPr="006D4413" w:rsidRDefault="00FA50B0" w:rsidP="004C3B4A">
            <w:pPr>
              <w:jc w:val="both"/>
              <w:rPr>
                <w:rFonts w:eastAsia="Calibri"/>
                <w:sz w:val="20"/>
                <w:szCs w:val="20"/>
              </w:rPr>
            </w:pPr>
            <w:r w:rsidRPr="006D4413">
              <w:rPr>
                <w:rFonts w:eastAsia="Calibri"/>
                <w:sz w:val="20"/>
                <w:szCs w:val="20"/>
              </w:rPr>
              <w:t>Supreme Court of Canada</w:t>
            </w:r>
          </w:p>
        </w:tc>
        <w:tc>
          <w:tcPr>
            <w:tcW w:w="243" w:type="pct"/>
          </w:tcPr>
          <w:p w:rsidR="00FA50B0" w:rsidRPr="006D4413" w:rsidRDefault="00FA50B0" w:rsidP="004C3B4A">
            <w:pPr>
              <w:jc w:val="both"/>
              <w:rPr>
                <w:rFonts w:eastAsia="Calibri"/>
                <w:sz w:val="20"/>
                <w:szCs w:val="20"/>
              </w:rPr>
            </w:pPr>
          </w:p>
        </w:tc>
        <w:tc>
          <w:tcPr>
            <w:tcW w:w="2330" w:type="pct"/>
          </w:tcPr>
          <w:p w:rsidR="00FA50B0" w:rsidRPr="006D4413" w:rsidRDefault="00FA50B0" w:rsidP="004C3B4A">
            <w:pPr>
              <w:jc w:val="both"/>
              <w:rPr>
                <w:rFonts w:eastAsia="Calibri"/>
                <w:sz w:val="20"/>
                <w:szCs w:val="20"/>
              </w:rPr>
            </w:pPr>
            <w:r w:rsidRPr="006D4413">
              <w:rPr>
                <w:rFonts w:eastAsia="Calibri"/>
                <w:sz w:val="20"/>
                <w:szCs w:val="20"/>
              </w:rPr>
              <w:t>Application for leave to appeal filed</w:t>
            </w:r>
          </w:p>
          <w:p w:rsidR="00FA50B0" w:rsidRPr="006D4413" w:rsidRDefault="00FA50B0" w:rsidP="004C3B4A">
            <w:pPr>
              <w:jc w:val="both"/>
              <w:rPr>
                <w:rFonts w:eastAsia="Calibri"/>
                <w:sz w:val="20"/>
                <w:szCs w:val="20"/>
              </w:rPr>
            </w:pPr>
          </w:p>
        </w:tc>
      </w:tr>
    </w:tbl>
    <w:p w:rsidR="00C454C8" w:rsidRPr="00FA50B0" w:rsidRDefault="00C454C8" w:rsidP="00C454C8">
      <w:pPr>
        <w:rPr>
          <w:sz w:val="20"/>
          <w:szCs w:val="20"/>
        </w:rPr>
      </w:pPr>
    </w:p>
    <w:p w:rsidR="00C454C8" w:rsidRDefault="008754B5" w:rsidP="00C454C8">
      <w:pPr>
        <w:rPr>
          <w:sz w:val="20"/>
          <w:szCs w:val="20"/>
          <w:lang w:val="fr-CA"/>
        </w:rPr>
      </w:pPr>
      <w:r w:rsidRPr="008754B5">
        <w:rPr>
          <w:sz w:val="20"/>
          <w:szCs w:val="20"/>
          <w:lang w:val="fr-CA"/>
        </w:rPr>
        <w:pict>
          <v:rect id="_x0000_i1055" style="width:2in;height:1pt" o:hrpct="0" o:hralign="center" o:hrstd="t" o:hrnoshade="t" o:hr="t" fillcolor="black [3213]" stroked="f"/>
        </w:pict>
      </w:r>
    </w:p>
    <w:p w:rsidR="00C454C8" w:rsidRDefault="00C454C8" w:rsidP="00C454C8">
      <w:pPr>
        <w:rPr>
          <w:sz w:val="20"/>
          <w:szCs w:val="20"/>
          <w:lang w:val="fr-CA"/>
        </w:rPr>
      </w:pPr>
    </w:p>
    <w:p w:rsidR="00C454C8" w:rsidRPr="00517AED" w:rsidRDefault="00C454C8" w:rsidP="00C454C8">
      <w:pPr>
        <w:rPr>
          <w:sz w:val="20"/>
          <w:szCs w:val="20"/>
          <w:u w:val="single"/>
          <w:lang w:val="fr-CA"/>
        </w:rPr>
      </w:pPr>
      <w:r w:rsidRPr="00517AED">
        <w:rPr>
          <w:sz w:val="20"/>
          <w:szCs w:val="20"/>
          <w:u w:val="single"/>
          <w:lang w:val="fr-CA"/>
        </w:rPr>
        <w:t>RÉSUMÉ DE L’AFFAIRE</w:t>
      </w:r>
    </w:p>
    <w:p w:rsidR="00C454C8" w:rsidRDefault="00C454C8" w:rsidP="00C454C8">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A50B0" w:rsidRPr="008608D5" w:rsidTr="004C3B4A">
        <w:tc>
          <w:tcPr>
            <w:tcW w:w="5000" w:type="pct"/>
            <w:gridSpan w:val="3"/>
          </w:tcPr>
          <w:p w:rsidR="00FA50B0" w:rsidRPr="006D4413" w:rsidRDefault="00FA50B0" w:rsidP="004C3B4A">
            <w:pPr>
              <w:jc w:val="both"/>
              <w:rPr>
                <w:sz w:val="20"/>
                <w:szCs w:val="20"/>
                <w:lang w:val="fr-CA"/>
              </w:rPr>
            </w:pPr>
            <w:r w:rsidRPr="006D4413">
              <w:rPr>
                <w:sz w:val="20"/>
                <w:szCs w:val="20"/>
                <w:lang w:val="fr-FR"/>
              </w:rPr>
              <w:t xml:space="preserve">Relations du travail — Griefs — Arbitrage — Normes du travail — Pourboire perçu par l’employeur — En vertu de l’article 50 de la </w:t>
            </w:r>
            <w:r w:rsidRPr="006D4413">
              <w:rPr>
                <w:i/>
                <w:sz w:val="20"/>
                <w:szCs w:val="20"/>
                <w:lang w:val="fr-FR"/>
              </w:rPr>
              <w:t>Loi sur les normes du travail</w:t>
            </w:r>
            <w:r w:rsidRPr="006D4413">
              <w:rPr>
                <w:sz w:val="20"/>
                <w:szCs w:val="20"/>
                <w:lang w:val="fr-FR"/>
              </w:rPr>
              <w:t>, L.R.Q., ch. N</w:t>
            </w:r>
            <w:r w:rsidRPr="006D4413">
              <w:rPr>
                <w:sz w:val="20"/>
                <w:szCs w:val="20"/>
                <w:lang w:val="fr-FR"/>
              </w:rPr>
              <w:noBreakHyphen/>
              <w:t xml:space="preserve">1.1, lorsque l’employeur prend en charge le prélèvement des frais de service, </w:t>
            </w:r>
            <w:proofErr w:type="spellStart"/>
            <w:r w:rsidRPr="006D4413">
              <w:rPr>
                <w:sz w:val="20"/>
                <w:szCs w:val="20"/>
                <w:lang w:val="fr-FR"/>
              </w:rPr>
              <w:t>peut</w:t>
            </w:r>
            <w:r w:rsidRPr="006D4413">
              <w:rPr>
                <w:sz w:val="20"/>
                <w:szCs w:val="20"/>
                <w:lang w:val="fr-FR"/>
              </w:rPr>
              <w:noBreakHyphen/>
              <w:t>il</w:t>
            </w:r>
            <w:proofErr w:type="spellEnd"/>
            <w:r w:rsidRPr="006D4413">
              <w:rPr>
                <w:sz w:val="20"/>
                <w:szCs w:val="20"/>
                <w:lang w:val="fr-FR"/>
              </w:rPr>
              <w:t xml:space="preserve"> confondre en un seul taux le prélèvement de frais de service et de frais d’administration? —  L’employeur s’</w:t>
            </w:r>
            <w:proofErr w:type="spellStart"/>
            <w:r w:rsidRPr="006D4413">
              <w:rPr>
                <w:sz w:val="20"/>
                <w:szCs w:val="20"/>
                <w:lang w:val="fr-FR"/>
              </w:rPr>
              <w:t>est</w:t>
            </w:r>
            <w:r w:rsidRPr="006D4413">
              <w:rPr>
                <w:sz w:val="20"/>
                <w:szCs w:val="20"/>
                <w:lang w:val="fr-FR"/>
              </w:rPr>
              <w:noBreakHyphen/>
              <w:t>il</w:t>
            </w:r>
            <w:proofErr w:type="spellEnd"/>
            <w:r w:rsidRPr="006D4413">
              <w:rPr>
                <w:sz w:val="20"/>
                <w:szCs w:val="20"/>
                <w:lang w:val="fr-FR"/>
              </w:rPr>
              <w:t xml:space="preserve"> acquitté de son fardeau de démontrer que les frais facturés à ses clients étaient de véritables frais d’administration? — La Cour d’appel </w:t>
            </w:r>
            <w:proofErr w:type="spellStart"/>
            <w:r w:rsidRPr="006D4413">
              <w:rPr>
                <w:sz w:val="20"/>
                <w:szCs w:val="20"/>
                <w:lang w:val="fr-FR"/>
              </w:rPr>
              <w:t>a</w:t>
            </w:r>
            <w:r w:rsidRPr="006D4413">
              <w:rPr>
                <w:sz w:val="20"/>
                <w:szCs w:val="20"/>
                <w:lang w:val="fr-FR"/>
              </w:rPr>
              <w:noBreakHyphen/>
              <w:t>t</w:t>
            </w:r>
            <w:r w:rsidRPr="006D4413">
              <w:rPr>
                <w:sz w:val="20"/>
                <w:szCs w:val="20"/>
                <w:lang w:val="fr-FR"/>
              </w:rPr>
              <w:noBreakHyphen/>
              <w:t>elle</w:t>
            </w:r>
            <w:proofErr w:type="spellEnd"/>
            <w:r w:rsidRPr="006D4413">
              <w:rPr>
                <w:sz w:val="20"/>
                <w:szCs w:val="20"/>
                <w:lang w:val="fr-FR"/>
              </w:rPr>
              <w:t xml:space="preserve"> adéquatement appliqué la norme de la décision raisonnable?</w:t>
            </w:r>
          </w:p>
        </w:tc>
      </w:tr>
      <w:tr w:rsidR="00FA50B0" w:rsidRPr="008608D5" w:rsidTr="004C3B4A">
        <w:tc>
          <w:tcPr>
            <w:tcW w:w="5000" w:type="pct"/>
            <w:gridSpan w:val="3"/>
          </w:tcPr>
          <w:p w:rsidR="00FA50B0" w:rsidRPr="006D4413" w:rsidRDefault="00FA50B0" w:rsidP="004C3B4A">
            <w:pPr>
              <w:jc w:val="both"/>
              <w:rPr>
                <w:sz w:val="20"/>
                <w:szCs w:val="20"/>
                <w:lang w:val="fr-CA"/>
              </w:rPr>
            </w:pPr>
          </w:p>
        </w:tc>
      </w:tr>
      <w:tr w:rsidR="00FA50B0" w:rsidRPr="008608D5" w:rsidTr="004C3B4A">
        <w:tc>
          <w:tcPr>
            <w:tcW w:w="5000" w:type="pct"/>
            <w:gridSpan w:val="3"/>
          </w:tcPr>
          <w:p w:rsidR="00FA50B0" w:rsidRPr="006D4413" w:rsidRDefault="00FA50B0" w:rsidP="004C3B4A">
            <w:pPr>
              <w:jc w:val="both"/>
              <w:rPr>
                <w:sz w:val="20"/>
                <w:szCs w:val="20"/>
                <w:lang w:val="fr-CA"/>
              </w:rPr>
            </w:pPr>
            <w:r w:rsidRPr="006D4413">
              <w:rPr>
                <w:sz w:val="20"/>
                <w:szCs w:val="20"/>
                <w:lang w:val="fr-CA"/>
              </w:rPr>
              <w:t xml:space="preserve">La demande porte sur l’application de l’art. 50 de la </w:t>
            </w:r>
            <w:r w:rsidRPr="006D4413">
              <w:rPr>
                <w:i/>
                <w:sz w:val="20"/>
                <w:szCs w:val="20"/>
                <w:lang w:val="fr-CA"/>
              </w:rPr>
              <w:t xml:space="preserve">Loi sur les normes du travail </w:t>
            </w:r>
            <w:r w:rsidRPr="006D4413">
              <w:rPr>
                <w:sz w:val="20"/>
                <w:szCs w:val="20"/>
                <w:lang w:val="fr-CA"/>
              </w:rPr>
              <w:t>québécoise, qui prévaut sur toute convention collective en matière de pourboire versé directement ou indirectement par un client.  Le deuxième alinéa prévoit que lorsque l’employeur perçoit le pourboire, il doit le remettre entièrement au salarié ayant rendu le service.  Il y est précisé que « [l]e mot pourboire comprend les frais de service ajoutés à la note du client mais ne comprend pas les frais d'administration ajoutés à cette note ».  Le litige en l’espèce provient du fait que pour la période en cause, Manoir Richelieu mentionnait sur les factures qu’elle remettait à ses clients pour les services de banquet que tous les prix étaient « sujets à 15% de frais de service et d’administration ».  Le syndicat intimé a déposé un grief réclamant la totalité du 15% au lieu du 12% remis par l’employeur aux employés syndiqués.  Le syndicat prétend que Manoir Richelieu n’a pas démontré la véritable valeur des frais d’administration qu’elle prétend réclamer.  Se fondant sur l’analyse téléologique de l’art. 50 ainsi que sur la preuve au dossier, l’arbitre conclut que Manoir Richelieu n’a pas soumis une preuve concluante sur ce qui, dans le 15% en litige, représente effectivement des frais d'administration ajoutés à la note du client.  Il lui ordonne donc de verser l’entièreté du 15% aux salariés syndiqués</w:t>
            </w:r>
            <w:r w:rsidRPr="006D4413">
              <w:rPr>
                <w:i/>
                <w:sz w:val="20"/>
                <w:szCs w:val="20"/>
                <w:lang w:val="fr-CA"/>
              </w:rPr>
              <w:t>.</w:t>
            </w:r>
          </w:p>
          <w:p w:rsidR="00FA50B0" w:rsidRPr="006D4413" w:rsidRDefault="00FA50B0" w:rsidP="004C3B4A">
            <w:pPr>
              <w:jc w:val="both"/>
              <w:rPr>
                <w:sz w:val="20"/>
                <w:szCs w:val="20"/>
                <w:lang w:val="fr-CA"/>
              </w:rPr>
            </w:pPr>
          </w:p>
        </w:tc>
      </w:tr>
      <w:tr w:rsidR="00FA50B0" w:rsidRPr="008608D5" w:rsidTr="004C3B4A">
        <w:tc>
          <w:tcPr>
            <w:tcW w:w="2427" w:type="pct"/>
          </w:tcPr>
          <w:p w:rsidR="00FA50B0" w:rsidRPr="006D4413" w:rsidRDefault="00FA50B0" w:rsidP="004C3B4A">
            <w:pPr>
              <w:rPr>
                <w:sz w:val="20"/>
                <w:szCs w:val="20"/>
                <w:lang w:val="fr-CA"/>
              </w:rPr>
            </w:pPr>
            <w:r w:rsidRPr="006D4413">
              <w:rPr>
                <w:sz w:val="20"/>
                <w:szCs w:val="20"/>
                <w:lang w:val="fr-CA"/>
              </w:rPr>
              <w:t>Le 22 janvier 2010</w:t>
            </w:r>
          </w:p>
          <w:p w:rsidR="00FA50B0" w:rsidRPr="006D4413" w:rsidRDefault="00FA50B0" w:rsidP="004C3B4A">
            <w:pPr>
              <w:rPr>
                <w:sz w:val="20"/>
                <w:szCs w:val="20"/>
                <w:lang w:val="fr-CA"/>
              </w:rPr>
            </w:pPr>
            <w:r w:rsidRPr="006D4413">
              <w:rPr>
                <w:sz w:val="20"/>
                <w:szCs w:val="20"/>
                <w:lang w:val="fr-CA"/>
              </w:rPr>
              <w:t>Cour supérieure du Québec</w:t>
            </w:r>
          </w:p>
          <w:p w:rsidR="00FA50B0" w:rsidRPr="006D4413" w:rsidRDefault="00FA50B0" w:rsidP="004C3B4A">
            <w:pPr>
              <w:rPr>
                <w:sz w:val="20"/>
                <w:szCs w:val="20"/>
                <w:lang w:val="fr-CA"/>
              </w:rPr>
            </w:pPr>
            <w:r w:rsidRPr="006D4413">
              <w:rPr>
                <w:sz w:val="20"/>
                <w:szCs w:val="20"/>
                <w:lang w:val="fr-CA"/>
              </w:rPr>
              <w:t>(Le juge Pronovost)</w:t>
            </w:r>
          </w:p>
          <w:p w:rsidR="00FA50B0" w:rsidRPr="006D4413" w:rsidRDefault="00FA50B0" w:rsidP="004C3B4A">
            <w:pPr>
              <w:rPr>
                <w:sz w:val="20"/>
                <w:szCs w:val="20"/>
                <w:lang w:val="fr-CA"/>
              </w:rPr>
            </w:pPr>
            <w:r w:rsidRPr="006D4413">
              <w:rPr>
                <w:sz w:val="20"/>
                <w:szCs w:val="20"/>
                <w:lang w:val="fr-CA"/>
              </w:rPr>
              <w:t>Référence neutre : 2010 QCCS 194</w:t>
            </w:r>
          </w:p>
          <w:p w:rsidR="00FA50B0" w:rsidRPr="006D4413" w:rsidRDefault="00FA50B0" w:rsidP="004C3B4A">
            <w:pPr>
              <w:rPr>
                <w:sz w:val="20"/>
                <w:szCs w:val="20"/>
                <w:lang w:val="fr-CA"/>
              </w:rPr>
            </w:pPr>
          </w:p>
        </w:tc>
        <w:tc>
          <w:tcPr>
            <w:tcW w:w="243" w:type="pct"/>
          </w:tcPr>
          <w:p w:rsidR="00FA50B0" w:rsidRPr="006D4413" w:rsidRDefault="00FA50B0" w:rsidP="004C3B4A">
            <w:pPr>
              <w:rPr>
                <w:sz w:val="20"/>
                <w:szCs w:val="20"/>
                <w:lang w:val="fr-CA"/>
              </w:rPr>
            </w:pPr>
          </w:p>
        </w:tc>
        <w:tc>
          <w:tcPr>
            <w:tcW w:w="2330" w:type="pct"/>
          </w:tcPr>
          <w:p w:rsidR="00FA50B0" w:rsidRPr="006D4413" w:rsidRDefault="00FA50B0" w:rsidP="004C3B4A">
            <w:pPr>
              <w:jc w:val="both"/>
              <w:rPr>
                <w:sz w:val="20"/>
                <w:szCs w:val="20"/>
                <w:lang w:val="fr-CA"/>
              </w:rPr>
            </w:pPr>
            <w:r w:rsidRPr="006D4413">
              <w:rPr>
                <w:sz w:val="20"/>
                <w:szCs w:val="20"/>
                <w:lang w:val="fr-CA"/>
              </w:rPr>
              <w:t>Requête en révision judiciaire accueillie, sentence d’arbitrage du 9 janvier 2009 annulée et grief du syndicat rejeté</w:t>
            </w:r>
          </w:p>
          <w:p w:rsidR="00FA50B0" w:rsidRPr="006D4413" w:rsidRDefault="00FA50B0" w:rsidP="004C3B4A">
            <w:pPr>
              <w:jc w:val="both"/>
              <w:rPr>
                <w:sz w:val="20"/>
                <w:szCs w:val="20"/>
                <w:lang w:val="fr-CA"/>
              </w:rPr>
            </w:pPr>
          </w:p>
        </w:tc>
      </w:tr>
      <w:tr w:rsidR="00FA50B0" w:rsidRPr="008608D5" w:rsidTr="004C3B4A">
        <w:tc>
          <w:tcPr>
            <w:tcW w:w="2427" w:type="pct"/>
          </w:tcPr>
          <w:p w:rsidR="00FA50B0" w:rsidRPr="006D4413" w:rsidRDefault="00FA50B0" w:rsidP="004C3B4A">
            <w:pPr>
              <w:rPr>
                <w:sz w:val="20"/>
                <w:szCs w:val="20"/>
                <w:lang w:val="fr-CA"/>
              </w:rPr>
            </w:pPr>
            <w:r w:rsidRPr="006D4413">
              <w:rPr>
                <w:sz w:val="20"/>
                <w:szCs w:val="20"/>
                <w:lang w:val="fr-CA"/>
              </w:rPr>
              <w:t>Le 9 mai 2011</w:t>
            </w:r>
          </w:p>
          <w:p w:rsidR="00FA50B0" w:rsidRPr="006D4413" w:rsidRDefault="00FA50B0" w:rsidP="004C3B4A">
            <w:pPr>
              <w:rPr>
                <w:sz w:val="20"/>
                <w:szCs w:val="20"/>
                <w:lang w:val="fr-CA"/>
              </w:rPr>
            </w:pPr>
            <w:r w:rsidRPr="006D4413">
              <w:rPr>
                <w:sz w:val="20"/>
                <w:szCs w:val="20"/>
                <w:lang w:val="fr-CA"/>
              </w:rPr>
              <w:t xml:space="preserve">Cour d’appel du Québec (Québec) </w:t>
            </w:r>
          </w:p>
          <w:p w:rsidR="00FA50B0" w:rsidRPr="006D4413" w:rsidRDefault="00FA50B0" w:rsidP="004C3B4A">
            <w:pPr>
              <w:rPr>
                <w:sz w:val="20"/>
                <w:szCs w:val="20"/>
                <w:lang w:val="fr-CA"/>
              </w:rPr>
            </w:pPr>
            <w:r w:rsidRPr="006D4413">
              <w:rPr>
                <w:sz w:val="20"/>
                <w:szCs w:val="20"/>
                <w:lang w:val="fr-CA"/>
              </w:rPr>
              <w:t xml:space="preserve">(Les juges Doyon, </w:t>
            </w:r>
            <w:proofErr w:type="spellStart"/>
            <w:r w:rsidRPr="006D4413">
              <w:rPr>
                <w:sz w:val="20"/>
                <w:szCs w:val="20"/>
                <w:lang w:val="fr-CA"/>
              </w:rPr>
              <w:t>Dutil</w:t>
            </w:r>
            <w:proofErr w:type="spellEnd"/>
            <w:r w:rsidRPr="006D4413">
              <w:rPr>
                <w:sz w:val="20"/>
                <w:szCs w:val="20"/>
                <w:lang w:val="fr-CA"/>
              </w:rPr>
              <w:t xml:space="preserve"> et Gagnon [dissident])</w:t>
            </w:r>
          </w:p>
          <w:p w:rsidR="00FA50B0" w:rsidRPr="006D4413" w:rsidRDefault="00FA50B0" w:rsidP="004C3B4A">
            <w:pPr>
              <w:rPr>
                <w:sz w:val="20"/>
                <w:szCs w:val="20"/>
              </w:rPr>
            </w:pPr>
            <w:proofErr w:type="spellStart"/>
            <w:r w:rsidRPr="006D4413">
              <w:rPr>
                <w:sz w:val="20"/>
                <w:szCs w:val="20"/>
              </w:rPr>
              <w:t>Référence</w:t>
            </w:r>
            <w:proofErr w:type="spellEnd"/>
            <w:r w:rsidRPr="006D4413">
              <w:rPr>
                <w:sz w:val="20"/>
                <w:szCs w:val="20"/>
              </w:rPr>
              <w:t xml:space="preserve"> </w:t>
            </w:r>
            <w:proofErr w:type="spellStart"/>
            <w:r w:rsidRPr="006D4413">
              <w:rPr>
                <w:sz w:val="20"/>
                <w:szCs w:val="20"/>
              </w:rPr>
              <w:t>neutre</w:t>
            </w:r>
            <w:proofErr w:type="spellEnd"/>
            <w:r w:rsidRPr="006D4413">
              <w:rPr>
                <w:sz w:val="20"/>
                <w:szCs w:val="20"/>
              </w:rPr>
              <w:t> : 2011 QCCA 870</w:t>
            </w:r>
          </w:p>
          <w:p w:rsidR="00FA50B0" w:rsidRPr="006D4413" w:rsidRDefault="00FA50B0" w:rsidP="004C3B4A">
            <w:pPr>
              <w:rPr>
                <w:sz w:val="20"/>
                <w:szCs w:val="20"/>
                <w:lang w:val="fr-FR"/>
              </w:rPr>
            </w:pPr>
          </w:p>
        </w:tc>
        <w:tc>
          <w:tcPr>
            <w:tcW w:w="243" w:type="pct"/>
          </w:tcPr>
          <w:p w:rsidR="00FA50B0" w:rsidRPr="006D4413" w:rsidRDefault="00FA50B0" w:rsidP="004C3B4A">
            <w:pPr>
              <w:rPr>
                <w:sz w:val="20"/>
                <w:szCs w:val="20"/>
                <w:lang w:val="fr-FR"/>
              </w:rPr>
            </w:pPr>
          </w:p>
        </w:tc>
        <w:tc>
          <w:tcPr>
            <w:tcW w:w="2330" w:type="pct"/>
          </w:tcPr>
          <w:p w:rsidR="00FA50B0" w:rsidRPr="006D4413" w:rsidRDefault="00FA50B0" w:rsidP="004C3B4A">
            <w:pPr>
              <w:jc w:val="both"/>
              <w:rPr>
                <w:sz w:val="20"/>
                <w:szCs w:val="20"/>
                <w:lang w:val="fr-CA"/>
              </w:rPr>
            </w:pPr>
            <w:r w:rsidRPr="006D4413">
              <w:rPr>
                <w:sz w:val="20"/>
                <w:szCs w:val="20"/>
                <w:lang w:val="fr-CA"/>
              </w:rPr>
              <w:t>Appel accueilli et jugement de la Cour supérieure infirmé</w:t>
            </w:r>
          </w:p>
          <w:p w:rsidR="00FA50B0" w:rsidRPr="006D4413" w:rsidRDefault="00FA50B0" w:rsidP="004C3B4A">
            <w:pPr>
              <w:jc w:val="both"/>
              <w:rPr>
                <w:sz w:val="20"/>
                <w:szCs w:val="20"/>
                <w:lang w:val="fr-CA"/>
              </w:rPr>
            </w:pPr>
          </w:p>
        </w:tc>
      </w:tr>
    </w:tbl>
    <w:p w:rsidR="00A27223" w:rsidRPr="006A6875" w:rsidRDefault="00A27223">
      <w:pPr>
        <w:rPr>
          <w:lang w:val="fr-CA"/>
        </w:rPr>
      </w:pPr>
      <w:r w:rsidRPr="006A6875">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FA50B0" w:rsidRPr="006D4413" w:rsidTr="00A27223">
        <w:trPr>
          <w:cantSplit/>
        </w:trPr>
        <w:tc>
          <w:tcPr>
            <w:tcW w:w="2427" w:type="pct"/>
          </w:tcPr>
          <w:p w:rsidR="00FA50B0" w:rsidRPr="006D4413" w:rsidRDefault="00FA50B0" w:rsidP="004C3B4A">
            <w:pPr>
              <w:rPr>
                <w:sz w:val="20"/>
                <w:szCs w:val="20"/>
                <w:lang w:val="fr-CA"/>
              </w:rPr>
            </w:pPr>
            <w:r w:rsidRPr="006D4413">
              <w:rPr>
                <w:sz w:val="20"/>
                <w:szCs w:val="20"/>
                <w:lang w:val="fr-CA"/>
              </w:rPr>
              <w:lastRenderedPageBreak/>
              <w:t>Le 4 août 2011</w:t>
            </w:r>
          </w:p>
          <w:p w:rsidR="00FA50B0" w:rsidRPr="006D4413" w:rsidRDefault="00FA50B0" w:rsidP="004C3B4A">
            <w:pPr>
              <w:rPr>
                <w:sz w:val="20"/>
                <w:szCs w:val="20"/>
                <w:lang w:val="fr-FR"/>
              </w:rPr>
            </w:pPr>
            <w:r w:rsidRPr="006D4413">
              <w:rPr>
                <w:sz w:val="20"/>
                <w:szCs w:val="20"/>
                <w:lang w:val="fr-CA"/>
              </w:rPr>
              <w:t>Cour suprême du Canada</w:t>
            </w:r>
          </w:p>
        </w:tc>
        <w:tc>
          <w:tcPr>
            <w:tcW w:w="243" w:type="pct"/>
          </w:tcPr>
          <w:p w:rsidR="00FA50B0" w:rsidRPr="006D4413" w:rsidRDefault="00FA50B0" w:rsidP="004C3B4A">
            <w:pPr>
              <w:rPr>
                <w:sz w:val="20"/>
                <w:szCs w:val="20"/>
                <w:lang w:val="fr-FR"/>
              </w:rPr>
            </w:pPr>
          </w:p>
        </w:tc>
        <w:tc>
          <w:tcPr>
            <w:tcW w:w="2330" w:type="pct"/>
          </w:tcPr>
          <w:p w:rsidR="00FA50B0" w:rsidRPr="006D4413" w:rsidRDefault="00FA50B0" w:rsidP="004C3B4A">
            <w:pPr>
              <w:jc w:val="both"/>
              <w:rPr>
                <w:sz w:val="20"/>
                <w:szCs w:val="20"/>
              </w:rPr>
            </w:pPr>
            <w:proofErr w:type="spellStart"/>
            <w:r w:rsidRPr="006D4413">
              <w:rPr>
                <w:sz w:val="20"/>
                <w:szCs w:val="20"/>
              </w:rPr>
              <w:t>Demande</w:t>
            </w:r>
            <w:proofErr w:type="spellEnd"/>
            <w:r w:rsidRPr="006D4413">
              <w:rPr>
                <w:sz w:val="20"/>
                <w:szCs w:val="20"/>
              </w:rPr>
              <w:t xml:space="preserve"> </w:t>
            </w:r>
            <w:proofErr w:type="spellStart"/>
            <w:r w:rsidRPr="006D4413">
              <w:rPr>
                <w:sz w:val="20"/>
                <w:szCs w:val="20"/>
              </w:rPr>
              <w:t>d'autorisation</w:t>
            </w:r>
            <w:proofErr w:type="spellEnd"/>
            <w:r w:rsidRPr="006D4413">
              <w:rPr>
                <w:sz w:val="20"/>
                <w:szCs w:val="20"/>
              </w:rPr>
              <w:t xml:space="preserve"> </w:t>
            </w:r>
            <w:proofErr w:type="spellStart"/>
            <w:r w:rsidRPr="006D4413">
              <w:rPr>
                <w:sz w:val="20"/>
                <w:szCs w:val="20"/>
              </w:rPr>
              <w:t>d'appel</w:t>
            </w:r>
            <w:proofErr w:type="spellEnd"/>
            <w:r w:rsidRPr="006D4413">
              <w:rPr>
                <w:sz w:val="20"/>
                <w:szCs w:val="20"/>
              </w:rPr>
              <w:t>, d</w:t>
            </w:r>
            <w:r w:rsidRPr="006D4413">
              <w:rPr>
                <w:sz w:val="20"/>
                <w:szCs w:val="20"/>
                <w:lang w:val="fr-CA"/>
              </w:rPr>
              <w:t>é</w:t>
            </w:r>
            <w:proofErr w:type="spellStart"/>
            <w:r w:rsidRPr="006D4413">
              <w:rPr>
                <w:sz w:val="20"/>
                <w:szCs w:val="20"/>
              </w:rPr>
              <w:t>posée</w:t>
            </w:r>
            <w:proofErr w:type="spellEnd"/>
          </w:p>
        </w:tc>
      </w:tr>
    </w:tbl>
    <w:p w:rsidR="00C454C8" w:rsidRDefault="00C454C8" w:rsidP="00C454C8">
      <w:pPr>
        <w:rPr>
          <w:sz w:val="20"/>
          <w:szCs w:val="20"/>
          <w:lang w:val="fr-CA"/>
        </w:rPr>
      </w:pPr>
    </w:p>
    <w:p w:rsidR="00C454C8" w:rsidRDefault="008754B5" w:rsidP="00C454C8">
      <w:pPr>
        <w:rPr>
          <w:sz w:val="20"/>
          <w:szCs w:val="20"/>
          <w:lang w:val="fr-CA"/>
        </w:rPr>
      </w:pPr>
      <w:r w:rsidRPr="008754B5">
        <w:rPr>
          <w:sz w:val="20"/>
          <w:szCs w:val="20"/>
          <w:lang w:val="fr-CA"/>
        </w:rPr>
        <w:pict>
          <v:rect id="_x0000_i1056" style="width:2in;height:1pt" o:hrpct="0" o:hralign="center" o:hrstd="t" o:hrnoshade="t" o:hr="t" fillcolor="black [3213]" stroked="f"/>
        </w:pict>
      </w:r>
    </w:p>
    <w:p w:rsidR="00C454C8" w:rsidRPr="00C454C8" w:rsidRDefault="00C454C8" w:rsidP="00C454C8">
      <w:pPr>
        <w:rPr>
          <w:sz w:val="20"/>
          <w:szCs w:val="20"/>
          <w:lang w:val="fr-CA"/>
        </w:rPr>
      </w:pPr>
    </w:p>
    <w:p w:rsidR="00C454C8" w:rsidRPr="00C454C8" w:rsidRDefault="00C454C8" w:rsidP="008D292F">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C2500C" w:rsidRPr="00772D0E" w:rsidRDefault="00C2500C" w:rsidP="00C2500C">
      <w:pPr>
        <w:tabs>
          <w:tab w:val="left" w:pos="-1440"/>
          <w:tab w:val="left" w:pos="-720"/>
        </w:tabs>
        <w:jc w:val="both"/>
        <w:rPr>
          <w:sz w:val="20"/>
          <w:szCs w:val="20"/>
          <w:lang w:val="fr-CA"/>
        </w:rPr>
      </w:pPr>
      <w:r w:rsidRPr="00772D0E">
        <w:rPr>
          <w:sz w:val="20"/>
          <w:szCs w:val="20"/>
          <w:lang w:val="fr-CA"/>
        </w:rPr>
        <w:t>21.11.2011</w: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jc w:val="both"/>
        <w:rPr>
          <w:sz w:val="20"/>
          <w:szCs w:val="20"/>
          <w:lang w:val="fr-CA"/>
        </w:rPr>
      </w:pPr>
      <w:proofErr w:type="spellStart"/>
      <w:r w:rsidRPr="00772D0E">
        <w:rPr>
          <w:sz w:val="20"/>
          <w:szCs w:val="20"/>
          <w:lang w:val="fr-CA"/>
        </w:rPr>
        <w:t>Before</w:t>
      </w:r>
      <w:proofErr w:type="spellEnd"/>
      <w:r w:rsidRPr="00772D0E">
        <w:rPr>
          <w:sz w:val="20"/>
          <w:szCs w:val="20"/>
          <w:lang w:val="fr-CA"/>
        </w:rPr>
        <w:t xml:space="preserve"> / Devant:   DESCHAMPS J. / LA JUGE DESCHAMPS</w:t>
      </w:r>
    </w:p>
    <w:p w:rsidR="00C2500C" w:rsidRPr="00772D0E" w:rsidRDefault="00C2500C" w:rsidP="00C2500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2500C" w:rsidRPr="00772D0E" w:rsidTr="00047877">
        <w:trPr>
          <w:trHeight w:val="151"/>
        </w:trPr>
        <w:tc>
          <w:tcPr>
            <w:tcW w:w="4338" w:type="dxa"/>
          </w:tcPr>
          <w:p w:rsidR="00C2500C" w:rsidRPr="00772D0E" w:rsidRDefault="008754B5" w:rsidP="00047877">
            <w:pPr>
              <w:tabs>
                <w:tab w:val="left" w:pos="-1440"/>
                <w:tab w:val="left" w:pos="-720"/>
              </w:tabs>
              <w:jc w:val="both"/>
              <w:rPr>
                <w:sz w:val="20"/>
                <w:szCs w:val="20"/>
                <w:lang w:val="fr-CA"/>
              </w:rPr>
            </w:pPr>
            <w:r w:rsidRPr="00772D0E">
              <w:rPr>
                <w:sz w:val="20"/>
                <w:szCs w:val="20"/>
              </w:rPr>
              <w:fldChar w:fldCharType="begin"/>
            </w:r>
            <w:r w:rsidR="00C2500C" w:rsidRPr="00772D0E">
              <w:rPr>
                <w:sz w:val="20"/>
                <w:szCs w:val="20"/>
                <w:lang w:val="fr-CA"/>
              </w:rPr>
              <w:instrText xml:space="preserve"> SEQ CHAPTER \h \r 1</w:instrText>
            </w:r>
            <w:r w:rsidRPr="00772D0E">
              <w:rPr>
                <w:sz w:val="20"/>
                <w:szCs w:val="20"/>
              </w:rPr>
              <w:fldChar w:fldCharType="end"/>
            </w:r>
            <w:proofErr w:type="spellStart"/>
            <w:r w:rsidR="00C2500C" w:rsidRPr="00772D0E">
              <w:rPr>
                <w:b/>
                <w:bCs/>
                <w:sz w:val="20"/>
                <w:szCs w:val="20"/>
                <w:lang w:val="fr-CA"/>
              </w:rPr>
              <w:t>Miscellaneous</w:t>
            </w:r>
            <w:proofErr w:type="spellEnd"/>
            <w:r w:rsidR="00C2500C" w:rsidRPr="00772D0E">
              <w:rPr>
                <w:b/>
                <w:bCs/>
                <w:sz w:val="20"/>
                <w:szCs w:val="20"/>
                <w:lang w:val="fr-CA"/>
              </w:rPr>
              <w:t xml:space="preserve"> motion</w:t>
            </w:r>
          </w:p>
          <w:p w:rsidR="00C2500C" w:rsidRPr="00772D0E" w:rsidRDefault="008754B5" w:rsidP="00047877">
            <w:pPr>
              <w:tabs>
                <w:tab w:val="left" w:pos="-1440"/>
                <w:tab w:val="left" w:pos="-720"/>
              </w:tabs>
              <w:jc w:val="both"/>
              <w:rPr>
                <w:sz w:val="20"/>
                <w:szCs w:val="20"/>
                <w:lang w:val="fr-CA"/>
              </w:rPr>
            </w:pPr>
            <w:r w:rsidRPr="00772D0E">
              <w:rPr>
                <w:sz w:val="20"/>
                <w:szCs w:val="20"/>
              </w:rPr>
              <w:fldChar w:fldCharType="begin"/>
            </w:r>
            <w:r w:rsidR="00C2500C" w:rsidRPr="00772D0E">
              <w:rPr>
                <w:sz w:val="20"/>
                <w:szCs w:val="20"/>
                <w:lang w:val="fr-CA"/>
              </w:rPr>
              <w:instrText xml:space="preserve"> SEQ CHAPTER \h \r 1</w:instrText>
            </w:r>
            <w:r w:rsidRPr="00772D0E">
              <w:rPr>
                <w:sz w:val="20"/>
                <w:szCs w:val="20"/>
              </w:rPr>
              <w:fldChar w:fldCharType="end"/>
            </w:r>
          </w:p>
        </w:tc>
        <w:tc>
          <w:tcPr>
            <w:tcW w:w="1170" w:type="dxa"/>
          </w:tcPr>
          <w:p w:rsidR="00C2500C" w:rsidRPr="00772D0E" w:rsidRDefault="00C2500C" w:rsidP="00047877">
            <w:pPr>
              <w:jc w:val="both"/>
              <w:rPr>
                <w:sz w:val="20"/>
                <w:szCs w:val="20"/>
                <w:lang w:val="fr-CA"/>
              </w:rPr>
            </w:pPr>
          </w:p>
          <w:p w:rsidR="00C2500C" w:rsidRPr="00772D0E" w:rsidRDefault="00C2500C" w:rsidP="00047877">
            <w:pPr>
              <w:jc w:val="both"/>
              <w:rPr>
                <w:sz w:val="20"/>
                <w:szCs w:val="20"/>
                <w:lang w:val="fr-CA"/>
              </w:rPr>
            </w:pPr>
          </w:p>
        </w:tc>
        <w:tc>
          <w:tcPr>
            <w:tcW w:w="4327" w:type="dxa"/>
          </w:tcPr>
          <w:p w:rsidR="00C2500C" w:rsidRPr="00772D0E" w:rsidRDefault="008754B5" w:rsidP="00047877">
            <w:pPr>
              <w:jc w:val="both"/>
              <w:rPr>
                <w:b/>
                <w:sz w:val="20"/>
                <w:szCs w:val="20"/>
                <w:lang w:val="fr-CA"/>
              </w:rPr>
            </w:pPr>
            <w:r w:rsidRPr="00772D0E">
              <w:rPr>
                <w:sz w:val="20"/>
                <w:szCs w:val="20"/>
              </w:rPr>
              <w:fldChar w:fldCharType="begin"/>
            </w:r>
            <w:r w:rsidR="00C2500C" w:rsidRPr="00772D0E">
              <w:rPr>
                <w:sz w:val="20"/>
                <w:szCs w:val="20"/>
                <w:lang w:val="fr-CA"/>
              </w:rPr>
              <w:instrText xml:space="preserve"> SEQ CHAPTER \h \r 1</w:instrText>
            </w:r>
            <w:r w:rsidRPr="00772D0E">
              <w:rPr>
                <w:sz w:val="20"/>
                <w:szCs w:val="20"/>
              </w:rPr>
              <w:fldChar w:fldCharType="end"/>
            </w:r>
            <w:r w:rsidR="00C2500C" w:rsidRPr="00772D0E">
              <w:rPr>
                <w:b/>
                <w:bCs/>
                <w:sz w:val="20"/>
                <w:szCs w:val="20"/>
                <w:lang w:val="fr-CA"/>
              </w:rPr>
              <w:t>Requête diverse</w:t>
            </w:r>
          </w:p>
          <w:p w:rsidR="00C2500C" w:rsidRPr="00772D0E" w:rsidRDefault="008754B5" w:rsidP="00047877">
            <w:pPr>
              <w:jc w:val="both"/>
              <w:rPr>
                <w:b/>
                <w:sz w:val="20"/>
                <w:szCs w:val="20"/>
                <w:lang w:val="fr-CA"/>
              </w:rPr>
            </w:pPr>
            <w:r w:rsidRPr="00772D0E">
              <w:rPr>
                <w:b/>
                <w:sz w:val="20"/>
                <w:szCs w:val="20"/>
              </w:rPr>
              <w:fldChar w:fldCharType="begin"/>
            </w:r>
            <w:r w:rsidR="00C2500C" w:rsidRPr="00772D0E">
              <w:rPr>
                <w:b/>
                <w:sz w:val="20"/>
                <w:szCs w:val="20"/>
                <w:lang w:val="fr-CA"/>
              </w:rPr>
              <w:instrText xml:space="preserve"> SEQ CHAPTER \h \r 1</w:instrText>
            </w:r>
            <w:r w:rsidRPr="00772D0E">
              <w:rPr>
                <w:b/>
                <w:sz w:val="20"/>
                <w:szCs w:val="20"/>
              </w:rPr>
              <w:fldChar w:fldCharType="end"/>
            </w:r>
            <w:r w:rsidRPr="00772D0E">
              <w:rPr>
                <w:b/>
                <w:sz w:val="20"/>
                <w:szCs w:val="20"/>
              </w:rPr>
              <w:fldChar w:fldCharType="begin"/>
            </w:r>
            <w:r w:rsidR="00C2500C" w:rsidRPr="00772D0E">
              <w:rPr>
                <w:b/>
                <w:sz w:val="20"/>
                <w:szCs w:val="20"/>
                <w:lang w:val="fr-CA"/>
              </w:rPr>
              <w:instrText xml:space="preserve"> SEQ CHAPTER \h \r 1</w:instrText>
            </w:r>
            <w:r w:rsidRPr="00772D0E">
              <w:rPr>
                <w:b/>
                <w:sz w:val="20"/>
                <w:szCs w:val="20"/>
              </w:rPr>
              <w:fldChar w:fldCharType="end"/>
            </w:r>
          </w:p>
        </w:tc>
      </w:tr>
      <w:tr w:rsidR="00C2500C" w:rsidRPr="00772D0E" w:rsidTr="00047877">
        <w:trPr>
          <w:trHeight w:val="150"/>
        </w:trPr>
        <w:tc>
          <w:tcPr>
            <w:tcW w:w="4338" w:type="dxa"/>
          </w:tcPr>
          <w:p w:rsidR="00C2500C" w:rsidRPr="00772D0E" w:rsidRDefault="00C2500C" w:rsidP="00047877">
            <w:pPr>
              <w:tabs>
                <w:tab w:val="left" w:pos="-1440"/>
                <w:tab w:val="left" w:pos="-720"/>
              </w:tabs>
              <w:jc w:val="both"/>
              <w:rPr>
                <w:sz w:val="20"/>
                <w:szCs w:val="20"/>
              </w:rPr>
            </w:pPr>
            <w:r w:rsidRPr="00772D0E">
              <w:rPr>
                <w:sz w:val="20"/>
                <w:szCs w:val="20"/>
              </w:rPr>
              <w:t>N.S.</w:t>
            </w: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r w:rsidRPr="00772D0E">
              <w:rPr>
                <w:sz w:val="20"/>
                <w:szCs w:val="20"/>
              </w:rPr>
              <w:tab/>
              <w:t>v. (33989)</w:t>
            </w: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r w:rsidRPr="00772D0E">
              <w:rPr>
                <w:sz w:val="20"/>
                <w:szCs w:val="20"/>
              </w:rPr>
              <w:t>Her Majesty the Queen et al. (Crim.) (Ont.)</w:t>
            </w:r>
          </w:p>
        </w:tc>
        <w:tc>
          <w:tcPr>
            <w:tcW w:w="1170" w:type="dxa"/>
          </w:tcPr>
          <w:p w:rsidR="00C2500C" w:rsidRPr="00772D0E" w:rsidRDefault="00C2500C" w:rsidP="00047877">
            <w:pPr>
              <w:jc w:val="both"/>
              <w:rPr>
                <w:sz w:val="20"/>
                <w:szCs w:val="20"/>
              </w:rPr>
            </w:pPr>
          </w:p>
        </w:tc>
        <w:tc>
          <w:tcPr>
            <w:tcW w:w="4327" w:type="dxa"/>
          </w:tcPr>
          <w:p w:rsidR="00C2500C" w:rsidRPr="00772D0E" w:rsidRDefault="00C2500C" w:rsidP="00047877">
            <w:pPr>
              <w:jc w:val="both"/>
              <w:rPr>
                <w:sz w:val="20"/>
                <w:szCs w:val="20"/>
              </w:rPr>
            </w:pPr>
          </w:p>
        </w:tc>
      </w:tr>
    </w:tbl>
    <w:p w:rsidR="00C2500C" w:rsidRPr="00772D0E" w:rsidRDefault="00C2500C" w:rsidP="00C2500C">
      <w:pPr>
        <w:tabs>
          <w:tab w:val="left" w:pos="-1440"/>
          <w:tab w:val="left" w:pos="-720"/>
        </w:tabs>
        <w:jc w:val="both"/>
        <w:rPr>
          <w:sz w:val="20"/>
          <w:szCs w:val="20"/>
        </w:rPr>
      </w:pPr>
    </w:p>
    <w:p w:rsidR="00C2500C" w:rsidRPr="00772D0E" w:rsidRDefault="00C2500C" w:rsidP="00C2500C">
      <w:pPr>
        <w:tabs>
          <w:tab w:val="left" w:pos="-1440"/>
          <w:tab w:val="left" w:pos="-720"/>
        </w:tabs>
        <w:jc w:val="both"/>
        <w:rPr>
          <w:sz w:val="20"/>
          <w:szCs w:val="20"/>
        </w:rPr>
      </w:pPr>
      <w:r w:rsidRPr="00772D0E">
        <w:rPr>
          <w:b/>
          <w:sz w:val="20"/>
          <w:szCs w:val="20"/>
        </w:rPr>
        <w:t>GRANTED / ACCORDÉE</w:t>
      </w:r>
    </w:p>
    <w:p w:rsidR="00C2500C" w:rsidRPr="00772D0E" w:rsidRDefault="00C2500C" w:rsidP="00C2500C">
      <w:pPr>
        <w:tabs>
          <w:tab w:val="left" w:pos="-1440"/>
          <w:tab w:val="left" w:pos="-720"/>
        </w:tabs>
        <w:jc w:val="both"/>
        <w:rPr>
          <w:sz w:val="20"/>
          <w:szCs w:val="20"/>
        </w:rPr>
      </w:pPr>
    </w:p>
    <w:p w:rsidR="00C2500C" w:rsidRPr="00772D0E" w:rsidRDefault="00C2500C" w:rsidP="00C2500C">
      <w:pPr>
        <w:jc w:val="both"/>
        <w:rPr>
          <w:sz w:val="20"/>
          <w:szCs w:val="20"/>
        </w:rPr>
      </w:pPr>
      <w:r w:rsidRPr="00772D0E">
        <w:rPr>
          <w:b/>
          <w:bCs/>
          <w:sz w:val="20"/>
          <w:szCs w:val="20"/>
        </w:rPr>
        <w:t>UPON APPLICATION</w:t>
      </w:r>
      <w:r w:rsidRPr="00772D0E">
        <w:rPr>
          <w:sz w:val="20"/>
          <w:szCs w:val="20"/>
        </w:rPr>
        <w:t xml:space="preserve"> by the applicant for an order fixing the rate of fees payable to Mr. David Butt, appointed as counsel for the applicant pursuant to s. 694.1 of the </w:t>
      </w:r>
      <w:r w:rsidRPr="00772D0E">
        <w:rPr>
          <w:i/>
          <w:sz w:val="20"/>
          <w:szCs w:val="20"/>
        </w:rPr>
        <w:t>Criminal Code</w:t>
      </w:r>
      <w:r w:rsidRPr="00772D0E">
        <w:rPr>
          <w:sz w:val="20"/>
          <w:szCs w:val="20"/>
        </w:rPr>
        <w:t>;</w:t>
      </w:r>
    </w:p>
    <w:p w:rsidR="00C2500C" w:rsidRPr="00772D0E" w:rsidRDefault="00C2500C" w:rsidP="00C2500C">
      <w:pPr>
        <w:rPr>
          <w:b/>
          <w:bCs/>
          <w:sz w:val="20"/>
          <w:szCs w:val="20"/>
        </w:rPr>
      </w:pPr>
    </w:p>
    <w:p w:rsidR="00C2500C" w:rsidRPr="00772D0E" w:rsidRDefault="00C2500C" w:rsidP="00C2500C">
      <w:pPr>
        <w:rPr>
          <w:sz w:val="20"/>
          <w:szCs w:val="20"/>
        </w:rPr>
      </w:pPr>
      <w:r w:rsidRPr="00772D0E">
        <w:rPr>
          <w:b/>
          <w:bCs/>
          <w:sz w:val="20"/>
          <w:szCs w:val="20"/>
        </w:rPr>
        <w:t>AND THE MATERIAL FILED</w:t>
      </w:r>
      <w:r w:rsidRPr="00772D0E">
        <w:rPr>
          <w:sz w:val="20"/>
          <w:szCs w:val="20"/>
        </w:rPr>
        <w:t xml:space="preserve"> having been read </w:t>
      </w:r>
      <w:r w:rsidR="008754B5" w:rsidRPr="00772D0E">
        <w:rPr>
          <w:sz w:val="20"/>
          <w:szCs w:val="20"/>
        </w:rPr>
        <w:fldChar w:fldCharType="begin"/>
      </w:r>
      <w:r w:rsidRPr="00772D0E">
        <w:rPr>
          <w:sz w:val="20"/>
          <w:szCs w:val="20"/>
        </w:rPr>
        <w:instrText xml:space="preserve"> SEQ CHAPTER \h \r 1</w:instrText>
      </w:r>
      <w:r w:rsidR="008754B5" w:rsidRPr="00772D0E">
        <w:rPr>
          <w:sz w:val="20"/>
          <w:szCs w:val="20"/>
        </w:rPr>
        <w:fldChar w:fldCharType="end"/>
      </w:r>
      <w:r w:rsidRPr="00772D0E">
        <w:rPr>
          <w:sz w:val="20"/>
          <w:szCs w:val="20"/>
        </w:rPr>
        <w:t>including the consent of the Crown;</w:t>
      </w:r>
    </w:p>
    <w:p w:rsidR="00C2500C" w:rsidRPr="00772D0E" w:rsidRDefault="00C2500C" w:rsidP="00C2500C">
      <w:pPr>
        <w:rPr>
          <w:sz w:val="20"/>
          <w:szCs w:val="20"/>
        </w:rPr>
      </w:pPr>
    </w:p>
    <w:p w:rsidR="00C2500C" w:rsidRPr="00772D0E" w:rsidRDefault="00C2500C" w:rsidP="00C2500C">
      <w:pPr>
        <w:rPr>
          <w:b/>
          <w:bCs/>
          <w:sz w:val="20"/>
          <w:szCs w:val="20"/>
        </w:rPr>
      </w:pPr>
      <w:r w:rsidRPr="00772D0E">
        <w:rPr>
          <w:b/>
          <w:bCs/>
          <w:sz w:val="20"/>
          <w:szCs w:val="20"/>
        </w:rPr>
        <w:t>IT IS HEREBY ORDERED THAT:</w:t>
      </w:r>
    </w:p>
    <w:p w:rsidR="00C2500C" w:rsidRPr="00772D0E" w:rsidRDefault="00C2500C" w:rsidP="00C2500C">
      <w:pPr>
        <w:jc w:val="both"/>
        <w:rPr>
          <w:b/>
          <w:bCs/>
          <w:sz w:val="20"/>
          <w:szCs w:val="20"/>
        </w:rPr>
      </w:pPr>
    </w:p>
    <w:p w:rsidR="00C2500C" w:rsidRPr="00772D0E" w:rsidRDefault="00C2500C" w:rsidP="00C2500C">
      <w:pPr>
        <w:ind w:left="708"/>
        <w:jc w:val="both"/>
        <w:rPr>
          <w:sz w:val="20"/>
          <w:szCs w:val="20"/>
        </w:rPr>
      </w:pPr>
      <w:r w:rsidRPr="00772D0E">
        <w:rPr>
          <w:sz w:val="20"/>
          <w:szCs w:val="20"/>
        </w:rPr>
        <w:t>The Attorney General of Ontario shall pay the reasonable fees and disbursement of Mr. David Butt at a rate of $200.00 per hour.</w:t>
      </w:r>
    </w:p>
    <w:p w:rsidR="00C2500C" w:rsidRPr="00772D0E" w:rsidRDefault="00C2500C" w:rsidP="00C2500C">
      <w:pPr>
        <w:ind w:left="708"/>
        <w:jc w:val="both"/>
        <w:rPr>
          <w:sz w:val="20"/>
          <w:szCs w:val="20"/>
        </w:rPr>
      </w:pPr>
    </w:p>
    <w:p w:rsidR="00C2500C" w:rsidRPr="00772D0E" w:rsidRDefault="00C2500C" w:rsidP="00C2500C">
      <w:pPr>
        <w:tabs>
          <w:tab w:val="left" w:pos="-1440"/>
          <w:tab w:val="left" w:pos="-720"/>
        </w:tabs>
        <w:jc w:val="both"/>
        <w:rPr>
          <w:sz w:val="20"/>
          <w:szCs w:val="20"/>
        </w:rPr>
      </w:pPr>
    </w:p>
    <w:p w:rsidR="00C2500C" w:rsidRPr="00772D0E" w:rsidRDefault="00C2500C" w:rsidP="00C2500C">
      <w:pPr>
        <w:tabs>
          <w:tab w:val="left" w:pos="-1440"/>
          <w:tab w:val="left" w:pos="-720"/>
        </w:tabs>
        <w:jc w:val="both"/>
        <w:rPr>
          <w:sz w:val="20"/>
          <w:szCs w:val="20"/>
        </w:rPr>
      </w:pPr>
    </w:p>
    <w:p w:rsidR="00C2500C" w:rsidRPr="00772D0E" w:rsidRDefault="00C2500C" w:rsidP="00C2500C">
      <w:pPr>
        <w:tabs>
          <w:tab w:val="left" w:pos="-1440"/>
          <w:tab w:val="left" w:pos="-720"/>
        </w:tabs>
        <w:jc w:val="both"/>
        <w:rPr>
          <w:sz w:val="20"/>
          <w:szCs w:val="20"/>
        </w:rPr>
      </w:pPr>
    </w:p>
    <w:p w:rsidR="00C2500C" w:rsidRPr="00772D0E" w:rsidRDefault="00C2500C" w:rsidP="00C2500C">
      <w:pPr>
        <w:jc w:val="both"/>
        <w:rPr>
          <w:sz w:val="20"/>
          <w:szCs w:val="20"/>
          <w:lang w:val="fr-CA"/>
        </w:rPr>
      </w:pPr>
      <w:r w:rsidRPr="00772D0E">
        <w:rPr>
          <w:b/>
          <w:sz w:val="20"/>
          <w:szCs w:val="20"/>
          <w:lang w:val="fr-CA"/>
        </w:rPr>
        <w:t>À LA SUITE DE LA REQUÊTE</w:t>
      </w:r>
      <w:r w:rsidRPr="00772D0E">
        <w:rPr>
          <w:sz w:val="20"/>
          <w:szCs w:val="20"/>
          <w:lang w:val="fr-CA"/>
        </w:rPr>
        <w:t xml:space="preserve"> du demandeur sollicitant une ordonnance  fixant le tarif des honoraires dus à M</w:t>
      </w:r>
      <w:r w:rsidRPr="00772D0E">
        <w:rPr>
          <w:sz w:val="20"/>
          <w:szCs w:val="20"/>
          <w:vertAlign w:val="superscript"/>
          <w:lang w:val="fr-CA"/>
        </w:rPr>
        <w:t>e</w:t>
      </w:r>
      <w:r w:rsidRPr="00772D0E">
        <w:rPr>
          <w:sz w:val="20"/>
          <w:szCs w:val="20"/>
          <w:lang w:val="fr-CA"/>
        </w:rPr>
        <w:t xml:space="preserve"> David Butt, désigné pour agir à titre d’avocat en application de l’art. 694.1 du </w:t>
      </w:r>
      <w:r w:rsidRPr="00772D0E">
        <w:rPr>
          <w:i/>
          <w:sz w:val="20"/>
          <w:szCs w:val="20"/>
          <w:lang w:val="fr-CA"/>
        </w:rPr>
        <w:t>Code criminel</w:t>
      </w:r>
      <w:r w:rsidRPr="00772D0E">
        <w:rPr>
          <w:sz w:val="20"/>
          <w:szCs w:val="20"/>
          <w:lang w:val="fr-CA"/>
        </w:rPr>
        <w:t>;</w:t>
      </w:r>
    </w:p>
    <w:p w:rsidR="00C2500C" w:rsidRPr="00772D0E" w:rsidRDefault="00C2500C" w:rsidP="00C2500C">
      <w:pPr>
        <w:jc w:val="both"/>
        <w:rPr>
          <w:sz w:val="20"/>
          <w:szCs w:val="20"/>
          <w:lang w:val="fr-CA"/>
        </w:rPr>
      </w:pPr>
    </w:p>
    <w:p w:rsidR="00C2500C" w:rsidRPr="00772D0E" w:rsidRDefault="00C2500C" w:rsidP="00C2500C">
      <w:pPr>
        <w:jc w:val="both"/>
        <w:rPr>
          <w:sz w:val="20"/>
          <w:szCs w:val="20"/>
          <w:lang w:val="fr-CA"/>
        </w:rPr>
      </w:pPr>
      <w:r w:rsidRPr="00772D0E">
        <w:rPr>
          <w:sz w:val="20"/>
          <w:szCs w:val="20"/>
          <w:lang w:val="fr-CA"/>
        </w:rPr>
        <w:t xml:space="preserve"> </w:t>
      </w:r>
    </w:p>
    <w:p w:rsidR="00C2500C" w:rsidRPr="00772D0E" w:rsidRDefault="00C2500C" w:rsidP="00C2500C">
      <w:pPr>
        <w:jc w:val="both"/>
        <w:rPr>
          <w:sz w:val="20"/>
          <w:szCs w:val="20"/>
          <w:lang w:val="fr-CA"/>
        </w:rPr>
      </w:pPr>
      <w:r w:rsidRPr="00772D0E">
        <w:rPr>
          <w:b/>
          <w:sz w:val="20"/>
          <w:szCs w:val="20"/>
          <w:lang w:val="fr-CA"/>
        </w:rPr>
        <w:t>ET APRÈS EXAMEN</w:t>
      </w:r>
      <w:r w:rsidRPr="00772D0E">
        <w:rPr>
          <w:sz w:val="20"/>
          <w:szCs w:val="20"/>
          <w:lang w:val="fr-CA"/>
        </w:rPr>
        <w:t xml:space="preserve"> des documents déposés y compris du consentement du ministère public; </w:t>
      </w:r>
    </w:p>
    <w:p w:rsidR="00C2500C" w:rsidRPr="00772D0E" w:rsidRDefault="00C2500C" w:rsidP="00C2500C">
      <w:pPr>
        <w:jc w:val="both"/>
        <w:rPr>
          <w:sz w:val="20"/>
          <w:szCs w:val="20"/>
          <w:lang w:val="fr-CA"/>
        </w:rPr>
      </w:pPr>
    </w:p>
    <w:p w:rsidR="00C2500C" w:rsidRPr="00772D0E" w:rsidRDefault="00C2500C" w:rsidP="00C2500C">
      <w:pPr>
        <w:jc w:val="both"/>
        <w:rPr>
          <w:sz w:val="20"/>
          <w:szCs w:val="20"/>
          <w:lang w:val="fr-CA"/>
        </w:rPr>
      </w:pPr>
      <w:r w:rsidRPr="00772D0E">
        <w:rPr>
          <w:b/>
          <w:sz w:val="20"/>
          <w:szCs w:val="20"/>
          <w:lang w:val="fr-CA"/>
        </w:rPr>
        <w:t>IL EST ORDONNÉ CE QUI SUIT</w:t>
      </w:r>
      <w:r w:rsidRPr="00772D0E">
        <w:rPr>
          <w:sz w:val="20"/>
          <w:szCs w:val="20"/>
          <w:lang w:val="fr-CA"/>
        </w:rPr>
        <w:t xml:space="preserve"> :</w:t>
      </w:r>
    </w:p>
    <w:p w:rsidR="00C2500C" w:rsidRPr="00772D0E" w:rsidRDefault="00C2500C" w:rsidP="00C2500C">
      <w:pPr>
        <w:jc w:val="both"/>
        <w:rPr>
          <w:sz w:val="20"/>
          <w:szCs w:val="20"/>
          <w:lang w:val="fr-CA"/>
        </w:rPr>
      </w:pPr>
    </w:p>
    <w:p w:rsidR="00C2500C" w:rsidRPr="00772D0E" w:rsidRDefault="00C2500C" w:rsidP="00C2500C">
      <w:pPr>
        <w:ind w:left="705"/>
        <w:jc w:val="both"/>
        <w:rPr>
          <w:sz w:val="20"/>
          <w:szCs w:val="20"/>
          <w:lang w:val="fr-CA"/>
        </w:rPr>
      </w:pPr>
      <w:r w:rsidRPr="00772D0E">
        <w:rPr>
          <w:sz w:val="20"/>
          <w:szCs w:val="20"/>
          <w:lang w:val="fr-CA"/>
        </w:rPr>
        <w:t>Le procureur général de l’Ontario paiera les honoraires et dépenses raisonnables de M</w:t>
      </w:r>
      <w:r w:rsidRPr="00772D0E">
        <w:rPr>
          <w:sz w:val="20"/>
          <w:szCs w:val="20"/>
          <w:vertAlign w:val="superscript"/>
          <w:lang w:val="fr-CA"/>
        </w:rPr>
        <w:t>e </w:t>
      </w:r>
      <w:r w:rsidRPr="00772D0E">
        <w:rPr>
          <w:sz w:val="20"/>
          <w:szCs w:val="20"/>
          <w:lang w:val="fr-CA"/>
        </w:rPr>
        <w:t>David Butt au tarif de 200 $ l’heure.</w: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spacing w:line="-19" w:lineRule="auto"/>
        <w:jc w:val="both"/>
        <w:rPr>
          <w:sz w:val="20"/>
          <w:szCs w:val="20"/>
          <w:lang w:val="fr-CA"/>
        </w:rPr>
      </w:pPr>
    </w:p>
    <w:p w:rsidR="00C2500C" w:rsidRPr="00772D0E" w:rsidRDefault="008754B5" w:rsidP="00C2500C">
      <w:pPr>
        <w:tabs>
          <w:tab w:val="left" w:pos="-1440"/>
          <w:tab w:val="left" w:pos="-720"/>
        </w:tabs>
        <w:jc w:val="both"/>
        <w:rPr>
          <w:sz w:val="20"/>
          <w:szCs w:val="20"/>
        </w:rPr>
      </w:pPr>
      <w:r w:rsidRPr="008754B5">
        <w:rPr>
          <w:sz w:val="20"/>
          <w:szCs w:val="20"/>
          <w:lang w:val="fr-CA"/>
        </w:rPr>
        <w:pict>
          <v:rect id="_x0000_i1059" style="width:2in;height:1pt" o:hrpct="0" o:hralign="center" o:hrstd="t" o:hrnoshade="t" o:hr="t" fillcolor="black [3213]" stroked="f"/>
        </w:pict>
      </w:r>
    </w:p>
    <w:p w:rsidR="00C2500C" w:rsidRPr="00772D0E" w:rsidRDefault="00C2500C" w:rsidP="00C2500C">
      <w:pPr>
        <w:rPr>
          <w:sz w:val="20"/>
          <w:szCs w:val="20"/>
        </w:rPr>
      </w:pPr>
    </w:p>
    <w:p w:rsidR="00C2500C" w:rsidRPr="00772D0E" w:rsidRDefault="00C2500C" w:rsidP="00C2500C">
      <w:pPr>
        <w:tabs>
          <w:tab w:val="left" w:pos="-1440"/>
          <w:tab w:val="left" w:pos="-720"/>
        </w:tabs>
        <w:jc w:val="both"/>
        <w:rPr>
          <w:sz w:val="20"/>
          <w:szCs w:val="20"/>
          <w:lang w:val="fr-CA"/>
        </w:rPr>
      </w:pPr>
      <w:r w:rsidRPr="00772D0E">
        <w:rPr>
          <w:sz w:val="20"/>
          <w:szCs w:val="20"/>
          <w:lang w:val="fr-CA"/>
        </w:rPr>
        <w:t>22.11.2011</w: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jc w:val="both"/>
        <w:rPr>
          <w:sz w:val="20"/>
          <w:szCs w:val="20"/>
          <w:lang w:val="fr-CA"/>
        </w:rPr>
      </w:pPr>
      <w:proofErr w:type="spellStart"/>
      <w:r w:rsidRPr="00772D0E">
        <w:rPr>
          <w:sz w:val="20"/>
          <w:szCs w:val="20"/>
          <w:lang w:val="fr-CA"/>
        </w:rPr>
        <w:t>Before</w:t>
      </w:r>
      <w:proofErr w:type="spellEnd"/>
      <w:r w:rsidRPr="00772D0E">
        <w:rPr>
          <w:sz w:val="20"/>
          <w:szCs w:val="20"/>
          <w:lang w:val="fr-CA"/>
        </w:rPr>
        <w:t xml:space="preserve"> / Devant:   DESCHAMPS J. / LA JUGE DESCHAMPS</w:t>
      </w:r>
    </w:p>
    <w:p w:rsidR="00C2500C" w:rsidRPr="00772D0E" w:rsidRDefault="00C2500C" w:rsidP="00C250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2500C" w:rsidRPr="008608D5" w:rsidTr="00047877">
        <w:tc>
          <w:tcPr>
            <w:tcW w:w="4338" w:type="dxa"/>
            <w:gridSpan w:val="2"/>
          </w:tcPr>
          <w:p w:rsidR="00C2500C" w:rsidRPr="00772D0E" w:rsidRDefault="00C2500C" w:rsidP="00C2500C">
            <w:pPr>
              <w:jc w:val="both"/>
              <w:rPr>
                <w:b/>
                <w:sz w:val="20"/>
                <w:szCs w:val="20"/>
              </w:rPr>
            </w:pPr>
            <w:r w:rsidRPr="00772D0E">
              <w:rPr>
                <w:b/>
                <w:sz w:val="20"/>
                <w:szCs w:val="20"/>
              </w:rPr>
              <w:t xml:space="preserve">Order on interventions with respect to oral argument </w:t>
            </w:r>
            <w:r w:rsidR="008754B5" w:rsidRPr="00772D0E">
              <w:rPr>
                <w:sz w:val="20"/>
                <w:szCs w:val="20"/>
              </w:rPr>
              <w:fldChar w:fldCharType="begin"/>
            </w:r>
            <w:r w:rsidRPr="00772D0E">
              <w:rPr>
                <w:sz w:val="20"/>
                <w:szCs w:val="20"/>
              </w:rPr>
              <w:instrText xml:space="preserve"> SEQ CHAPTER \h \r 1</w:instrText>
            </w:r>
            <w:r w:rsidR="008754B5" w:rsidRPr="00772D0E">
              <w:rPr>
                <w:sz w:val="20"/>
                <w:szCs w:val="20"/>
              </w:rPr>
              <w:fldChar w:fldCharType="end"/>
            </w:r>
          </w:p>
        </w:tc>
        <w:tc>
          <w:tcPr>
            <w:tcW w:w="1170" w:type="dxa"/>
          </w:tcPr>
          <w:p w:rsidR="00C2500C" w:rsidRPr="00772D0E" w:rsidRDefault="00C2500C" w:rsidP="00047877">
            <w:pPr>
              <w:rPr>
                <w:sz w:val="20"/>
                <w:szCs w:val="20"/>
              </w:rPr>
            </w:pPr>
          </w:p>
          <w:p w:rsidR="00C2500C" w:rsidRPr="00772D0E" w:rsidRDefault="00C2500C" w:rsidP="00047877">
            <w:pPr>
              <w:rPr>
                <w:sz w:val="20"/>
                <w:szCs w:val="20"/>
              </w:rPr>
            </w:pPr>
          </w:p>
          <w:p w:rsidR="00C2500C" w:rsidRPr="00772D0E" w:rsidRDefault="00C2500C" w:rsidP="00047877">
            <w:pPr>
              <w:rPr>
                <w:sz w:val="20"/>
                <w:szCs w:val="20"/>
              </w:rPr>
            </w:pPr>
          </w:p>
        </w:tc>
        <w:tc>
          <w:tcPr>
            <w:tcW w:w="4327" w:type="dxa"/>
          </w:tcPr>
          <w:p w:rsidR="00C2500C" w:rsidRPr="00772D0E" w:rsidRDefault="00C2500C" w:rsidP="00C2500C">
            <w:pPr>
              <w:jc w:val="both"/>
              <w:rPr>
                <w:b/>
                <w:sz w:val="20"/>
                <w:szCs w:val="20"/>
                <w:lang w:val="fr-CA"/>
              </w:rPr>
            </w:pPr>
            <w:r w:rsidRPr="00772D0E">
              <w:rPr>
                <w:b/>
                <w:sz w:val="20"/>
                <w:szCs w:val="20"/>
                <w:lang w:val="fr-CA"/>
              </w:rPr>
              <w:t>Ordonnance relative à la présentation d’une plaidoirie orale par les intervenants</w:t>
            </w:r>
            <w:r w:rsidRPr="00772D0E">
              <w:rPr>
                <w:sz w:val="20"/>
                <w:szCs w:val="20"/>
                <w:lang w:val="fr-CA"/>
              </w:rPr>
              <w:t xml:space="preserve"> </w:t>
            </w:r>
            <w:r w:rsidR="008754B5" w:rsidRPr="00772D0E">
              <w:rPr>
                <w:sz w:val="20"/>
                <w:szCs w:val="20"/>
              </w:rPr>
              <w:fldChar w:fldCharType="begin"/>
            </w:r>
            <w:r w:rsidRPr="00772D0E">
              <w:rPr>
                <w:sz w:val="20"/>
                <w:szCs w:val="20"/>
                <w:lang w:val="fr-CA"/>
              </w:rPr>
              <w:instrText xml:space="preserve"> SEQ CHAPTER \h \r 1</w:instrText>
            </w:r>
            <w:r w:rsidR="008754B5" w:rsidRPr="00772D0E">
              <w:rPr>
                <w:sz w:val="20"/>
                <w:szCs w:val="20"/>
              </w:rPr>
              <w:fldChar w:fldCharType="end"/>
            </w:r>
          </w:p>
        </w:tc>
      </w:tr>
      <w:tr w:rsidR="00C2500C" w:rsidRPr="00772D0E" w:rsidTr="00047877">
        <w:tc>
          <w:tcPr>
            <w:tcW w:w="1368" w:type="dxa"/>
          </w:tcPr>
          <w:p w:rsidR="00C2500C" w:rsidRPr="00772D0E" w:rsidRDefault="00C2500C" w:rsidP="00047877">
            <w:pPr>
              <w:rPr>
                <w:sz w:val="20"/>
                <w:szCs w:val="20"/>
              </w:rPr>
            </w:pPr>
            <w:r w:rsidRPr="00772D0E">
              <w:rPr>
                <w:sz w:val="20"/>
                <w:szCs w:val="20"/>
              </w:rPr>
              <w:t>RE:</w:t>
            </w:r>
          </w:p>
        </w:tc>
        <w:tc>
          <w:tcPr>
            <w:tcW w:w="2970" w:type="dxa"/>
          </w:tcPr>
          <w:p w:rsidR="00C2500C" w:rsidRPr="00772D0E" w:rsidRDefault="00C2500C" w:rsidP="00047877">
            <w:pPr>
              <w:rPr>
                <w:sz w:val="20"/>
                <w:szCs w:val="20"/>
              </w:rPr>
            </w:pPr>
            <w:r w:rsidRPr="00772D0E">
              <w:rPr>
                <w:sz w:val="20"/>
                <w:szCs w:val="20"/>
              </w:rPr>
              <w:t>CMRRA/SODRAC Inc.;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Samuelson-</w:t>
            </w:r>
            <w:proofErr w:type="spellStart"/>
            <w:r w:rsidRPr="00772D0E">
              <w:rPr>
                <w:sz w:val="20"/>
                <w:szCs w:val="20"/>
              </w:rPr>
              <w:t>Glushko</w:t>
            </w:r>
            <w:proofErr w:type="spellEnd"/>
            <w:r w:rsidRPr="00772D0E">
              <w:rPr>
                <w:sz w:val="20"/>
                <w:szCs w:val="20"/>
              </w:rPr>
              <w:t xml:space="preserve"> Canadian Internet Policy and Public Interest Clinic;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Cineplex Entertainment LP;</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Apple Canada Inc. and Apple Inc.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C2500C">
        <w:trPr>
          <w:cantSplit/>
        </w:trPr>
        <w:tc>
          <w:tcPr>
            <w:tcW w:w="1368" w:type="dxa"/>
          </w:tcPr>
          <w:p w:rsidR="00C2500C" w:rsidRPr="00772D0E" w:rsidRDefault="00C2500C" w:rsidP="00047877">
            <w:pPr>
              <w:rPr>
                <w:sz w:val="20"/>
                <w:szCs w:val="20"/>
              </w:rPr>
            </w:pPr>
            <w:r w:rsidRPr="00772D0E">
              <w:rPr>
                <w:sz w:val="20"/>
                <w:szCs w:val="20"/>
              </w:rPr>
              <w:lastRenderedPageBreak/>
              <w:t>IN / DANS :</w:t>
            </w:r>
          </w:p>
        </w:tc>
        <w:tc>
          <w:tcPr>
            <w:tcW w:w="2970" w:type="dxa"/>
          </w:tcPr>
          <w:p w:rsidR="00C2500C" w:rsidRPr="00772D0E" w:rsidRDefault="00C2500C" w:rsidP="00047877">
            <w:pPr>
              <w:rPr>
                <w:sz w:val="20"/>
                <w:szCs w:val="20"/>
              </w:rPr>
            </w:pPr>
            <w:r w:rsidRPr="00772D0E">
              <w:rPr>
                <w:sz w:val="20"/>
                <w:szCs w:val="20"/>
              </w:rPr>
              <w:t xml:space="preserve">Entertainment Software Association et al. </w:t>
            </w:r>
          </w:p>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C2500C">
        <w:trPr>
          <w:cantSplit/>
        </w:trPr>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ab/>
              <w:t>v. (33921)</w:t>
            </w:r>
          </w:p>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C2500C">
        <w:trPr>
          <w:cantSplit/>
        </w:trPr>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r w:rsidRPr="00772D0E">
              <w:rPr>
                <w:sz w:val="20"/>
                <w:szCs w:val="20"/>
              </w:rPr>
              <w:t>Society of Composers, Authors and Music Publishers of Canada (F.C.)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C2500C">
        <w:trPr>
          <w:cantSplit/>
        </w:trPr>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C2500C">
        <w:trPr>
          <w:cantSplit/>
        </w:trPr>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r w:rsidRPr="00772D0E">
              <w:rPr>
                <w:sz w:val="20"/>
                <w:szCs w:val="20"/>
              </w:rPr>
              <w:t>and</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C2500C">
        <w:trPr>
          <w:cantSplit/>
        </w:trPr>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8608D5" w:rsidTr="00C2500C">
        <w:trPr>
          <w:cantSplit/>
        </w:trPr>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lang w:val="fr-CA"/>
              </w:rPr>
            </w:pPr>
            <w:r w:rsidRPr="00772D0E">
              <w:rPr>
                <w:sz w:val="20"/>
                <w:szCs w:val="20"/>
                <w:lang w:val="fr-CA"/>
              </w:rPr>
              <w:t>Rogers Communications Inc. et al.</w:t>
            </w:r>
          </w:p>
          <w:p w:rsidR="00C2500C" w:rsidRPr="00772D0E" w:rsidRDefault="00C2500C" w:rsidP="00047877">
            <w:pPr>
              <w:jc w:val="both"/>
              <w:rPr>
                <w:sz w:val="20"/>
                <w:szCs w:val="20"/>
                <w:lang w:val="fr-CA"/>
              </w:rPr>
            </w:pPr>
          </w:p>
        </w:tc>
        <w:tc>
          <w:tcPr>
            <w:tcW w:w="1170" w:type="dxa"/>
          </w:tcPr>
          <w:p w:rsidR="00C2500C" w:rsidRPr="00772D0E" w:rsidRDefault="00C2500C" w:rsidP="00047877">
            <w:pPr>
              <w:rPr>
                <w:sz w:val="20"/>
                <w:szCs w:val="20"/>
                <w:lang w:val="fr-CA"/>
              </w:rPr>
            </w:pPr>
          </w:p>
        </w:tc>
        <w:tc>
          <w:tcPr>
            <w:tcW w:w="4327" w:type="dxa"/>
          </w:tcPr>
          <w:p w:rsidR="00C2500C" w:rsidRPr="00772D0E" w:rsidRDefault="00C2500C" w:rsidP="00047877">
            <w:pPr>
              <w:rPr>
                <w:sz w:val="20"/>
                <w:szCs w:val="20"/>
                <w:lang w:val="fr-CA"/>
              </w:rPr>
            </w:pPr>
          </w:p>
        </w:tc>
      </w:tr>
      <w:tr w:rsidR="00C2500C" w:rsidRPr="00772D0E" w:rsidTr="00C2500C">
        <w:trPr>
          <w:cantSplit/>
        </w:trPr>
        <w:tc>
          <w:tcPr>
            <w:tcW w:w="1368" w:type="dxa"/>
          </w:tcPr>
          <w:p w:rsidR="00C2500C" w:rsidRPr="00772D0E" w:rsidRDefault="00C2500C" w:rsidP="00047877">
            <w:pPr>
              <w:rPr>
                <w:sz w:val="20"/>
                <w:szCs w:val="20"/>
                <w:lang w:val="fr-CA"/>
              </w:rPr>
            </w:pPr>
          </w:p>
        </w:tc>
        <w:tc>
          <w:tcPr>
            <w:tcW w:w="2970" w:type="dxa"/>
          </w:tcPr>
          <w:p w:rsidR="00C2500C" w:rsidRPr="00772D0E" w:rsidRDefault="00C2500C" w:rsidP="00047877">
            <w:pPr>
              <w:jc w:val="both"/>
              <w:rPr>
                <w:sz w:val="20"/>
                <w:szCs w:val="20"/>
              </w:rPr>
            </w:pPr>
            <w:r w:rsidRPr="00772D0E">
              <w:rPr>
                <w:sz w:val="20"/>
                <w:szCs w:val="20"/>
                <w:lang w:val="fr-CA"/>
              </w:rPr>
              <w:tab/>
            </w:r>
            <w:r w:rsidRPr="00772D0E">
              <w:rPr>
                <w:sz w:val="20"/>
                <w:szCs w:val="20"/>
              </w:rPr>
              <w:t>v. (33922)</w:t>
            </w:r>
          </w:p>
          <w:p w:rsidR="00C2500C" w:rsidRPr="00772D0E" w:rsidRDefault="00C2500C" w:rsidP="00047877">
            <w:pPr>
              <w:jc w:val="both"/>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C2500C">
        <w:trPr>
          <w:cantSplit/>
        </w:trPr>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r w:rsidRPr="00772D0E">
              <w:rPr>
                <w:sz w:val="20"/>
                <w:szCs w:val="20"/>
              </w:rPr>
              <w:t>Society of Composers, Authors and Music Publishers of Canada (F.C.)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bl>
    <w:p w:rsidR="00C2500C" w:rsidRPr="00772D0E" w:rsidRDefault="00C2500C" w:rsidP="00C2500C">
      <w:pPr>
        <w:jc w:val="both"/>
        <w:rPr>
          <w:sz w:val="20"/>
          <w:szCs w:val="20"/>
        </w:rPr>
      </w:pPr>
    </w:p>
    <w:p w:rsidR="00C2500C" w:rsidRPr="00772D0E" w:rsidRDefault="00C2500C" w:rsidP="00C2500C">
      <w:pPr>
        <w:spacing w:line="233" w:lineRule="auto"/>
        <w:jc w:val="both"/>
        <w:rPr>
          <w:sz w:val="20"/>
          <w:szCs w:val="20"/>
        </w:rPr>
      </w:pPr>
      <w:r w:rsidRPr="00772D0E">
        <w:rPr>
          <w:b/>
          <w:bCs/>
          <w:sz w:val="20"/>
          <w:szCs w:val="20"/>
        </w:rPr>
        <w:t>FURTHER TO THE ORDER</w:t>
      </w:r>
      <w:r w:rsidRPr="00772D0E">
        <w:rPr>
          <w:sz w:val="20"/>
          <w:szCs w:val="20"/>
        </w:rPr>
        <w:t xml:space="preserve"> dated September 28, 2011, granting leave to intervene to the CMRRA/SODRAC Inc., the Samuelson-</w:t>
      </w:r>
      <w:proofErr w:type="spellStart"/>
      <w:r w:rsidRPr="00772D0E">
        <w:rPr>
          <w:sz w:val="20"/>
          <w:szCs w:val="20"/>
        </w:rPr>
        <w:t>Glushko</w:t>
      </w:r>
      <w:proofErr w:type="spellEnd"/>
      <w:r w:rsidRPr="00772D0E">
        <w:rPr>
          <w:sz w:val="20"/>
          <w:szCs w:val="20"/>
        </w:rPr>
        <w:t xml:space="preserve"> Canadian Internet Policy and Public Interest Clinic and the Cineplex Entertainment LP in the appeal of </w:t>
      </w:r>
      <w:r w:rsidRPr="00772D0E">
        <w:rPr>
          <w:sz w:val="20"/>
          <w:szCs w:val="20"/>
          <w:lang w:eastAsia="fr-FR"/>
        </w:rPr>
        <w:t>Entertainment Software Association, et al.</w:t>
      </w:r>
      <w:r w:rsidRPr="00772D0E">
        <w:rPr>
          <w:i/>
          <w:sz w:val="20"/>
          <w:szCs w:val="20"/>
          <w:lang w:eastAsia="fr-FR"/>
        </w:rPr>
        <w:t xml:space="preserve"> </w:t>
      </w:r>
      <w:r w:rsidRPr="00772D0E">
        <w:rPr>
          <w:sz w:val="20"/>
          <w:szCs w:val="20"/>
        </w:rPr>
        <w:t>(33921);</w:t>
      </w:r>
    </w:p>
    <w:p w:rsidR="00C2500C" w:rsidRPr="00772D0E"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rPr>
      </w:pPr>
      <w:r w:rsidRPr="00772D0E">
        <w:rPr>
          <w:b/>
          <w:bCs/>
          <w:sz w:val="20"/>
          <w:szCs w:val="20"/>
        </w:rPr>
        <w:t>AND FURTHER TO THE ORDER</w:t>
      </w:r>
      <w:r w:rsidRPr="00772D0E">
        <w:rPr>
          <w:sz w:val="20"/>
          <w:szCs w:val="20"/>
        </w:rPr>
        <w:t xml:space="preserve"> dated September 28, 2011, granting leave to intervene to the CMRRA/SODRAC Inc., the Samuelson-</w:t>
      </w:r>
      <w:proofErr w:type="spellStart"/>
      <w:r w:rsidRPr="00772D0E">
        <w:rPr>
          <w:sz w:val="20"/>
          <w:szCs w:val="20"/>
        </w:rPr>
        <w:t>Glushko</w:t>
      </w:r>
      <w:proofErr w:type="spellEnd"/>
      <w:r w:rsidRPr="00772D0E">
        <w:rPr>
          <w:sz w:val="20"/>
          <w:szCs w:val="20"/>
        </w:rPr>
        <w:t xml:space="preserve"> Canadian Internet Policy and Public Interest Clinic, the Cineplex Entertainment LP and Apple Canada Inc. and Apple Inc. in the appeal of Rogers Communications Inc., et al. (33922);</w:t>
      </w:r>
    </w:p>
    <w:p w:rsidR="00C2500C" w:rsidRPr="00772D0E" w:rsidRDefault="00C2500C" w:rsidP="00C2500C">
      <w:pPr>
        <w:spacing w:line="233" w:lineRule="auto"/>
        <w:jc w:val="both"/>
        <w:rPr>
          <w:sz w:val="20"/>
          <w:szCs w:val="20"/>
        </w:rPr>
      </w:pPr>
    </w:p>
    <w:p w:rsidR="00C2500C" w:rsidRPr="00772D0E" w:rsidRDefault="00C2500C" w:rsidP="00C2500C">
      <w:pPr>
        <w:rPr>
          <w:sz w:val="20"/>
          <w:szCs w:val="20"/>
        </w:rPr>
      </w:pPr>
      <w:r w:rsidRPr="00772D0E">
        <w:rPr>
          <w:b/>
          <w:bCs/>
          <w:sz w:val="20"/>
          <w:szCs w:val="20"/>
        </w:rPr>
        <w:t xml:space="preserve">IT IS HEREBY FURTHER ORDERED THAT </w:t>
      </w:r>
      <w:r w:rsidR="008754B5" w:rsidRPr="00772D0E">
        <w:rPr>
          <w:sz w:val="20"/>
          <w:szCs w:val="20"/>
        </w:rPr>
        <w:fldChar w:fldCharType="begin"/>
      </w:r>
      <w:r w:rsidRPr="00772D0E">
        <w:rPr>
          <w:sz w:val="20"/>
          <w:szCs w:val="20"/>
        </w:rPr>
        <w:instrText xml:space="preserve"> SEQ CHAPTER \h \r 1</w:instrText>
      </w:r>
      <w:r w:rsidR="008754B5" w:rsidRPr="00772D0E">
        <w:rPr>
          <w:sz w:val="20"/>
          <w:szCs w:val="20"/>
        </w:rPr>
        <w:fldChar w:fldCharType="end"/>
      </w:r>
      <w:r w:rsidRPr="00772D0E">
        <w:rPr>
          <w:sz w:val="20"/>
          <w:szCs w:val="20"/>
        </w:rPr>
        <w:t>the interveners are denied permission to present oral argument at the hearing of the appeals.</w:t>
      </w:r>
    </w:p>
    <w:p w:rsidR="00C2500C" w:rsidRPr="00772D0E" w:rsidRDefault="00C2500C" w:rsidP="00C2500C">
      <w:pPr>
        <w:rPr>
          <w:sz w:val="20"/>
          <w:szCs w:val="20"/>
        </w:rPr>
      </w:pPr>
    </w:p>
    <w:p w:rsidR="00C2500C" w:rsidRPr="00772D0E" w:rsidRDefault="00C2500C" w:rsidP="00C2500C">
      <w:pPr>
        <w:rPr>
          <w:sz w:val="20"/>
          <w:szCs w:val="20"/>
        </w:rPr>
      </w:pPr>
    </w:p>
    <w:p w:rsidR="00C2500C" w:rsidRPr="00772D0E" w:rsidRDefault="00C2500C" w:rsidP="00C2500C">
      <w:pPr>
        <w:rPr>
          <w:sz w:val="20"/>
          <w:szCs w:val="20"/>
        </w:rPr>
      </w:pPr>
    </w:p>
    <w:p w:rsidR="00C2500C" w:rsidRPr="00772D0E" w:rsidRDefault="00C2500C" w:rsidP="00C2500C">
      <w:pPr>
        <w:spacing w:line="233" w:lineRule="auto"/>
        <w:jc w:val="both"/>
        <w:rPr>
          <w:sz w:val="20"/>
          <w:szCs w:val="20"/>
          <w:lang w:val="fr-FR"/>
        </w:rPr>
      </w:pPr>
      <w:r w:rsidRPr="00772D0E">
        <w:rPr>
          <w:b/>
          <w:sz w:val="20"/>
          <w:szCs w:val="20"/>
          <w:lang w:val="fr-FR"/>
        </w:rPr>
        <w:t>À LA SUITE DE L'ORDONNANCE</w:t>
      </w:r>
      <w:r w:rsidRPr="00772D0E">
        <w:rPr>
          <w:sz w:val="20"/>
          <w:szCs w:val="20"/>
          <w:lang w:val="fr-FR"/>
        </w:rPr>
        <w:t xml:space="preserve"> datée du 28 septembre 2011, accordant l'autorisation d'intervenir à CMRRA/SODRAC Inc., à la Clinique d’intérêt public et de politique d’internet du Canada Samuelson-</w:t>
      </w:r>
      <w:proofErr w:type="spellStart"/>
      <w:r w:rsidRPr="00772D0E">
        <w:rPr>
          <w:sz w:val="20"/>
          <w:szCs w:val="20"/>
          <w:lang w:val="fr-FR"/>
        </w:rPr>
        <w:t>Glushko</w:t>
      </w:r>
      <w:proofErr w:type="spellEnd"/>
      <w:r w:rsidRPr="00772D0E">
        <w:rPr>
          <w:sz w:val="20"/>
          <w:szCs w:val="20"/>
          <w:lang w:val="fr-FR"/>
        </w:rPr>
        <w:t xml:space="preserve"> ainsi qu'à </w:t>
      </w:r>
      <w:proofErr w:type="spellStart"/>
      <w:r w:rsidRPr="00772D0E">
        <w:rPr>
          <w:sz w:val="20"/>
          <w:szCs w:val="20"/>
          <w:lang w:val="fr-FR"/>
        </w:rPr>
        <w:t>Cineplex</w:t>
      </w:r>
      <w:proofErr w:type="spellEnd"/>
      <w:r w:rsidRPr="00772D0E">
        <w:rPr>
          <w:sz w:val="20"/>
          <w:szCs w:val="20"/>
          <w:lang w:val="fr-FR"/>
        </w:rPr>
        <w:t xml:space="preserve"> Entertainment LP dans le pourvoi interjeté par l’Association canadienne du logiciel de divertissement et al. (33921);</w:t>
      </w:r>
    </w:p>
    <w:p w:rsidR="00C2500C" w:rsidRPr="00772D0E" w:rsidRDefault="00C2500C" w:rsidP="00C2500C">
      <w:pPr>
        <w:spacing w:line="233" w:lineRule="auto"/>
        <w:jc w:val="both"/>
        <w:rPr>
          <w:sz w:val="20"/>
          <w:szCs w:val="20"/>
          <w:lang w:val="fr-FR"/>
        </w:rPr>
      </w:pPr>
    </w:p>
    <w:p w:rsidR="00C2500C" w:rsidRPr="00772D0E" w:rsidRDefault="00C2500C" w:rsidP="00C2500C">
      <w:pPr>
        <w:spacing w:line="233" w:lineRule="auto"/>
        <w:jc w:val="both"/>
        <w:rPr>
          <w:sz w:val="20"/>
          <w:szCs w:val="20"/>
          <w:lang w:val="fr-FR"/>
        </w:rPr>
      </w:pPr>
      <w:r w:rsidRPr="00772D0E">
        <w:rPr>
          <w:b/>
          <w:sz w:val="20"/>
          <w:szCs w:val="20"/>
          <w:lang w:val="fr-FR"/>
        </w:rPr>
        <w:t>ET À LA SUITE DE L'ORDONNANCE</w:t>
      </w:r>
      <w:r w:rsidRPr="00772D0E">
        <w:rPr>
          <w:sz w:val="20"/>
          <w:szCs w:val="20"/>
          <w:lang w:val="fr-FR"/>
        </w:rPr>
        <w:t xml:space="preserve"> datée du 28 septembre 2011, accordant l'autorisation d'intervenir à CMRRA/SODRAC Inc., à la Clinique d’intérêt public et de politique d’internet du Canada Samuelson-</w:t>
      </w:r>
      <w:proofErr w:type="spellStart"/>
      <w:r w:rsidRPr="00772D0E">
        <w:rPr>
          <w:sz w:val="20"/>
          <w:szCs w:val="20"/>
          <w:lang w:val="fr-FR"/>
        </w:rPr>
        <w:t>Glushko</w:t>
      </w:r>
      <w:proofErr w:type="spellEnd"/>
      <w:r w:rsidRPr="00772D0E">
        <w:rPr>
          <w:sz w:val="20"/>
          <w:szCs w:val="20"/>
          <w:lang w:val="fr-FR"/>
        </w:rPr>
        <w:t xml:space="preserve">, à </w:t>
      </w:r>
      <w:proofErr w:type="spellStart"/>
      <w:r w:rsidRPr="00772D0E">
        <w:rPr>
          <w:sz w:val="20"/>
          <w:szCs w:val="20"/>
          <w:lang w:val="fr-FR"/>
        </w:rPr>
        <w:t>Cineplex</w:t>
      </w:r>
      <w:proofErr w:type="spellEnd"/>
      <w:r w:rsidRPr="00772D0E">
        <w:rPr>
          <w:sz w:val="20"/>
          <w:szCs w:val="20"/>
          <w:lang w:val="fr-FR"/>
        </w:rPr>
        <w:t xml:space="preserve"> Entertainment LP ainsi qu’à Appel Canada </w:t>
      </w:r>
      <w:proofErr w:type="spellStart"/>
      <w:r w:rsidRPr="00772D0E">
        <w:rPr>
          <w:sz w:val="20"/>
          <w:szCs w:val="20"/>
          <w:lang w:val="fr-FR"/>
        </w:rPr>
        <w:t>Inc</w:t>
      </w:r>
      <w:proofErr w:type="spellEnd"/>
      <w:r w:rsidRPr="00772D0E">
        <w:rPr>
          <w:sz w:val="20"/>
          <w:szCs w:val="20"/>
          <w:lang w:val="fr-FR"/>
        </w:rPr>
        <w:t xml:space="preserve">  et Apple Inc. dans le pourvoi interjeté par Rogers Communications Inc. et al. (33922);</w:t>
      </w:r>
    </w:p>
    <w:p w:rsidR="00C2500C" w:rsidRPr="00772D0E" w:rsidRDefault="00C2500C" w:rsidP="00C2500C">
      <w:pPr>
        <w:spacing w:line="233" w:lineRule="auto"/>
        <w:jc w:val="both"/>
        <w:rPr>
          <w:sz w:val="20"/>
          <w:szCs w:val="20"/>
          <w:lang w:val="fr-FR"/>
        </w:rPr>
      </w:pPr>
    </w:p>
    <w:p w:rsidR="00C2500C" w:rsidRPr="00772D0E" w:rsidRDefault="00C2500C" w:rsidP="00C2500C">
      <w:pPr>
        <w:spacing w:line="233" w:lineRule="auto"/>
        <w:jc w:val="both"/>
        <w:rPr>
          <w:sz w:val="20"/>
          <w:szCs w:val="20"/>
          <w:lang w:val="fr-FR"/>
        </w:rPr>
      </w:pPr>
      <w:r w:rsidRPr="00772D0E">
        <w:rPr>
          <w:b/>
          <w:sz w:val="20"/>
          <w:szCs w:val="20"/>
          <w:lang w:val="fr-FR"/>
        </w:rPr>
        <w:t xml:space="preserve">IL EST EN OUTRE ORDONNÉ QUE </w:t>
      </w:r>
      <w:r w:rsidRPr="00772D0E">
        <w:rPr>
          <w:sz w:val="20"/>
          <w:szCs w:val="20"/>
          <w:lang w:val="fr-FR"/>
        </w:rPr>
        <w:t>les intervenants ne pourront pas présenter de plaidoirie orale lors de l’audition des appels.</w:t>
      </w:r>
    </w:p>
    <w:p w:rsidR="00C2500C" w:rsidRPr="00772D0E" w:rsidRDefault="00C2500C" w:rsidP="00C2500C">
      <w:pPr>
        <w:rPr>
          <w:sz w:val="20"/>
          <w:szCs w:val="20"/>
          <w:lang w:val="fr-FR"/>
        </w:rPr>
      </w:pPr>
    </w:p>
    <w:p w:rsidR="00C2500C" w:rsidRPr="00772D0E" w:rsidRDefault="008754B5" w:rsidP="00C2500C">
      <w:pPr>
        <w:rPr>
          <w:sz w:val="20"/>
          <w:szCs w:val="20"/>
        </w:rPr>
      </w:pPr>
      <w:r w:rsidRPr="008754B5">
        <w:rPr>
          <w:sz w:val="20"/>
          <w:szCs w:val="20"/>
          <w:lang w:val="fr-CA"/>
        </w:rPr>
        <w:pict>
          <v:rect id="_x0000_i1060" style="width:2in;height:1pt" o:hrpct="0" o:hralign="center" o:hrstd="t" o:hrnoshade="t" o:hr="t" fillcolor="black [3213]" stroked="f"/>
        </w:pic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rPr>
          <w:sz w:val="20"/>
          <w:szCs w:val="20"/>
          <w:lang w:val="fr-CA"/>
        </w:rPr>
      </w:pPr>
      <w:r w:rsidRPr="00772D0E">
        <w:rPr>
          <w:sz w:val="20"/>
          <w:szCs w:val="20"/>
          <w:lang w:val="fr-CA"/>
        </w:rPr>
        <w:br w:type="page"/>
      </w:r>
    </w:p>
    <w:p w:rsidR="00C2500C" w:rsidRPr="00772D0E" w:rsidRDefault="00C2500C" w:rsidP="00C2500C">
      <w:pPr>
        <w:tabs>
          <w:tab w:val="left" w:pos="-1440"/>
          <w:tab w:val="left" w:pos="-720"/>
        </w:tabs>
        <w:jc w:val="both"/>
        <w:rPr>
          <w:sz w:val="20"/>
          <w:szCs w:val="20"/>
          <w:lang w:val="fr-CA"/>
        </w:rPr>
      </w:pPr>
      <w:r w:rsidRPr="00772D0E">
        <w:rPr>
          <w:sz w:val="20"/>
          <w:szCs w:val="20"/>
          <w:lang w:val="fr-CA"/>
        </w:rPr>
        <w:lastRenderedPageBreak/>
        <w:t>22.11.2011</w: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jc w:val="both"/>
        <w:rPr>
          <w:sz w:val="20"/>
          <w:szCs w:val="20"/>
          <w:lang w:val="fr-CA"/>
        </w:rPr>
      </w:pPr>
      <w:proofErr w:type="spellStart"/>
      <w:r w:rsidRPr="00772D0E">
        <w:rPr>
          <w:sz w:val="20"/>
          <w:szCs w:val="20"/>
          <w:lang w:val="fr-CA"/>
        </w:rPr>
        <w:t>Before</w:t>
      </w:r>
      <w:proofErr w:type="spellEnd"/>
      <w:r w:rsidRPr="00772D0E">
        <w:rPr>
          <w:sz w:val="20"/>
          <w:szCs w:val="20"/>
          <w:lang w:val="fr-CA"/>
        </w:rPr>
        <w:t xml:space="preserve"> / Devant :   DESCHAMPS J. / LA JUGE DESCHAMPS</w:t>
      </w:r>
    </w:p>
    <w:p w:rsidR="00C2500C" w:rsidRPr="00772D0E" w:rsidRDefault="00C2500C" w:rsidP="00C250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2500C" w:rsidRPr="008608D5" w:rsidTr="00047877">
        <w:tc>
          <w:tcPr>
            <w:tcW w:w="4338" w:type="dxa"/>
            <w:gridSpan w:val="2"/>
          </w:tcPr>
          <w:p w:rsidR="00C2500C" w:rsidRPr="00772D0E" w:rsidRDefault="00C2500C" w:rsidP="00C2500C">
            <w:pPr>
              <w:jc w:val="both"/>
              <w:rPr>
                <w:b/>
                <w:sz w:val="20"/>
                <w:szCs w:val="20"/>
              </w:rPr>
            </w:pPr>
            <w:r w:rsidRPr="00772D0E">
              <w:rPr>
                <w:b/>
                <w:sz w:val="20"/>
                <w:szCs w:val="20"/>
              </w:rPr>
              <w:t xml:space="preserve">Order on interventions with respect to oral argument </w:t>
            </w:r>
            <w:r w:rsidR="008754B5" w:rsidRPr="00772D0E">
              <w:rPr>
                <w:b/>
                <w:sz w:val="20"/>
                <w:szCs w:val="20"/>
              </w:rPr>
              <w:fldChar w:fldCharType="begin"/>
            </w:r>
            <w:r w:rsidRPr="00772D0E">
              <w:rPr>
                <w:b/>
                <w:sz w:val="20"/>
                <w:szCs w:val="20"/>
              </w:rPr>
              <w:instrText xml:space="preserve"> SEQ CHAPTER \h \r 1</w:instrText>
            </w:r>
            <w:r w:rsidR="008754B5" w:rsidRPr="00772D0E">
              <w:rPr>
                <w:b/>
                <w:sz w:val="20"/>
                <w:szCs w:val="20"/>
              </w:rPr>
              <w:fldChar w:fldCharType="end"/>
            </w:r>
          </w:p>
        </w:tc>
        <w:tc>
          <w:tcPr>
            <w:tcW w:w="1170" w:type="dxa"/>
          </w:tcPr>
          <w:p w:rsidR="00C2500C" w:rsidRPr="00772D0E" w:rsidRDefault="00C2500C" w:rsidP="00047877">
            <w:pPr>
              <w:rPr>
                <w:sz w:val="20"/>
                <w:szCs w:val="20"/>
              </w:rPr>
            </w:pPr>
          </w:p>
          <w:p w:rsidR="00C2500C" w:rsidRPr="00772D0E" w:rsidRDefault="00C2500C" w:rsidP="00047877">
            <w:pPr>
              <w:rPr>
                <w:sz w:val="20"/>
                <w:szCs w:val="20"/>
              </w:rPr>
            </w:pPr>
          </w:p>
          <w:p w:rsidR="00C2500C" w:rsidRPr="00772D0E" w:rsidRDefault="00C2500C" w:rsidP="00047877">
            <w:pPr>
              <w:rPr>
                <w:sz w:val="20"/>
                <w:szCs w:val="20"/>
              </w:rPr>
            </w:pPr>
          </w:p>
        </w:tc>
        <w:tc>
          <w:tcPr>
            <w:tcW w:w="4327" w:type="dxa"/>
          </w:tcPr>
          <w:p w:rsidR="00C2500C" w:rsidRPr="00772D0E" w:rsidRDefault="00C2500C" w:rsidP="00C2500C">
            <w:pPr>
              <w:jc w:val="both"/>
              <w:rPr>
                <w:b/>
                <w:sz w:val="20"/>
                <w:szCs w:val="20"/>
                <w:lang w:val="fr-CA"/>
              </w:rPr>
            </w:pPr>
            <w:r w:rsidRPr="00772D0E">
              <w:rPr>
                <w:b/>
                <w:sz w:val="20"/>
                <w:szCs w:val="20"/>
                <w:lang w:val="fr-CA"/>
              </w:rPr>
              <w:t>Ordonnance relative à la présentation d’une plaidoirie orale par les intervenants</w:t>
            </w:r>
            <w:r w:rsidR="008754B5" w:rsidRPr="00772D0E">
              <w:rPr>
                <w:b/>
                <w:sz w:val="20"/>
                <w:szCs w:val="20"/>
              </w:rPr>
              <w:fldChar w:fldCharType="begin"/>
            </w:r>
            <w:r w:rsidRPr="00772D0E">
              <w:rPr>
                <w:b/>
                <w:sz w:val="20"/>
                <w:szCs w:val="20"/>
                <w:lang w:val="fr-CA"/>
              </w:rPr>
              <w:instrText xml:space="preserve"> SEQ CHAPTER \h \r 1</w:instrText>
            </w:r>
            <w:r w:rsidR="008754B5" w:rsidRPr="00772D0E">
              <w:rPr>
                <w:b/>
                <w:sz w:val="20"/>
                <w:szCs w:val="20"/>
              </w:rPr>
              <w:fldChar w:fldCharType="end"/>
            </w:r>
          </w:p>
        </w:tc>
      </w:tr>
      <w:tr w:rsidR="00C2500C" w:rsidRPr="00772D0E" w:rsidTr="00047877">
        <w:tc>
          <w:tcPr>
            <w:tcW w:w="1368" w:type="dxa"/>
          </w:tcPr>
          <w:p w:rsidR="00C2500C" w:rsidRPr="00772D0E" w:rsidRDefault="00C2500C" w:rsidP="00047877">
            <w:pPr>
              <w:rPr>
                <w:sz w:val="20"/>
                <w:szCs w:val="20"/>
              </w:rPr>
            </w:pPr>
            <w:r w:rsidRPr="00772D0E">
              <w:rPr>
                <w:sz w:val="20"/>
                <w:szCs w:val="20"/>
              </w:rPr>
              <w:t>RE:</w:t>
            </w:r>
          </w:p>
        </w:tc>
        <w:tc>
          <w:tcPr>
            <w:tcW w:w="2970" w:type="dxa"/>
          </w:tcPr>
          <w:p w:rsidR="00C2500C" w:rsidRPr="00772D0E" w:rsidRDefault="00C2500C" w:rsidP="00047877">
            <w:pPr>
              <w:rPr>
                <w:sz w:val="20"/>
                <w:szCs w:val="20"/>
              </w:rPr>
            </w:pPr>
            <w:r w:rsidRPr="00772D0E">
              <w:rPr>
                <w:sz w:val="20"/>
                <w:szCs w:val="20"/>
              </w:rPr>
              <w:t>Canadian Publishers' Council, Association of Canadian Publishers and Canadian Educational Resources Council;</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Canadian Association of University Teachers and Canadian Federation of Students;</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Association of Universities and Colleges of Canada and Association of Canadian Community Colleges;</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CMRRA-SODRAC Inc.;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Samuelson-</w:t>
            </w:r>
            <w:proofErr w:type="spellStart"/>
            <w:r w:rsidRPr="00772D0E">
              <w:rPr>
                <w:sz w:val="20"/>
                <w:szCs w:val="20"/>
              </w:rPr>
              <w:t>Glushko</w:t>
            </w:r>
            <w:proofErr w:type="spellEnd"/>
            <w:r w:rsidRPr="00772D0E">
              <w:rPr>
                <w:sz w:val="20"/>
                <w:szCs w:val="20"/>
              </w:rPr>
              <w:t xml:space="preserve"> Canadian Internet Policy and Public Interest Clinic;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Canadian Authors Association, Canadian Freelance Union, Canadian Society of Children's Authors, Illustrators and Performers, League of Canadian Poets, Literary Translators' Association of Canada, Playwrights Guild of Canada;</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Professional Writers Association of Canada and Writers Union of Canada;</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Centre for Innovation Law and Policy of the Faculty of Law University of Toronto</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r w:rsidRPr="00772D0E">
              <w:rPr>
                <w:sz w:val="20"/>
                <w:szCs w:val="20"/>
              </w:rPr>
              <w:t>IN / DANS :</w:t>
            </w:r>
          </w:p>
        </w:tc>
        <w:tc>
          <w:tcPr>
            <w:tcW w:w="2970" w:type="dxa"/>
          </w:tcPr>
          <w:p w:rsidR="00C2500C" w:rsidRPr="00772D0E" w:rsidRDefault="00C2500C" w:rsidP="00047877">
            <w:pPr>
              <w:rPr>
                <w:sz w:val="20"/>
                <w:szCs w:val="20"/>
              </w:rPr>
            </w:pPr>
            <w:r w:rsidRPr="00772D0E">
              <w:rPr>
                <w:sz w:val="20"/>
                <w:szCs w:val="20"/>
              </w:rPr>
              <w:t>Province of Alberta as represented by the Minister of Education et al.</w:t>
            </w:r>
          </w:p>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ab/>
              <w:t>v. (33888)</w:t>
            </w:r>
          </w:p>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r w:rsidRPr="00772D0E">
              <w:rPr>
                <w:sz w:val="20"/>
                <w:szCs w:val="20"/>
              </w:rPr>
              <w:t>Canadian Copyright Licensing Agency Operating as "Access Copyright" (F.C.)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bl>
    <w:p w:rsidR="00C2500C" w:rsidRPr="00772D0E"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rPr>
      </w:pPr>
      <w:r w:rsidRPr="00772D0E">
        <w:rPr>
          <w:b/>
          <w:bCs/>
          <w:sz w:val="20"/>
          <w:szCs w:val="20"/>
        </w:rPr>
        <w:t>FURTHER TO THE ORDER</w:t>
      </w:r>
      <w:r w:rsidRPr="00772D0E">
        <w:rPr>
          <w:sz w:val="20"/>
          <w:szCs w:val="20"/>
        </w:rPr>
        <w:t xml:space="preserve"> dated October 4, 2011, granting leave to intervene to the Canadian Publishers' Council, Association of Canadian Publishers and Canadian Educational Resources Council, the Canadian Association of University Teachers and Canadian Federation of Students, the Association of Universities and Colleges of Canada and Association of Canadian Community Colleges, the CMRRA-SODRAC Inc., the Samuelson-</w:t>
      </w:r>
      <w:proofErr w:type="spellStart"/>
      <w:r w:rsidRPr="00772D0E">
        <w:rPr>
          <w:sz w:val="20"/>
          <w:szCs w:val="20"/>
        </w:rPr>
        <w:t>Glushko</w:t>
      </w:r>
      <w:proofErr w:type="spellEnd"/>
      <w:r w:rsidRPr="00772D0E">
        <w:rPr>
          <w:sz w:val="20"/>
          <w:szCs w:val="20"/>
        </w:rPr>
        <w:t xml:space="preserve"> Canadian Internet Policy and Public Interest Clinic, the Canadian Authors Association, Canadian Freelance Union, Canadian Society of Children's Authors, Illustrators and Performers, League of Canadian Poets, Literary Translators' Association of Canada, Playwrights Guild of Canada, Professional Writers Association of Canada and Writers Union of Canada and the Centre for Innovation Law and Policy of the Faculty of Law University of Toronto;</w:t>
      </w:r>
    </w:p>
    <w:p w:rsidR="00C2500C" w:rsidRPr="00772D0E"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rPr>
      </w:pPr>
      <w:r w:rsidRPr="00772D0E">
        <w:rPr>
          <w:b/>
          <w:bCs/>
          <w:sz w:val="20"/>
          <w:szCs w:val="20"/>
        </w:rPr>
        <w:lastRenderedPageBreak/>
        <w:t xml:space="preserve">IT IS HEREBY FURTHER ORDERED THAT </w:t>
      </w:r>
      <w:r w:rsidR="008754B5" w:rsidRPr="00772D0E">
        <w:rPr>
          <w:sz w:val="20"/>
          <w:szCs w:val="20"/>
        </w:rPr>
        <w:fldChar w:fldCharType="begin"/>
      </w:r>
      <w:r w:rsidRPr="00772D0E">
        <w:rPr>
          <w:sz w:val="20"/>
          <w:szCs w:val="20"/>
        </w:rPr>
        <w:instrText xml:space="preserve"> SEQ CHAPTER \h \r 1</w:instrText>
      </w:r>
      <w:r w:rsidR="008754B5" w:rsidRPr="00772D0E">
        <w:rPr>
          <w:sz w:val="20"/>
          <w:szCs w:val="20"/>
        </w:rPr>
        <w:fldChar w:fldCharType="end"/>
      </w:r>
      <w:r w:rsidRPr="00772D0E">
        <w:rPr>
          <w:sz w:val="20"/>
          <w:szCs w:val="20"/>
        </w:rPr>
        <w:t>only the CMRRA-SODRAC Inc., the group of the Canadian Publishers' Council, Association of Canadian Publishers and Canadian Educational Resources Council and the group of the Association of Universities and Colleges of Canada and Association of Canadian Community Colleges are granted permission to present oral argument not exceeding ten (10) minutes at the hearing of the appeal.</w:t>
      </w:r>
    </w:p>
    <w:p w:rsidR="00C2500C" w:rsidRPr="00772D0E"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rPr>
      </w:pPr>
    </w:p>
    <w:p w:rsidR="00C2500C" w:rsidRPr="00772D0E" w:rsidRDefault="00C2500C" w:rsidP="00C2500C">
      <w:pPr>
        <w:tabs>
          <w:tab w:val="left" w:pos="-1440"/>
          <w:tab w:val="left" w:pos="-720"/>
        </w:tabs>
        <w:jc w:val="both"/>
        <w:rPr>
          <w:sz w:val="20"/>
          <w:szCs w:val="20"/>
        </w:rPr>
      </w:pPr>
    </w:p>
    <w:p w:rsidR="00C2500C" w:rsidRPr="00772D0E" w:rsidRDefault="00C2500C" w:rsidP="00C2500C">
      <w:pPr>
        <w:spacing w:line="233" w:lineRule="auto"/>
        <w:jc w:val="both"/>
        <w:rPr>
          <w:sz w:val="20"/>
          <w:szCs w:val="20"/>
          <w:lang w:val="fr-FR"/>
        </w:rPr>
      </w:pPr>
      <w:r w:rsidRPr="00772D0E">
        <w:rPr>
          <w:b/>
          <w:sz w:val="20"/>
          <w:szCs w:val="20"/>
          <w:lang w:val="fr-FR"/>
        </w:rPr>
        <w:t>À LA SUITE DE L'ORDONNANCE</w:t>
      </w:r>
      <w:r w:rsidRPr="00772D0E">
        <w:rPr>
          <w:sz w:val="20"/>
          <w:szCs w:val="20"/>
          <w:lang w:val="fr-FR"/>
        </w:rPr>
        <w:t xml:space="preserve"> datée du 4 octobre 2011, accordant l'autorisation d'intervenir au Canadian </w:t>
      </w:r>
      <w:proofErr w:type="spellStart"/>
      <w:r w:rsidRPr="00772D0E">
        <w:rPr>
          <w:sz w:val="20"/>
          <w:szCs w:val="20"/>
          <w:lang w:val="fr-FR"/>
        </w:rPr>
        <w:t>Publishers</w:t>
      </w:r>
      <w:proofErr w:type="spellEnd"/>
      <w:r w:rsidRPr="00772D0E">
        <w:rPr>
          <w:sz w:val="20"/>
          <w:szCs w:val="20"/>
          <w:lang w:val="fr-FR"/>
        </w:rPr>
        <w:t xml:space="preserve">' Council, à l’Association of Canadian </w:t>
      </w:r>
      <w:proofErr w:type="spellStart"/>
      <w:r w:rsidRPr="00772D0E">
        <w:rPr>
          <w:sz w:val="20"/>
          <w:szCs w:val="20"/>
          <w:lang w:val="fr-FR"/>
        </w:rPr>
        <w:t>Publishers</w:t>
      </w:r>
      <w:proofErr w:type="spellEnd"/>
      <w:r w:rsidRPr="00772D0E">
        <w:rPr>
          <w:sz w:val="20"/>
          <w:szCs w:val="20"/>
          <w:lang w:val="fr-FR"/>
        </w:rPr>
        <w:t xml:space="preserve"> et au Canadian </w:t>
      </w:r>
      <w:proofErr w:type="spellStart"/>
      <w:r w:rsidRPr="00772D0E">
        <w:rPr>
          <w:sz w:val="20"/>
          <w:szCs w:val="20"/>
          <w:lang w:val="fr-FR"/>
        </w:rPr>
        <w:t>Educational</w:t>
      </w:r>
      <w:proofErr w:type="spellEnd"/>
      <w:r w:rsidRPr="00772D0E">
        <w:rPr>
          <w:sz w:val="20"/>
          <w:szCs w:val="20"/>
          <w:lang w:val="fr-FR"/>
        </w:rPr>
        <w:t xml:space="preserve"> </w:t>
      </w:r>
      <w:proofErr w:type="spellStart"/>
      <w:r w:rsidRPr="00772D0E">
        <w:rPr>
          <w:sz w:val="20"/>
          <w:szCs w:val="20"/>
          <w:lang w:val="fr-FR"/>
        </w:rPr>
        <w:t>Resources</w:t>
      </w:r>
      <w:proofErr w:type="spellEnd"/>
      <w:r w:rsidRPr="00772D0E">
        <w:rPr>
          <w:sz w:val="20"/>
          <w:szCs w:val="20"/>
          <w:lang w:val="fr-FR"/>
        </w:rPr>
        <w:t xml:space="preserve"> Council, à l’</w:t>
      </w:r>
      <w:r w:rsidRPr="00772D0E">
        <w:rPr>
          <w:bCs/>
          <w:sz w:val="20"/>
          <w:szCs w:val="20"/>
          <w:lang w:val="fr-FR"/>
        </w:rPr>
        <w:t xml:space="preserve">Association canadienne des professeures et professeurs d'université et à la Fédération canadienne des étudiantes et étudiants, à l’Association des universités et collèges du Canada et à l’ Association des collèges communautaires du Canada, à la </w:t>
      </w:r>
      <w:r w:rsidRPr="00772D0E">
        <w:rPr>
          <w:sz w:val="20"/>
          <w:szCs w:val="20"/>
          <w:lang w:val="fr-FR"/>
        </w:rPr>
        <w:t>CMRRA/SODRAC Inc., à la Clinique d’intérêt public et de politique d’internet du Canada Samuelson-</w:t>
      </w:r>
      <w:proofErr w:type="spellStart"/>
      <w:r w:rsidRPr="00772D0E">
        <w:rPr>
          <w:sz w:val="20"/>
          <w:szCs w:val="20"/>
          <w:lang w:val="fr-FR"/>
        </w:rPr>
        <w:t>Glushko</w:t>
      </w:r>
      <w:proofErr w:type="spellEnd"/>
      <w:r w:rsidRPr="00772D0E">
        <w:rPr>
          <w:sz w:val="20"/>
          <w:szCs w:val="20"/>
          <w:lang w:val="fr-FR"/>
        </w:rPr>
        <w:t xml:space="preserve">, à la </w:t>
      </w:r>
      <w:r w:rsidRPr="00C2500C">
        <w:rPr>
          <w:rStyle w:val="textred1"/>
          <w:rFonts w:ascii="Times New Roman" w:hAnsi="Times New Roman" w:cs="Times New Roman"/>
          <w:b w:val="0"/>
          <w:color w:val="auto"/>
          <w:sz w:val="20"/>
          <w:szCs w:val="20"/>
          <w:lang w:val="fr-FR"/>
        </w:rPr>
        <w:t xml:space="preserve">Canadian </w:t>
      </w:r>
      <w:proofErr w:type="spellStart"/>
      <w:r w:rsidRPr="00C2500C">
        <w:rPr>
          <w:rStyle w:val="textred1"/>
          <w:rFonts w:ascii="Times New Roman" w:hAnsi="Times New Roman" w:cs="Times New Roman"/>
          <w:b w:val="0"/>
          <w:color w:val="auto"/>
          <w:sz w:val="20"/>
          <w:szCs w:val="20"/>
          <w:lang w:val="fr-FR"/>
        </w:rPr>
        <w:t>Authors</w:t>
      </w:r>
      <w:proofErr w:type="spellEnd"/>
      <w:r w:rsidRPr="00C2500C">
        <w:rPr>
          <w:rStyle w:val="textred1"/>
          <w:rFonts w:ascii="Times New Roman" w:hAnsi="Times New Roman" w:cs="Times New Roman"/>
          <w:b w:val="0"/>
          <w:color w:val="auto"/>
          <w:sz w:val="20"/>
          <w:szCs w:val="20"/>
          <w:lang w:val="fr-FR"/>
        </w:rPr>
        <w:t xml:space="preserve"> Association, à la </w:t>
      </w:r>
      <w:r w:rsidRPr="00772D0E">
        <w:rPr>
          <w:sz w:val="20"/>
          <w:szCs w:val="20"/>
          <w:lang w:val="fr-FR"/>
        </w:rPr>
        <w:t xml:space="preserve">Canadian Freelance Union, à la Société canadienne des auteurs, illustrateurs et artistes pour enfants, à la </w:t>
      </w:r>
      <w:proofErr w:type="spellStart"/>
      <w:r w:rsidRPr="00772D0E">
        <w:rPr>
          <w:bCs/>
          <w:sz w:val="20"/>
          <w:szCs w:val="20"/>
          <w:lang w:val="fr-FR"/>
        </w:rPr>
        <w:t>League</w:t>
      </w:r>
      <w:proofErr w:type="spellEnd"/>
      <w:r w:rsidRPr="00772D0E">
        <w:rPr>
          <w:bCs/>
          <w:sz w:val="20"/>
          <w:szCs w:val="20"/>
          <w:lang w:val="fr-FR"/>
        </w:rPr>
        <w:t xml:space="preserve"> of Canadian </w:t>
      </w:r>
      <w:proofErr w:type="spellStart"/>
      <w:r w:rsidRPr="00772D0E">
        <w:rPr>
          <w:bCs/>
          <w:sz w:val="20"/>
          <w:szCs w:val="20"/>
          <w:lang w:val="fr-FR"/>
        </w:rPr>
        <w:t>Poets</w:t>
      </w:r>
      <w:proofErr w:type="spellEnd"/>
      <w:r w:rsidRPr="00772D0E">
        <w:rPr>
          <w:bCs/>
          <w:sz w:val="20"/>
          <w:szCs w:val="20"/>
          <w:lang w:val="fr-FR"/>
        </w:rPr>
        <w:t>, à l’Association des traducteurs et traductrices littéraires du Canada</w:t>
      </w:r>
      <w:r w:rsidRPr="00C2500C">
        <w:rPr>
          <w:rFonts w:cs="Times New Roman"/>
          <w:b/>
          <w:bCs/>
          <w:sz w:val="20"/>
          <w:szCs w:val="20"/>
          <w:lang w:val="fr-FR"/>
        </w:rPr>
        <w:t>,</w:t>
      </w:r>
      <w:r w:rsidRPr="00C2500C">
        <w:rPr>
          <w:rStyle w:val="textred1"/>
          <w:rFonts w:ascii="Times New Roman" w:hAnsi="Times New Roman" w:cs="Times New Roman"/>
          <w:b w:val="0"/>
          <w:color w:val="auto"/>
          <w:sz w:val="20"/>
          <w:szCs w:val="20"/>
          <w:lang w:val="fr-FR"/>
        </w:rPr>
        <w:t xml:space="preserve"> à la</w:t>
      </w:r>
      <w:r>
        <w:rPr>
          <w:rStyle w:val="textred1"/>
          <w:rFonts w:ascii="Times New Roman" w:hAnsi="Times New Roman" w:cs="Times New Roman"/>
          <w:b w:val="0"/>
          <w:color w:val="auto"/>
          <w:sz w:val="20"/>
          <w:szCs w:val="20"/>
          <w:lang w:val="fr-FR"/>
        </w:rPr>
        <w:t xml:space="preserve"> </w:t>
      </w:r>
      <w:proofErr w:type="spellStart"/>
      <w:r w:rsidRPr="00772D0E">
        <w:rPr>
          <w:sz w:val="20"/>
          <w:szCs w:val="20"/>
          <w:lang w:val="fr-FR"/>
        </w:rPr>
        <w:t>Playwrights</w:t>
      </w:r>
      <w:proofErr w:type="spellEnd"/>
      <w:r w:rsidRPr="00772D0E">
        <w:rPr>
          <w:sz w:val="20"/>
          <w:szCs w:val="20"/>
          <w:lang w:val="fr-FR"/>
        </w:rPr>
        <w:t xml:space="preserve"> </w:t>
      </w:r>
      <w:proofErr w:type="spellStart"/>
      <w:r w:rsidRPr="00772D0E">
        <w:rPr>
          <w:sz w:val="20"/>
          <w:szCs w:val="20"/>
          <w:lang w:val="fr-FR"/>
        </w:rPr>
        <w:t>Guild</w:t>
      </w:r>
      <w:proofErr w:type="spellEnd"/>
      <w:r w:rsidRPr="00772D0E">
        <w:rPr>
          <w:sz w:val="20"/>
          <w:szCs w:val="20"/>
          <w:lang w:val="fr-FR"/>
        </w:rPr>
        <w:t xml:space="preserve"> of Canada, à la Professional </w:t>
      </w:r>
      <w:proofErr w:type="spellStart"/>
      <w:r w:rsidRPr="00772D0E">
        <w:rPr>
          <w:sz w:val="20"/>
          <w:szCs w:val="20"/>
          <w:lang w:val="fr-FR"/>
        </w:rPr>
        <w:t>Writers</w:t>
      </w:r>
      <w:proofErr w:type="spellEnd"/>
      <w:r w:rsidRPr="00772D0E">
        <w:rPr>
          <w:sz w:val="20"/>
          <w:szCs w:val="20"/>
          <w:lang w:val="fr-FR"/>
        </w:rPr>
        <w:t xml:space="preserve"> Association of Canada et à la </w:t>
      </w:r>
      <w:proofErr w:type="spellStart"/>
      <w:r w:rsidRPr="00772D0E">
        <w:rPr>
          <w:bCs/>
          <w:sz w:val="20"/>
          <w:szCs w:val="20"/>
          <w:lang w:val="fr-FR"/>
        </w:rPr>
        <w:t>Writers</w:t>
      </w:r>
      <w:proofErr w:type="spellEnd"/>
      <w:r w:rsidRPr="00772D0E">
        <w:rPr>
          <w:bCs/>
          <w:sz w:val="20"/>
          <w:szCs w:val="20"/>
          <w:lang w:val="fr-FR"/>
        </w:rPr>
        <w:t xml:space="preserve">' Union of Canada ainsi qu’au </w:t>
      </w:r>
      <w:r w:rsidRPr="00772D0E">
        <w:rPr>
          <w:sz w:val="20"/>
          <w:szCs w:val="20"/>
          <w:lang w:val="fr-FR"/>
        </w:rPr>
        <w:t>Centre for Innovation Law and Policy de la faculté de droit de l’Université de Toronto;</w:t>
      </w:r>
      <w:r w:rsidRPr="00772D0E">
        <w:rPr>
          <w:rStyle w:val="textred1"/>
          <w:sz w:val="20"/>
          <w:szCs w:val="20"/>
          <w:lang w:val="fr-FR"/>
        </w:rPr>
        <w:t xml:space="preserve">  </w:t>
      </w:r>
      <w:r w:rsidRPr="00772D0E">
        <w:rPr>
          <w:sz w:val="20"/>
          <w:szCs w:val="20"/>
          <w:lang w:val="fr-FR"/>
        </w:rPr>
        <w:t xml:space="preserve"> </w:t>
      </w:r>
    </w:p>
    <w:p w:rsidR="00C2500C" w:rsidRPr="00772D0E" w:rsidRDefault="00C2500C" w:rsidP="00C2500C">
      <w:pPr>
        <w:spacing w:line="233" w:lineRule="auto"/>
        <w:jc w:val="both"/>
        <w:rPr>
          <w:sz w:val="20"/>
          <w:szCs w:val="20"/>
          <w:lang w:val="fr-FR"/>
        </w:rPr>
      </w:pPr>
    </w:p>
    <w:p w:rsidR="00C2500C" w:rsidRPr="00772D0E" w:rsidRDefault="00C2500C" w:rsidP="00C2500C">
      <w:pPr>
        <w:spacing w:line="233" w:lineRule="auto"/>
        <w:jc w:val="both"/>
        <w:rPr>
          <w:sz w:val="20"/>
          <w:szCs w:val="20"/>
          <w:lang w:val="fr-FR"/>
        </w:rPr>
      </w:pPr>
      <w:r w:rsidRPr="00772D0E">
        <w:rPr>
          <w:b/>
          <w:sz w:val="20"/>
          <w:szCs w:val="20"/>
          <w:lang w:val="fr-FR"/>
        </w:rPr>
        <w:t xml:space="preserve">IL EST EN OUTRE ORDONNÉ QUE </w:t>
      </w:r>
      <w:r w:rsidRPr="00772D0E">
        <w:rPr>
          <w:sz w:val="20"/>
          <w:szCs w:val="20"/>
          <w:lang w:val="fr-FR"/>
        </w:rPr>
        <w:t xml:space="preserve">seuls la CMRRA/SODRAC Inc., le groupe constitué du Canadian </w:t>
      </w:r>
      <w:proofErr w:type="spellStart"/>
      <w:r w:rsidRPr="00772D0E">
        <w:rPr>
          <w:sz w:val="20"/>
          <w:szCs w:val="20"/>
          <w:lang w:val="fr-FR"/>
        </w:rPr>
        <w:t>Publishers</w:t>
      </w:r>
      <w:proofErr w:type="spellEnd"/>
      <w:r w:rsidRPr="00772D0E">
        <w:rPr>
          <w:sz w:val="20"/>
          <w:szCs w:val="20"/>
          <w:lang w:val="fr-FR"/>
        </w:rPr>
        <w:t xml:space="preserve">' Council, de l’Association of Canadian </w:t>
      </w:r>
      <w:proofErr w:type="spellStart"/>
      <w:r w:rsidRPr="00772D0E">
        <w:rPr>
          <w:sz w:val="20"/>
          <w:szCs w:val="20"/>
          <w:lang w:val="fr-FR"/>
        </w:rPr>
        <w:t>Publishers</w:t>
      </w:r>
      <w:proofErr w:type="spellEnd"/>
      <w:r w:rsidRPr="00772D0E">
        <w:rPr>
          <w:sz w:val="20"/>
          <w:szCs w:val="20"/>
          <w:lang w:val="fr-FR"/>
        </w:rPr>
        <w:t xml:space="preserve"> et du Canadian </w:t>
      </w:r>
      <w:proofErr w:type="spellStart"/>
      <w:r w:rsidRPr="00772D0E">
        <w:rPr>
          <w:sz w:val="20"/>
          <w:szCs w:val="20"/>
          <w:lang w:val="fr-FR"/>
        </w:rPr>
        <w:t>Educational</w:t>
      </w:r>
      <w:proofErr w:type="spellEnd"/>
      <w:r w:rsidRPr="00772D0E">
        <w:rPr>
          <w:sz w:val="20"/>
          <w:szCs w:val="20"/>
          <w:lang w:val="fr-FR"/>
        </w:rPr>
        <w:t xml:space="preserve"> </w:t>
      </w:r>
      <w:proofErr w:type="spellStart"/>
      <w:r w:rsidRPr="00772D0E">
        <w:rPr>
          <w:sz w:val="20"/>
          <w:szCs w:val="20"/>
          <w:lang w:val="fr-FR"/>
        </w:rPr>
        <w:t>Resources</w:t>
      </w:r>
      <w:proofErr w:type="spellEnd"/>
      <w:r w:rsidRPr="00772D0E">
        <w:rPr>
          <w:sz w:val="20"/>
          <w:szCs w:val="20"/>
          <w:lang w:val="fr-FR"/>
        </w:rPr>
        <w:t xml:space="preserve"> Council et le groupe constitué de </w:t>
      </w:r>
      <w:r w:rsidRPr="00772D0E">
        <w:rPr>
          <w:bCs/>
          <w:sz w:val="20"/>
          <w:szCs w:val="20"/>
          <w:lang w:val="fr-FR"/>
        </w:rPr>
        <w:t xml:space="preserve">l’Association des universités et collèges du Canada et de l’ Association des collèges communautaires du Canada </w:t>
      </w:r>
      <w:r w:rsidRPr="00772D0E">
        <w:rPr>
          <w:sz w:val="20"/>
          <w:szCs w:val="20"/>
          <w:lang w:val="fr-FR"/>
        </w:rPr>
        <w:t>pourront présenter une plaidoirie orale d'au plus dix (10) minutes lors de l'audition de l'appel.</w:t>
      </w:r>
    </w:p>
    <w:p w:rsidR="00C2500C" w:rsidRPr="00772D0E" w:rsidRDefault="00C2500C" w:rsidP="00C2500C">
      <w:pPr>
        <w:tabs>
          <w:tab w:val="left" w:pos="-1440"/>
          <w:tab w:val="left" w:pos="-720"/>
        </w:tabs>
        <w:jc w:val="both"/>
        <w:rPr>
          <w:sz w:val="20"/>
          <w:szCs w:val="20"/>
          <w:lang w:val="fr-FR"/>
        </w:rPr>
      </w:pPr>
    </w:p>
    <w:p w:rsidR="00C2500C" w:rsidRPr="00772D0E" w:rsidRDefault="008754B5" w:rsidP="00C2500C">
      <w:pPr>
        <w:tabs>
          <w:tab w:val="left" w:pos="-1440"/>
          <w:tab w:val="left" w:pos="-720"/>
        </w:tabs>
        <w:jc w:val="both"/>
        <w:rPr>
          <w:sz w:val="20"/>
          <w:szCs w:val="20"/>
          <w:lang w:val="fr-CA"/>
        </w:rPr>
      </w:pPr>
      <w:r w:rsidRPr="008754B5">
        <w:rPr>
          <w:sz w:val="20"/>
          <w:szCs w:val="20"/>
          <w:lang w:val="fr-CA"/>
        </w:rPr>
        <w:pict>
          <v:rect id="_x0000_i1061" style="width:2in;height:1pt" o:hrpct="0" o:hralign="center" o:hrstd="t" o:hrnoshade="t" o:hr="t" fillcolor="black [3213]" stroked="f"/>
        </w:pict>
      </w:r>
    </w:p>
    <w:p w:rsidR="00C2500C" w:rsidRPr="00772D0E" w:rsidRDefault="00C2500C" w:rsidP="00C2500C">
      <w:pPr>
        <w:rPr>
          <w:sz w:val="20"/>
          <w:szCs w:val="20"/>
        </w:rPr>
      </w:pPr>
    </w:p>
    <w:p w:rsidR="00C2500C" w:rsidRPr="00772D0E" w:rsidRDefault="00C2500C" w:rsidP="00C2500C">
      <w:pPr>
        <w:tabs>
          <w:tab w:val="left" w:pos="-1440"/>
          <w:tab w:val="left" w:pos="-720"/>
        </w:tabs>
        <w:jc w:val="both"/>
        <w:rPr>
          <w:sz w:val="20"/>
          <w:szCs w:val="20"/>
          <w:lang w:val="fr-CA"/>
        </w:rPr>
      </w:pPr>
      <w:r w:rsidRPr="00772D0E">
        <w:rPr>
          <w:sz w:val="20"/>
          <w:szCs w:val="20"/>
          <w:lang w:val="fr-CA"/>
        </w:rPr>
        <w:t>22.11.2011</w: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jc w:val="both"/>
        <w:rPr>
          <w:sz w:val="20"/>
          <w:szCs w:val="20"/>
          <w:lang w:val="fr-CA"/>
        </w:rPr>
      </w:pPr>
      <w:proofErr w:type="spellStart"/>
      <w:r w:rsidRPr="00772D0E">
        <w:rPr>
          <w:sz w:val="20"/>
          <w:szCs w:val="20"/>
          <w:lang w:val="fr-CA"/>
        </w:rPr>
        <w:t>Before</w:t>
      </w:r>
      <w:proofErr w:type="spellEnd"/>
      <w:r w:rsidRPr="00772D0E">
        <w:rPr>
          <w:sz w:val="20"/>
          <w:szCs w:val="20"/>
          <w:lang w:val="fr-CA"/>
        </w:rPr>
        <w:t xml:space="preserve"> / Devant :   DESCHAMPS J. / LA JUGE DESCHAMPS</w:t>
      </w:r>
    </w:p>
    <w:p w:rsidR="00C2500C" w:rsidRPr="00772D0E" w:rsidRDefault="00C2500C" w:rsidP="00C250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2500C" w:rsidRPr="008608D5" w:rsidTr="00047877">
        <w:tc>
          <w:tcPr>
            <w:tcW w:w="4338" w:type="dxa"/>
            <w:gridSpan w:val="2"/>
          </w:tcPr>
          <w:p w:rsidR="00C2500C" w:rsidRPr="00772D0E" w:rsidRDefault="00C2500C" w:rsidP="00047877">
            <w:pPr>
              <w:rPr>
                <w:b/>
                <w:sz w:val="20"/>
                <w:szCs w:val="20"/>
              </w:rPr>
            </w:pPr>
            <w:r w:rsidRPr="00772D0E">
              <w:rPr>
                <w:b/>
                <w:sz w:val="20"/>
                <w:szCs w:val="20"/>
              </w:rPr>
              <w:t xml:space="preserve">Order on interventions with respect to oral argument </w:t>
            </w:r>
            <w:r w:rsidR="008754B5" w:rsidRPr="00772D0E">
              <w:rPr>
                <w:b/>
                <w:sz w:val="20"/>
                <w:szCs w:val="20"/>
              </w:rPr>
              <w:fldChar w:fldCharType="begin"/>
            </w:r>
            <w:r w:rsidRPr="00772D0E">
              <w:rPr>
                <w:b/>
                <w:sz w:val="20"/>
                <w:szCs w:val="20"/>
              </w:rPr>
              <w:instrText xml:space="preserve"> SEQ CHAPTER \h \r 1</w:instrText>
            </w:r>
            <w:r w:rsidR="008754B5" w:rsidRPr="00772D0E">
              <w:rPr>
                <w:b/>
                <w:sz w:val="20"/>
                <w:szCs w:val="20"/>
              </w:rPr>
              <w:fldChar w:fldCharType="end"/>
            </w:r>
          </w:p>
        </w:tc>
        <w:tc>
          <w:tcPr>
            <w:tcW w:w="1170" w:type="dxa"/>
          </w:tcPr>
          <w:p w:rsidR="00C2500C" w:rsidRPr="00772D0E" w:rsidRDefault="00C2500C" w:rsidP="00047877">
            <w:pPr>
              <w:rPr>
                <w:sz w:val="20"/>
                <w:szCs w:val="20"/>
              </w:rPr>
            </w:pPr>
          </w:p>
          <w:p w:rsidR="00C2500C" w:rsidRPr="00772D0E" w:rsidRDefault="00C2500C" w:rsidP="00047877">
            <w:pPr>
              <w:rPr>
                <w:sz w:val="20"/>
                <w:szCs w:val="20"/>
              </w:rPr>
            </w:pPr>
          </w:p>
          <w:p w:rsidR="00C2500C" w:rsidRPr="00772D0E" w:rsidRDefault="00C2500C" w:rsidP="00047877">
            <w:pPr>
              <w:rPr>
                <w:sz w:val="20"/>
                <w:szCs w:val="20"/>
              </w:rPr>
            </w:pPr>
          </w:p>
        </w:tc>
        <w:tc>
          <w:tcPr>
            <w:tcW w:w="4327" w:type="dxa"/>
          </w:tcPr>
          <w:p w:rsidR="00C2500C" w:rsidRPr="00772D0E" w:rsidRDefault="00C2500C" w:rsidP="00047877">
            <w:pPr>
              <w:rPr>
                <w:b/>
                <w:sz w:val="20"/>
                <w:szCs w:val="20"/>
                <w:lang w:val="fr-CA"/>
              </w:rPr>
            </w:pPr>
            <w:r w:rsidRPr="00772D0E">
              <w:rPr>
                <w:b/>
                <w:sz w:val="20"/>
                <w:szCs w:val="20"/>
                <w:lang w:val="fr-CA"/>
              </w:rPr>
              <w:t>Ordonnance relative à la présentation d’une plaidoirie orale par les intervenants</w:t>
            </w:r>
            <w:r w:rsidR="008754B5" w:rsidRPr="00772D0E">
              <w:rPr>
                <w:b/>
                <w:sz w:val="20"/>
                <w:szCs w:val="20"/>
              </w:rPr>
              <w:fldChar w:fldCharType="begin"/>
            </w:r>
            <w:r w:rsidRPr="00772D0E">
              <w:rPr>
                <w:b/>
                <w:sz w:val="20"/>
                <w:szCs w:val="20"/>
                <w:lang w:val="fr-CA"/>
              </w:rPr>
              <w:instrText xml:space="preserve"> SEQ CHAPTER \h \r 1</w:instrText>
            </w:r>
            <w:r w:rsidR="008754B5" w:rsidRPr="00772D0E">
              <w:rPr>
                <w:b/>
                <w:sz w:val="20"/>
                <w:szCs w:val="20"/>
              </w:rPr>
              <w:fldChar w:fldCharType="end"/>
            </w:r>
          </w:p>
        </w:tc>
      </w:tr>
      <w:tr w:rsidR="00C2500C" w:rsidRPr="00772D0E" w:rsidTr="00047877">
        <w:tc>
          <w:tcPr>
            <w:tcW w:w="1368" w:type="dxa"/>
          </w:tcPr>
          <w:p w:rsidR="00C2500C" w:rsidRPr="00772D0E" w:rsidRDefault="00C2500C" w:rsidP="00047877">
            <w:pPr>
              <w:rPr>
                <w:sz w:val="20"/>
                <w:szCs w:val="20"/>
              </w:rPr>
            </w:pPr>
            <w:r w:rsidRPr="00772D0E">
              <w:rPr>
                <w:sz w:val="20"/>
                <w:szCs w:val="20"/>
              </w:rPr>
              <w:t>RE:</w:t>
            </w:r>
          </w:p>
        </w:tc>
        <w:tc>
          <w:tcPr>
            <w:tcW w:w="2970" w:type="dxa"/>
          </w:tcPr>
          <w:p w:rsidR="00C2500C" w:rsidRPr="00772D0E" w:rsidRDefault="00C2500C" w:rsidP="00047877">
            <w:pPr>
              <w:rPr>
                <w:sz w:val="20"/>
                <w:szCs w:val="20"/>
              </w:rPr>
            </w:pPr>
            <w:r w:rsidRPr="00772D0E">
              <w:rPr>
                <w:sz w:val="20"/>
                <w:szCs w:val="20"/>
              </w:rPr>
              <w:t>Ontario Human Rights Commission;</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 xml:space="preserve">Barbra </w:t>
            </w:r>
            <w:proofErr w:type="spellStart"/>
            <w:r w:rsidRPr="00772D0E">
              <w:rPr>
                <w:sz w:val="20"/>
                <w:szCs w:val="20"/>
              </w:rPr>
              <w:t>Schlifer</w:t>
            </w:r>
            <w:proofErr w:type="spellEnd"/>
            <w:r w:rsidRPr="00772D0E">
              <w:rPr>
                <w:sz w:val="20"/>
                <w:szCs w:val="20"/>
              </w:rPr>
              <w:t xml:space="preserve"> Commemorative Clinic;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Criminal Lawyers' Association (Ontario);</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Muslim Canadian Congress;</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South Asian Legal Clinic of Ontario;</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proofErr w:type="spellStart"/>
            <w:r w:rsidRPr="00772D0E">
              <w:rPr>
                <w:sz w:val="20"/>
                <w:szCs w:val="20"/>
              </w:rPr>
              <w:t>Barreau</w:t>
            </w:r>
            <w:proofErr w:type="spellEnd"/>
            <w:r w:rsidRPr="00772D0E">
              <w:rPr>
                <w:sz w:val="20"/>
                <w:szCs w:val="20"/>
              </w:rPr>
              <w:t xml:space="preserve"> du Québec;</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Canadian Civil Liberties Association;</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Women's Legal Education and Action Fund;</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lang w:eastAsia="fr-FR"/>
              </w:rPr>
              <w:t>Canadian Council on American-Islamic Relations</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lang w:eastAsia="fr-FR"/>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r w:rsidRPr="00772D0E">
              <w:rPr>
                <w:sz w:val="20"/>
                <w:szCs w:val="20"/>
              </w:rPr>
              <w:t>IN / DANS :</w:t>
            </w:r>
          </w:p>
        </w:tc>
        <w:tc>
          <w:tcPr>
            <w:tcW w:w="2970" w:type="dxa"/>
          </w:tcPr>
          <w:p w:rsidR="00C2500C" w:rsidRPr="00772D0E" w:rsidRDefault="00C2500C" w:rsidP="00047877">
            <w:pPr>
              <w:tabs>
                <w:tab w:val="left" w:pos="-1440"/>
                <w:tab w:val="left" w:pos="-720"/>
              </w:tabs>
              <w:jc w:val="both"/>
              <w:rPr>
                <w:sz w:val="20"/>
                <w:szCs w:val="20"/>
              </w:rPr>
            </w:pPr>
            <w:r w:rsidRPr="00772D0E">
              <w:rPr>
                <w:sz w:val="20"/>
                <w:szCs w:val="20"/>
              </w:rPr>
              <w:t>N.S.</w:t>
            </w:r>
          </w:p>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ab/>
              <w:t>v. (33989)</w:t>
            </w:r>
          </w:p>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r w:rsidRPr="00772D0E">
              <w:rPr>
                <w:sz w:val="20"/>
                <w:szCs w:val="20"/>
              </w:rPr>
              <w:t xml:space="preserve">Her Majesty the Queen et al. </w:t>
            </w:r>
          </w:p>
          <w:p w:rsidR="00C2500C" w:rsidRPr="00772D0E" w:rsidRDefault="00C2500C" w:rsidP="00047877">
            <w:pPr>
              <w:jc w:val="both"/>
              <w:rPr>
                <w:sz w:val="20"/>
                <w:szCs w:val="20"/>
              </w:rPr>
            </w:pPr>
            <w:r w:rsidRPr="00772D0E">
              <w:rPr>
                <w:sz w:val="20"/>
                <w:szCs w:val="20"/>
              </w:rPr>
              <w:t>(Crim.) (Ont.)</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bl>
    <w:p w:rsidR="00C2500C" w:rsidRPr="00772D0E" w:rsidRDefault="00C2500C" w:rsidP="00C2500C">
      <w:pPr>
        <w:spacing w:line="233" w:lineRule="auto"/>
        <w:jc w:val="both"/>
        <w:rPr>
          <w:sz w:val="20"/>
          <w:szCs w:val="20"/>
        </w:rPr>
      </w:pPr>
    </w:p>
    <w:p w:rsidR="00C2500C" w:rsidRPr="00772D0E" w:rsidRDefault="008754B5" w:rsidP="00C2500C">
      <w:pPr>
        <w:jc w:val="both"/>
        <w:rPr>
          <w:sz w:val="20"/>
          <w:szCs w:val="20"/>
        </w:rPr>
      </w:pPr>
      <w:r w:rsidRPr="00772D0E">
        <w:rPr>
          <w:sz w:val="20"/>
          <w:szCs w:val="20"/>
        </w:rPr>
        <w:lastRenderedPageBreak/>
        <w:fldChar w:fldCharType="begin"/>
      </w:r>
      <w:r w:rsidR="00C2500C" w:rsidRPr="00772D0E">
        <w:rPr>
          <w:sz w:val="20"/>
          <w:szCs w:val="20"/>
        </w:rPr>
        <w:instrText xml:space="preserve"> SEQ CHAPTER \h \r 1</w:instrText>
      </w:r>
      <w:r w:rsidRPr="00772D0E">
        <w:rPr>
          <w:sz w:val="20"/>
          <w:szCs w:val="20"/>
        </w:rPr>
        <w:fldChar w:fldCharType="end"/>
      </w:r>
      <w:r w:rsidR="00C2500C" w:rsidRPr="00772D0E">
        <w:rPr>
          <w:b/>
          <w:bCs/>
          <w:sz w:val="20"/>
          <w:szCs w:val="20"/>
        </w:rPr>
        <w:t>FURTHER TO THE ORDER</w:t>
      </w:r>
      <w:r w:rsidR="00C2500C" w:rsidRPr="00772D0E">
        <w:rPr>
          <w:sz w:val="20"/>
          <w:szCs w:val="20"/>
        </w:rPr>
        <w:t xml:space="preserve"> dated September 30, 2011, granting leave to intervene to the Ontario Human Rights Commission, the Barbra </w:t>
      </w:r>
      <w:proofErr w:type="spellStart"/>
      <w:r w:rsidR="00C2500C" w:rsidRPr="00772D0E">
        <w:rPr>
          <w:sz w:val="20"/>
          <w:szCs w:val="20"/>
        </w:rPr>
        <w:t>Schlifer</w:t>
      </w:r>
      <w:proofErr w:type="spellEnd"/>
      <w:r w:rsidR="00C2500C" w:rsidRPr="00772D0E">
        <w:rPr>
          <w:sz w:val="20"/>
          <w:szCs w:val="20"/>
        </w:rPr>
        <w:t xml:space="preserve"> Commemorative Clinic, the Criminal Lawyers' Association (Ontario), the Muslim Canadian Congress, the South Asian Legal Clinic of Ontario, the </w:t>
      </w:r>
      <w:proofErr w:type="spellStart"/>
      <w:r w:rsidR="00C2500C" w:rsidRPr="00772D0E">
        <w:rPr>
          <w:sz w:val="20"/>
          <w:szCs w:val="20"/>
        </w:rPr>
        <w:t>Barreau</w:t>
      </w:r>
      <w:proofErr w:type="spellEnd"/>
      <w:r w:rsidR="00C2500C" w:rsidRPr="00772D0E">
        <w:rPr>
          <w:sz w:val="20"/>
          <w:szCs w:val="20"/>
        </w:rPr>
        <w:t xml:space="preserve"> du Québec, the Canadian Civil Liberties Association, the Women's Legal Education and Action Fund and </w:t>
      </w:r>
      <w:r w:rsidR="00C2500C" w:rsidRPr="00772D0E">
        <w:rPr>
          <w:sz w:val="20"/>
          <w:szCs w:val="20"/>
          <w:lang w:eastAsia="fr-FR"/>
        </w:rPr>
        <w:t>the Canadian Council on American-Islamic Relations</w:t>
      </w:r>
      <w:r w:rsidR="00C2500C" w:rsidRPr="00772D0E">
        <w:rPr>
          <w:sz w:val="20"/>
          <w:szCs w:val="20"/>
        </w:rPr>
        <w:t>;</w:t>
      </w:r>
    </w:p>
    <w:p w:rsidR="00C2500C" w:rsidRPr="00772D0E" w:rsidRDefault="00C2500C" w:rsidP="00C2500C">
      <w:pPr>
        <w:jc w:val="both"/>
        <w:rPr>
          <w:sz w:val="20"/>
          <w:szCs w:val="20"/>
        </w:rPr>
      </w:pPr>
    </w:p>
    <w:p w:rsidR="00C2500C" w:rsidRPr="00772D0E" w:rsidRDefault="00C2500C" w:rsidP="00C2500C">
      <w:pPr>
        <w:spacing w:line="233" w:lineRule="auto"/>
        <w:jc w:val="both"/>
        <w:rPr>
          <w:sz w:val="20"/>
          <w:szCs w:val="20"/>
        </w:rPr>
      </w:pPr>
      <w:r w:rsidRPr="00772D0E">
        <w:rPr>
          <w:b/>
          <w:bCs/>
          <w:sz w:val="20"/>
          <w:szCs w:val="20"/>
        </w:rPr>
        <w:t xml:space="preserve">IT IS HEREBY FURTHER ORDERED THAT </w:t>
      </w:r>
      <w:r w:rsidRPr="00772D0E">
        <w:rPr>
          <w:bCs/>
          <w:sz w:val="20"/>
          <w:szCs w:val="20"/>
        </w:rPr>
        <w:t>only</w:t>
      </w:r>
      <w:r w:rsidRPr="00772D0E">
        <w:rPr>
          <w:b/>
          <w:bCs/>
          <w:sz w:val="20"/>
          <w:szCs w:val="20"/>
        </w:rPr>
        <w:t xml:space="preserve"> </w:t>
      </w:r>
      <w:r w:rsidRPr="00772D0E">
        <w:rPr>
          <w:sz w:val="20"/>
          <w:szCs w:val="20"/>
        </w:rPr>
        <w:t xml:space="preserve">the interveners Criminal Lawyers' Association (Ontario), the Barbra </w:t>
      </w:r>
      <w:proofErr w:type="spellStart"/>
      <w:r w:rsidRPr="00772D0E">
        <w:rPr>
          <w:sz w:val="20"/>
          <w:szCs w:val="20"/>
        </w:rPr>
        <w:t>Schlifer</w:t>
      </w:r>
      <w:proofErr w:type="spellEnd"/>
      <w:r w:rsidRPr="00772D0E">
        <w:rPr>
          <w:sz w:val="20"/>
          <w:szCs w:val="20"/>
        </w:rPr>
        <w:t xml:space="preserve"> Commemorative Clinic and the Muslim Canadian Congress are granted permission to present oral argument not exceeding ten (10) minutes at the hearing of this appeal.</w:t>
      </w:r>
    </w:p>
    <w:p w:rsidR="00C2500C" w:rsidRPr="00772D0E" w:rsidRDefault="00C2500C" w:rsidP="00C2500C">
      <w:pPr>
        <w:spacing w:line="233" w:lineRule="auto"/>
        <w:jc w:val="both"/>
        <w:rPr>
          <w:sz w:val="20"/>
          <w:szCs w:val="20"/>
        </w:rPr>
      </w:pPr>
    </w:p>
    <w:p w:rsidR="00C2500C" w:rsidRDefault="00C2500C" w:rsidP="00C2500C">
      <w:pPr>
        <w:spacing w:line="225" w:lineRule="auto"/>
        <w:jc w:val="both"/>
        <w:rPr>
          <w:sz w:val="20"/>
          <w:szCs w:val="20"/>
        </w:rPr>
      </w:pPr>
    </w:p>
    <w:p w:rsidR="00C2500C" w:rsidRPr="00772D0E" w:rsidRDefault="00C2500C" w:rsidP="00C2500C">
      <w:pPr>
        <w:spacing w:line="225" w:lineRule="auto"/>
        <w:jc w:val="both"/>
        <w:rPr>
          <w:sz w:val="20"/>
          <w:szCs w:val="20"/>
        </w:rPr>
      </w:pPr>
    </w:p>
    <w:p w:rsidR="00C2500C" w:rsidRPr="00772D0E" w:rsidRDefault="008754B5" w:rsidP="00C2500C">
      <w:pPr>
        <w:spacing w:line="225" w:lineRule="auto"/>
        <w:jc w:val="both"/>
        <w:rPr>
          <w:sz w:val="20"/>
          <w:szCs w:val="20"/>
          <w:lang w:val="fr-CA"/>
        </w:rPr>
      </w:pPr>
      <w:r w:rsidRPr="00772D0E">
        <w:rPr>
          <w:sz w:val="20"/>
          <w:szCs w:val="20"/>
        </w:rPr>
        <w:fldChar w:fldCharType="begin"/>
      </w:r>
      <w:r w:rsidR="00C2500C" w:rsidRPr="00772D0E">
        <w:rPr>
          <w:sz w:val="20"/>
          <w:szCs w:val="20"/>
          <w:lang w:val="fr-FR"/>
        </w:rPr>
        <w:instrText xml:space="preserve"> SEQ CHAPTER \h \r 1</w:instrText>
      </w:r>
      <w:r w:rsidRPr="00772D0E">
        <w:rPr>
          <w:sz w:val="20"/>
          <w:szCs w:val="20"/>
        </w:rPr>
        <w:fldChar w:fldCharType="end"/>
      </w:r>
      <w:r w:rsidR="00C2500C" w:rsidRPr="00772D0E">
        <w:rPr>
          <w:b/>
          <w:bCs/>
          <w:sz w:val="20"/>
          <w:szCs w:val="20"/>
          <w:lang w:val="fr-CA"/>
        </w:rPr>
        <w:t>À LA SUITE DE L’ORDONNANCE</w:t>
      </w:r>
      <w:r w:rsidR="00C2500C" w:rsidRPr="00772D0E">
        <w:rPr>
          <w:sz w:val="20"/>
          <w:szCs w:val="20"/>
          <w:lang w:val="fr-CA"/>
        </w:rPr>
        <w:t xml:space="preserve"> datée</w:t>
      </w:r>
      <w:r w:rsidR="00C2500C" w:rsidRPr="00772D0E">
        <w:rPr>
          <w:sz w:val="20"/>
          <w:szCs w:val="20"/>
          <w:vertAlign w:val="superscript"/>
          <w:lang w:val="fr-CA"/>
        </w:rPr>
        <w:t xml:space="preserve"> </w:t>
      </w:r>
      <w:r w:rsidR="00C2500C" w:rsidRPr="00772D0E">
        <w:rPr>
          <w:sz w:val="20"/>
          <w:szCs w:val="20"/>
          <w:lang w:val="fr-CA"/>
        </w:rPr>
        <w:t xml:space="preserve">30 septembre 2011 autorisant la Commission ontarienne des droits de la personne, la Barbra </w:t>
      </w:r>
      <w:proofErr w:type="spellStart"/>
      <w:r w:rsidR="00C2500C" w:rsidRPr="00772D0E">
        <w:rPr>
          <w:sz w:val="20"/>
          <w:szCs w:val="20"/>
          <w:lang w:val="fr-CA"/>
        </w:rPr>
        <w:t>Schlifer</w:t>
      </w:r>
      <w:proofErr w:type="spellEnd"/>
      <w:r w:rsidR="00C2500C" w:rsidRPr="00772D0E">
        <w:rPr>
          <w:sz w:val="20"/>
          <w:szCs w:val="20"/>
          <w:lang w:val="fr-CA"/>
        </w:rPr>
        <w:t xml:space="preserve"> </w:t>
      </w:r>
      <w:proofErr w:type="spellStart"/>
      <w:r w:rsidR="00C2500C" w:rsidRPr="00772D0E">
        <w:rPr>
          <w:sz w:val="20"/>
          <w:szCs w:val="20"/>
          <w:lang w:val="fr-CA"/>
        </w:rPr>
        <w:t>Commemorative</w:t>
      </w:r>
      <w:proofErr w:type="spellEnd"/>
      <w:r w:rsidR="00C2500C" w:rsidRPr="00772D0E">
        <w:rPr>
          <w:sz w:val="20"/>
          <w:szCs w:val="20"/>
          <w:lang w:val="fr-CA"/>
        </w:rPr>
        <w:t xml:space="preserve"> </w:t>
      </w:r>
      <w:proofErr w:type="spellStart"/>
      <w:r w:rsidR="00C2500C" w:rsidRPr="00772D0E">
        <w:rPr>
          <w:sz w:val="20"/>
          <w:szCs w:val="20"/>
          <w:lang w:val="fr-CA"/>
        </w:rPr>
        <w:t>Clinic</w:t>
      </w:r>
      <w:proofErr w:type="spellEnd"/>
      <w:r w:rsidR="00C2500C" w:rsidRPr="00772D0E">
        <w:rPr>
          <w:sz w:val="20"/>
          <w:szCs w:val="20"/>
          <w:lang w:val="fr-CA"/>
        </w:rPr>
        <w:t xml:space="preserve">, la </w:t>
      </w:r>
      <w:proofErr w:type="spellStart"/>
      <w:r w:rsidR="00C2500C" w:rsidRPr="00772D0E">
        <w:rPr>
          <w:sz w:val="20"/>
          <w:szCs w:val="20"/>
          <w:lang w:val="fr-CA"/>
        </w:rPr>
        <w:t>Criminal</w:t>
      </w:r>
      <w:proofErr w:type="spellEnd"/>
      <w:r w:rsidR="00C2500C" w:rsidRPr="00772D0E">
        <w:rPr>
          <w:sz w:val="20"/>
          <w:szCs w:val="20"/>
          <w:lang w:val="fr-CA"/>
        </w:rPr>
        <w:t xml:space="preserve"> </w:t>
      </w:r>
      <w:proofErr w:type="spellStart"/>
      <w:r w:rsidR="00C2500C" w:rsidRPr="00772D0E">
        <w:rPr>
          <w:sz w:val="20"/>
          <w:szCs w:val="20"/>
          <w:lang w:val="fr-CA"/>
        </w:rPr>
        <w:t>Lawyers</w:t>
      </w:r>
      <w:proofErr w:type="spellEnd"/>
      <w:r w:rsidR="00C2500C" w:rsidRPr="00772D0E">
        <w:rPr>
          <w:sz w:val="20"/>
          <w:szCs w:val="20"/>
          <w:lang w:val="fr-CA"/>
        </w:rPr>
        <w:t xml:space="preserve">' Association (Ontario), le </w:t>
      </w:r>
      <w:proofErr w:type="spellStart"/>
      <w:r w:rsidR="00C2500C" w:rsidRPr="00772D0E">
        <w:rPr>
          <w:sz w:val="20"/>
          <w:szCs w:val="20"/>
          <w:lang w:val="fr-CA"/>
        </w:rPr>
        <w:t>Muslim</w:t>
      </w:r>
      <w:proofErr w:type="spellEnd"/>
      <w:r w:rsidR="00C2500C" w:rsidRPr="00772D0E">
        <w:rPr>
          <w:sz w:val="20"/>
          <w:szCs w:val="20"/>
          <w:lang w:val="fr-CA"/>
        </w:rPr>
        <w:t xml:space="preserve"> Canadian </w:t>
      </w:r>
      <w:proofErr w:type="spellStart"/>
      <w:r w:rsidR="00C2500C" w:rsidRPr="00772D0E">
        <w:rPr>
          <w:sz w:val="20"/>
          <w:szCs w:val="20"/>
          <w:lang w:val="fr-CA"/>
        </w:rPr>
        <w:t>Congress</w:t>
      </w:r>
      <w:proofErr w:type="spellEnd"/>
      <w:r w:rsidR="00C2500C" w:rsidRPr="00772D0E">
        <w:rPr>
          <w:sz w:val="20"/>
          <w:szCs w:val="20"/>
          <w:lang w:val="fr-CA"/>
        </w:rPr>
        <w:t xml:space="preserve">, la South </w:t>
      </w:r>
      <w:proofErr w:type="spellStart"/>
      <w:r w:rsidR="00C2500C" w:rsidRPr="00772D0E">
        <w:rPr>
          <w:sz w:val="20"/>
          <w:szCs w:val="20"/>
          <w:lang w:val="fr-CA"/>
        </w:rPr>
        <w:t>Asian</w:t>
      </w:r>
      <w:proofErr w:type="spellEnd"/>
      <w:r w:rsidR="00C2500C" w:rsidRPr="00772D0E">
        <w:rPr>
          <w:sz w:val="20"/>
          <w:szCs w:val="20"/>
          <w:lang w:val="fr-CA"/>
        </w:rPr>
        <w:t xml:space="preserve"> </w:t>
      </w:r>
      <w:proofErr w:type="spellStart"/>
      <w:r w:rsidR="00C2500C" w:rsidRPr="00772D0E">
        <w:rPr>
          <w:sz w:val="20"/>
          <w:szCs w:val="20"/>
          <w:lang w:val="fr-CA"/>
        </w:rPr>
        <w:t>Legal</w:t>
      </w:r>
      <w:proofErr w:type="spellEnd"/>
      <w:r w:rsidR="00C2500C" w:rsidRPr="00772D0E">
        <w:rPr>
          <w:sz w:val="20"/>
          <w:szCs w:val="20"/>
          <w:lang w:val="fr-CA"/>
        </w:rPr>
        <w:t xml:space="preserve"> </w:t>
      </w:r>
      <w:proofErr w:type="spellStart"/>
      <w:r w:rsidR="00C2500C" w:rsidRPr="00772D0E">
        <w:rPr>
          <w:sz w:val="20"/>
          <w:szCs w:val="20"/>
          <w:lang w:val="fr-CA"/>
        </w:rPr>
        <w:t>Clinic</w:t>
      </w:r>
      <w:proofErr w:type="spellEnd"/>
      <w:r w:rsidR="00C2500C" w:rsidRPr="00772D0E">
        <w:rPr>
          <w:sz w:val="20"/>
          <w:szCs w:val="20"/>
          <w:lang w:val="fr-CA"/>
        </w:rPr>
        <w:t xml:space="preserve"> of Ontario, le Barreau du Québec, l’Association canadienne des libertés civiles, le Fonds d'action et d'éducation juridiques pour les femmes et le Canadian Council on American-</w:t>
      </w:r>
      <w:proofErr w:type="spellStart"/>
      <w:r w:rsidR="00C2500C" w:rsidRPr="00772D0E">
        <w:rPr>
          <w:sz w:val="20"/>
          <w:szCs w:val="20"/>
          <w:lang w:val="fr-CA"/>
        </w:rPr>
        <w:t>Islamic</w:t>
      </w:r>
      <w:proofErr w:type="spellEnd"/>
      <w:r w:rsidR="00C2500C" w:rsidRPr="00772D0E">
        <w:rPr>
          <w:sz w:val="20"/>
          <w:szCs w:val="20"/>
          <w:lang w:val="fr-CA"/>
        </w:rPr>
        <w:t xml:space="preserve"> Relations à intervenir;</w:t>
      </w:r>
    </w:p>
    <w:p w:rsidR="00C2500C" w:rsidRPr="00772D0E" w:rsidRDefault="00C2500C" w:rsidP="00C2500C">
      <w:pPr>
        <w:spacing w:line="225" w:lineRule="auto"/>
        <w:jc w:val="both"/>
        <w:rPr>
          <w:sz w:val="20"/>
          <w:szCs w:val="20"/>
          <w:lang w:val="fr-CA"/>
        </w:rPr>
      </w:pPr>
    </w:p>
    <w:p w:rsidR="00C2500C" w:rsidRPr="00772D0E" w:rsidRDefault="008754B5" w:rsidP="00C2500C">
      <w:pPr>
        <w:spacing w:line="225" w:lineRule="auto"/>
        <w:jc w:val="both"/>
        <w:rPr>
          <w:sz w:val="20"/>
          <w:szCs w:val="20"/>
          <w:lang w:val="fr-CA"/>
        </w:rPr>
      </w:pPr>
      <w:r w:rsidRPr="00772D0E">
        <w:rPr>
          <w:sz w:val="20"/>
          <w:szCs w:val="20"/>
        </w:rPr>
        <w:fldChar w:fldCharType="begin"/>
      </w:r>
      <w:r w:rsidR="00C2500C" w:rsidRPr="00772D0E">
        <w:rPr>
          <w:sz w:val="20"/>
          <w:szCs w:val="20"/>
          <w:lang w:val="fr-FR"/>
        </w:rPr>
        <w:instrText xml:space="preserve"> SEQ CHAPTER \h \r 1</w:instrText>
      </w:r>
      <w:r w:rsidRPr="00772D0E">
        <w:rPr>
          <w:sz w:val="20"/>
          <w:szCs w:val="20"/>
        </w:rPr>
        <w:fldChar w:fldCharType="end"/>
      </w:r>
      <w:r w:rsidR="00C2500C" w:rsidRPr="00772D0E">
        <w:rPr>
          <w:b/>
          <w:bCs/>
          <w:sz w:val="20"/>
          <w:szCs w:val="20"/>
          <w:lang w:val="fr-CA"/>
        </w:rPr>
        <w:t xml:space="preserve">IL EST EN OUTRE ORDONNÉ CE QUI SUIT : </w:t>
      </w:r>
      <w:r w:rsidRPr="00772D0E">
        <w:rPr>
          <w:sz w:val="20"/>
          <w:szCs w:val="20"/>
        </w:rPr>
        <w:fldChar w:fldCharType="begin"/>
      </w:r>
      <w:r w:rsidR="00C2500C" w:rsidRPr="00772D0E">
        <w:rPr>
          <w:sz w:val="20"/>
          <w:szCs w:val="20"/>
          <w:lang w:val="fr-FR"/>
        </w:rPr>
        <w:instrText xml:space="preserve"> SEQ CHAPTER \h \r 1</w:instrText>
      </w:r>
      <w:r w:rsidRPr="00772D0E">
        <w:rPr>
          <w:sz w:val="20"/>
          <w:szCs w:val="20"/>
        </w:rPr>
        <w:fldChar w:fldCharType="end"/>
      </w:r>
      <w:r w:rsidR="00C2500C" w:rsidRPr="00772D0E">
        <w:rPr>
          <w:sz w:val="20"/>
          <w:szCs w:val="20"/>
          <w:lang w:val="fr-CA"/>
        </w:rPr>
        <w:t xml:space="preserve">seuls la </w:t>
      </w:r>
      <w:proofErr w:type="spellStart"/>
      <w:r w:rsidR="00C2500C" w:rsidRPr="00772D0E">
        <w:rPr>
          <w:sz w:val="20"/>
          <w:szCs w:val="20"/>
          <w:lang w:val="fr-CA"/>
        </w:rPr>
        <w:t>Criminal</w:t>
      </w:r>
      <w:proofErr w:type="spellEnd"/>
      <w:r w:rsidR="00C2500C" w:rsidRPr="00772D0E">
        <w:rPr>
          <w:sz w:val="20"/>
          <w:szCs w:val="20"/>
          <w:lang w:val="fr-CA"/>
        </w:rPr>
        <w:t xml:space="preserve"> </w:t>
      </w:r>
      <w:proofErr w:type="spellStart"/>
      <w:r w:rsidR="00C2500C" w:rsidRPr="00772D0E">
        <w:rPr>
          <w:sz w:val="20"/>
          <w:szCs w:val="20"/>
          <w:lang w:val="fr-CA"/>
        </w:rPr>
        <w:t>Lawyers</w:t>
      </w:r>
      <w:proofErr w:type="spellEnd"/>
      <w:r w:rsidR="00C2500C" w:rsidRPr="00772D0E">
        <w:rPr>
          <w:sz w:val="20"/>
          <w:szCs w:val="20"/>
          <w:lang w:val="fr-CA"/>
        </w:rPr>
        <w:t xml:space="preserve">' Association (Ontario), la Barbra </w:t>
      </w:r>
      <w:proofErr w:type="spellStart"/>
      <w:r w:rsidR="00C2500C" w:rsidRPr="00772D0E">
        <w:rPr>
          <w:sz w:val="20"/>
          <w:szCs w:val="20"/>
          <w:lang w:val="fr-CA"/>
        </w:rPr>
        <w:t>Schlifer</w:t>
      </w:r>
      <w:proofErr w:type="spellEnd"/>
      <w:r w:rsidR="00C2500C" w:rsidRPr="00772D0E">
        <w:rPr>
          <w:sz w:val="20"/>
          <w:szCs w:val="20"/>
          <w:lang w:val="fr-CA"/>
        </w:rPr>
        <w:t xml:space="preserve"> </w:t>
      </w:r>
      <w:proofErr w:type="spellStart"/>
      <w:r w:rsidR="00C2500C" w:rsidRPr="00772D0E">
        <w:rPr>
          <w:sz w:val="20"/>
          <w:szCs w:val="20"/>
          <w:lang w:val="fr-CA"/>
        </w:rPr>
        <w:t>Commemorative</w:t>
      </w:r>
      <w:proofErr w:type="spellEnd"/>
      <w:r w:rsidR="00C2500C" w:rsidRPr="00772D0E">
        <w:rPr>
          <w:sz w:val="20"/>
          <w:szCs w:val="20"/>
          <w:lang w:val="fr-CA"/>
        </w:rPr>
        <w:t xml:space="preserve"> </w:t>
      </w:r>
      <w:proofErr w:type="spellStart"/>
      <w:r w:rsidR="00C2500C" w:rsidRPr="00772D0E">
        <w:rPr>
          <w:sz w:val="20"/>
          <w:szCs w:val="20"/>
          <w:lang w:val="fr-CA"/>
        </w:rPr>
        <w:t>Clinic</w:t>
      </w:r>
      <w:proofErr w:type="spellEnd"/>
      <w:r w:rsidR="00C2500C" w:rsidRPr="00772D0E">
        <w:rPr>
          <w:sz w:val="20"/>
          <w:szCs w:val="20"/>
          <w:lang w:val="fr-CA"/>
        </w:rPr>
        <w:t xml:space="preserve"> et le </w:t>
      </w:r>
      <w:proofErr w:type="spellStart"/>
      <w:r w:rsidR="00C2500C" w:rsidRPr="00772D0E">
        <w:rPr>
          <w:sz w:val="20"/>
          <w:szCs w:val="20"/>
          <w:lang w:val="fr-CA"/>
        </w:rPr>
        <w:t>Muslim</w:t>
      </w:r>
      <w:proofErr w:type="spellEnd"/>
      <w:r w:rsidR="00C2500C" w:rsidRPr="00772D0E">
        <w:rPr>
          <w:sz w:val="20"/>
          <w:szCs w:val="20"/>
          <w:lang w:val="fr-CA"/>
        </w:rPr>
        <w:t xml:space="preserve"> Canadian </w:t>
      </w:r>
      <w:proofErr w:type="spellStart"/>
      <w:r w:rsidR="00C2500C" w:rsidRPr="00772D0E">
        <w:rPr>
          <w:sz w:val="20"/>
          <w:szCs w:val="20"/>
          <w:lang w:val="fr-CA"/>
        </w:rPr>
        <w:t>Congress</w:t>
      </w:r>
      <w:proofErr w:type="spellEnd"/>
      <w:r w:rsidR="00C2500C" w:rsidRPr="00772D0E">
        <w:rPr>
          <w:sz w:val="20"/>
          <w:szCs w:val="20"/>
          <w:lang w:val="fr-CA"/>
        </w:rPr>
        <w:t xml:space="preserve"> pourront chacun présenter une plaidoirie orale d'au plus dix (10) minutes lors de l'audition de l'appel. </w:t>
      </w:r>
    </w:p>
    <w:p w:rsidR="00C2500C" w:rsidRPr="00772D0E" w:rsidRDefault="00C2500C" w:rsidP="00C2500C">
      <w:pPr>
        <w:rPr>
          <w:sz w:val="20"/>
          <w:szCs w:val="20"/>
          <w:lang w:val="fr-CA"/>
        </w:rPr>
      </w:pPr>
    </w:p>
    <w:p w:rsidR="00C2500C" w:rsidRPr="00772D0E" w:rsidRDefault="008754B5" w:rsidP="00C2500C">
      <w:pPr>
        <w:rPr>
          <w:sz w:val="20"/>
          <w:szCs w:val="20"/>
          <w:lang w:val="fr-CA"/>
        </w:rPr>
      </w:pPr>
      <w:r w:rsidRPr="008754B5">
        <w:rPr>
          <w:sz w:val="20"/>
          <w:szCs w:val="20"/>
          <w:lang w:val="fr-CA"/>
        </w:rPr>
        <w:pict>
          <v:rect id="_x0000_i1062" style="width:2in;height:1pt" o:hrpct="0" o:hralign="center" o:hrstd="t" o:hrnoshade="t" o:hr="t" fillcolor="black [3213]" stroked="f"/>
        </w:pict>
      </w:r>
    </w:p>
    <w:p w:rsidR="00C2500C" w:rsidRPr="00772D0E" w:rsidRDefault="00C2500C" w:rsidP="00C2500C">
      <w:pPr>
        <w:rPr>
          <w:sz w:val="20"/>
          <w:szCs w:val="20"/>
        </w:rPr>
      </w:pPr>
    </w:p>
    <w:p w:rsidR="00C2500C" w:rsidRPr="00772D0E" w:rsidRDefault="00C2500C" w:rsidP="00C2500C">
      <w:pPr>
        <w:tabs>
          <w:tab w:val="left" w:pos="-1440"/>
          <w:tab w:val="left" w:pos="-720"/>
        </w:tabs>
        <w:jc w:val="both"/>
        <w:rPr>
          <w:sz w:val="20"/>
          <w:szCs w:val="20"/>
        </w:rPr>
      </w:pPr>
      <w:r w:rsidRPr="00772D0E">
        <w:rPr>
          <w:sz w:val="20"/>
          <w:szCs w:val="20"/>
        </w:rPr>
        <w:t>23.11.2011</w:t>
      </w:r>
    </w:p>
    <w:p w:rsidR="00C2500C" w:rsidRPr="00772D0E" w:rsidRDefault="00C2500C" w:rsidP="00C2500C">
      <w:pPr>
        <w:tabs>
          <w:tab w:val="left" w:pos="-1440"/>
          <w:tab w:val="left" w:pos="-720"/>
        </w:tabs>
        <w:jc w:val="both"/>
        <w:rPr>
          <w:sz w:val="20"/>
          <w:szCs w:val="20"/>
        </w:rPr>
      </w:pPr>
    </w:p>
    <w:p w:rsidR="00C2500C" w:rsidRPr="00772D0E" w:rsidRDefault="00C2500C" w:rsidP="00C2500C">
      <w:pPr>
        <w:tabs>
          <w:tab w:val="left" w:pos="-1440"/>
          <w:tab w:val="left" w:pos="-720"/>
        </w:tabs>
        <w:jc w:val="both"/>
        <w:rPr>
          <w:sz w:val="20"/>
          <w:szCs w:val="20"/>
        </w:rPr>
      </w:pPr>
      <w:r w:rsidRPr="00772D0E">
        <w:rPr>
          <w:sz w:val="20"/>
          <w:szCs w:val="20"/>
        </w:rPr>
        <w:t xml:space="preserve">Before / </w:t>
      </w:r>
      <w:proofErr w:type="spellStart"/>
      <w:r w:rsidRPr="00772D0E">
        <w:rPr>
          <w:sz w:val="20"/>
          <w:szCs w:val="20"/>
        </w:rPr>
        <w:t>Devant</w:t>
      </w:r>
      <w:proofErr w:type="spellEnd"/>
      <w:r w:rsidRPr="00772D0E">
        <w:rPr>
          <w:sz w:val="20"/>
          <w:szCs w:val="20"/>
        </w:rPr>
        <w:t xml:space="preserve"> :   THE REGISTRAR / LE REGISTRAIRE</w:t>
      </w:r>
    </w:p>
    <w:p w:rsidR="00C2500C" w:rsidRPr="00772D0E" w:rsidRDefault="00C2500C" w:rsidP="00C2500C">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2500C" w:rsidRPr="008608D5" w:rsidTr="00047877">
        <w:tc>
          <w:tcPr>
            <w:tcW w:w="4338" w:type="dxa"/>
          </w:tcPr>
          <w:p w:rsidR="00C2500C" w:rsidRPr="00772D0E" w:rsidRDefault="008754B5" w:rsidP="00047877">
            <w:pPr>
              <w:tabs>
                <w:tab w:val="left" w:pos="-1440"/>
                <w:tab w:val="left" w:pos="-720"/>
              </w:tabs>
              <w:jc w:val="both"/>
              <w:rPr>
                <w:sz w:val="20"/>
                <w:szCs w:val="20"/>
              </w:rPr>
            </w:pPr>
            <w:r w:rsidRPr="00772D0E">
              <w:rPr>
                <w:sz w:val="20"/>
                <w:szCs w:val="20"/>
              </w:rPr>
              <w:fldChar w:fldCharType="begin"/>
            </w:r>
            <w:r w:rsidR="00C2500C" w:rsidRPr="00772D0E">
              <w:rPr>
                <w:sz w:val="20"/>
                <w:szCs w:val="20"/>
              </w:rPr>
              <w:instrText xml:space="preserve"> SEQ CHAPTER \h \r 1</w:instrText>
            </w:r>
            <w:r w:rsidRPr="00772D0E">
              <w:rPr>
                <w:sz w:val="20"/>
                <w:szCs w:val="20"/>
              </w:rPr>
              <w:fldChar w:fldCharType="end"/>
            </w:r>
            <w:r w:rsidR="00C2500C" w:rsidRPr="00772D0E">
              <w:rPr>
                <w:b/>
                <w:bCs/>
                <w:sz w:val="20"/>
                <w:szCs w:val="20"/>
              </w:rPr>
              <w:t>Motion to extend the time to serve and file the applicants’ joint reply and response to application for leave to cross appeal</w:t>
            </w:r>
          </w:p>
        </w:tc>
        <w:tc>
          <w:tcPr>
            <w:tcW w:w="1170" w:type="dxa"/>
          </w:tcPr>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tc>
        <w:tc>
          <w:tcPr>
            <w:tcW w:w="4327" w:type="dxa"/>
          </w:tcPr>
          <w:p w:rsidR="00C2500C" w:rsidRPr="00772D0E" w:rsidRDefault="008754B5" w:rsidP="00047877">
            <w:pPr>
              <w:tabs>
                <w:tab w:val="left" w:pos="-1440"/>
                <w:tab w:val="left" w:pos="-720"/>
              </w:tabs>
              <w:jc w:val="both"/>
              <w:rPr>
                <w:sz w:val="20"/>
                <w:szCs w:val="20"/>
                <w:lang w:val="fr-CA"/>
              </w:rPr>
            </w:pPr>
            <w:r w:rsidRPr="00772D0E">
              <w:rPr>
                <w:sz w:val="20"/>
                <w:szCs w:val="20"/>
              </w:rPr>
              <w:fldChar w:fldCharType="begin"/>
            </w:r>
            <w:r w:rsidR="00C2500C" w:rsidRPr="00772D0E">
              <w:rPr>
                <w:sz w:val="20"/>
                <w:szCs w:val="20"/>
                <w:lang w:val="fr-CA"/>
              </w:rPr>
              <w:instrText xml:space="preserve"> SEQ CHAPTER \h \r 1</w:instrText>
            </w:r>
            <w:r w:rsidRPr="00772D0E">
              <w:rPr>
                <w:sz w:val="20"/>
                <w:szCs w:val="20"/>
              </w:rPr>
              <w:fldChar w:fldCharType="end"/>
            </w:r>
            <w:r w:rsidR="00C2500C" w:rsidRPr="00772D0E">
              <w:rPr>
                <w:b/>
                <w:bCs/>
                <w:sz w:val="20"/>
                <w:szCs w:val="20"/>
                <w:lang w:val="fr-CA"/>
              </w:rPr>
              <w:t xml:space="preserve">Requête en prorogation du délai de signification et de dépôt de la réplique et réponse à la demande d’autorisation d’appel incident </w:t>
            </w:r>
          </w:p>
        </w:tc>
      </w:tr>
      <w:tr w:rsidR="00C2500C" w:rsidRPr="008608D5" w:rsidTr="00047877">
        <w:tc>
          <w:tcPr>
            <w:tcW w:w="4338" w:type="dxa"/>
          </w:tcPr>
          <w:p w:rsidR="00C2500C" w:rsidRPr="00772D0E" w:rsidRDefault="00C2500C" w:rsidP="00047877">
            <w:pPr>
              <w:tabs>
                <w:tab w:val="left" w:pos="-1440"/>
                <w:tab w:val="left" w:pos="-720"/>
              </w:tabs>
              <w:jc w:val="both"/>
              <w:rPr>
                <w:sz w:val="20"/>
                <w:szCs w:val="20"/>
              </w:rPr>
            </w:pPr>
            <w:r w:rsidRPr="00772D0E">
              <w:rPr>
                <w:sz w:val="20"/>
                <w:szCs w:val="20"/>
              </w:rPr>
              <w:t xml:space="preserve">Timothy </w:t>
            </w:r>
            <w:proofErr w:type="spellStart"/>
            <w:r w:rsidRPr="00772D0E">
              <w:rPr>
                <w:sz w:val="20"/>
                <w:szCs w:val="20"/>
              </w:rPr>
              <w:t>Scherbak</w:t>
            </w:r>
            <w:proofErr w:type="spellEnd"/>
            <w:r w:rsidRPr="00772D0E">
              <w:rPr>
                <w:sz w:val="20"/>
                <w:szCs w:val="20"/>
              </w:rPr>
              <w:t xml:space="preserve"> et al.</w:t>
            </w: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r w:rsidRPr="00772D0E">
              <w:rPr>
                <w:sz w:val="20"/>
                <w:szCs w:val="20"/>
              </w:rPr>
              <w:tab/>
              <w:t>v. (34359)</w:t>
            </w: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lang w:val="fr-CA"/>
              </w:rPr>
            </w:pPr>
            <w:proofErr w:type="spellStart"/>
            <w:r w:rsidRPr="00772D0E">
              <w:rPr>
                <w:sz w:val="20"/>
                <w:szCs w:val="20"/>
                <w:lang w:val="fr-CA"/>
              </w:rPr>
              <w:t>Zoriana</w:t>
            </w:r>
            <w:proofErr w:type="spellEnd"/>
            <w:r w:rsidRPr="00772D0E">
              <w:rPr>
                <w:sz w:val="20"/>
                <w:szCs w:val="20"/>
                <w:lang w:val="fr-CA"/>
              </w:rPr>
              <w:t xml:space="preserve"> </w:t>
            </w:r>
            <w:proofErr w:type="spellStart"/>
            <w:r w:rsidRPr="00772D0E">
              <w:rPr>
                <w:sz w:val="20"/>
                <w:szCs w:val="20"/>
                <w:lang w:val="fr-CA"/>
              </w:rPr>
              <w:t>Krawchuk</w:t>
            </w:r>
            <w:proofErr w:type="spellEnd"/>
            <w:r w:rsidRPr="00772D0E">
              <w:rPr>
                <w:sz w:val="20"/>
                <w:szCs w:val="20"/>
                <w:lang w:val="fr-CA"/>
              </w:rPr>
              <w:t xml:space="preserve"> et al. (Ont.)</w:t>
            </w:r>
          </w:p>
        </w:tc>
        <w:tc>
          <w:tcPr>
            <w:tcW w:w="1170" w:type="dxa"/>
          </w:tcPr>
          <w:p w:rsidR="00C2500C" w:rsidRPr="00772D0E" w:rsidRDefault="00C2500C" w:rsidP="00047877">
            <w:pPr>
              <w:tabs>
                <w:tab w:val="left" w:pos="-1440"/>
                <w:tab w:val="left" w:pos="-720"/>
              </w:tabs>
              <w:jc w:val="both"/>
              <w:rPr>
                <w:sz w:val="20"/>
                <w:szCs w:val="20"/>
                <w:lang w:val="fr-CA"/>
              </w:rPr>
            </w:pPr>
          </w:p>
        </w:tc>
        <w:tc>
          <w:tcPr>
            <w:tcW w:w="4327" w:type="dxa"/>
          </w:tcPr>
          <w:p w:rsidR="00C2500C" w:rsidRPr="00772D0E" w:rsidRDefault="00C2500C" w:rsidP="00047877">
            <w:pPr>
              <w:tabs>
                <w:tab w:val="left" w:pos="-1440"/>
                <w:tab w:val="left" w:pos="-720"/>
              </w:tabs>
              <w:jc w:val="both"/>
              <w:rPr>
                <w:sz w:val="20"/>
                <w:szCs w:val="20"/>
                <w:lang w:val="fr-CA"/>
              </w:rPr>
            </w:pPr>
          </w:p>
        </w:tc>
      </w:tr>
    </w:tbl>
    <w:p w:rsidR="00C2500C" w:rsidRPr="00772D0E" w:rsidRDefault="00C2500C" w:rsidP="00C2500C">
      <w:pPr>
        <w:tabs>
          <w:tab w:val="left" w:pos="-1440"/>
          <w:tab w:val="left" w:pos="-720"/>
        </w:tabs>
        <w:jc w:val="both"/>
        <w:rPr>
          <w:b/>
          <w:sz w:val="20"/>
          <w:szCs w:val="20"/>
          <w:lang w:val="fr-CA"/>
        </w:rPr>
      </w:pPr>
    </w:p>
    <w:p w:rsidR="00C2500C" w:rsidRPr="00772D0E" w:rsidRDefault="00C2500C" w:rsidP="00C2500C">
      <w:pPr>
        <w:tabs>
          <w:tab w:val="left" w:pos="-1440"/>
          <w:tab w:val="left" w:pos="-720"/>
        </w:tabs>
        <w:jc w:val="both"/>
        <w:rPr>
          <w:sz w:val="20"/>
          <w:szCs w:val="20"/>
        </w:rPr>
      </w:pPr>
      <w:r w:rsidRPr="00772D0E">
        <w:rPr>
          <w:b/>
          <w:sz w:val="20"/>
          <w:szCs w:val="20"/>
        </w:rPr>
        <w:t>GRANTED / ACCORDÉE</w:t>
      </w:r>
    </w:p>
    <w:p w:rsidR="00C2500C" w:rsidRPr="00772D0E" w:rsidRDefault="00C2500C" w:rsidP="00C2500C">
      <w:pPr>
        <w:tabs>
          <w:tab w:val="left" w:pos="-1440"/>
          <w:tab w:val="left" w:pos="-720"/>
        </w:tabs>
        <w:jc w:val="both"/>
        <w:rPr>
          <w:sz w:val="20"/>
          <w:szCs w:val="20"/>
        </w:rPr>
      </w:pPr>
    </w:p>
    <w:p w:rsidR="00C2500C" w:rsidRPr="00772D0E" w:rsidRDefault="00C2500C" w:rsidP="00C2500C">
      <w:pPr>
        <w:tabs>
          <w:tab w:val="left" w:pos="-1440"/>
          <w:tab w:val="left" w:pos="-720"/>
        </w:tabs>
        <w:spacing w:line="-19" w:lineRule="auto"/>
        <w:jc w:val="both"/>
        <w:rPr>
          <w:sz w:val="20"/>
          <w:szCs w:val="20"/>
          <w:lang w:val="fr-CA"/>
        </w:rPr>
      </w:pPr>
    </w:p>
    <w:p w:rsidR="00C2500C" w:rsidRPr="00772D0E" w:rsidRDefault="008754B5" w:rsidP="00C2500C">
      <w:pPr>
        <w:tabs>
          <w:tab w:val="left" w:pos="-1440"/>
          <w:tab w:val="left" w:pos="-720"/>
        </w:tabs>
        <w:jc w:val="both"/>
        <w:rPr>
          <w:sz w:val="20"/>
          <w:szCs w:val="20"/>
        </w:rPr>
      </w:pPr>
      <w:r w:rsidRPr="008754B5">
        <w:rPr>
          <w:sz w:val="20"/>
          <w:szCs w:val="20"/>
          <w:lang w:val="fr-CA"/>
        </w:rPr>
        <w:pict>
          <v:rect id="_x0000_i1063" style="width:2in;height:1pt" o:hrpct="0" o:hralign="center" o:hrstd="t" o:hrnoshade="t" o:hr="t" fillcolor="black [3213]" stroked="f"/>
        </w:pict>
      </w:r>
    </w:p>
    <w:p w:rsidR="00C2500C" w:rsidRPr="00772D0E" w:rsidRDefault="00C2500C" w:rsidP="00C2500C">
      <w:pPr>
        <w:tabs>
          <w:tab w:val="left" w:pos="-1440"/>
          <w:tab w:val="left" w:pos="-720"/>
        </w:tabs>
        <w:jc w:val="both"/>
        <w:rPr>
          <w:sz w:val="20"/>
          <w:szCs w:val="20"/>
          <w:lang w:val="fr-CA"/>
        </w:rPr>
      </w:pPr>
    </w:p>
    <w:p w:rsidR="00C2500C" w:rsidRDefault="00C2500C">
      <w:pPr>
        <w:rPr>
          <w:sz w:val="20"/>
          <w:szCs w:val="20"/>
          <w:lang w:val="fr-CA"/>
        </w:rPr>
      </w:pPr>
      <w:r>
        <w:rPr>
          <w:sz w:val="20"/>
          <w:szCs w:val="20"/>
          <w:lang w:val="fr-CA"/>
        </w:rPr>
        <w:br w:type="page"/>
      </w:r>
    </w:p>
    <w:p w:rsidR="00C2500C" w:rsidRPr="00772D0E" w:rsidRDefault="00C2500C" w:rsidP="00C2500C">
      <w:pPr>
        <w:tabs>
          <w:tab w:val="left" w:pos="-1440"/>
          <w:tab w:val="left" w:pos="-720"/>
        </w:tabs>
        <w:jc w:val="both"/>
        <w:rPr>
          <w:sz w:val="20"/>
          <w:szCs w:val="20"/>
          <w:lang w:val="fr-CA"/>
        </w:rPr>
      </w:pPr>
      <w:r w:rsidRPr="00772D0E">
        <w:rPr>
          <w:sz w:val="20"/>
          <w:szCs w:val="20"/>
          <w:lang w:val="fr-CA"/>
        </w:rPr>
        <w:lastRenderedPageBreak/>
        <w:t>24.11.2011</w: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jc w:val="both"/>
        <w:rPr>
          <w:sz w:val="20"/>
          <w:szCs w:val="20"/>
          <w:lang w:val="fr-CA"/>
        </w:rPr>
      </w:pPr>
      <w:proofErr w:type="spellStart"/>
      <w:r w:rsidRPr="00772D0E">
        <w:rPr>
          <w:sz w:val="20"/>
          <w:szCs w:val="20"/>
          <w:lang w:val="fr-CA"/>
        </w:rPr>
        <w:t>Before</w:t>
      </w:r>
      <w:proofErr w:type="spellEnd"/>
      <w:r w:rsidRPr="00772D0E">
        <w:rPr>
          <w:sz w:val="20"/>
          <w:szCs w:val="20"/>
          <w:lang w:val="fr-CA"/>
        </w:rPr>
        <w:t xml:space="preserve"> / Devant :   LEBEL J. / LE JUGE LEBEL</w:t>
      </w:r>
    </w:p>
    <w:p w:rsidR="00C2500C" w:rsidRPr="00772D0E" w:rsidRDefault="00C2500C" w:rsidP="00C250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2500C" w:rsidRPr="008608D5" w:rsidTr="00047877">
        <w:tc>
          <w:tcPr>
            <w:tcW w:w="4338" w:type="dxa"/>
          </w:tcPr>
          <w:p w:rsidR="00C2500C" w:rsidRPr="00772D0E" w:rsidRDefault="008754B5" w:rsidP="00047877">
            <w:pPr>
              <w:tabs>
                <w:tab w:val="left" w:pos="-1440"/>
                <w:tab w:val="left" w:pos="-720"/>
              </w:tabs>
              <w:jc w:val="both"/>
              <w:rPr>
                <w:b/>
                <w:sz w:val="20"/>
                <w:szCs w:val="20"/>
              </w:rPr>
            </w:pPr>
            <w:r w:rsidRPr="00772D0E">
              <w:rPr>
                <w:sz w:val="20"/>
                <w:szCs w:val="20"/>
              </w:rPr>
              <w:fldChar w:fldCharType="begin"/>
            </w:r>
            <w:r w:rsidR="00C2500C" w:rsidRPr="00772D0E">
              <w:rPr>
                <w:sz w:val="20"/>
                <w:szCs w:val="20"/>
              </w:rPr>
              <w:instrText xml:space="preserve"> SEQ CHAPTER \h \r 1</w:instrText>
            </w:r>
            <w:r w:rsidRPr="00772D0E">
              <w:rPr>
                <w:sz w:val="20"/>
                <w:szCs w:val="20"/>
              </w:rPr>
              <w:fldChar w:fldCharType="end"/>
            </w:r>
            <w:r w:rsidRPr="00772D0E">
              <w:rPr>
                <w:sz w:val="20"/>
                <w:szCs w:val="20"/>
              </w:rPr>
              <w:fldChar w:fldCharType="begin"/>
            </w:r>
            <w:r w:rsidR="00C2500C" w:rsidRPr="00772D0E">
              <w:rPr>
                <w:sz w:val="20"/>
                <w:szCs w:val="20"/>
              </w:rPr>
              <w:instrText xml:space="preserve"> SEQ CHAPTER \h \r 1</w:instrText>
            </w:r>
            <w:r w:rsidRPr="00772D0E">
              <w:rPr>
                <w:sz w:val="20"/>
                <w:szCs w:val="20"/>
              </w:rPr>
              <w:fldChar w:fldCharType="end"/>
            </w:r>
            <w:r w:rsidR="00C2500C" w:rsidRPr="00772D0E">
              <w:rPr>
                <w:b/>
                <w:bCs/>
                <w:sz w:val="20"/>
                <w:szCs w:val="20"/>
              </w:rPr>
              <w:t>Motion to extend the time to serve and file the respondent's factum and book of authorities to November 7, 2011, and for an order pursuant to Rule 71(3) permitting oral argument at the hearing  of the appeal</w:t>
            </w:r>
          </w:p>
        </w:tc>
        <w:tc>
          <w:tcPr>
            <w:tcW w:w="1170" w:type="dxa"/>
          </w:tcPr>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p w:rsidR="00C2500C" w:rsidRPr="00772D0E" w:rsidRDefault="00C2500C" w:rsidP="00047877">
            <w:pPr>
              <w:tabs>
                <w:tab w:val="left" w:pos="-1440"/>
                <w:tab w:val="left" w:pos="-720"/>
              </w:tabs>
              <w:jc w:val="both"/>
              <w:rPr>
                <w:sz w:val="20"/>
                <w:szCs w:val="20"/>
              </w:rPr>
            </w:pPr>
          </w:p>
        </w:tc>
        <w:tc>
          <w:tcPr>
            <w:tcW w:w="4327" w:type="dxa"/>
          </w:tcPr>
          <w:p w:rsidR="00C2500C" w:rsidRPr="00772D0E" w:rsidRDefault="008754B5" w:rsidP="00047877">
            <w:pPr>
              <w:tabs>
                <w:tab w:val="left" w:pos="-1440"/>
                <w:tab w:val="left" w:pos="-720"/>
              </w:tabs>
              <w:jc w:val="both"/>
              <w:rPr>
                <w:sz w:val="20"/>
                <w:szCs w:val="20"/>
                <w:lang w:val="fr-CA"/>
              </w:rPr>
            </w:pPr>
            <w:r w:rsidRPr="00772D0E">
              <w:rPr>
                <w:sz w:val="20"/>
                <w:szCs w:val="20"/>
              </w:rPr>
              <w:fldChar w:fldCharType="begin"/>
            </w:r>
            <w:r w:rsidR="00C2500C" w:rsidRPr="00772D0E">
              <w:rPr>
                <w:sz w:val="20"/>
                <w:szCs w:val="20"/>
                <w:lang w:val="fr-CA"/>
              </w:rPr>
              <w:instrText xml:space="preserve"> SEQ CHAPTER \h \r 1</w:instrText>
            </w:r>
            <w:r w:rsidRPr="00772D0E">
              <w:rPr>
                <w:sz w:val="20"/>
                <w:szCs w:val="20"/>
              </w:rPr>
              <w:fldChar w:fldCharType="end"/>
            </w:r>
            <w:r w:rsidRPr="00772D0E">
              <w:rPr>
                <w:sz w:val="20"/>
                <w:szCs w:val="20"/>
              </w:rPr>
              <w:fldChar w:fldCharType="begin"/>
            </w:r>
            <w:r w:rsidR="00C2500C" w:rsidRPr="00772D0E">
              <w:rPr>
                <w:sz w:val="20"/>
                <w:szCs w:val="20"/>
                <w:lang w:val="fr-CA"/>
              </w:rPr>
              <w:instrText xml:space="preserve"> SEQ CHAPTER \h \r 1</w:instrText>
            </w:r>
            <w:r w:rsidRPr="00772D0E">
              <w:rPr>
                <w:sz w:val="20"/>
                <w:szCs w:val="20"/>
              </w:rPr>
              <w:fldChar w:fldCharType="end"/>
            </w:r>
            <w:r w:rsidR="00C2500C" w:rsidRPr="00772D0E">
              <w:rPr>
                <w:b/>
                <w:bCs/>
                <w:sz w:val="20"/>
                <w:szCs w:val="20"/>
                <w:lang w:val="fr-CA"/>
              </w:rPr>
              <w:t xml:space="preserve">Requête de l'intimé en prorogation du délai de signification et de dépôt de ses mémoire et recueil de sources jusqu'au 7 novembre 2011, et en vue de présenter une plaidoirie orale à l'audition en vertu du par. 71(3) des </w:t>
            </w:r>
            <w:r w:rsidR="00C2500C" w:rsidRPr="00772D0E">
              <w:rPr>
                <w:b/>
                <w:bCs/>
                <w:i/>
                <w:sz w:val="20"/>
                <w:szCs w:val="20"/>
                <w:lang w:val="fr-CA"/>
              </w:rPr>
              <w:t>Règles</w:t>
            </w:r>
            <w:r w:rsidR="00C2500C" w:rsidRPr="00772D0E">
              <w:rPr>
                <w:sz w:val="20"/>
                <w:szCs w:val="20"/>
                <w:lang w:val="fr-CA"/>
              </w:rPr>
              <w:t xml:space="preserve"> </w:t>
            </w:r>
            <w:r w:rsidRPr="00772D0E">
              <w:rPr>
                <w:sz w:val="20"/>
                <w:szCs w:val="20"/>
              </w:rPr>
              <w:fldChar w:fldCharType="begin"/>
            </w:r>
            <w:r w:rsidR="00C2500C" w:rsidRPr="00772D0E">
              <w:rPr>
                <w:sz w:val="20"/>
                <w:szCs w:val="20"/>
                <w:lang w:val="fr-CA"/>
              </w:rPr>
              <w:instrText xml:space="preserve"> SEQ CHAPTER \h \r 1</w:instrText>
            </w:r>
            <w:r w:rsidRPr="00772D0E">
              <w:rPr>
                <w:sz w:val="20"/>
                <w:szCs w:val="20"/>
              </w:rPr>
              <w:fldChar w:fldCharType="end"/>
            </w:r>
          </w:p>
        </w:tc>
      </w:tr>
      <w:tr w:rsidR="00C2500C" w:rsidRPr="008608D5" w:rsidTr="00047877">
        <w:tc>
          <w:tcPr>
            <w:tcW w:w="4338" w:type="dxa"/>
          </w:tcPr>
          <w:p w:rsidR="00C2500C" w:rsidRPr="00772D0E" w:rsidRDefault="00C2500C" w:rsidP="00047877">
            <w:pPr>
              <w:tabs>
                <w:tab w:val="left" w:pos="-1440"/>
                <w:tab w:val="left" w:pos="-720"/>
              </w:tabs>
              <w:jc w:val="both"/>
              <w:rPr>
                <w:sz w:val="20"/>
                <w:szCs w:val="20"/>
                <w:lang w:val="fr-CA"/>
              </w:rPr>
            </w:pPr>
            <w:r w:rsidRPr="00772D0E">
              <w:rPr>
                <w:sz w:val="20"/>
                <w:szCs w:val="20"/>
                <w:lang w:val="fr-CA"/>
              </w:rPr>
              <w:t>Ville de Westmount</w:t>
            </w:r>
          </w:p>
          <w:p w:rsidR="00C2500C" w:rsidRPr="00772D0E" w:rsidRDefault="00C2500C" w:rsidP="00047877">
            <w:pPr>
              <w:tabs>
                <w:tab w:val="left" w:pos="-1440"/>
                <w:tab w:val="left" w:pos="-720"/>
              </w:tabs>
              <w:jc w:val="both"/>
              <w:rPr>
                <w:sz w:val="20"/>
                <w:szCs w:val="20"/>
                <w:lang w:val="fr-CA"/>
              </w:rPr>
            </w:pPr>
          </w:p>
          <w:p w:rsidR="00C2500C" w:rsidRPr="00772D0E" w:rsidRDefault="00C2500C" w:rsidP="00047877">
            <w:pPr>
              <w:tabs>
                <w:tab w:val="left" w:pos="-1440"/>
                <w:tab w:val="left" w:pos="-720"/>
              </w:tabs>
              <w:jc w:val="both"/>
              <w:rPr>
                <w:sz w:val="20"/>
                <w:szCs w:val="20"/>
                <w:lang w:val="fr-CA"/>
              </w:rPr>
            </w:pPr>
            <w:r w:rsidRPr="00772D0E">
              <w:rPr>
                <w:sz w:val="20"/>
                <w:szCs w:val="20"/>
                <w:lang w:val="fr-CA"/>
              </w:rPr>
              <w:tab/>
              <w:t>c. (34060)</w:t>
            </w:r>
          </w:p>
          <w:p w:rsidR="00C2500C" w:rsidRPr="00772D0E" w:rsidRDefault="00C2500C" w:rsidP="00047877">
            <w:pPr>
              <w:tabs>
                <w:tab w:val="left" w:pos="-1440"/>
                <w:tab w:val="left" w:pos="-720"/>
              </w:tabs>
              <w:jc w:val="both"/>
              <w:rPr>
                <w:sz w:val="20"/>
                <w:szCs w:val="20"/>
                <w:lang w:val="fr-CA"/>
              </w:rPr>
            </w:pPr>
          </w:p>
          <w:p w:rsidR="00C2500C" w:rsidRPr="00772D0E" w:rsidRDefault="00C2500C" w:rsidP="00047877">
            <w:pPr>
              <w:tabs>
                <w:tab w:val="left" w:pos="-1440"/>
                <w:tab w:val="left" w:pos="-720"/>
              </w:tabs>
              <w:jc w:val="both"/>
              <w:rPr>
                <w:sz w:val="20"/>
                <w:szCs w:val="20"/>
                <w:lang w:val="fr-CA"/>
              </w:rPr>
            </w:pPr>
            <w:r w:rsidRPr="00772D0E">
              <w:rPr>
                <w:sz w:val="20"/>
                <w:szCs w:val="20"/>
                <w:lang w:val="fr-CA"/>
              </w:rPr>
              <w:t xml:space="preserve">Richard </w:t>
            </w:r>
            <w:proofErr w:type="spellStart"/>
            <w:r w:rsidRPr="00772D0E">
              <w:rPr>
                <w:sz w:val="20"/>
                <w:szCs w:val="20"/>
                <w:lang w:val="fr-CA"/>
              </w:rPr>
              <w:t>Rossy</w:t>
            </w:r>
            <w:proofErr w:type="spellEnd"/>
            <w:r w:rsidRPr="00772D0E">
              <w:rPr>
                <w:sz w:val="20"/>
                <w:szCs w:val="20"/>
                <w:lang w:val="fr-CA"/>
              </w:rPr>
              <w:t xml:space="preserve"> et autre (</w:t>
            </w:r>
            <w:proofErr w:type="spellStart"/>
            <w:r w:rsidRPr="00772D0E">
              <w:rPr>
                <w:sz w:val="20"/>
                <w:szCs w:val="20"/>
                <w:lang w:val="fr-CA"/>
              </w:rPr>
              <w:t>Qc</w:t>
            </w:r>
            <w:proofErr w:type="spellEnd"/>
            <w:r w:rsidRPr="00772D0E">
              <w:rPr>
                <w:sz w:val="20"/>
                <w:szCs w:val="20"/>
                <w:lang w:val="fr-CA"/>
              </w:rPr>
              <w:t>)</w:t>
            </w:r>
          </w:p>
        </w:tc>
        <w:tc>
          <w:tcPr>
            <w:tcW w:w="1170" w:type="dxa"/>
          </w:tcPr>
          <w:p w:rsidR="00C2500C" w:rsidRPr="00772D0E" w:rsidRDefault="00C2500C" w:rsidP="00047877">
            <w:pPr>
              <w:tabs>
                <w:tab w:val="left" w:pos="-1440"/>
                <w:tab w:val="left" w:pos="-720"/>
              </w:tabs>
              <w:jc w:val="both"/>
              <w:rPr>
                <w:sz w:val="20"/>
                <w:szCs w:val="20"/>
                <w:lang w:val="fr-CA"/>
              </w:rPr>
            </w:pPr>
          </w:p>
        </w:tc>
        <w:tc>
          <w:tcPr>
            <w:tcW w:w="4327" w:type="dxa"/>
          </w:tcPr>
          <w:p w:rsidR="00C2500C" w:rsidRPr="00772D0E" w:rsidRDefault="00C2500C" w:rsidP="00047877">
            <w:pPr>
              <w:tabs>
                <w:tab w:val="left" w:pos="-1440"/>
                <w:tab w:val="left" w:pos="-720"/>
              </w:tabs>
              <w:jc w:val="both"/>
              <w:rPr>
                <w:sz w:val="20"/>
                <w:szCs w:val="20"/>
                <w:lang w:val="fr-CA"/>
              </w:rPr>
            </w:pPr>
          </w:p>
        </w:tc>
      </w:tr>
    </w:tbl>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jc w:val="both"/>
        <w:rPr>
          <w:b/>
          <w:sz w:val="20"/>
          <w:szCs w:val="20"/>
          <w:lang w:val="fr-CA"/>
        </w:rPr>
      </w:pPr>
      <w:r w:rsidRPr="00772D0E">
        <w:rPr>
          <w:b/>
          <w:sz w:val="20"/>
          <w:szCs w:val="20"/>
          <w:lang w:val="fr-CA"/>
        </w:rPr>
        <w:t>GRANTED / ACCORDÉE</w:t>
      </w:r>
    </w:p>
    <w:p w:rsidR="00C2500C" w:rsidRPr="00772D0E" w:rsidRDefault="00C2500C" w:rsidP="00C2500C">
      <w:pPr>
        <w:tabs>
          <w:tab w:val="left" w:pos="-1440"/>
          <w:tab w:val="left" w:pos="-720"/>
        </w:tabs>
        <w:jc w:val="both"/>
        <w:rPr>
          <w:sz w:val="20"/>
          <w:szCs w:val="20"/>
          <w:lang w:val="fr-CA"/>
        </w:rPr>
      </w:pPr>
    </w:p>
    <w:p w:rsidR="00C2500C" w:rsidRPr="00772D0E" w:rsidRDefault="008754B5" w:rsidP="00C2500C">
      <w:pPr>
        <w:tabs>
          <w:tab w:val="left" w:pos="-1440"/>
          <w:tab w:val="left" w:pos="-720"/>
        </w:tabs>
        <w:jc w:val="both"/>
        <w:rPr>
          <w:sz w:val="20"/>
          <w:szCs w:val="20"/>
          <w:lang w:val="fr-CA"/>
        </w:rPr>
      </w:pPr>
      <w:r w:rsidRPr="008754B5">
        <w:rPr>
          <w:sz w:val="20"/>
          <w:szCs w:val="20"/>
          <w:lang w:val="fr-CA"/>
        </w:rPr>
        <w:pict>
          <v:rect id="_x0000_i1064" style="width:2in;height:1pt" o:hrpct="0" o:hralign="center" o:hrstd="t" o:hrnoshade="t" o:hr="t" fillcolor="black [3213]" stroked="f"/>
        </w:pic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jc w:val="both"/>
        <w:rPr>
          <w:sz w:val="20"/>
          <w:szCs w:val="20"/>
          <w:lang w:val="fr-CA"/>
        </w:rPr>
      </w:pPr>
      <w:r w:rsidRPr="00772D0E">
        <w:rPr>
          <w:sz w:val="20"/>
          <w:szCs w:val="20"/>
          <w:lang w:val="fr-CA"/>
        </w:rPr>
        <w:t>25.11.2011</w:t>
      </w:r>
    </w:p>
    <w:p w:rsidR="00C2500C" w:rsidRPr="00772D0E" w:rsidRDefault="00C2500C" w:rsidP="00C2500C">
      <w:pPr>
        <w:tabs>
          <w:tab w:val="left" w:pos="-1440"/>
          <w:tab w:val="left" w:pos="-720"/>
        </w:tabs>
        <w:jc w:val="both"/>
        <w:rPr>
          <w:sz w:val="20"/>
          <w:szCs w:val="20"/>
          <w:lang w:val="fr-CA"/>
        </w:rPr>
      </w:pPr>
    </w:p>
    <w:p w:rsidR="00C2500C" w:rsidRPr="00772D0E" w:rsidRDefault="00C2500C" w:rsidP="00C2500C">
      <w:pPr>
        <w:tabs>
          <w:tab w:val="left" w:pos="-1440"/>
          <w:tab w:val="left" w:pos="-720"/>
        </w:tabs>
        <w:jc w:val="both"/>
        <w:rPr>
          <w:sz w:val="20"/>
          <w:szCs w:val="20"/>
          <w:lang w:val="fr-CA"/>
        </w:rPr>
      </w:pPr>
      <w:proofErr w:type="spellStart"/>
      <w:r w:rsidRPr="00772D0E">
        <w:rPr>
          <w:sz w:val="20"/>
          <w:szCs w:val="20"/>
          <w:lang w:val="fr-CA"/>
        </w:rPr>
        <w:t>Before</w:t>
      </w:r>
      <w:proofErr w:type="spellEnd"/>
      <w:r w:rsidRPr="00772D0E">
        <w:rPr>
          <w:sz w:val="20"/>
          <w:szCs w:val="20"/>
          <w:lang w:val="fr-CA"/>
        </w:rPr>
        <w:t xml:space="preserve"> / Devant :   DESCHAMPS J. / LA JUGE DESCHAMPS</w:t>
      </w:r>
    </w:p>
    <w:p w:rsidR="00C2500C" w:rsidRPr="00772D0E" w:rsidRDefault="00C2500C" w:rsidP="00C250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2500C" w:rsidRPr="008608D5" w:rsidTr="00047877">
        <w:tc>
          <w:tcPr>
            <w:tcW w:w="4338" w:type="dxa"/>
            <w:gridSpan w:val="2"/>
          </w:tcPr>
          <w:p w:rsidR="00C2500C" w:rsidRPr="00772D0E" w:rsidRDefault="00C2500C" w:rsidP="00047877">
            <w:pPr>
              <w:rPr>
                <w:b/>
                <w:sz w:val="20"/>
                <w:szCs w:val="20"/>
              </w:rPr>
            </w:pPr>
            <w:r w:rsidRPr="00772D0E">
              <w:rPr>
                <w:b/>
                <w:sz w:val="20"/>
                <w:szCs w:val="20"/>
              </w:rPr>
              <w:t xml:space="preserve">Order on interventions with respect to oral argument </w:t>
            </w:r>
            <w:r w:rsidR="008754B5" w:rsidRPr="00772D0E">
              <w:rPr>
                <w:b/>
                <w:sz w:val="20"/>
                <w:szCs w:val="20"/>
              </w:rPr>
              <w:fldChar w:fldCharType="begin"/>
            </w:r>
            <w:r w:rsidRPr="00772D0E">
              <w:rPr>
                <w:b/>
                <w:sz w:val="20"/>
                <w:szCs w:val="20"/>
              </w:rPr>
              <w:instrText xml:space="preserve"> SEQ CHAPTER \h \r 1</w:instrText>
            </w:r>
            <w:r w:rsidR="008754B5" w:rsidRPr="00772D0E">
              <w:rPr>
                <w:b/>
                <w:sz w:val="20"/>
                <w:szCs w:val="20"/>
              </w:rPr>
              <w:fldChar w:fldCharType="end"/>
            </w:r>
          </w:p>
        </w:tc>
        <w:tc>
          <w:tcPr>
            <w:tcW w:w="1170" w:type="dxa"/>
          </w:tcPr>
          <w:p w:rsidR="00C2500C" w:rsidRPr="00772D0E" w:rsidRDefault="00C2500C" w:rsidP="00047877">
            <w:pPr>
              <w:rPr>
                <w:sz w:val="20"/>
                <w:szCs w:val="20"/>
              </w:rPr>
            </w:pPr>
          </w:p>
          <w:p w:rsidR="00C2500C" w:rsidRPr="00772D0E" w:rsidRDefault="00C2500C" w:rsidP="00047877">
            <w:pPr>
              <w:rPr>
                <w:sz w:val="20"/>
                <w:szCs w:val="20"/>
              </w:rPr>
            </w:pPr>
          </w:p>
          <w:p w:rsidR="00C2500C" w:rsidRPr="00772D0E" w:rsidRDefault="00C2500C" w:rsidP="00047877">
            <w:pPr>
              <w:rPr>
                <w:sz w:val="20"/>
                <w:szCs w:val="20"/>
              </w:rPr>
            </w:pPr>
          </w:p>
        </w:tc>
        <w:tc>
          <w:tcPr>
            <w:tcW w:w="4327" w:type="dxa"/>
          </w:tcPr>
          <w:p w:rsidR="00C2500C" w:rsidRPr="00772D0E" w:rsidRDefault="00C2500C" w:rsidP="00047877">
            <w:pPr>
              <w:rPr>
                <w:b/>
                <w:sz w:val="20"/>
                <w:szCs w:val="20"/>
                <w:lang w:val="fr-CA"/>
              </w:rPr>
            </w:pPr>
            <w:r w:rsidRPr="00772D0E">
              <w:rPr>
                <w:b/>
                <w:sz w:val="20"/>
                <w:szCs w:val="20"/>
                <w:lang w:val="fr-CA"/>
              </w:rPr>
              <w:t>Ordonnance relative à la présentation d’une plaidoirie orale par les intervenants</w:t>
            </w:r>
            <w:r w:rsidR="008754B5" w:rsidRPr="00772D0E">
              <w:rPr>
                <w:b/>
                <w:sz w:val="20"/>
                <w:szCs w:val="20"/>
              </w:rPr>
              <w:fldChar w:fldCharType="begin"/>
            </w:r>
            <w:r w:rsidRPr="00772D0E">
              <w:rPr>
                <w:b/>
                <w:sz w:val="20"/>
                <w:szCs w:val="20"/>
                <w:lang w:val="fr-CA"/>
              </w:rPr>
              <w:instrText xml:space="preserve"> SEQ CHAPTER \h \r 1</w:instrText>
            </w:r>
            <w:r w:rsidR="008754B5" w:rsidRPr="00772D0E">
              <w:rPr>
                <w:b/>
                <w:sz w:val="20"/>
                <w:szCs w:val="20"/>
              </w:rPr>
              <w:fldChar w:fldCharType="end"/>
            </w:r>
          </w:p>
        </w:tc>
      </w:tr>
      <w:tr w:rsidR="00C2500C" w:rsidRPr="00772D0E" w:rsidTr="00047877">
        <w:tc>
          <w:tcPr>
            <w:tcW w:w="1368" w:type="dxa"/>
          </w:tcPr>
          <w:p w:rsidR="00C2500C" w:rsidRPr="00772D0E" w:rsidRDefault="00C2500C" w:rsidP="00047877">
            <w:pPr>
              <w:rPr>
                <w:sz w:val="20"/>
                <w:szCs w:val="20"/>
              </w:rPr>
            </w:pPr>
            <w:r w:rsidRPr="00772D0E">
              <w:rPr>
                <w:sz w:val="20"/>
                <w:szCs w:val="20"/>
              </w:rPr>
              <w:t>RE:</w:t>
            </w:r>
          </w:p>
        </w:tc>
        <w:tc>
          <w:tcPr>
            <w:tcW w:w="2970" w:type="dxa"/>
          </w:tcPr>
          <w:p w:rsidR="00C2500C" w:rsidRPr="00772D0E" w:rsidRDefault="00C2500C" w:rsidP="00047877">
            <w:pPr>
              <w:rPr>
                <w:sz w:val="20"/>
                <w:szCs w:val="20"/>
              </w:rPr>
            </w:pPr>
            <w:r w:rsidRPr="00772D0E">
              <w:rPr>
                <w:sz w:val="20"/>
                <w:szCs w:val="20"/>
              </w:rPr>
              <w:t>Attorney General of Alberta;</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Attorney General of Saskatchewan;</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Métis National Council;</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Métis Nation of Alberta;</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Métis Nation of Ontario;</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Treaty One First Nations;</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rPr>
            </w:pPr>
            <w:r w:rsidRPr="00772D0E">
              <w:rPr>
                <w:sz w:val="20"/>
                <w:szCs w:val="20"/>
              </w:rPr>
              <w:t>Assembly of First Nations</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rPr>
                <w:sz w:val="20"/>
                <w:szCs w:val="20"/>
                <w:lang w:eastAsia="fr-FR"/>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8608D5" w:rsidTr="00047877">
        <w:tc>
          <w:tcPr>
            <w:tcW w:w="1368" w:type="dxa"/>
          </w:tcPr>
          <w:p w:rsidR="00C2500C" w:rsidRPr="00772D0E" w:rsidRDefault="00C2500C" w:rsidP="00047877">
            <w:pPr>
              <w:rPr>
                <w:sz w:val="20"/>
                <w:szCs w:val="20"/>
              </w:rPr>
            </w:pPr>
            <w:r w:rsidRPr="00772D0E">
              <w:rPr>
                <w:sz w:val="20"/>
                <w:szCs w:val="20"/>
              </w:rPr>
              <w:t>IN / DANS :</w:t>
            </w:r>
          </w:p>
        </w:tc>
        <w:tc>
          <w:tcPr>
            <w:tcW w:w="2970" w:type="dxa"/>
          </w:tcPr>
          <w:p w:rsidR="00C2500C" w:rsidRPr="00772D0E" w:rsidRDefault="00C2500C" w:rsidP="00047877">
            <w:pPr>
              <w:tabs>
                <w:tab w:val="left" w:pos="-1440"/>
                <w:tab w:val="left" w:pos="-720"/>
              </w:tabs>
              <w:jc w:val="both"/>
              <w:rPr>
                <w:sz w:val="20"/>
                <w:szCs w:val="20"/>
                <w:lang w:val="fr-CA"/>
              </w:rPr>
            </w:pPr>
            <w:r w:rsidRPr="00772D0E">
              <w:rPr>
                <w:sz w:val="20"/>
                <w:szCs w:val="20"/>
                <w:lang w:val="fr-CA"/>
              </w:rPr>
              <w:t xml:space="preserve">Manitoba Métis </w:t>
            </w:r>
            <w:proofErr w:type="spellStart"/>
            <w:r w:rsidRPr="00772D0E">
              <w:rPr>
                <w:sz w:val="20"/>
                <w:szCs w:val="20"/>
                <w:lang w:val="fr-CA"/>
              </w:rPr>
              <w:t>Federation</w:t>
            </w:r>
            <w:proofErr w:type="spellEnd"/>
            <w:r w:rsidRPr="00772D0E">
              <w:rPr>
                <w:sz w:val="20"/>
                <w:szCs w:val="20"/>
                <w:lang w:val="fr-CA"/>
              </w:rPr>
              <w:t xml:space="preserve"> Inc. et al.</w:t>
            </w:r>
          </w:p>
          <w:p w:rsidR="00C2500C" w:rsidRPr="00772D0E" w:rsidRDefault="00C2500C" w:rsidP="00047877">
            <w:pPr>
              <w:rPr>
                <w:sz w:val="20"/>
                <w:szCs w:val="20"/>
                <w:lang w:val="fr-CA"/>
              </w:rPr>
            </w:pPr>
          </w:p>
        </w:tc>
        <w:tc>
          <w:tcPr>
            <w:tcW w:w="1170" w:type="dxa"/>
          </w:tcPr>
          <w:p w:rsidR="00C2500C" w:rsidRPr="00772D0E" w:rsidRDefault="00C2500C" w:rsidP="00047877">
            <w:pPr>
              <w:rPr>
                <w:sz w:val="20"/>
                <w:szCs w:val="20"/>
                <w:lang w:val="fr-CA"/>
              </w:rPr>
            </w:pPr>
          </w:p>
        </w:tc>
        <w:tc>
          <w:tcPr>
            <w:tcW w:w="4327" w:type="dxa"/>
          </w:tcPr>
          <w:p w:rsidR="00C2500C" w:rsidRPr="00772D0E" w:rsidRDefault="00C2500C" w:rsidP="00047877">
            <w:pPr>
              <w:rPr>
                <w:sz w:val="20"/>
                <w:szCs w:val="20"/>
                <w:lang w:val="fr-CA"/>
              </w:rPr>
            </w:pPr>
          </w:p>
        </w:tc>
      </w:tr>
      <w:tr w:rsidR="00C2500C" w:rsidRPr="00772D0E" w:rsidTr="00047877">
        <w:tc>
          <w:tcPr>
            <w:tcW w:w="1368" w:type="dxa"/>
          </w:tcPr>
          <w:p w:rsidR="00C2500C" w:rsidRPr="00772D0E" w:rsidRDefault="00C2500C" w:rsidP="00047877">
            <w:pPr>
              <w:rPr>
                <w:sz w:val="20"/>
                <w:szCs w:val="20"/>
                <w:lang w:val="fr-CA"/>
              </w:rPr>
            </w:pPr>
          </w:p>
        </w:tc>
        <w:tc>
          <w:tcPr>
            <w:tcW w:w="2970" w:type="dxa"/>
          </w:tcPr>
          <w:p w:rsidR="00C2500C" w:rsidRPr="00772D0E" w:rsidRDefault="00C2500C" w:rsidP="00047877">
            <w:pPr>
              <w:rPr>
                <w:sz w:val="20"/>
                <w:szCs w:val="20"/>
              </w:rPr>
            </w:pPr>
            <w:r w:rsidRPr="00772D0E">
              <w:rPr>
                <w:sz w:val="20"/>
                <w:szCs w:val="20"/>
                <w:lang w:val="fr-CA"/>
              </w:rPr>
              <w:tab/>
            </w:r>
            <w:r w:rsidRPr="00772D0E">
              <w:rPr>
                <w:sz w:val="20"/>
                <w:szCs w:val="20"/>
              </w:rPr>
              <w:t>v. (33880)</w:t>
            </w:r>
          </w:p>
          <w:p w:rsidR="00C2500C" w:rsidRPr="00772D0E" w:rsidRDefault="00C2500C" w:rsidP="00047877">
            <w:pPr>
              <w:rPr>
                <w:sz w:val="20"/>
                <w:szCs w:val="20"/>
              </w:rPr>
            </w:pP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r w:rsidR="00C2500C" w:rsidRPr="00772D0E" w:rsidTr="00047877">
        <w:tc>
          <w:tcPr>
            <w:tcW w:w="1368" w:type="dxa"/>
          </w:tcPr>
          <w:p w:rsidR="00C2500C" w:rsidRPr="00772D0E" w:rsidRDefault="00C2500C" w:rsidP="00047877">
            <w:pPr>
              <w:rPr>
                <w:sz w:val="20"/>
                <w:szCs w:val="20"/>
              </w:rPr>
            </w:pPr>
          </w:p>
        </w:tc>
        <w:tc>
          <w:tcPr>
            <w:tcW w:w="2970" w:type="dxa"/>
          </w:tcPr>
          <w:p w:rsidR="00C2500C" w:rsidRPr="00772D0E" w:rsidRDefault="00C2500C" w:rsidP="00047877">
            <w:pPr>
              <w:jc w:val="both"/>
              <w:rPr>
                <w:sz w:val="20"/>
                <w:szCs w:val="20"/>
              </w:rPr>
            </w:pPr>
            <w:r w:rsidRPr="00772D0E">
              <w:rPr>
                <w:sz w:val="20"/>
                <w:szCs w:val="20"/>
              </w:rPr>
              <w:t xml:space="preserve">Attorney General of Canada et al. </w:t>
            </w:r>
          </w:p>
          <w:p w:rsidR="00C2500C" w:rsidRPr="00772D0E" w:rsidRDefault="00C2500C" w:rsidP="00047877">
            <w:pPr>
              <w:jc w:val="both"/>
              <w:rPr>
                <w:sz w:val="20"/>
                <w:szCs w:val="20"/>
              </w:rPr>
            </w:pPr>
            <w:r w:rsidRPr="00772D0E">
              <w:rPr>
                <w:sz w:val="20"/>
                <w:szCs w:val="20"/>
              </w:rPr>
              <w:t>(Man.)</w:t>
            </w:r>
          </w:p>
        </w:tc>
        <w:tc>
          <w:tcPr>
            <w:tcW w:w="1170" w:type="dxa"/>
          </w:tcPr>
          <w:p w:rsidR="00C2500C" w:rsidRPr="00772D0E" w:rsidRDefault="00C2500C" w:rsidP="00047877">
            <w:pPr>
              <w:rPr>
                <w:sz w:val="20"/>
                <w:szCs w:val="20"/>
              </w:rPr>
            </w:pPr>
          </w:p>
        </w:tc>
        <w:tc>
          <w:tcPr>
            <w:tcW w:w="4327" w:type="dxa"/>
          </w:tcPr>
          <w:p w:rsidR="00C2500C" w:rsidRPr="00772D0E" w:rsidRDefault="00C2500C" w:rsidP="00047877">
            <w:pPr>
              <w:rPr>
                <w:sz w:val="20"/>
                <w:szCs w:val="20"/>
              </w:rPr>
            </w:pPr>
          </w:p>
        </w:tc>
      </w:tr>
    </w:tbl>
    <w:p w:rsidR="00C2500C" w:rsidRPr="00772D0E"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rPr>
      </w:pPr>
      <w:r w:rsidRPr="00772D0E">
        <w:rPr>
          <w:b/>
          <w:bCs/>
          <w:sz w:val="20"/>
          <w:szCs w:val="20"/>
        </w:rPr>
        <w:t>FURTHER TO THE ORDER</w:t>
      </w:r>
      <w:r w:rsidRPr="00772D0E">
        <w:rPr>
          <w:sz w:val="20"/>
          <w:szCs w:val="20"/>
        </w:rPr>
        <w:t xml:space="preserve"> dated September 28, 2011, granting leave to intervene to the Attorney General of Alberta, the Attorney General of Saskatchewan, the Métis National Council, the Métis Nation of Alberta, the Métis Nation of Ontario, the Treaty One First Nations and the Assembly of First Nations; </w:t>
      </w:r>
    </w:p>
    <w:p w:rsidR="00C2500C" w:rsidRPr="00772D0E"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rPr>
      </w:pPr>
      <w:r w:rsidRPr="00772D0E">
        <w:rPr>
          <w:b/>
          <w:bCs/>
          <w:sz w:val="20"/>
          <w:szCs w:val="20"/>
        </w:rPr>
        <w:t xml:space="preserve">IT IS HEREBY FURTHER ORDERED THAT </w:t>
      </w:r>
      <w:r w:rsidR="008754B5" w:rsidRPr="00772D0E">
        <w:rPr>
          <w:sz w:val="20"/>
          <w:szCs w:val="20"/>
        </w:rPr>
        <w:fldChar w:fldCharType="begin"/>
      </w:r>
      <w:r w:rsidRPr="00772D0E">
        <w:rPr>
          <w:sz w:val="20"/>
          <w:szCs w:val="20"/>
        </w:rPr>
        <w:instrText xml:space="preserve"> SEQ CHAPTER \h \r 1</w:instrText>
      </w:r>
      <w:r w:rsidR="008754B5" w:rsidRPr="00772D0E">
        <w:rPr>
          <w:sz w:val="20"/>
          <w:szCs w:val="20"/>
        </w:rPr>
        <w:fldChar w:fldCharType="end"/>
      </w:r>
      <w:r w:rsidRPr="00772D0E">
        <w:rPr>
          <w:sz w:val="20"/>
          <w:szCs w:val="20"/>
        </w:rPr>
        <w:t>only the Attorney General of Saskatchewan, the Métis Nation of Alberta and the Métis Nation of Ontario are granted permission to present oral argument not exceeding ten (10) minutes at the hearing of the appeal.</w:t>
      </w:r>
    </w:p>
    <w:p w:rsidR="00C2500C" w:rsidRPr="00772D0E" w:rsidRDefault="00C2500C" w:rsidP="00C2500C">
      <w:pPr>
        <w:spacing w:line="233" w:lineRule="auto"/>
        <w:jc w:val="both"/>
        <w:rPr>
          <w:sz w:val="20"/>
          <w:szCs w:val="20"/>
        </w:rPr>
      </w:pPr>
    </w:p>
    <w:p w:rsidR="00C2500C"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rPr>
      </w:pPr>
    </w:p>
    <w:p w:rsidR="00C2500C" w:rsidRPr="00772D0E" w:rsidRDefault="00C2500C" w:rsidP="00C2500C">
      <w:pPr>
        <w:spacing w:line="233" w:lineRule="auto"/>
        <w:jc w:val="both"/>
        <w:rPr>
          <w:sz w:val="20"/>
          <w:szCs w:val="20"/>
          <w:lang w:val="fr-FR"/>
        </w:rPr>
      </w:pPr>
      <w:r w:rsidRPr="00772D0E">
        <w:rPr>
          <w:b/>
          <w:sz w:val="20"/>
          <w:szCs w:val="20"/>
          <w:lang w:val="fr-FR"/>
        </w:rPr>
        <w:lastRenderedPageBreak/>
        <w:t>À LA SUITE DE L'ORDONNANCE</w:t>
      </w:r>
      <w:r w:rsidRPr="00772D0E">
        <w:rPr>
          <w:sz w:val="20"/>
          <w:szCs w:val="20"/>
          <w:lang w:val="fr-FR"/>
        </w:rPr>
        <w:t xml:space="preserve"> datée du 28 septembre 2011, accordant l'autorisation d'intervenir au procureur général de l’Alberta, au procureur général de la Saskatchewan, au Ralliement national des Métis, à la Métis Nation of Alberta, à la Métis Nation of Ontario, aux </w:t>
      </w:r>
      <w:r w:rsidRPr="00772D0E">
        <w:rPr>
          <w:color w:val="000000"/>
          <w:sz w:val="20"/>
          <w:szCs w:val="20"/>
          <w:lang w:val="fr-FR"/>
        </w:rPr>
        <w:t>Premières nations du traité n</w:t>
      </w:r>
      <w:r w:rsidRPr="00772D0E">
        <w:rPr>
          <w:color w:val="000000"/>
          <w:sz w:val="20"/>
          <w:szCs w:val="20"/>
          <w:vertAlign w:val="superscript"/>
          <w:lang w:val="fr-FR"/>
        </w:rPr>
        <w:t>o</w:t>
      </w:r>
      <w:r w:rsidRPr="00772D0E">
        <w:rPr>
          <w:color w:val="000000"/>
          <w:sz w:val="20"/>
          <w:szCs w:val="20"/>
          <w:lang w:val="fr-FR"/>
        </w:rPr>
        <w:t xml:space="preserve"> 1</w:t>
      </w:r>
      <w:r w:rsidRPr="00772D0E">
        <w:rPr>
          <w:sz w:val="20"/>
          <w:szCs w:val="20"/>
          <w:lang w:val="fr-FR"/>
        </w:rPr>
        <w:t xml:space="preserve"> et à l’Assemblée des Premières Nations;  </w:t>
      </w:r>
    </w:p>
    <w:p w:rsidR="00C2500C" w:rsidRPr="00772D0E" w:rsidRDefault="00C2500C" w:rsidP="00C2500C">
      <w:pPr>
        <w:spacing w:line="233" w:lineRule="auto"/>
        <w:jc w:val="both"/>
        <w:rPr>
          <w:sz w:val="20"/>
          <w:szCs w:val="20"/>
          <w:lang w:val="fr-FR"/>
        </w:rPr>
      </w:pPr>
    </w:p>
    <w:p w:rsidR="00C2500C" w:rsidRPr="00772D0E" w:rsidRDefault="00C2500C" w:rsidP="00C2500C">
      <w:pPr>
        <w:spacing w:line="233" w:lineRule="auto"/>
        <w:jc w:val="both"/>
        <w:rPr>
          <w:sz w:val="20"/>
          <w:szCs w:val="20"/>
          <w:lang w:val="fr-FR"/>
        </w:rPr>
      </w:pPr>
      <w:r w:rsidRPr="00772D0E">
        <w:rPr>
          <w:b/>
          <w:sz w:val="20"/>
          <w:szCs w:val="20"/>
          <w:lang w:val="fr-FR"/>
        </w:rPr>
        <w:t>IL EST EN OUTRE ORDONNÉ QUE</w:t>
      </w:r>
      <w:r w:rsidRPr="00772D0E">
        <w:rPr>
          <w:sz w:val="20"/>
          <w:szCs w:val="20"/>
          <w:lang w:val="fr-FR"/>
        </w:rPr>
        <w:t xml:space="preserve"> seuls le procureur général de la Saskatchewan, la Métis Nation of Alberta et la Métis Nation of Ontario pourront présenter une plaidoirie orale d'au plus dix (10) minutes lors de l'audition de l'appel.</w:t>
      </w:r>
    </w:p>
    <w:p w:rsidR="00C2500C" w:rsidRPr="00772D0E" w:rsidRDefault="00C2500C" w:rsidP="00C2500C">
      <w:pPr>
        <w:tabs>
          <w:tab w:val="left" w:pos="-1440"/>
          <w:tab w:val="left" w:pos="-720"/>
        </w:tabs>
        <w:jc w:val="both"/>
        <w:rPr>
          <w:sz w:val="20"/>
          <w:szCs w:val="20"/>
          <w:lang w:val="fr-CA"/>
        </w:rPr>
      </w:pPr>
    </w:p>
    <w:p w:rsidR="00C2500C" w:rsidRPr="00772D0E" w:rsidRDefault="008754B5" w:rsidP="00C2500C">
      <w:pPr>
        <w:tabs>
          <w:tab w:val="left" w:pos="-1440"/>
          <w:tab w:val="left" w:pos="-720"/>
        </w:tabs>
        <w:jc w:val="both"/>
        <w:rPr>
          <w:sz w:val="20"/>
          <w:szCs w:val="20"/>
        </w:rPr>
      </w:pPr>
      <w:r w:rsidRPr="008754B5">
        <w:rPr>
          <w:sz w:val="20"/>
          <w:szCs w:val="20"/>
          <w:lang w:val="fr-CA"/>
        </w:rPr>
        <w:pict>
          <v:rect id="_x0000_i1065" style="width:2in;height:1pt" o:hrpct="0" o:hralign="center" o:hrstd="t" o:hrnoshade="t" o:hr="t" fillcolor="black [3213]" stroked="f"/>
        </w:pict>
      </w:r>
    </w:p>
    <w:p w:rsidR="00C2500C" w:rsidRPr="00772D0E" w:rsidRDefault="00C2500C" w:rsidP="00C2500C">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8608D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912F86" w:rsidP="003B3977">
            <w:pPr>
              <w:rPr>
                <w:sz w:val="20"/>
                <w:szCs w:val="20"/>
              </w:rPr>
            </w:pPr>
            <w:r>
              <w:rPr>
                <w:sz w:val="20"/>
                <w:szCs w:val="20"/>
              </w:rPr>
              <w:t>18</w:t>
            </w:r>
            <w:r w:rsidR="0010587F" w:rsidRPr="003B3977">
              <w:rPr>
                <w:sz w:val="20"/>
                <w:szCs w:val="20"/>
              </w:rPr>
              <w:t>.1</w:t>
            </w:r>
            <w:r>
              <w:rPr>
                <w:sz w:val="20"/>
                <w:szCs w:val="20"/>
              </w:rPr>
              <w:t>1</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L</w:t>
            </w:r>
            <w:r w:rsidR="00912F86">
              <w:rPr>
                <w:b/>
                <w:sz w:val="20"/>
                <w:szCs w:val="20"/>
              </w:rPr>
              <w:t>.G. (Gerry) Callaghan, in his capacity as official agent f</w:t>
            </w:r>
            <w:r w:rsidRPr="003B3977">
              <w:rPr>
                <w:b/>
                <w:sz w:val="20"/>
                <w:szCs w:val="20"/>
              </w:rPr>
              <w:t>o</w:t>
            </w:r>
            <w:r w:rsidR="00912F86">
              <w:rPr>
                <w:b/>
                <w:sz w:val="20"/>
                <w:szCs w:val="20"/>
              </w:rPr>
              <w:t>r Rob</w:t>
            </w:r>
            <w:r w:rsidRPr="003B3977">
              <w:rPr>
                <w:b/>
                <w:sz w:val="20"/>
                <w:szCs w:val="20"/>
              </w:rPr>
              <w:t>e</w:t>
            </w:r>
            <w:r w:rsidR="00912F86">
              <w:rPr>
                <w:b/>
                <w:sz w:val="20"/>
                <w:szCs w:val="20"/>
              </w:rPr>
              <w:t>rt Campb</w:t>
            </w:r>
            <w:r w:rsidRPr="003B3977">
              <w:rPr>
                <w:b/>
                <w:sz w:val="20"/>
                <w:szCs w:val="20"/>
              </w:rPr>
              <w:t>e</w:t>
            </w:r>
            <w:r w:rsidR="00912F86">
              <w:rPr>
                <w:b/>
                <w:sz w:val="20"/>
                <w:szCs w:val="20"/>
              </w:rPr>
              <w:t>ll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912F86">
              <w:rPr>
                <w:b/>
                <w:sz w:val="20"/>
                <w:szCs w:val="20"/>
              </w:rPr>
              <w:t>232</w:t>
            </w:r>
            <w:r w:rsidRPr="003B3977">
              <w:rPr>
                <w:b/>
                <w:sz w:val="20"/>
                <w:szCs w:val="20"/>
              </w:rPr>
              <w:t>)</w:t>
            </w:r>
          </w:p>
          <w:p w:rsidR="0010587F" w:rsidRPr="003B3977" w:rsidRDefault="0010587F" w:rsidP="003B3977">
            <w:pPr>
              <w:rPr>
                <w:b/>
                <w:sz w:val="20"/>
                <w:szCs w:val="20"/>
              </w:rPr>
            </w:pPr>
          </w:p>
          <w:p w:rsidR="0010587F" w:rsidRPr="003B3977" w:rsidRDefault="00912F86" w:rsidP="003B3977">
            <w:pPr>
              <w:rPr>
                <w:b/>
                <w:sz w:val="20"/>
                <w:szCs w:val="20"/>
              </w:rPr>
            </w:pPr>
            <w:r>
              <w:rPr>
                <w:b/>
                <w:sz w:val="20"/>
                <w:szCs w:val="20"/>
              </w:rPr>
              <w:t>Chief Electoral Officer of Ca</w:t>
            </w:r>
            <w:r w:rsidR="0010587F" w:rsidRPr="003B3977">
              <w:rPr>
                <w:b/>
                <w:sz w:val="20"/>
                <w:szCs w:val="20"/>
              </w:rPr>
              <w:t>n</w:t>
            </w:r>
            <w:r>
              <w:rPr>
                <w:b/>
                <w:sz w:val="20"/>
                <w:szCs w:val="20"/>
              </w:rPr>
              <w:t>ada</w:t>
            </w:r>
            <w:r w:rsidR="0010587F" w:rsidRPr="003B3977">
              <w:rPr>
                <w:b/>
                <w:sz w:val="20"/>
                <w:szCs w:val="20"/>
              </w:rPr>
              <w:t xml:space="preserve"> (</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12F86">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754B5" w:rsidP="003B3977">
            <w:pPr>
              <w:rPr>
                <w:sz w:val="20"/>
                <w:szCs w:val="20"/>
                <w:lang w:val="fr-CA"/>
              </w:rPr>
            </w:pPr>
            <w:r w:rsidRPr="008754B5">
              <w:rPr>
                <w:sz w:val="20"/>
                <w:szCs w:val="20"/>
                <w:lang w:val="fr-CA"/>
              </w:rPr>
              <w:pict>
                <v:rect id="_x0000_i106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912F86" w:rsidP="003B3977">
            <w:pPr>
              <w:rPr>
                <w:sz w:val="20"/>
                <w:szCs w:val="20"/>
              </w:rPr>
            </w:pPr>
            <w:r>
              <w:rPr>
                <w:sz w:val="20"/>
                <w:szCs w:val="20"/>
              </w:rPr>
              <w:t>18</w:t>
            </w:r>
            <w:r w:rsidR="0010587F" w:rsidRPr="003B3977">
              <w:rPr>
                <w:sz w:val="20"/>
                <w:szCs w:val="20"/>
              </w:rPr>
              <w:t>.1</w:t>
            </w:r>
            <w:r>
              <w:rPr>
                <w:sz w:val="20"/>
                <w:szCs w:val="20"/>
              </w:rPr>
              <w:t>1</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912F86" w:rsidP="003B3977">
            <w:pPr>
              <w:rPr>
                <w:b/>
                <w:sz w:val="20"/>
                <w:szCs w:val="20"/>
              </w:rPr>
            </w:pPr>
            <w:proofErr w:type="spellStart"/>
            <w:r>
              <w:rPr>
                <w:b/>
                <w:sz w:val="20"/>
                <w:szCs w:val="20"/>
              </w:rPr>
              <w:t>Telus</w:t>
            </w:r>
            <w:proofErr w:type="spellEnd"/>
            <w:r>
              <w:rPr>
                <w:b/>
                <w:sz w:val="20"/>
                <w:szCs w:val="20"/>
              </w:rPr>
              <w:t xml:space="preserve"> Communications Company</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12F86">
              <w:rPr>
                <w:b/>
                <w:sz w:val="20"/>
                <w:szCs w:val="20"/>
              </w:rPr>
              <w:t>4252</w:t>
            </w:r>
            <w:r w:rsidRPr="003B3977">
              <w:rPr>
                <w:b/>
                <w:sz w:val="20"/>
                <w:szCs w:val="20"/>
              </w:rPr>
              <w:t>)</w:t>
            </w:r>
          </w:p>
          <w:p w:rsidR="0010587F" w:rsidRPr="003B3977" w:rsidRDefault="0010587F" w:rsidP="003B3977">
            <w:pPr>
              <w:rPr>
                <w:b/>
                <w:sz w:val="20"/>
                <w:szCs w:val="20"/>
              </w:rPr>
            </w:pPr>
          </w:p>
          <w:p w:rsidR="0010587F" w:rsidRPr="00912F86" w:rsidRDefault="00912F86" w:rsidP="003B3977">
            <w:pPr>
              <w:rPr>
                <w:b/>
                <w:sz w:val="20"/>
                <w:szCs w:val="20"/>
              </w:rPr>
            </w:pPr>
            <w:r w:rsidRPr="00912F86">
              <w:rPr>
                <w:b/>
                <w:sz w:val="20"/>
                <w:szCs w:val="20"/>
              </w:rPr>
              <w:t xml:space="preserve">Her Majesty the Queen </w:t>
            </w:r>
            <w:r w:rsidR="0010587F" w:rsidRPr="00912F86">
              <w:rPr>
                <w:b/>
                <w:sz w:val="20"/>
                <w:szCs w:val="20"/>
              </w:rPr>
              <w:t>(Ont.)</w:t>
            </w:r>
          </w:p>
          <w:p w:rsidR="0010587F" w:rsidRPr="00912F86" w:rsidRDefault="0010587F" w:rsidP="003B3977">
            <w:pPr>
              <w:rPr>
                <w:sz w:val="20"/>
                <w:szCs w:val="20"/>
              </w:rPr>
            </w:pPr>
          </w:p>
          <w:p w:rsidR="0010587F" w:rsidRPr="003B3977" w:rsidRDefault="0010587F" w:rsidP="003B3977">
            <w:pPr>
              <w:rPr>
                <w:sz w:val="20"/>
                <w:szCs w:val="20"/>
              </w:rPr>
            </w:pPr>
            <w:r w:rsidRPr="003B3977">
              <w:rPr>
                <w:sz w:val="20"/>
                <w:szCs w:val="20"/>
              </w:rPr>
              <w:t>(</w:t>
            </w:r>
            <w:r w:rsidR="00912F86">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754B5" w:rsidP="003B3977">
            <w:pPr>
              <w:rPr>
                <w:sz w:val="20"/>
                <w:szCs w:val="20"/>
              </w:rPr>
            </w:pPr>
            <w:r w:rsidRPr="008754B5">
              <w:rPr>
                <w:sz w:val="20"/>
                <w:szCs w:val="20"/>
                <w:lang w:val="fr-CA"/>
              </w:rPr>
              <w:pict>
                <v:rect id="_x0000_i106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8608D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527B7A" w:rsidRDefault="00961AF7" w:rsidP="00AF1715">
      <w:pPr>
        <w:rPr>
          <w:b/>
          <w:sz w:val="20"/>
          <w:szCs w:val="20"/>
          <w:lang w:val="fr-CA"/>
        </w:rPr>
      </w:pPr>
      <w:r w:rsidRPr="00527B7A">
        <w:rPr>
          <w:b/>
          <w:sz w:val="20"/>
          <w:szCs w:val="20"/>
          <w:lang w:val="fr-CA"/>
        </w:rPr>
        <w:t>NOV</w:t>
      </w:r>
      <w:r w:rsidR="00AF1715" w:rsidRPr="00527B7A">
        <w:rPr>
          <w:b/>
          <w:sz w:val="20"/>
          <w:szCs w:val="20"/>
          <w:lang w:val="fr-CA"/>
        </w:rPr>
        <w:t xml:space="preserve">EMBER </w:t>
      </w:r>
      <w:r w:rsidRPr="00527B7A">
        <w:rPr>
          <w:b/>
          <w:sz w:val="20"/>
          <w:szCs w:val="20"/>
          <w:lang w:val="fr-CA"/>
        </w:rPr>
        <w:t>30</w:t>
      </w:r>
      <w:r w:rsidR="00AF1715" w:rsidRPr="00527B7A">
        <w:rPr>
          <w:b/>
          <w:sz w:val="20"/>
          <w:szCs w:val="20"/>
          <w:lang w:val="fr-CA"/>
        </w:rPr>
        <w:t>, 201</w:t>
      </w:r>
      <w:r w:rsidRPr="00527B7A">
        <w:rPr>
          <w:b/>
          <w:sz w:val="20"/>
          <w:szCs w:val="20"/>
          <w:lang w:val="fr-CA"/>
        </w:rPr>
        <w:t>1</w:t>
      </w:r>
      <w:r w:rsidR="00AF1715" w:rsidRPr="00527B7A">
        <w:rPr>
          <w:b/>
          <w:sz w:val="20"/>
          <w:szCs w:val="20"/>
          <w:lang w:val="fr-CA"/>
        </w:rPr>
        <w:t xml:space="preserve"> / LE </w:t>
      </w:r>
      <w:r w:rsidRPr="00527B7A">
        <w:rPr>
          <w:b/>
          <w:sz w:val="20"/>
          <w:szCs w:val="20"/>
          <w:lang w:val="fr-CA"/>
        </w:rPr>
        <w:t>30</w:t>
      </w:r>
      <w:r w:rsidR="00AF1715" w:rsidRPr="00527B7A">
        <w:rPr>
          <w:b/>
          <w:sz w:val="20"/>
          <w:szCs w:val="20"/>
          <w:lang w:val="fr-CA"/>
        </w:rPr>
        <w:t xml:space="preserve"> NOVEMBRE 201</w:t>
      </w:r>
      <w:r w:rsidRPr="00527B7A">
        <w:rPr>
          <w:b/>
          <w:sz w:val="20"/>
          <w:szCs w:val="20"/>
          <w:lang w:val="fr-CA"/>
        </w:rPr>
        <w:t>1</w:t>
      </w:r>
    </w:p>
    <w:p w:rsidR="00AF1715" w:rsidRPr="00527B7A" w:rsidRDefault="00AF1715" w:rsidP="00AF1715">
      <w:pPr>
        <w:rPr>
          <w:sz w:val="20"/>
          <w:szCs w:val="20"/>
          <w:lang w:val="fr-CA"/>
        </w:rPr>
      </w:pPr>
    </w:p>
    <w:p w:rsidR="00961AF7" w:rsidRPr="00B4613B" w:rsidRDefault="00961AF7" w:rsidP="00961AF7">
      <w:pPr>
        <w:ind w:left="1440" w:hanging="1440"/>
        <w:jc w:val="both"/>
        <w:rPr>
          <w:b/>
          <w:sz w:val="20"/>
          <w:szCs w:val="20"/>
          <w:lang w:val="fr-CA"/>
        </w:rPr>
      </w:pPr>
      <w:r w:rsidRPr="00961AF7">
        <w:rPr>
          <w:b/>
          <w:sz w:val="20"/>
          <w:szCs w:val="20"/>
          <w:lang w:val="fr-CA"/>
        </w:rPr>
        <w:t>33687</w:t>
      </w:r>
      <w:r w:rsidRPr="00961AF7">
        <w:rPr>
          <w:sz w:val="20"/>
          <w:szCs w:val="20"/>
          <w:lang w:val="fr-CA"/>
        </w:rPr>
        <w:tab/>
      </w:r>
      <w:r w:rsidRPr="00B4613B">
        <w:rPr>
          <w:b/>
          <w:sz w:val="20"/>
          <w:szCs w:val="20"/>
          <w:u w:val="single"/>
          <w:lang w:val="fr-CA"/>
        </w:rPr>
        <w:t>Tommy Bouchard-Lebrun c. Sa Majesté la Reine</w:t>
      </w:r>
      <w:r w:rsidRPr="00961AF7">
        <w:rPr>
          <w:b/>
          <w:sz w:val="20"/>
          <w:szCs w:val="20"/>
          <w:u w:val="single"/>
          <w:lang w:val="fr-CA"/>
        </w:rPr>
        <w:t xml:space="preserve"> – et – </w:t>
      </w:r>
      <w:r w:rsidRPr="00B4613B">
        <w:rPr>
          <w:b/>
          <w:sz w:val="20"/>
          <w:szCs w:val="20"/>
          <w:u w:val="single"/>
          <w:lang w:val="fr-CA"/>
        </w:rPr>
        <w:t>Procureur général du Canada et procureur général de l’Ontario</w:t>
      </w:r>
      <w:r w:rsidRPr="00B4613B">
        <w:rPr>
          <w:b/>
          <w:bCs/>
          <w:iCs/>
          <w:sz w:val="20"/>
          <w:szCs w:val="20"/>
          <w:lang w:val="fr-CA"/>
        </w:rPr>
        <w:t xml:space="preserve"> </w:t>
      </w:r>
      <w:r w:rsidRPr="00B4613B">
        <w:rPr>
          <w:sz w:val="20"/>
          <w:szCs w:val="20"/>
          <w:lang w:val="fr-CA"/>
        </w:rPr>
        <w:t>(</w:t>
      </w:r>
      <w:proofErr w:type="spellStart"/>
      <w:r w:rsidRPr="00B4613B">
        <w:rPr>
          <w:sz w:val="20"/>
          <w:szCs w:val="20"/>
          <w:lang w:val="fr-CA"/>
        </w:rPr>
        <w:t>Qc</w:t>
      </w:r>
      <w:proofErr w:type="spellEnd"/>
      <w:r w:rsidRPr="00B4613B">
        <w:rPr>
          <w:sz w:val="20"/>
          <w:szCs w:val="20"/>
          <w:lang w:val="fr-CA"/>
        </w:rPr>
        <w:t>)</w:t>
      </w:r>
    </w:p>
    <w:p w:rsidR="00961AF7" w:rsidRPr="00B4613B" w:rsidRDefault="00961AF7" w:rsidP="00961AF7">
      <w:pPr>
        <w:ind w:left="1440" w:hanging="1440"/>
        <w:jc w:val="both"/>
        <w:rPr>
          <w:b/>
          <w:sz w:val="20"/>
          <w:szCs w:val="20"/>
          <w:lang w:val="fr-CA"/>
        </w:rPr>
      </w:pPr>
      <w:r w:rsidRPr="00B4613B">
        <w:rPr>
          <w:b/>
          <w:sz w:val="20"/>
          <w:szCs w:val="20"/>
          <w:lang w:val="fr-CA"/>
        </w:rPr>
        <w:tab/>
        <w:t>2011 SCC 58 / 2011 CSC 58</w:t>
      </w:r>
    </w:p>
    <w:p w:rsidR="00961AF7" w:rsidRPr="00B4613B" w:rsidRDefault="00961AF7" w:rsidP="00961AF7">
      <w:pPr>
        <w:ind w:left="1440" w:hanging="1440"/>
        <w:jc w:val="both"/>
        <w:rPr>
          <w:b/>
          <w:sz w:val="20"/>
          <w:szCs w:val="20"/>
          <w:lang w:val="fr-CA"/>
        </w:rPr>
      </w:pPr>
    </w:p>
    <w:p w:rsidR="00961AF7" w:rsidRPr="00B4613B" w:rsidRDefault="00961AF7" w:rsidP="00961AF7">
      <w:pPr>
        <w:ind w:left="1440" w:hanging="1440"/>
        <w:jc w:val="both"/>
        <w:rPr>
          <w:sz w:val="20"/>
          <w:szCs w:val="20"/>
          <w:u w:val="single"/>
          <w:lang w:val="fr-CA"/>
        </w:rPr>
      </w:pPr>
      <w:r w:rsidRPr="00B4613B">
        <w:rPr>
          <w:sz w:val="20"/>
          <w:szCs w:val="20"/>
          <w:lang w:val="fr-CA"/>
        </w:rPr>
        <w:t xml:space="preserve">Coram: </w:t>
      </w:r>
      <w:r>
        <w:rPr>
          <w:sz w:val="20"/>
          <w:szCs w:val="20"/>
          <w:lang w:val="fr-CA"/>
        </w:rPr>
        <w:tab/>
      </w:r>
      <w:r w:rsidRPr="00B4613B">
        <w:rPr>
          <w:sz w:val="20"/>
          <w:szCs w:val="20"/>
          <w:u w:val="single"/>
          <w:lang w:val="fr-CA"/>
        </w:rPr>
        <w:t xml:space="preserve">La juge en chef </w:t>
      </w:r>
      <w:proofErr w:type="spellStart"/>
      <w:r w:rsidRPr="00B4613B">
        <w:rPr>
          <w:sz w:val="20"/>
          <w:szCs w:val="20"/>
          <w:u w:val="single"/>
          <w:lang w:val="fr-CA"/>
        </w:rPr>
        <w:t>McLachlin</w:t>
      </w:r>
      <w:proofErr w:type="spellEnd"/>
      <w:r w:rsidRPr="00B4613B">
        <w:rPr>
          <w:sz w:val="20"/>
          <w:szCs w:val="20"/>
          <w:u w:val="single"/>
          <w:lang w:val="fr-CA"/>
        </w:rPr>
        <w:t xml:space="preserve"> et les juges </w:t>
      </w:r>
      <w:proofErr w:type="spellStart"/>
      <w:r w:rsidRPr="00B4613B">
        <w:rPr>
          <w:sz w:val="20"/>
          <w:szCs w:val="20"/>
          <w:u w:val="single"/>
          <w:lang w:val="fr-CA"/>
        </w:rPr>
        <w:t>Binnie</w:t>
      </w:r>
      <w:proofErr w:type="spellEnd"/>
      <w:r w:rsidRPr="00B4613B">
        <w:rPr>
          <w:sz w:val="20"/>
          <w:szCs w:val="20"/>
          <w:u w:val="single"/>
          <w:lang w:val="fr-CA"/>
        </w:rPr>
        <w:t xml:space="preserve">, </w:t>
      </w:r>
      <w:proofErr w:type="spellStart"/>
      <w:r w:rsidRPr="00B4613B">
        <w:rPr>
          <w:sz w:val="20"/>
          <w:szCs w:val="20"/>
          <w:u w:val="single"/>
          <w:lang w:val="fr-CA"/>
        </w:rPr>
        <w:t>LeBel</w:t>
      </w:r>
      <w:proofErr w:type="spellEnd"/>
      <w:r w:rsidRPr="00B4613B">
        <w:rPr>
          <w:sz w:val="20"/>
          <w:szCs w:val="20"/>
          <w:u w:val="single"/>
          <w:lang w:val="fr-CA"/>
        </w:rPr>
        <w:t xml:space="preserve">, Deschamps, Fish, Abella, Charron, </w:t>
      </w:r>
      <w:proofErr w:type="spellStart"/>
      <w:r w:rsidRPr="00B4613B">
        <w:rPr>
          <w:sz w:val="20"/>
          <w:szCs w:val="20"/>
          <w:u w:val="single"/>
          <w:lang w:val="fr-CA"/>
        </w:rPr>
        <w:t>Rothstein</w:t>
      </w:r>
      <w:proofErr w:type="spellEnd"/>
      <w:r w:rsidRPr="00B4613B">
        <w:rPr>
          <w:sz w:val="20"/>
          <w:szCs w:val="20"/>
          <w:u w:val="single"/>
          <w:lang w:val="fr-CA"/>
        </w:rPr>
        <w:t xml:space="preserve"> et Cromwell</w:t>
      </w:r>
    </w:p>
    <w:p w:rsidR="00961AF7" w:rsidRPr="00B4613B" w:rsidRDefault="00961AF7" w:rsidP="00927924">
      <w:pPr>
        <w:jc w:val="both"/>
        <w:rPr>
          <w:sz w:val="20"/>
          <w:szCs w:val="20"/>
          <w:lang w:val="fr-CA"/>
        </w:rPr>
      </w:pPr>
    </w:p>
    <w:p w:rsidR="00961AF7" w:rsidRPr="00B4613B" w:rsidRDefault="00961AF7" w:rsidP="00961AF7">
      <w:pPr>
        <w:jc w:val="both"/>
        <w:rPr>
          <w:sz w:val="20"/>
          <w:szCs w:val="20"/>
          <w:lang w:val="fr-CA"/>
        </w:rPr>
      </w:pPr>
      <w:r w:rsidRPr="00B4613B">
        <w:rPr>
          <w:sz w:val="20"/>
          <w:szCs w:val="20"/>
          <w:lang w:val="fr-CA"/>
        </w:rPr>
        <w:t>L’appel interjeté contre l’arrêt de la Cour d’appel du Québec (Québec), numéro 200-10-002299-084, 2010 QCCA 402, en date du 3 mars 2010, entendu le 16 mai 2011, est rejeté sans dépens.</w:t>
      </w:r>
    </w:p>
    <w:p w:rsidR="00961AF7" w:rsidRPr="00B4613B" w:rsidRDefault="00961AF7" w:rsidP="00961AF7">
      <w:pPr>
        <w:jc w:val="both"/>
        <w:rPr>
          <w:sz w:val="20"/>
          <w:szCs w:val="20"/>
          <w:lang w:val="fr-CA"/>
        </w:rPr>
      </w:pPr>
    </w:p>
    <w:p w:rsidR="00961AF7" w:rsidRPr="00B4613B" w:rsidRDefault="00961AF7" w:rsidP="00961AF7">
      <w:pPr>
        <w:jc w:val="both"/>
        <w:rPr>
          <w:sz w:val="20"/>
          <w:szCs w:val="20"/>
        </w:rPr>
      </w:pPr>
      <w:r w:rsidRPr="00B4613B">
        <w:rPr>
          <w:sz w:val="20"/>
          <w:szCs w:val="20"/>
        </w:rPr>
        <w:t>The appeal from the judgment of the Court of Appeal of Quebec (Québec), Number 200-10-002299-084, 2010 QCCA 402, dated March 3, 2010, heard on May 16, 2011, is dismissed without costs.</w:t>
      </w:r>
    </w:p>
    <w:p w:rsidR="00961AF7" w:rsidRDefault="00961AF7" w:rsidP="00AF1715">
      <w:pPr>
        <w:rPr>
          <w:sz w:val="20"/>
          <w:szCs w:val="20"/>
        </w:rPr>
      </w:pPr>
    </w:p>
    <w:p w:rsidR="00AF1715" w:rsidRPr="006C5F7A" w:rsidRDefault="008754B5" w:rsidP="00AF1715">
      <w:pPr>
        <w:spacing w:line="0" w:lineRule="atLeast"/>
        <w:rPr>
          <w:rFonts w:cs="Times New Roman"/>
          <w:b/>
          <w:sz w:val="20"/>
          <w:szCs w:val="20"/>
        </w:rPr>
      </w:pPr>
      <w:r w:rsidRPr="008754B5">
        <w:rPr>
          <w:rFonts w:cs="Times New Roman"/>
          <w:b/>
          <w:sz w:val="20"/>
          <w:szCs w:val="20"/>
        </w:rPr>
        <w:pict>
          <v:rect id="_x0000_i1072" style="width:144.3pt;height:1pt" o:hrpct="300" o:hralign="center" o:hrstd="t" o:hrnoshade="t" o:hr="t" fillcolor="black [3213]" stroked="f"/>
        </w:pict>
      </w:r>
    </w:p>
    <w:p w:rsidR="00AF1715" w:rsidRPr="00927924" w:rsidRDefault="00AF1715" w:rsidP="00AF1715">
      <w:pPr>
        <w:spacing w:line="0" w:lineRule="atLeast"/>
        <w:rPr>
          <w:rFonts w:cs="Times New Roman"/>
          <w:sz w:val="20"/>
          <w:szCs w:val="20"/>
        </w:rPr>
      </w:pPr>
    </w:p>
    <w:p w:rsidR="00AF1715" w:rsidRPr="00927152" w:rsidRDefault="00E36B8C" w:rsidP="00927924">
      <w:pPr>
        <w:jc w:val="both"/>
        <w:rPr>
          <w:rFonts w:cs="Times New Roman"/>
          <w:sz w:val="20"/>
          <w:szCs w:val="20"/>
        </w:rPr>
      </w:pPr>
      <w:r w:rsidRPr="00927152">
        <w:rPr>
          <w:rFonts w:cs="Times New Roman"/>
          <w:b/>
          <w:sz w:val="20"/>
          <w:szCs w:val="20"/>
        </w:rPr>
        <w:t>DECEMBER 2, 2011 / LE 2 DÉCEMBRE 2011</w:t>
      </w:r>
    </w:p>
    <w:p w:rsidR="00E36B8C" w:rsidRPr="00927152" w:rsidRDefault="00E36B8C" w:rsidP="00927924">
      <w:pPr>
        <w:jc w:val="both"/>
        <w:rPr>
          <w:rFonts w:cs="Times New Roman"/>
          <w:sz w:val="20"/>
          <w:szCs w:val="20"/>
        </w:rPr>
      </w:pPr>
    </w:p>
    <w:p w:rsidR="0036450C" w:rsidRPr="0036450C" w:rsidRDefault="0036450C" w:rsidP="0036450C">
      <w:pPr>
        <w:ind w:left="1440" w:hanging="1440"/>
        <w:jc w:val="both"/>
        <w:rPr>
          <w:b/>
          <w:sz w:val="20"/>
          <w:szCs w:val="20"/>
        </w:rPr>
      </w:pPr>
      <w:r w:rsidRPr="00867351">
        <w:rPr>
          <w:b/>
          <w:sz w:val="20"/>
          <w:szCs w:val="20"/>
        </w:rPr>
        <w:t>33795</w:t>
      </w:r>
      <w:r w:rsidRPr="00867351">
        <w:rPr>
          <w:sz w:val="20"/>
          <w:szCs w:val="20"/>
        </w:rPr>
        <w:tab/>
      </w:r>
      <w:r w:rsidRPr="00867351">
        <w:rPr>
          <w:b/>
          <w:sz w:val="20"/>
          <w:szCs w:val="20"/>
          <w:u w:val="single"/>
        </w:rPr>
        <w:t>Nor-Man Regional Health Authority Inc.</w:t>
      </w:r>
      <w:r w:rsidRPr="0036450C">
        <w:rPr>
          <w:b/>
          <w:sz w:val="20"/>
          <w:szCs w:val="20"/>
          <w:u w:val="single"/>
        </w:rPr>
        <w:t xml:space="preserve"> v. </w:t>
      </w:r>
      <w:r w:rsidRPr="00867351">
        <w:rPr>
          <w:b/>
          <w:sz w:val="20"/>
          <w:szCs w:val="20"/>
          <w:u w:val="single"/>
        </w:rPr>
        <w:t>Manitoba Association of Health Care Professionals – and – Attorney General of British Columbia</w:t>
      </w:r>
      <w:r w:rsidRPr="0036450C">
        <w:rPr>
          <w:b/>
          <w:bCs/>
          <w:iCs/>
          <w:sz w:val="20"/>
          <w:szCs w:val="20"/>
        </w:rPr>
        <w:t xml:space="preserve"> </w:t>
      </w:r>
      <w:r w:rsidRPr="0036450C">
        <w:rPr>
          <w:sz w:val="20"/>
          <w:szCs w:val="20"/>
        </w:rPr>
        <w:t>(Man.)</w:t>
      </w:r>
    </w:p>
    <w:p w:rsidR="0036450C" w:rsidRPr="00867351" w:rsidRDefault="0036450C" w:rsidP="0036450C">
      <w:pPr>
        <w:ind w:left="1440" w:hanging="1440"/>
        <w:jc w:val="both"/>
        <w:rPr>
          <w:b/>
          <w:sz w:val="20"/>
          <w:szCs w:val="20"/>
        </w:rPr>
      </w:pPr>
      <w:r w:rsidRPr="0036450C">
        <w:rPr>
          <w:b/>
          <w:sz w:val="20"/>
          <w:szCs w:val="20"/>
        </w:rPr>
        <w:tab/>
      </w:r>
      <w:r w:rsidRPr="00867351">
        <w:rPr>
          <w:b/>
          <w:sz w:val="20"/>
          <w:szCs w:val="20"/>
        </w:rPr>
        <w:t>2011 SCC 59 / 2011 CSC 59</w:t>
      </w:r>
    </w:p>
    <w:p w:rsidR="0036450C" w:rsidRPr="00867351" w:rsidRDefault="0036450C" w:rsidP="0036450C">
      <w:pPr>
        <w:ind w:left="1440" w:hanging="1440"/>
        <w:jc w:val="both"/>
        <w:rPr>
          <w:b/>
          <w:sz w:val="20"/>
          <w:szCs w:val="20"/>
        </w:rPr>
      </w:pPr>
    </w:p>
    <w:p w:rsidR="0036450C" w:rsidRPr="00867351" w:rsidRDefault="0036450C" w:rsidP="0036450C">
      <w:pPr>
        <w:ind w:left="1440" w:hanging="1440"/>
        <w:jc w:val="both"/>
        <w:rPr>
          <w:sz w:val="20"/>
          <w:szCs w:val="20"/>
          <w:u w:val="single"/>
        </w:rPr>
      </w:pPr>
      <w:r w:rsidRPr="00867351">
        <w:rPr>
          <w:sz w:val="20"/>
          <w:szCs w:val="20"/>
        </w:rPr>
        <w:t>Coram:</w:t>
      </w:r>
      <w:r>
        <w:rPr>
          <w:sz w:val="20"/>
          <w:szCs w:val="20"/>
        </w:rPr>
        <w:tab/>
      </w:r>
      <w:proofErr w:type="spellStart"/>
      <w:r w:rsidRPr="00867351">
        <w:rPr>
          <w:sz w:val="20"/>
          <w:szCs w:val="20"/>
          <w:u w:val="single"/>
        </w:rPr>
        <w:t>McLachlin</w:t>
      </w:r>
      <w:proofErr w:type="spellEnd"/>
      <w:r w:rsidRPr="00867351">
        <w:rPr>
          <w:sz w:val="20"/>
          <w:szCs w:val="20"/>
          <w:u w:val="single"/>
        </w:rPr>
        <w:t xml:space="preserve"> C.J. and </w:t>
      </w:r>
      <w:proofErr w:type="spellStart"/>
      <w:r w:rsidRPr="00867351">
        <w:rPr>
          <w:sz w:val="20"/>
          <w:szCs w:val="20"/>
          <w:u w:val="single"/>
        </w:rPr>
        <w:t>LeBel</w:t>
      </w:r>
      <w:proofErr w:type="spellEnd"/>
      <w:r w:rsidRPr="00867351">
        <w:rPr>
          <w:sz w:val="20"/>
          <w:szCs w:val="20"/>
          <w:u w:val="single"/>
        </w:rPr>
        <w:t xml:space="preserve">, </w:t>
      </w:r>
      <w:proofErr w:type="spellStart"/>
      <w:r w:rsidRPr="00867351">
        <w:rPr>
          <w:sz w:val="20"/>
          <w:szCs w:val="20"/>
          <w:u w:val="single"/>
        </w:rPr>
        <w:t>Deschamps</w:t>
      </w:r>
      <w:proofErr w:type="spellEnd"/>
      <w:r w:rsidRPr="00867351">
        <w:rPr>
          <w:sz w:val="20"/>
          <w:szCs w:val="20"/>
          <w:u w:val="single"/>
        </w:rPr>
        <w:t xml:space="preserve">, Fish, </w:t>
      </w:r>
      <w:proofErr w:type="spellStart"/>
      <w:r w:rsidRPr="00867351">
        <w:rPr>
          <w:sz w:val="20"/>
          <w:szCs w:val="20"/>
          <w:u w:val="single"/>
        </w:rPr>
        <w:t>Abella</w:t>
      </w:r>
      <w:proofErr w:type="spellEnd"/>
      <w:r w:rsidRPr="00867351">
        <w:rPr>
          <w:sz w:val="20"/>
          <w:szCs w:val="20"/>
          <w:u w:val="single"/>
        </w:rPr>
        <w:t>, Rothstein and Cromwell JJ.</w:t>
      </w:r>
    </w:p>
    <w:p w:rsidR="0036450C" w:rsidRPr="00867351" w:rsidRDefault="0036450C" w:rsidP="0036450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6450C" w:rsidRPr="00867351" w:rsidRDefault="0036450C" w:rsidP="0036450C">
      <w:pPr>
        <w:jc w:val="both"/>
        <w:rPr>
          <w:sz w:val="20"/>
          <w:szCs w:val="20"/>
          <w:lang w:val="fr-CA"/>
        </w:rPr>
      </w:pPr>
      <w:r w:rsidRPr="00867351">
        <w:rPr>
          <w:sz w:val="20"/>
          <w:szCs w:val="20"/>
        </w:rPr>
        <w:t xml:space="preserve">The appeal from the judgment </w:t>
      </w:r>
      <w:bookmarkStart w:id="1" w:name="BM_1_"/>
      <w:bookmarkEnd w:id="1"/>
      <w:r w:rsidRPr="00867351">
        <w:rPr>
          <w:sz w:val="20"/>
          <w:szCs w:val="20"/>
        </w:rPr>
        <w:t xml:space="preserve">of the Court of Appeal of Manitoba, Number AI 09-30-07226, 2010 MBCA 55, dated May 18, 2010, heard on October 20, 2011, is allowed with costs.  </w:t>
      </w:r>
      <w:r w:rsidRPr="00867351">
        <w:rPr>
          <w:sz w:val="20"/>
          <w:szCs w:val="20"/>
          <w:lang w:val="fr-CA"/>
        </w:rPr>
        <w:t xml:space="preserve">The labour </w:t>
      </w:r>
      <w:proofErr w:type="spellStart"/>
      <w:r w:rsidRPr="0036450C">
        <w:rPr>
          <w:sz w:val="20"/>
          <w:szCs w:val="20"/>
          <w:lang w:val="fr-CA"/>
        </w:rPr>
        <w:t>arbitrator’s</w:t>
      </w:r>
      <w:proofErr w:type="spellEnd"/>
      <w:r w:rsidRPr="0036450C">
        <w:rPr>
          <w:sz w:val="20"/>
          <w:szCs w:val="20"/>
          <w:lang w:val="fr-CA"/>
        </w:rPr>
        <w:t xml:space="preserve"> </w:t>
      </w:r>
      <w:proofErr w:type="spellStart"/>
      <w:r w:rsidRPr="0036450C">
        <w:rPr>
          <w:sz w:val="20"/>
          <w:szCs w:val="20"/>
          <w:lang w:val="fr-CA"/>
        </w:rPr>
        <w:t>award</w:t>
      </w:r>
      <w:proofErr w:type="spellEnd"/>
      <w:r w:rsidRPr="0036450C">
        <w:rPr>
          <w:sz w:val="20"/>
          <w:szCs w:val="20"/>
          <w:lang w:val="fr-CA"/>
        </w:rPr>
        <w:t xml:space="preserve"> </w:t>
      </w:r>
      <w:proofErr w:type="spellStart"/>
      <w:r w:rsidRPr="0036450C">
        <w:rPr>
          <w:sz w:val="20"/>
          <w:szCs w:val="20"/>
          <w:lang w:val="fr-CA"/>
        </w:rPr>
        <w:t>is</w:t>
      </w:r>
      <w:proofErr w:type="spellEnd"/>
      <w:r w:rsidRPr="0036450C">
        <w:rPr>
          <w:sz w:val="20"/>
          <w:szCs w:val="20"/>
          <w:lang w:val="fr-CA"/>
        </w:rPr>
        <w:t xml:space="preserve"> </w:t>
      </w:r>
      <w:proofErr w:type="spellStart"/>
      <w:r w:rsidRPr="0036450C">
        <w:rPr>
          <w:sz w:val="20"/>
          <w:szCs w:val="20"/>
          <w:lang w:val="fr-CA"/>
        </w:rPr>
        <w:t>restored</w:t>
      </w:r>
      <w:proofErr w:type="spellEnd"/>
      <w:r w:rsidRPr="0036450C">
        <w:rPr>
          <w:sz w:val="20"/>
          <w:szCs w:val="20"/>
          <w:lang w:val="fr-CA"/>
        </w:rPr>
        <w:t xml:space="preserve"> in </w:t>
      </w:r>
      <w:proofErr w:type="spellStart"/>
      <w:r w:rsidRPr="0036450C">
        <w:rPr>
          <w:sz w:val="20"/>
          <w:szCs w:val="20"/>
          <w:lang w:val="fr-CA"/>
        </w:rPr>
        <w:t>its</w:t>
      </w:r>
      <w:proofErr w:type="spellEnd"/>
      <w:r w:rsidRPr="0036450C">
        <w:rPr>
          <w:sz w:val="20"/>
          <w:szCs w:val="20"/>
          <w:lang w:val="fr-CA"/>
        </w:rPr>
        <w:t xml:space="preserve"> </w:t>
      </w:r>
      <w:proofErr w:type="spellStart"/>
      <w:r w:rsidRPr="0036450C">
        <w:rPr>
          <w:sz w:val="20"/>
          <w:szCs w:val="20"/>
          <w:lang w:val="fr-CA"/>
        </w:rPr>
        <w:t>entirety</w:t>
      </w:r>
      <w:proofErr w:type="spellEnd"/>
      <w:r w:rsidRPr="00867351">
        <w:rPr>
          <w:sz w:val="20"/>
          <w:szCs w:val="20"/>
          <w:lang w:val="fr-CA"/>
        </w:rPr>
        <w:t>.</w:t>
      </w:r>
    </w:p>
    <w:p w:rsidR="0036450C" w:rsidRPr="00867351" w:rsidRDefault="0036450C" w:rsidP="0036450C">
      <w:pPr>
        <w:jc w:val="both"/>
        <w:rPr>
          <w:sz w:val="20"/>
          <w:szCs w:val="20"/>
          <w:lang w:val="fr-CA"/>
        </w:rPr>
      </w:pPr>
    </w:p>
    <w:p w:rsidR="0036450C" w:rsidRPr="00867351" w:rsidRDefault="0036450C" w:rsidP="0036450C">
      <w:pPr>
        <w:jc w:val="both"/>
        <w:rPr>
          <w:sz w:val="20"/>
          <w:szCs w:val="20"/>
          <w:lang w:val="fr-CA"/>
        </w:rPr>
      </w:pPr>
      <w:r w:rsidRPr="00867351">
        <w:rPr>
          <w:sz w:val="20"/>
          <w:szCs w:val="20"/>
          <w:lang w:val="fr-CA"/>
        </w:rPr>
        <w:t>L’appel interjeté contre l’arrêt de la Cour d’appel du Manitoba, numéro AI 09-30-07226, 2010 MBCA 55, en date du 18 mai 2010, entendu le 20 octobre 2011, est accueilli avec dépens.  La sentence arbitrale est rétablie en totalité.</w:t>
      </w:r>
    </w:p>
    <w:p w:rsidR="00E36B8C" w:rsidRDefault="00E36B8C" w:rsidP="00927924">
      <w:pPr>
        <w:jc w:val="both"/>
        <w:rPr>
          <w:rFonts w:cs="Times New Roman"/>
          <w:sz w:val="20"/>
          <w:szCs w:val="20"/>
          <w:lang w:val="fr-CA"/>
        </w:rPr>
      </w:pPr>
    </w:p>
    <w:p w:rsidR="00E36B8C" w:rsidRDefault="008754B5" w:rsidP="00927924">
      <w:pPr>
        <w:jc w:val="both"/>
        <w:rPr>
          <w:rFonts w:cs="Times New Roman"/>
          <w:sz w:val="20"/>
          <w:szCs w:val="20"/>
          <w:lang w:val="fr-CA"/>
        </w:rPr>
      </w:pPr>
      <w:r w:rsidRPr="008754B5">
        <w:rPr>
          <w:rFonts w:cs="Times New Roman"/>
          <w:b/>
          <w:sz w:val="20"/>
          <w:szCs w:val="20"/>
        </w:rPr>
        <w:pict>
          <v:rect id="_x0000_i1073" style="width:144.3pt;height:1pt" o:hrpct="300" o:hralign="center" o:hrstd="t" o:hrnoshade="t" o:hr="t" fillcolor="black [3213]" stroked="f"/>
        </w:pict>
      </w:r>
    </w:p>
    <w:p w:rsidR="00E36B8C" w:rsidRDefault="00E36B8C" w:rsidP="00927924">
      <w:pPr>
        <w:jc w:val="both"/>
        <w:rPr>
          <w:rFonts w:cs="Times New Roman"/>
          <w:sz w:val="20"/>
          <w:szCs w:val="20"/>
          <w:lang w:val="fr-CA"/>
        </w:rPr>
      </w:pPr>
    </w:p>
    <w:p w:rsidR="00E36B8C" w:rsidRPr="006C5F7A" w:rsidRDefault="00E36B8C" w:rsidP="00927924">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B1FCF" w:rsidRPr="00546061" w:rsidRDefault="004B1FCF" w:rsidP="004B1FCF">
      <w:pPr>
        <w:ind w:left="810" w:hanging="810"/>
        <w:rPr>
          <w:rFonts w:eastAsia="Calibri" w:cs="Times New Roman"/>
          <w:sz w:val="20"/>
          <w:szCs w:val="20"/>
          <w:lang w:val="fr-CA"/>
        </w:rPr>
      </w:pPr>
      <w:r w:rsidRPr="00546061">
        <w:rPr>
          <w:rFonts w:eastAsia="Calibri" w:cs="Times New Roman"/>
          <w:i/>
          <w:sz w:val="20"/>
          <w:szCs w:val="20"/>
          <w:lang w:val="fr-CA"/>
        </w:rPr>
        <w:t>Tommy Bouchard-Lebrun c. Sa Majesté la Reine</w:t>
      </w:r>
      <w:r w:rsidRPr="00546061">
        <w:rPr>
          <w:rFonts w:eastAsia="Calibri" w:cs="Times New Roman"/>
          <w:sz w:val="20"/>
          <w:szCs w:val="20"/>
          <w:lang w:val="fr-CA"/>
        </w:rPr>
        <w:t xml:space="preserve"> (</w:t>
      </w:r>
      <w:proofErr w:type="spellStart"/>
      <w:r w:rsidRPr="00546061">
        <w:rPr>
          <w:rFonts w:eastAsia="Calibri" w:cs="Times New Roman"/>
          <w:sz w:val="20"/>
          <w:szCs w:val="20"/>
          <w:lang w:val="fr-CA"/>
        </w:rPr>
        <w:t>Qc</w:t>
      </w:r>
      <w:proofErr w:type="spellEnd"/>
      <w:r w:rsidRPr="00546061">
        <w:rPr>
          <w:rFonts w:eastAsia="Calibri" w:cs="Times New Roman"/>
          <w:sz w:val="20"/>
          <w:szCs w:val="20"/>
          <w:lang w:val="fr-CA"/>
        </w:rPr>
        <w:t>) (33687)</w:t>
      </w:r>
    </w:p>
    <w:p w:rsidR="004B1FCF" w:rsidRPr="004B1FCF" w:rsidRDefault="002D7D15" w:rsidP="004B1FCF">
      <w:pPr>
        <w:jc w:val="both"/>
        <w:rPr>
          <w:b/>
          <w:sz w:val="20"/>
          <w:szCs w:val="20"/>
          <w:lang w:val="fr-CA"/>
        </w:rPr>
      </w:pPr>
      <w:proofErr w:type="spellStart"/>
      <w:r w:rsidRPr="004B1FCF">
        <w:rPr>
          <w:b/>
          <w:sz w:val="20"/>
          <w:szCs w:val="20"/>
          <w:lang w:val="fr-CA"/>
        </w:rPr>
        <w:t>Indexed</w:t>
      </w:r>
      <w:proofErr w:type="spellEnd"/>
      <w:r w:rsidRPr="004B1FCF">
        <w:rPr>
          <w:b/>
          <w:sz w:val="20"/>
          <w:szCs w:val="20"/>
          <w:lang w:val="fr-CA"/>
        </w:rPr>
        <w:t xml:space="preserve"> as:  R. </w:t>
      </w:r>
      <w:r w:rsidRPr="004B1FCF">
        <w:rPr>
          <w:b/>
          <w:i/>
          <w:sz w:val="20"/>
          <w:szCs w:val="20"/>
          <w:lang w:val="fr-CA"/>
        </w:rPr>
        <w:t xml:space="preserve">v. </w:t>
      </w:r>
      <w:proofErr w:type="spellStart"/>
      <w:r w:rsidRPr="004B1FCF">
        <w:rPr>
          <w:rStyle w:val="SCCAppellantForIndexChar"/>
          <w:rFonts w:eastAsiaTheme="minorHAnsi"/>
          <w:sz w:val="20"/>
        </w:rPr>
        <w:t>Bouchard</w:t>
      </w:r>
      <w:r w:rsidRPr="004B1FCF">
        <w:rPr>
          <w:rStyle w:val="SCCAppellantForIndexChar"/>
          <w:rFonts w:eastAsiaTheme="minorHAnsi"/>
          <w:sz w:val="20"/>
        </w:rPr>
        <w:noBreakHyphen/>
        <w:t>Lebrun</w:t>
      </w:r>
      <w:proofErr w:type="spellEnd"/>
      <w:r w:rsidRPr="004B1FCF">
        <w:rPr>
          <w:rStyle w:val="SCCAppellantForIndexChar"/>
          <w:rFonts w:eastAsiaTheme="minorHAnsi"/>
          <w:sz w:val="20"/>
        </w:rPr>
        <w:t xml:space="preserve"> / </w:t>
      </w:r>
      <w:r w:rsidR="004B1FCF" w:rsidRPr="004B1FCF">
        <w:rPr>
          <w:b/>
          <w:sz w:val="20"/>
          <w:szCs w:val="20"/>
          <w:lang w:val="fr-CA"/>
        </w:rPr>
        <w:t xml:space="preserve">Répertorié : R. </w:t>
      </w:r>
      <w:r w:rsidR="004B1FCF" w:rsidRPr="004B1FCF">
        <w:rPr>
          <w:b/>
          <w:i/>
          <w:sz w:val="20"/>
          <w:szCs w:val="20"/>
          <w:lang w:val="fr-CA"/>
        </w:rPr>
        <w:t xml:space="preserve">c. </w:t>
      </w:r>
      <w:proofErr w:type="spellStart"/>
      <w:r w:rsidR="004B1FCF" w:rsidRPr="004B1FCF">
        <w:rPr>
          <w:b/>
          <w:sz w:val="20"/>
          <w:szCs w:val="20"/>
          <w:lang w:val="fr-CA"/>
        </w:rPr>
        <w:t>Bouchard</w:t>
      </w:r>
      <w:r w:rsidR="004B1FCF" w:rsidRPr="004B1FCF">
        <w:rPr>
          <w:b/>
          <w:sz w:val="20"/>
          <w:szCs w:val="20"/>
          <w:lang w:val="fr-CA"/>
        </w:rPr>
        <w:noBreakHyphen/>
        <w:t>Lebrun</w:t>
      </w:r>
      <w:proofErr w:type="spellEnd"/>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  201</w:t>
      </w:r>
      <w:r w:rsidR="007F387B">
        <w:rPr>
          <w:sz w:val="20"/>
        </w:rPr>
        <w:t>1</w:t>
      </w:r>
      <w:r w:rsidRPr="003B3977">
        <w:rPr>
          <w:sz w:val="20"/>
        </w:rPr>
        <w:t xml:space="preserve"> SCC </w:t>
      </w:r>
      <w:r w:rsidR="002D7D15">
        <w:rPr>
          <w:sz w:val="20"/>
        </w:rPr>
        <w:t>58</w:t>
      </w:r>
      <w:r w:rsidRPr="003B3977">
        <w:rPr>
          <w:sz w:val="20"/>
        </w:rPr>
        <w:t xml:space="preserve"> / Référence neutre : 201</w:t>
      </w:r>
      <w:r w:rsidR="007F387B">
        <w:rPr>
          <w:sz w:val="20"/>
        </w:rPr>
        <w:t>1</w:t>
      </w:r>
      <w:r w:rsidRPr="003B3977">
        <w:rPr>
          <w:sz w:val="20"/>
        </w:rPr>
        <w:t xml:space="preserve"> CSC </w:t>
      </w:r>
      <w:r w:rsidR="002D7D15">
        <w:rPr>
          <w:sz w:val="20"/>
        </w:rPr>
        <w:t>58</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r w:rsidRPr="003B3977">
        <w:rPr>
          <w:rFonts w:cs="Times New Roman"/>
          <w:sz w:val="20"/>
          <w:szCs w:val="20"/>
          <w:lang w:val="fr-CA"/>
        </w:rPr>
        <w:t xml:space="preserve">:  </w:t>
      </w:r>
      <w:r w:rsidR="004B1FCF">
        <w:rPr>
          <w:rFonts w:cs="Times New Roman"/>
          <w:sz w:val="20"/>
          <w:szCs w:val="20"/>
          <w:lang w:val="fr-CA"/>
        </w:rPr>
        <w:t>May 16</w:t>
      </w:r>
      <w:r w:rsidRPr="003B3977">
        <w:rPr>
          <w:rFonts w:cs="Times New Roman"/>
          <w:sz w:val="20"/>
          <w:szCs w:val="20"/>
          <w:lang w:val="fr-CA"/>
        </w:rPr>
        <w:t>, 201</w:t>
      </w:r>
      <w:r w:rsidR="004B1FCF">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4B1FCF">
        <w:rPr>
          <w:rFonts w:cs="Times New Roman"/>
          <w:sz w:val="20"/>
          <w:szCs w:val="20"/>
          <w:lang w:val="fr-CA"/>
        </w:rPr>
        <w:t>Novem</w:t>
      </w:r>
      <w:r w:rsidRPr="003B3977">
        <w:rPr>
          <w:rFonts w:cs="Times New Roman"/>
          <w:sz w:val="20"/>
          <w:szCs w:val="20"/>
          <w:lang w:val="fr-CA"/>
        </w:rPr>
        <w:t>ber</w:t>
      </w:r>
      <w:proofErr w:type="spellEnd"/>
      <w:r w:rsidRPr="003B3977">
        <w:rPr>
          <w:rFonts w:cs="Times New Roman"/>
          <w:sz w:val="20"/>
          <w:szCs w:val="20"/>
          <w:lang w:val="fr-CA"/>
        </w:rPr>
        <w:t xml:space="preserve"> </w:t>
      </w:r>
      <w:r w:rsidR="004B1FCF">
        <w:rPr>
          <w:rFonts w:cs="Times New Roman"/>
          <w:sz w:val="20"/>
          <w:szCs w:val="20"/>
          <w:lang w:val="fr-CA"/>
        </w:rPr>
        <w:t>30</w:t>
      </w:r>
      <w:r w:rsidRPr="003B3977">
        <w:rPr>
          <w:rFonts w:cs="Times New Roman"/>
          <w:sz w:val="20"/>
          <w:szCs w:val="20"/>
          <w:lang w:val="fr-CA"/>
        </w:rPr>
        <w:t>, 201</w:t>
      </w:r>
      <w:r w:rsidR="004B1FCF">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4B1FCF">
        <w:rPr>
          <w:rFonts w:cs="Times New Roman"/>
          <w:sz w:val="20"/>
          <w:szCs w:val="20"/>
          <w:lang w:val="fr-CA"/>
        </w:rPr>
        <w:t xml:space="preserve">16 mai </w:t>
      </w:r>
      <w:r w:rsidRPr="003B3977">
        <w:rPr>
          <w:rFonts w:cs="Times New Roman"/>
          <w:sz w:val="20"/>
          <w:szCs w:val="20"/>
          <w:lang w:val="fr-CA"/>
        </w:rPr>
        <w:t>201</w:t>
      </w:r>
      <w:r w:rsidR="004B1FCF">
        <w:rPr>
          <w:rFonts w:cs="Times New Roman"/>
          <w:sz w:val="20"/>
          <w:szCs w:val="20"/>
          <w:lang w:val="fr-CA"/>
        </w:rPr>
        <w:t>1</w:t>
      </w:r>
      <w:r w:rsidRPr="003B3977">
        <w:rPr>
          <w:rFonts w:cs="Times New Roman"/>
          <w:sz w:val="20"/>
          <w:szCs w:val="20"/>
          <w:lang w:val="fr-CA"/>
        </w:rPr>
        <w:t xml:space="preserve"> / Jugement : Le </w:t>
      </w:r>
      <w:r w:rsidR="004B1FCF">
        <w:rPr>
          <w:rFonts w:cs="Times New Roman"/>
          <w:sz w:val="20"/>
          <w:szCs w:val="20"/>
          <w:lang w:val="fr-CA"/>
        </w:rPr>
        <w:t>30 novem</w:t>
      </w:r>
      <w:r w:rsidRPr="003B3977">
        <w:rPr>
          <w:rFonts w:cs="Times New Roman"/>
          <w:sz w:val="20"/>
          <w:szCs w:val="20"/>
          <w:lang w:val="fr-CA"/>
        </w:rPr>
        <w:t>bre 201</w:t>
      </w:r>
      <w:r w:rsidR="004B1FCF">
        <w:rPr>
          <w:rFonts w:cs="Times New Roman"/>
          <w:sz w:val="20"/>
          <w:szCs w:val="20"/>
          <w:lang w:val="fr-CA"/>
        </w:rPr>
        <w:t>1</w:t>
      </w:r>
    </w:p>
    <w:p w:rsidR="005C6840" w:rsidRPr="003B3977" w:rsidRDefault="008754B5" w:rsidP="005C6840">
      <w:pPr>
        <w:rPr>
          <w:rFonts w:cs="Times New Roman"/>
          <w:sz w:val="20"/>
          <w:szCs w:val="20"/>
          <w:lang w:val="fr-CA"/>
        </w:rPr>
      </w:pPr>
      <w:r w:rsidRPr="008754B5">
        <w:rPr>
          <w:rFonts w:cs="Times New Roman"/>
          <w:i/>
          <w:sz w:val="20"/>
          <w:szCs w:val="20"/>
        </w:rPr>
        <w:pict>
          <v:rect id="_x0000_i1076" style="width:480.95pt;height:1pt" o:hralign="center" o:hrstd="t" o:hrnoshade="t" o:hr="t" fillcolor="black [3213]" stroked="f"/>
        </w:pict>
      </w:r>
    </w:p>
    <w:p w:rsidR="005C6840" w:rsidRDefault="005C6840" w:rsidP="005C6840">
      <w:pPr>
        <w:rPr>
          <w:rFonts w:cs="Times New Roman"/>
          <w:sz w:val="20"/>
          <w:szCs w:val="20"/>
          <w:lang w:val="fr-CA"/>
        </w:rPr>
      </w:pPr>
    </w:p>
    <w:p w:rsidR="004B1FCF" w:rsidRPr="004B1FCF" w:rsidRDefault="004B1FCF" w:rsidP="004B1FCF">
      <w:pPr>
        <w:jc w:val="both"/>
        <w:rPr>
          <w:sz w:val="20"/>
          <w:szCs w:val="20"/>
          <w:lang w:val="fr-CA"/>
        </w:rPr>
      </w:pPr>
      <w:r w:rsidRPr="004B1FCF">
        <w:rPr>
          <w:sz w:val="20"/>
          <w:szCs w:val="20"/>
          <w:lang w:val="fr-CA"/>
        </w:rPr>
        <w:t xml:space="preserve">Présents : La juge en chef </w:t>
      </w:r>
      <w:proofErr w:type="spellStart"/>
      <w:r w:rsidRPr="004B1FCF">
        <w:rPr>
          <w:sz w:val="20"/>
          <w:szCs w:val="20"/>
          <w:lang w:val="fr-CA"/>
        </w:rPr>
        <w:t>McLachlin</w:t>
      </w:r>
      <w:proofErr w:type="spellEnd"/>
      <w:r w:rsidRPr="004B1FCF">
        <w:rPr>
          <w:sz w:val="20"/>
          <w:szCs w:val="20"/>
          <w:lang w:val="fr-CA"/>
        </w:rPr>
        <w:t xml:space="preserve"> et les juges </w:t>
      </w:r>
      <w:proofErr w:type="spellStart"/>
      <w:r w:rsidRPr="004B1FCF">
        <w:rPr>
          <w:sz w:val="20"/>
          <w:szCs w:val="20"/>
          <w:lang w:val="fr-CA"/>
        </w:rPr>
        <w:t>Binnie</w:t>
      </w:r>
      <w:proofErr w:type="spellEnd"/>
      <w:r w:rsidRPr="004B1FCF">
        <w:rPr>
          <w:sz w:val="20"/>
          <w:szCs w:val="20"/>
          <w:lang w:val="fr-CA"/>
        </w:rPr>
        <w:t xml:space="preserve">, </w:t>
      </w:r>
      <w:proofErr w:type="spellStart"/>
      <w:r w:rsidRPr="004B1FCF">
        <w:rPr>
          <w:sz w:val="20"/>
          <w:szCs w:val="20"/>
          <w:lang w:val="fr-CA"/>
        </w:rPr>
        <w:t>LeBel</w:t>
      </w:r>
      <w:proofErr w:type="spellEnd"/>
      <w:r w:rsidRPr="004B1FCF">
        <w:rPr>
          <w:sz w:val="20"/>
          <w:szCs w:val="20"/>
          <w:lang w:val="fr-CA"/>
        </w:rPr>
        <w:t xml:space="preserve">, Deschamps, Fish, Abella, Charron, </w:t>
      </w:r>
      <w:proofErr w:type="spellStart"/>
      <w:r w:rsidRPr="004B1FCF">
        <w:rPr>
          <w:sz w:val="20"/>
          <w:szCs w:val="20"/>
          <w:lang w:val="fr-CA"/>
        </w:rPr>
        <w:t>Rothstein</w:t>
      </w:r>
      <w:proofErr w:type="spellEnd"/>
      <w:r w:rsidRPr="004B1FCF">
        <w:rPr>
          <w:sz w:val="20"/>
          <w:szCs w:val="20"/>
          <w:lang w:val="fr-CA"/>
        </w:rPr>
        <w:t xml:space="preserve"> et Cromwell.</w:t>
      </w:r>
    </w:p>
    <w:p w:rsidR="004B1FCF" w:rsidRDefault="004B1FCF" w:rsidP="004B1FCF">
      <w:pPr>
        <w:pStyle w:val="SCCLowerCourtNameLowercase"/>
        <w:spacing w:line="240" w:lineRule="auto"/>
        <w:rPr>
          <w:sz w:val="20"/>
        </w:rPr>
      </w:pPr>
    </w:p>
    <w:p w:rsidR="004B1FCF" w:rsidRPr="004B1FCF" w:rsidRDefault="004B1FCF" w:rsidP="004B1FCF">
      <w:pPr>
        <w:pStyle w:val="SCCNormalDoubleSpacing"/>
        <w:spacing w:line="240" w:lineRule="auto"/>
        <w:rPr>
          <w:sz w:val="20"/>
          <w:lang w:val="fr-CA"/>
        </w:rPr>
      </w:pPr>
      <w:r w:rsidRPr="004B1FCF">
        <w:rPr>
          <w:sz w:val="20"/>
          <w:lang w:val="fr-CA"/>
        </w:rPr>
        <w:tab/>
      </w:r>
      <w:r w:rsidRPr="004B1FCF">
        <w:rPr>
          <w:i/>
          <w:sz w:val="20"/>
          <w:lang w:val="fr-CA"/>
        </w:rPr>
        <w:t xml:space="preserve">Droit criminel — Moyens de défense — Troubles mentaux — Accusé a agressé deux individus alors qu’il se trouvait dans une psychose toxique provoquée par la consommation volontaire de drogues — Une psychose toxique dont les manifestations sont causées par un état d’intoxication volontaire </w:t>
      </w:r>
      <w:proofErr w:type="spellStart"/>
      <w:r w:rsidRPr="004B1FCF">
        <w:rPr>
          <w:i/>
          <w:sz w:val="20"/>
          <w:lang w:val="fr-CA"/>
        </w:rPr>
        <w:t>peut</w:t>
      </w:r>
      <w:r w:rsidRPr="004B1FCF">
        <w:rPr>
          <w:i/>
          <w:sz w:val="20"/>
          <w:lang w:val="fr-CA"/>
        </w:rPr>
        <w:noBreakHyphen/>
        <w:t>elle</w:t>
      </w:r>
      <w:proofErr w:type="spellEnd"/>
      <w:r w:rsidRPr="004B1FCF">
        <w:rPr>
          <w:i/>
          <w:sz w:val="20"/>
          <w:lang w:val="fr-CA"/>
        </w:rPr>
        <w:t xml:space="preserve"> constituer un « trouble mental » </w:t>
      </w:r>
      <w:r w:rsidRPr="004B1FCF">
        <w:rPr>
          <w:sz w:val="20"/>
          <w:lang w:val="fr-CA"/>
        </w:rPr>
        <w:t xml:space="preserve">? </w:t>
      </w:r>
      <w:r w:rsidRPr="004B1FCF">
        <w:rPr>
          <w:i/>
          <w:sz w:val="20"/>
          <w:lang w:val="fr-CA"/>
        </w:rPr>
        <w:t>— L’article 33.1 C. </w:t>
      </w:r>
      <w:proofErr w:type="spellStart"/>
      <w:r w:rsidRPr="004B1FCF">
        <w:rPr>
          <w:i/>
          <w:sz w:val="20"/>
          <w:lang w:val="fr-CA"/>
        </w:rPr>
        <w:t>cr</w:t>
      </w:r>
      <w:proofErr w:type="spellEnd"/>
      <w:r w:rsidRPr="004B1FCF">
        <w:rPr>
          <w:i/>
          <w:sz w:val="20"/>
          <w:lang w:val="fr-CA"/>
        </w:rPr>
        <w:t xml:space="preserve">. </w:t>
      </w:r>
      <w:proofErr w:type="spellStart"/>
      <w:r w:rsidRPr="004B1FCF">
        <w:rPr>
          <w:i/>
          <w:sz w:val="20"/>
          <w:lang w:val="fr-CA"/>
        </w:rPr>
        <w:t>restreint</w:t>
      </w:r>
      <w:r w:rsidRPr="004B1FCF">
        <w:rPr>
          <w:i/>
          <w:sz w:val="20"/>
          <w:lang w:val="fr-CA"/>
        </w:rPr>
        <w:noBreakHyphen/>
        <w:t>il</w:t>
      </w:r>
      <w:proofErr w:type="spellEnd"/>
      <w:r w:rsidRPr="004B1FCF">
        <w:rPr>
          <w:i/>
          <w:sz w:val="20"/>
          <w:lang w:val="fr-CA"/>
        </w:rPr>
        <w:t xml:space="preserve"> la portée de la défense de </w:t>
      </w:r>
      <w:proofErr w:type="spellStart"/>
      <w:r w:rsidRPr="004B1FCF">
        <w:rPr>
          <w:i/>
          <w:sz w:val="20"/>
          <w:lang w:val="fr-CA"/>
        </w:rPr>
        <w:t>non</w:t>
      </w:r>
      <w:r w:rsidRPr="004B1FCF">
        <w:rPr>
          <w:i/>
          <w:sz w:val="20"/>
          <w:lang w:val="fr-CA"/>
        </w:rPr>
        <w:noBreakHyphen/>
        <w:t>responsabilité</w:t>
      </w:r>
      <w:proofErr w:type="spellEnd"/>
      <w:r w:rsidRPr="004B1FCF">
        <w:rPr>
          <w:i/>
          <w:sz w:val="20"/>
          <w:lang w:val="fr-CA"/>
        </w:rPr>
        <w:t xml:space="preserve"> criminelle pour cause de troubles mentaux ? — Code criminel, L.R.C. 1985, ch. C</w:t>
      </w:r>
      <w:r w:rsidRPr="004B1FCF">
        <w:rPr>
          <w:i/>
          <w:sz w:val="20"/>
          <w:lang w:val="fr-CA"/>
        </w:rPr>
        <w:noBreakHyphen/>
        <w:t>46, art. 16, 33.1.</w:t>
      </w:r>
      <w:r w:rsidRPr="004B1FCF">
        <w:rPr>
          <w:sz w:val="20"/>
          <w:lang w:val="fr-CA"/>
        </w:rPr>
        <w:t xml:space="preserve"> </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i/>
          <w:sz w:val="20"/>
          <w:lang w:val="fr-CA"/>
        </w:rPr>
        <w:tab/>
      </w:r>
      <w:r w:rsidRPr="004B1FCF">
        <w:rPr>
          <w:sz w:val="20"/>
          <w:lang w:val="fr-CA"/>
        </w:rPr>
        <w:t xml:space="preserve">B a brutalement agressé deux individus alors qu’il se trouvait dans un état psychotique provoqué par les drogues qu’il avait consommées quelques heures auparavant.  À la suite de ces évènements, B a été accusé d’avoir commis des voies de fait graves.  Le juge du procès a conclu à la culpabilité de B parce que tous les éléments de l’article 33.1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en vertu duquel l’intoxication volontaire ne peut constituer une défense à une infraction contre l’intégrité physique d’autrui, ont été prouvés hors de tout doute raisonnable.  B a alors tenté sans succès d’obtenir en appel un verdict de </w:t>
      </w:r>
      <w:proofErr w:type="spellStart"/>
      <w:r w:rsidRPr="004B1FCF">
        <w:rPr>
          <w:sz w:val="20"/>
          <w:lang w:val="fr-CA"/>
        </w:rPr>
        <w:t>non</w:t>
      </w:r>
      <w:r w:rsidRPr="004B1FCF">
        <w:rPr>
          <w:sz w:val="20"/>
          <w:lang w:val="fr-CA"/>
        </w:rPr>
        <w:noBreakHyphen/>
        <w:t>responsabilité</w:t>
      </w:r>
      <w:proofErr w:type="spellEnd"/>
      <w:r w:rsidRPr="004B1FCF">
        <w:rPr>
          <w:sz w:val="20"/>
          <w:lang w:val="fr-CA"/>
        </w:rPr>
        <w:t xml:space="preserve"> criminelle pour cause de troubles mentaux en vertu de l’article 16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La Cour d’appel a conclu à l’application de l’article 33.1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en l’espèce.</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Arrêt : Le pourvoi est rejeté.</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 xml:space="preserve">Les tribunaux doivent examiner l’applicabilité de l’article 16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dans la perspective des principes spécifiques qui régissent la défense d’aliénation mentale.  Si cette dernière ne trouve pas application, et si les faits du dossier s’y prêtent, on pourra alors examiner l’applicabilité de la défense d’intoxication volontaire encadrée par l’article 33.1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L’intoxication et l’aliénation mentale demeurent deux concepts juridiques distincts.</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 xml:space="preserve">L’accusé qui souhaite présenter avec succès une défense d’aliénation mentale doit satisfaire aux exigences d’un test en deux étapes, d’origine législative.  La première étape concerne la qualification de l’état mental de l’accusé.  La question cruciale à trancher au procès est alors de savoir si l’accusé souffrait de troubles mentaux au sens juridique au moment des faits reprochés.  La deuxième étape de la défense prévue à l’article 16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porte sur les effets des troubles mentaux.  On doit alors décider si la condition mentale de l’accusé le rendait incapable de savoir que l’acte ou l’omission était mauvais.  En l’espèce, il n’est pas contesté que B était incapable de distinguer le bien du mal au moment des faits.  Le seul enjeu du pourvoi se limite donc à déterminer si cette psychose résulte d’un « trouble mental » au sens de l’article 16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 xml:space="preserve">Une psychose toxique ne résulte pas en toute circonstance d’un « trouble mental ».  Dans l’arrêt </w:t>
      </w:r>
      <w:r w:rsidRPr="004B1FCF">
        <w:rPr>
          <w:i/>
          <w:sz w:val="20"/>
          <w:lang w:val="fr-CA"/>
        </w:rPr>
        <w:t>Stone</w:t>
      </w:r>
      <w:r w:rsidRPr="004B1FCF">
        <w:rPr>
          <w:sz w:val="20"/>
          <w:lang w:val="fr-CA"/>
        </w:rPr>
        <w:t xml:space="preserve">, le juge </w:t>
      </w:r>
      <w:proofErr w:type="spellStart"/>
      <w:r w:rsidRPr="004B1FCF">
        <w:rPr>
          <w:sz w:val="20"/>
          <w:lang w:val="fr-CA"/>
        </w:rPr>
        <w:t>Bastarache</w:t>
      </w:r>
      <w:proofErr w:type="spellEnd"/>
      <w:r w:rsidRPr="004B1FCF">
        <w:rPr>
          <w:sz w:val="20"/>
          <w:lang w:val="fr-CA"/>
        </w:rPr>
        <w:t xml:space="preserve"> a proposé une méthode pour distinguer les psychoses toxiques qui résultent de troubles mentaux de celles qui n’en résultent pas.  Cette méthode est articulée autour de deux outils analytiques, soit le facteur de la cause interne et le facteur du risque subsistant, et de certaines considérations d’ordre public. </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 xml:space="preserve">Le facteur de la cause interne, qui constitue le premier outil analytique, place l’accent sur la comparaison entre l’accusé et une personne normale.  La comparaison entre l’accusé et une personne normale s’effectuera sur une base objective et peut reposer sur la preuve psychiatrique.  Plus </w:t>
      </w:r>
      <w:proofErr w:type="spellStart"/>
      <w:r w:rsidRPr="004B1FCF">
        <w:rPr>
          <w:sz w:val="20"/>
          <w:lang w:val="fr-CA"/>
        </w:rPr>
        <w:t>celle</w:t>
      </w:r>
      <w:r w:rsidRPr="004B1FCF">
        <w:rPr>
          <w:sz w:val="20"/>
          <w:lang w:val="fr-CA"/>
        </w:rPr>
        <w:noBreakHyphen/>
        <w:t>ci</w:t>
      </w:r>
      <w:proofErr w:type="spellEnd"/>
      <w:r w:rsidRPr="004B1FCF">
        <w:rPr>
          <w:sz w:val="20"/>
          <w:lang w:val="fr-CA"/>
        </w:rPr>
        <w:t xml:space="preserve"> suggérera qu’une personne normale, c’est</w:t>
      </w:r>
      <w:r w:rsidRPr="004B1FCF">
        <w:rPr>
          <w:sz w:val="20"/>
          <w:lang w:val="fr-CA"/>
        </w:rPr>
        <w:noBreakHyphen/>
      </w:r>
      <w:proofErr w:type="spellStart"/>
      <w:r w:rsidRPr="004B1FCF">
        <w:rPr>
          <w:sz w:val="20"/>
          <w:lang w:val="fr-CA"/>
        </w:rPr>
        <w:t>à</w:t>
      </w:r>
      <w:r w:rsidRPr="004B1FCF">
        <w:rPr>
          <w:sz w:val="20"/>
          <w:lang w:val="fr-CA"/>
        </w:rPr>
        <w:noBreakHyphen/>
        <w:t>dire</w:t>
      </w:r>
      <w:proofErr w:type="spellEnd"/>
      <w:r w:rsidRPr="004B1FCF">
        <w:rPr>
          <w:sz w:val="20"/>
          <w:lang w:val="fr-CA"/>
        </w:rPr>
        <w:t xml:space="preserve"> une personne qui ne souffre d’aucune maladie mentale, est susceptible de développer un tel état, plus les tribunaux seront fondés à considérer que l’élément déclencheur possède une nature externe.  Ces constatations excluront la condition de l’accusé de la portée de l’article 16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Le raisonnement inverse est également applicable. </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lastRenderedPageBreak/>
        <w:tab/>
        <w:t>En l’espèce, l’application du premier facteur suggère que la consommation de drogues représente une cause externe.  Une personne normale semble effectivement susceptible de développer une psychose toxique à la suite de la consommation de drogues.  Ce constat suggère fortement que B ne souffrait pas d’un trouble mental au moment de commettre les faits reprochés.  D’ailleurs, l’apparition rapide des symptômes psychotiques indique généralement que les idées délirantes chez B étaient attribuables à un facteur externe.  De plus, les symptômes psychotiques vécus par B ont commencé à s’estomper peu de temps après la consommation de drogues, et ce, de façon continue jusqu’à leur extinction complète.  La Cour d’appel a jugé que cette rétrocession des symptômes révélait une concordance entre la durée de l’intoxication et les manifestations de la psychose toxique.  La Cour a pu donc affirmer que B ne souffrait d’aucune maladie mentale avant de commettre les crimes et une fois les effets de la consommation de drogues résorbés.  Il n’y a aucune raison valable de s’écarter de cette conclusion.</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 xml:space="preserve">La considération du facteur du risque subsistant, qui constitue le deuxième outil analytique, découle directement de la nécessité d’assurer la sécurité du public.  En l’espèce, aucun élément de preuve n’indique que la condition mentale de B présente un quelconque niveau de dangerosité inhérente.  Dans la mesure où B s’abstient à l’avenir de consommer de telles drogues, ce qu’il est en mesure de faire volontairement, il semble que sa condition mentale ne constitue pas une menace pour la sécurité du public. </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 xml:space="preserve">Dans ce contexte, B ne souffrait pas d’un « trouble mental » pour l’application de l’article 16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au moment de commettre de l’agression.  Les déséquilibres mentaux développés exclusivement en raison d’une intoxication volontaire ne peuvent être considérés comme une maladie mentale au sens juridique, puisqu’ils ne sont pas le produit de la constitution psychique inhérente d’un individu.  Il en est ainsi malgré le fait que la science médicale puisse volontiers considérer de tels états comme des maladies mentales. </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i/>
          <w:sz w:val="20"/>
          <w:lang w:val="fr-CA"/>
        </w:rPr>
      </w:pPr>
      <w:r w:rsidRPr="004B1FCF">
        <w:rPr>
          <w:sz w:val="20"/>
          <w:lang w:val="fr-CA"/>
        </w:rPr>
        <w:tab/>
        <w:t xml:space="preserve">En raison de la conclusion qui précède, il devient maintenant pertinent de s’interroger sur l’applicabilité de l’article 33.1 </w:t>
      </w:r>
      <w:r w:rsidRPr="004B1FCF">
        <w:rPr>
          <w:i/>
          <w:sz w:val="20"/>
          <w:lang w:val="fr-CA"/>
        </w:rPr>
        <w:t>C. </w:t>
      </w:r>
      <w:proofErr w:type="spellStart"/>
      <w:r w:rsidRPr="004B1FCF">
        <w:rPr>
          <w:i/>
          <w:sz w:val="20"/>
          <w:lang w:val="fr-CA"/>
        </w:rPr>
        <w:t>cr</w:t>
      </w:r>
      <w:proofErr w:type="spellEnd"/>
      <w:r w:rsidRPr="004B1FCF">
        <w:rPr>
          <w:i/>
          <w:sz w:val="20"/>
          <w:lang w:val="fr-CA"/>
        </w:rPr>
        <w:t xml:space="preserve">.  </w:t>
      </w:r>
      <w:r w:rsidRPr="004B1FCF">
        <w:rPr>
          <w:sz w:val="20"/>
          <w:lang w:val="fr-CA"/>
        </w:rPr>
        <w:t xml:space="preserve">Cette disposition s’applique lorsque trois conditions sont réunies : (1) l’accusé était intoxiqué au moment des faits; (2) cette intoxication était volontaire; et (3) l’accusé s’est écarté de la norme de diligence raisonnable généralement acceptée dans la société canadienne en portant atteinte ou en menaçant de porter atteinte à l’intégrité physique d’autrui.  Lorsque la preuve de ces trois éléments est établie, l’accusé ne peut soulever une défense basée sur l’absence d’intention générale ou de la volonté requise pour la perpétration de l’infraction.  L’article 33.1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s’applique donc à toute condition mentale qui constitue le prolongement direct d’un état d’intoxication.  Il n’existe aucun seuil d’intoxication à partir duquel l’état d’un accusé échappe à l’application de l’article 33.1 </w:t>
      </w:r>
      <w:r w:rsidRPr="004B1FCF">
        <w:rPr>
          <w:i/>
          <w:sz w:val="20"/>
          <w:lang w:val="fr-CA"/>
        </w:rPr>
        <w:t>C. </w:t>
      </w:r>
      <w:proofErr w:type="spellStart"/>
      <w:r w:rsidRPr="004B1FCF">
        <w:rPr>
          <w:i/>
          <w:sz w:val="20"/>
          <w:lang w:val="fr-CA"/>
        </w:rPr>
        <w:t>cr</w:t>
      </w:r>
      <w:proofErr w:type="spellEnd"/>
      <w:r w:rsidRPr="004B1FCF">
        <w:rPr>
          <w:i/>
          <w:sz w:val="20"/>
          <w:lang w:val="fr-CA"/>
        </w:rPr>
        <w:t xml:space="preserve">.  </w:t>
      </w:r>
      <w:r w:rsidRPr="004B1FCF">
        <w:rPr>
          <w:sz w:val="20"/>
          <w:lang w:val="fr-CA"/>
        </w:rPr>
        <w:t xml:space="preserve">Une psychose toxique peut donc faire partie des états d’intoxication visés par cette disposition.  C’est le cas en l’espèce.  La Cour d’appel n’a donc pas commis d’erreur de droit en concluant à l’application de l’article 33.1 </w:t>
      </w:r>
      <w:r w:rsidRPr="004B1FCF">
        <w:rPr>
          <w:i/>
          <w:sz w:val="20"/>
          <w:lang w:val="fr-CA"/>
        </w:rPr>
        <w:t>C. </w:t>
      </w:r>
      <w:proofErr w:type="spellStart"/>
      <w:r w:rsidRPr="004B1FCF">
        <w:rPr>
          <w:i/>
          <w:sz w:val="20"/>
          <w:lang w:val="fr-CA"/>
        </w:rPr>
        <w:t>cr</w:t>
      </w:r>
      <w:proofErr w:type="spellEnd"/>
      <w:r w:rsidRPr="004B1FCF">
        <w:rPr>
          <w:i/>
          <w:sz w:val="20"/>
          <w:lang w:val="fr-CA"/>
        </w:rPr>
        <w:t>.</w:t>
      </w:r>
      <w:r w:rsidRPr="004B1FCF">
        <w:rPr>
          <w:sz w:val="20"/>
          <w:lang w:val="fr-CA"/>
        </w:rPr>
        <w:t xml:space="preserve"> plutôt que de l’article 16 </w:t>
      </w:r>
      <w:r w:rsidRPr="004B1FCF">
        <w:rPr>
          <w:i/>
          <w:sz w:val="20"/>
          <w:lang w:val="fr-CA"/>
        </w:rPr>
        <w:t>C. </w:t>
      </w:r>
      <w:proofErr w:type="spellStart"/>
      <w:r w:rsidRPr="004B1FCF">
        <w:rPr>
          <w:i/>
          <w:sz w:val="20"/>
          <w:lang w:val="fr-CA"/>
        </w:rPr>
        <w:t>cr</w:t>
      </w:r>
      <w:proofErr w:type="spellEnd"/>
      <w:r w:rsidRPr="004B1FCF">
        <w:rPr>
          <w:i/>
          <w:sz w:val="20"/>
          <w:lang w:val="fr-CA"/>
        </w:rPr>
        <w:t>.</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sz w:val="20"/>
          <w:lang w:val="fr-CA"/>
        </w:rPr>
        <w:tab/>
        <w:t xml:space="preserve">POURVOI contre un arrêt de la Cour d’appel du Québec (les juges </w:t>
      </w:r>
      <w:r w:rsidR="008754B5" w:rsidRPr="0055485F">
        <w:rPr>
          <w:sz w:val="20"/>
        </w:rPr>
        <w:fldChar w:fldCharType="begin"/>
      </w:r>
      <w:r w:rsidRPr="004B1FCF">
        <w:rPr>
          <w:sz w:val="20"/>
          <w:lang w:val="fr-CA"/>
        </w:rPr>
        <w:instrText xml:space="preserve"> SEQ CHAPTER \h \r 1</w:instrText>
      </w:r>
      <w:r w:rsidR="008754B5" w:rsidRPr="0055485F">
        <w:rPr>
          <w:sz w:val="20"/>
        </w:rPr>
        <w:fldChar w:fldCharType="end"/>
      </w:r>
      <w:r w:rsidRPr="004B1FCF">
        <w:rPr>
          <w:sz w:val="20"/>
          <w:lang w:val="fr-CA"/>
        </w:rPr>
        <w:t xml:space="preserve">Thibault, Rochette et Gagnon), </w:t>
      </w:r>
      <w:r w:rsidR="008754B5" w:rsidRPr="0055485F">
        <w:rPr>
          <w:sz w:val="20"/>
        </w:rPr>
        <w:fldChar w:fldCharType="begin"/>
      </w:r>
      <w:r w:rsidRPr="004B1FCF">
        <w:rPr>
          <w:sz w:val="20"/>
          <w:lang w:val="fr-CA"/>
        </w:rPr>
        <w:instrText xml:space="preserve"> SEQ CHAPTER \h \r 1</w:instrText>
      </w:r>
      <w:r w:rsidR="008754B5" w:rsidRPr="0055485F">
        <w:rPr>
          <w:sz w:val="20"/>
        </w:rPr>
        <w:fldChar w:fldCharType="end"/>
      </w:r>
      <w:r w:rsidRPr="004B1FCF">
        <w:rPr>
          <w:sz w:val="20"/>
          <w:lang w:val="fr-CA"/>
        </w:rPr>
        <w:t>2010 QCCA 402, 76 C.R. (6th) 59, 260 C.C.C. (3d) 548, [2010] J.Q. n</w:t>
      </w:r>
      <w:r w:rsidRPr="004B1FCF">
        <w:rPr>
          <w:sz w:val="20"/>
          <w:vertAlign w:val="superscript"/>
          <w:lang w:val="fr-CA"/>
        </w:rPr>
        <w:t>o</w:t>
      </w:r>
      <w:r w:rsidRPr="004B1FCF">
        <w:rPr>
          <w:sz w:val="20"/>
          <w:lang w:val="fr-CA"/>
        </w:rPr>
        <w:t xml:space="preserve"> 1672 (QL), 2010 </w:t>
      </w:r>
      <w:proofErr w:type="spellStart"/>
      <w:r w:rsidRPr="004B1FCF">
        <w:rPr>
          <w:sz w:val="20"/>
          <w:lang w:val="fr-CA"/>
        </w:rPr>
        <w:t>CarswellQue</w:t>
      </w:r>
      <w:proofErr w:type="spellEnd"/>
      <w:r w:rsidRPr="004B1FCF">
        <w:rPr>
          <w:sz w:val="20"/>
          <w:lang w:val="fr-CA"/>
        </w:rPr>
        <w:t xml:space="preserve"> 2004, qui a confirmé les déclarations de culpabilité de voies de fait graves et de voies de fait inscrites par le juge Decoste, </w:t>
      </w:r>
      <w:r w:rsidR="008754B5" w:rsidRPr="0055485F">
        <w:rPr>
          <w:sz w:val="20"/>
        </w:rPr>
        <w:fldChar w:fldCharType="begin"/>
      </w:r>
      <w:r w:rsidRPr="004B1FCF">
        <w:rPr>
          <w:sz w:val="20"/>
          <w:lang w:val="fr-CA"/>
        </w:rPr>
        <w:instrText xml:space="preserve"> SEQ CHAPTER \h \r 1</w:instrText>
      </w:r>
      <w:r w:rsidR="008754B5" w:rsidRPr="0055485F">
        <w:rPr>
          <w:sz w:val="20"/>
        </w:rPr>
        <w:fldChar w:fldCharType="end"/>
      </w:r>
      <w:r w:rsidRPr="004B1FCF">
        <w:rPr>
          <w:sz w:val="20"/>
          <w:lang w:val="fr-CA"/>
        </w:rPr>
        <w:t>2008 QCCQ 5844 (</w:t>
      </w:r>
      <w:proofErr w:type="spellStart"/>
      <w:r w:rsidRPr="004B1FCF">
        <w:rPr>
          <w:sz w:val="20"/>
          <w:lang w:val="fr-CA"/>
        </w:rPr>
        <w:t>CanLII</w:t>
      </w:r>
      <w:proofErr w:type="spellEnd"/>
      <w:r w:rsidRPr="004B1FCF">
        <w:rPr>
          <w:sz w:val="20"/>
          <w:lang w:val="fr-CA"/>
        </w:rPr>
        <w:t>), [2008] J.Q. n</w:t>
      </w:r>
      <w:r w:rsidRPr="004B1FCF">
        <w:rPr>
          <w:sz w:val="20"/>
          <w:vertAlign w:val="superscript"/>
          <w:lang w:val="fr-CA"/>
        </w:rPr>
        <w:t>o</w:t>
      </w:r>
      <w:r w:rsidRPr="004B1FCF">
        <w:rPr>
          <w:sz w:val="20"/>
          <w:lang w:val="fr-CA"/>
        </w:rPr>
        <w:t xml:space="preserve"> 6218 (QL), 2008 </w:t>
      </w:r>
      <w:proofErr w:type="spellStart"/>
      <w:r w:rsidRPr="004B1FCF">
        <w:rPr>
          <w:sz w:val="20"/>
          <w:lang w:val="fr-CA"/>
        </w:rPr>
        <w:t>CarswellQue</w:t>
      </w:r>
      <w:proofErr w:type="spellEnd"/>
      <w:r w:rsidRPr="004B1FCF">
        <w:rPr>
          <w:sz w:val="20"/>
          <w:lang w:val="fr-CA"/>
        </w:rPr>
        <w:t xml:space="preserve"> 6362 (</w:t>
      </w:r>
      <w:proofErr w:type="spellStart"/>
      <w:r w:rsidRPr="004B1FCF">
        <w:rPr>
          <w:i/>
          <w:sz w:val="20"/>
          <w:lang w:val="fr-CA"/>
        </w:rPr>
        <w:t>sub</w:t>
      </w:r>
      <w:proofErr w:type="spellEnd"/>
      <w:r w:rsidRPr="004B1FCF">
        <w:rPr>
          <w:i/>
          <w:sz w:val="20"/>
          <w:lang w:val="fr-CA"/>
        </w:rPr>
        <w:t xml:space="preserve"> nom. R. c. Lebrun</w:t>
      </w:r>
      <w:r w:rsidRPr="004B1FCF">
        <w:rPr>
          <w:sz w:val="20"/>
          <w:lang w:val="fr-CA"/>
        </w:rPr>
        <w:t>).  Pourvoi rejeté.</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i/>
          <w:sz w:val="20"/>
          <w:lang w:val="fr-CA"/>
        </w:rPr>
        <w:tab/>
        <w:t>Véronique Robert</w:t>
      </w:r>
      <w:r w:rsidRPr="004B1FCF">
        <w:rPr>
          <w:sz w:val="20"/>
          <w:lang w:val="fr-CA"/>
        </w:rPr>
        <w:t xml:space="preserve"> et </w:t>
      </w:r>
      <w:r w:rsidRPr="004B1FCF">
        <w:rPr>
          <w:i/>
          <w:sz w:val="20"/>
          <w:lang w:val="fr-CA"/>
        </w:rPr>
        <w:t>Roland Roy</w:t>
      </w:r>
      <w:r w:rsidRPr="004B1FCF">
        <w:rPr>
          <w:sz w:val="20"/>
          <w:lang w:val="fr-CA"/>
        </w:rPr>
        <w:t>, pour l’appelant.</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i/>
          <w:sz w:val="20"/>
          <w:lang w:val="fr-CA"/>
        </w:rPr>
        <w:tab/>
        <w:t xml:space="preserve">Guy Loisel et Pierre </w:t>
      </w:r>
      <w:proofErr w:type="spellStart"/>
      <w:r w:rsidRPr="004B1FCF">
        <w:rPr>
          <w:i/>
          <w:sz w:val="20"/>
          <w:lang w:val="fr-CA"/>
        </w:rPr>
        <w:t>DesRosiers</w:t>
      </w:r>
      <w:proofErr w:type="spellEnd"/>
      <w:r w:rsidRPr="004B1FCF">
        <w:rPr>
          <w:sz w:val="20"/>
          <w:lang w:val="fr-CA"/>
        </w:rPr>
        <w:t>, pour l’intimée.</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i/>
          <w:sz w:val="20"/>
          <w:lang w:val="fr-CA"/>
        </w:rPr>
        <w:tab/>
        <w:t xml:space="preserve">Ginette </w:t>
      </w:r>
      <w:proofErr w:type="spellStart"/>
      <w:r w:rsidRPr="004B1FCF">
        <w:rPr>
          <w:i/>
          <w:sz w:val="20"/>
          <w:lang w:val="fr-CA"/>
        </w:rPr>
        <w:t>Gobeil</w:t>
      </w:r>
      <w:proofErr w:type="spellEnd"/>
      <w:r w:rsidRPr="004B1FCF">
        <w:rPr>
          <w:i/>
          <w:sz w:val="20"/>
          <w:lang w:val="fr-CA"/>
        </w:rPr>
        <w:t xml:space="preserve"> et François </w:t>
      </w:r>
      <w:proofErr w:type="spellStart"/>
      <w:r w:rsidRPr="004B1FCF">
        <w:rPr>
          <w:i/>
          <w:sz w:val="20"/>
          <w:lang w:val="fr-CA"/>
        </w:rPr>
        <w:t>Joyal</w:t>
      </w:r>
      <w:proofErr w:type="spellEnd"/>
      <w:r w:rsidRPr="004B1FCF">
        <w:rPr>
          <w:sz w:val="20"/>
          <w:lang w:val="fr-CA"/>
        </w:rPr>
        <w:t>, pour l’intervenant le procureur général du Canada.</w:t>
      </w:r>
    </w:p>
    <w:p w:rsidR="004B1FCF" w:rsidRPr="004B1FCF" w:rsidRDefault="004B1FCF" w:rsidP="004B1FCF">
      <w:pPr>
        <w:pStyle w:val="SCCNormalDoubleSpacing"/>
        <w:spacing w:line="240" w:lineRule="auto"/>
        <w:rPr>
          <w:sz w:val="20"/>
          <w:lang w:val="fr-CA"/>
        </w:rPr>
      </w:pPr>
    </w:p>
    <w:p w:rsidR="004B1FCF" w:rsidRPr="004B1FCF" w:rsidRDefault="004B1FCF" w:rsidP="004B1FCF">
      <w:pPr>
        <w:pStyle w:val="SCCNormalDoubleSpacing"/>
        <w:spacing w:line="240" w:lineRule="auto"/>
        <w:rPr>
          <w:sz w:val="20"/>
          <w:lang w:val="fr-CA"/>
        </w:rPr>
      </w:pPr>
      <w:r w:rsidRPr="004B1FCF">
        <w:rPr>
          <w:i/>
          <w:sz w:val="20"/>
          <w:lang w:val="fr-CA"/>
        </w:rPr>
        <w:tab/>
        <w:t xml:space="preserve">Robert E. </w:t>
      </w:r>
      <w:proofErr w:type="spellStart"/>
      <w:r w:rsidRPr="004B1FCF">
        <w:rPr>
          <w:i/>
          <w:sz w:val="20"/>
          <w:lang w:val="fr-CA"/>
        </w:rPr>
        <w:t>Gattrell</w:t>
      </w:r>
      <w:proofErr w:type="spellEnd"/>
      <w:r w:rsidRPr="004B1FCF">
        <w:rPr>
          <w:sz w:val="20"/>
          <w:lang w:val="fr-CA"/>
        </w:rPr>
        <w:t xml:space="preserve"> et </w:t>
      </w:r>
      <w:r w:rsidRPr="004B1FCF">
        <w:rPr>
          <w:i/>
          <w:sz w:val="20"/>
          <w:lang w:val="fr-CA"/>
        </w:rPr>
        <w:t xml:space="preserve">Joan </w:t>
      </w:r>
      <w:proofErr w:type="spellStart"/>
      <w:r w:rsidRPr="004B1FCF">
        <w:rPr>
          <w:i/>
          <w:sz w:val="20"/>
          <w:lang w:val="fr-CA"/>
        </w:rPr>
        <w:t>Barrett</w:t>
      </w:r>
      <w:proofErr w:type="spellEnd"/>
      <w:r w:rsidRPr="004B1FCF">
        <w:rPr>
          <w:sz w:val="20"/>
          <w:lang w:val="fr-CA"/>
        </w:rPr>
        <w:t>, pour l’intervenant le procureur général de l’Ontario.</w:t>
      </w:r>
    </w:p>
    <w:p w:rsidR="004B1FCF" w:rsidRPr="004B1FCF" w:rsidRDefault="004B1FCF" w:rsidP="004B1FCF">
      <w:pPr>
        <w:pStyle w:val="SCCLawFirm"/>
        <w:spacing w:line="240" w:lineRule="auto"/>
        <w:rPr>
          <w:i w:val="0"/>
          <w:sz w:val="20"/>
          <w:lang w:val="fr-CA"/>
        </w:rPr>
      </w:pPr>
    </w:p>
    <w:p w:rsidR="004B1FCF" w:rsidRPr="004B1FCF" w:rsidRDefault="004B1FCF" w:rsidP="004B1FCF">
      <w:pPr>
        <w:pStyle w:val="SCCLawFirm"/>
        <w:spacing w:line="240" w:lineRule="auto"/>
        <w:rPr>
          <w:sz w:val="20"/>
          <w:lang w:val="fr-CA"/>
        </w:rPr>
      </w:pPr>
      <w:r w:rsidRPr="004B1FCF">
        <w:rPr>
          <w:sz w:val="20"/>
          <w:lang w:val="fr-CA"/>
        </w:rPr>
        <w:tab/>
        <w:t>Procureurs de l’appelant : Roy &amp; Robert, Montréal.</w:t>
      </w:r>
    </w:p>
    <w:p w:rsidR="004B1FCF" w:rsidRPr="004B1FCF" w:rsidRDefault="004B1FCF" w:rsidP="004B1FCF">
      <w:pPr>
        <w:pStyle w:val="SCCLawFirm"/>
        <w:spacing w:line="240" w:lineRule="auto"/>
        <w:rPr>
          <w:i w:val="0"/>
          <w:sz w:val="20"/>
          <w:lang w:val="fr-CA"/>
        </w:rPr>
      </w:pPr>
    </w:p>
    <w:p w:rsidR="004B1FCF" w:rsidRPr="004B1FCF" w:rsidRDefault="004B1FCF" w:rsidP="004B1FCF">
      <w:pPr>
        <w:pStyle w:val="SCCLawFirm"/>
        <w:spacing w:line="240" w:lineRule="auto"/>
        <w:rPr>
          <w:sz w:val="20"/>
          <w:lang w:val="fr-CA"/>
        </w:rPr>
      </w:pPr>
      <w:r w:rsidRPr="004B1FCF">
        <w:rPr>
          <w:sz w:val="20"/>
          <w:lang w:val="fr-CA"/>
        </w:rPr>
        <w:tab/>
        <w:t xml:space="preserve">Procureur de l’intimée : Poursuites criminelles et pénales du Québec, </w:t>
      </w:r>
      <w:proofErr w:type="spellStart"/>
      <w:r w:rsidRPr="004B1FCF">
        <w:rPr>
          <w:sz w:val="20"/>
          <w:lang w:val="fr-CA"/>
        </w:rPr>
        <w:t>Matane</w:t>
      </w:r>
      <w:proofErr w:type="spellEnd"/>
      <w:r w:rsidRPr="004B1FCF">
        <w:rPr>
          <w:sz w:val="20"/>
          <w:lang w:val="fr-CA"/>
        </w:rPr>
        <w:t>.</w:t>
      </w:r>
    </w:p>
    <w:p w:rsidR="004B1FCF" w:rsidRPr="004B1FCF" w:rsidRDefault="004B1FCF" w:rsidP="004B1FCF">
      <w:pPr>
        <w:pStyle w:val="SCCLawFirm"/>
        <w:spacing w:line="240" w:lineRule="auto"/>
        <w:rPr>
          <w:i w:val="0"/>
          <w:sz w:val="20"/>
          <w:lang w:val="fr-CA"/>
        </w:rPr>
      </w:pPr>
    </w:p>
    <w:p w:rsidR="004B1FCF" w:rsidRPr="004B1FCF" w:rsidRDefault="004B1FCF" w:rsidP="004B1FCF">
      <w:pPr>
        <w:pStyle w:val="SCCLawFirm"/>
        <w:spacing w:line="240" w:lineRule="auto"/>
        <w:rPr>
          <w:sz w:val="20"/>
          <w:lang w:val="fr-CA"/>
        </w:rPr>
      </w:pPr>
      <w:r w:rsidRPr="004B1FCF">
        <w:rPr>
          <w:sz w:val="20"/>
          <w:lang w:val="fr-CA"/>
        </w:rPr>
        <w:tab/>
        <w:t>Procureur de l’intervenant le procureur général du Canada : Procureur général du Canada, Montréal.</w:t>
      </w:r>
    </w:p>
    <w:p w:rsidR="004B1FCF" w:rsidRPr="004B1FCF" w:rsidRDefault="004B1FCF" w:rsidP="004B1FCF">
      <w:pPr>
        <w:pStyle w:val="SCCLawFirm"/>
        <w:spacing w:line="240" w:lineRule="auto"/>
        <w:rPr>
          <w:i w:val="0"/>
          <w:sz w:val="20"/>
          <w:lang w:val="fr-CA"/>
        </w:rPr>
      </w:pPr>
    </w:p>
    <w:p w:rsidR="004B1FCF" w:rsidRDefault="004B1FCF">
      <w:pPr>
        <w:rPr>
          <w:rFonts w:eastAsia="Times New Roman" w:cs="Times New Roman"/>
          <w:i/>
          <w:sz w:val="20"/>
          <w:szCs w:val="20"/>
          <w:lang w:val="fr-CA" w:eastAsia="en-CA"/>
        </w:rPr>
      </w:pPr>
      <w:r>
        <w:rPr>
          <w:sz w:val="20"/>
          <w:lang w:val="fr-CA"/>
        </w:rPr>
        <w:br w:type="page"/>
      </w:r>
    </w:p>
    <w:p w:rsidR="004B1FCF" w:rsidRPr="004B1FCF" w:rsidRDefault="004B1FCF" w:rsidP="004B1FCF">
      <w:pPr>
        <w:pStyle w:val="SCCLawFirm"/>
        <w:spacing w:line="240" w:lineRule="auto"/>
        <w:rPr>
          <w:sz w:val="20"/>
          <w:lang w:val="fr-CA"/>
        </w:rPr>
      </w:pPr>
      <w:r w:rsidRPr="004B1FCF">
        <w:rPr>
          <w:sz w:val="20"/>
          <w:lang w:val="fr-CA"/>
        </w:rPr>
        <w:lastRenderedPageBreak/>
        <w:tab/>
        <w:t>Procureur de l’intervenant le procureur général de l’Ontario : Procureur général de l’Ontario, Toronto.</w:t>
      </w:r>
    </w:p>
    <w:p w:rsidR="00DD0B49" w:rsidRPr="00527B7A" w:rsidRDefault="00DD0B49" w:rsidP="00DD0B49">
      <w:pPr>
        <w:rPr>
          <w:rFonts w:cs="Times New Roman"/>
          <w:sz w:val="20"/>
          <w:szCs w:val="20"/>
        </w:rPr>
      </w:pPr>
      <w:r w:rsidRPr="00527B7A">
        <w:rPr>
          <w:rFonts w:cs="Times New Roman"/>
          <w:sz w:val="20"/>
          <w:szCs w:val="20"/>
        </w:rPr>
        <w:t>________________________</w:t>
      </w:r>
    </w:p>
    <w:p w:rsidR="00DD0B49" w:rsidRPr="00527B7A" w:rsidRDefault="00DD0B49" w:rsidP="00DD0B49">
      <w:pPr>
        <w:rPr>
          <w:rFonts w:cs="Times New Roman"/>
          <w:sz w:val="20"/>
          <w:szCs w:val="20"/>
        </w:rPr>
      </w:pPr>
    </w:p>
    <w:p w:rsidR="00B06584" w:rsidRPr="00B15E7D" w:rsidRDefault="00B06584" w:rsidP="00B06584">
      <w:pPr>
        <w:jc w:val="both"/>
        <w:rPr>
          <w:sz w:val="20"/>
          <w:szCs w:val="20"/>
        </w:rPr>
      </w:pPr>
      <w:r w:rsidRPr="00B15E7D">
        <w:rPr>
          <w:sz w:val="20"/>
          <w:szCs w:val="20"/>
        </w:rPr>
        <w:t xml:space="preserve">Present:  </w:t>
      </w:r>
      <w:proofErr w:type="spellStart"/>
      <w:r w:rsidRPr="00B15E7D">
        <w:rPr>
          <w:sz w:val="20"/>
          <w:szCs w:val="20"/>
        </w:rPr>
        <w:t>McLachlin</w:t>
      </w:r>
      <w:proofErr w:type="spellEnd"/>
      <w:r w:rsidRPr="00B15E7D">
        <w:rPr>
          <w:sz w:val="20"/>
          <w:szCs w:val="20"/>
        </w:rPr>
        <w:t xml:space="preserve"> C.J. and </w:t>
      </w:r>
      <w:proofErr w:type="spellStart"/>
      <w:r w:rsidRPr="00B15E7D">
        <w:rPr>
          <w:sz w:val="20"/>
          <w:szCs w:val="20"/>
        </w:rPr>
        <w:t>Binnie</w:t>
      </w:r>
      <w:proofErr w:type="spellEnd"/>
      <w:r w:rsidRPr="00B15E7D">
        <w:rPr>
          <w:sz w:val="20"/>
          <w:szCs w:val="20"/>
        </w:rPr>
        <w:t xml:space="preserve">, </w:t>
      </w:r>
      <w:proofErr w:type="spellStart"/>
      <w:r w:rsidRPr="00B15E7D">
        <w:rPr>
          <w:sz w:val="20"/>
          <w:szCs w:val="20"/>
        </w:rPr>
        <w:t>LeBel</w:t>
      </w:r>
      <w:proofErr w:type="spellEnd"/>
      <w:r w:rsidRPr="00B15E7D">
        <w:rPr>
          <w:sz w:val="20"/>
          <w:szCs w:val="20"/>
        </w:rPr>
        <w:t xml:space="preserve">, </w:t>
      </w:r>
      <w:proofErr w:type="spellStart"/>
      <w:r w:rsidRPr="00B15E7D">
        <w:rPr>
          <w:sz w:val="20"/>
          <w:szCs w:val="20"/>
        </w:rPr>
        <w:t>Deschamps</w:t>
      </w:r>
      <w:proofErr w:type="spellEnd"/>
      <w:r w:rsidRPr="00B15E7D">
        <w:rPr>
          <w:sz w:val="20"/>
          <w:szCs w:val="20"/>
        </w:rPr>
        <w:t xml:space="preserve">, Fish, </w:t>
      </w:r>
      <w:proofErr w:type="spellStart"/>
      <w:r w:rsidRPr="00B15E7D">
        <w:rPr>
          <w:sz w:val="20"/>
          <w:szCs w:val="20"/>
        </w:rPr>
        <w:t>Abella</w:t>
      </w:r>
      <w:proofErr w:type="spellEnd"/>
      <w:r w:rsidRPr="00B15E7D">
        <w:rPr>
          <w:sz w:val="20"/>
          <w:szCs w:val="20"/>
        </w:rPr>
        <w:t xml:space="preserve">, </w:t>
      </w:r>
      <w:proofErr w:type="spellStart"/>
      <w:r w:rsidRPr="00B15E7D">
        <w:rPr>
          <w:sz w:val="20"/>
          <w:szCs w:val="20"/>
        </w:rPr>
        <w:t>Charron</w:t>
      </w:r>
      <w:proofErr w:type="spellEnd"/>
      <w:r w:rsidRPr="00B15E7D">
        <w:rPr>
          <w:sz w:val="20"/>
          <w:szCs w:val="20"/>
        </w:rPr>
        <w:t>, Rothstein and Cromwell JJ.</w:t>
      </w:r>
    </w:p>
    <w:p w:rsidR="00B06584" w:rsidRPr="00B06584" w:rsidRDefault="00B06584" w:rsidP="00DD0B49">
      <w:pPr>
        <w:rPr>
          <w:rFonts w:cs="Times New Roman"/>
          <w:sz w:val="20"/>
          <w:szCs w:val="20"/>
        </w:rPr>
      </w:pPr>
    </w:p>
    <w:p w:rsidR="002D7D15" w:rsidRPr="00176D4D" w:rsidRDefault="002D7D15" w:rsidP="002D7D15">
      <w:pPr>
        <w:pStyle w:val="SCCNormalDoubleSpacing"/>
        <w:spacing w:line="240" w:lineRule="auto"/>
        <w:rPr>
          <w:sz w:val="20"/>
        </w:rPr>
      </w:pPr>
      <w:r w:rsidRPr="00176D4D">
        <w:rPr>
          <w:sz w:val="20"/>
        </w:rPr>
        <w:tab/>
      </w:r>
      <w:r w:rsidRPr="00176D4D">
        <w:rPr>
          <w:i/>
          <w:sz w:val="20"/>
        </w:rPr>
        <w:t xml:space="preserve">Criminal law — Defences — Mental disorder — Accused assaulting two individuals while in state of toxic psychosis resulting from voluntary consumption of drugs — Whether toxic psychosis whose symptoms are caused by state of </w:t>
      </w:r>
      <w:proofErr w:type="spellStart"/>
      <w:r w:rsidRPr="00176D4D">
        <w:rPr>
          <w:i/>
          <w:sz w:val="20"/>
        </w:rPr>
        <w:t>self</w:t>
      </w:r>
      <w:r w:rsidRPr="00176D4D">
        <w:rPr>
          <w:i/>
          <w:sz w:val="20"/>
        </w:rPr>
        <w:noBreakHyphen/>
        <w:t>induced</w:t>
      </w:r>
      <w:proofErr w:type="spellEnd"/>
      <w:r w:rsidRPr="00176D4D">
        <w:rPr>
          <w:i/>
          <w:sz w:val="20"/>
        </w:rPr>
        <w:t xml:space="preserve"> intoxication can be “mental disorder”</w:t>
      </w:r>
      <w:r w:rsidRPr="00176D4D">
        <w:rPr>
          <w:sz w:val="20"/>
        </w:rPr>
        <w:t xml:space="preserve"> </w:t>
      </w:r>
      <w:r w:rsidRPr="00176D4D">
        <w:rPr>
          <w:i/>
          <w:sz w:val="20"/>
        </w:rPr>
        <w:t>— Whether s. 33.1 Cr. C. limits scope of defence of not criminally responsible on account of mental disorder — Criminal Code, R.S.C. 1985, c. C</w:t>
      </w:r>
      <w:r w:rsidRPr="00176D4D">
        <w:rPr>
          <w:i/>
          <w:sz w:val="20"/>
        </w:rPr>
        <w:noBreakHyphen/>
        <w:t>46, ss. 16, 33.1.</w:t>
      </w:r>
      <w:r w:rsidRPr="00176D4D">
        <w:rPr>
          <w:sz w:val="20"/>
        </w:rPr>
        <w:t xml:space="preserve"> </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i/>
          <w:sz w:val="20"/>
        </w:rPr>
        <w:tab/>
      </w:r>
      <w:r w:rsidRPr="00176D4D">
        <w:rPr>
          <w:sz w:val="20"/>
        </w:rPr>
        <w:t xml:space="preserve">B brutally assaulted two individuals while he was in a psychotic condition caused by drugs he had taken a few hours earlier.  As a result of these incidents, B was charged with aggravated assault.  The trial judge convicted B on the basis that all the elements of s. 33.1 </w:t>
      </w:r>
      <w:r w:rsidRPr="00176D4D">
        <w:rPr>
          <w:i/>
          <w:sz w:val="20"/>
        </w:rPr>
        <w:t>Cr. C.</w:t>
      </w:r>
      <w:r w:rsidRPr="00176D4D">
        <w:rPr>
          <w:sz w:val="20"/>
        </w:rPr>
        <w:t xml:space="preserve">, which provides that </w:t>
      </w:r>
      <w:proofErr w:type="spellStart"/>
      <w:r w:rsidRPr="00176D4D">
        <w:rPr>
          <w:sz w:val="20"/>
        </w:rPr>
        <w:t>self</w:t>
      </w:r>
      <w:r w:rsidRPr="00176D4D">
        <w:rPr>
          <w:sz w:val="20"/>
        </w:rPr>
        <w:noBreakHyphen/>
        <w:t>induced</w:t>
      </w:r>
      <w:proofErr w:type="spellEnd"/>
      <w:r w:rsidRPr="00176D4D">
        <w:rPr>
          <w:sz w:val="20"/>
        </w:rPr>
        <w:t xml:space="preserve"> intoxication cannot be a defence to an offence against the bodily integrity of another person, had been proven beyond a reasonable doubt.  B then tried unsuccessfully on appeal to obtain a verdict of not criminally responsible on account of mental disorder under s. 16 </w:t>
      </w:r>
      <w:r w:rsidRPr="00176D4D">
        <w:rPr>
          <w:i/>
          <w:sz w:val="20"/>
        </w:rPr>
        <w:t>Cr. C.</w:t>
      </w:r>
      <w:r w:rsidRPr="00176D4D">
        <w:rPr>
          <w:sz w:val="20"/>
        </w:rPr>
        <w:t xml:space="preserve">  The Court of Appeal held that s. 33.1 </w:t>
      </w:r>
      <w:r w:rsidRPr="00176D4D">
        <w:rPr>
          <w:i/>
          <w:sz w:val="20"/>
        </w:rPr>
        <w:t>Cr. C.</w:t>
      </w:r>
      <w:r w:rsidRPr="00176D4D">
        <w:rPr>
          <w:sz w:val="20"/>
        </w:rPr>
        <w:t xml:space="preserve"> applied in this case.</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tab/>
        <w:t>Held:  The appeal should be dismissed.</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tab/>
        <w:t xml:space="preserve">A court must consider the specific principles that govern the insanity defence in order to determine whether s. 16 </w:t>
      </w:r>
      <w:r w:rsidRPr="00176D4D">
        <w:rPr>
          <w:i/>
          <w:sz w:val="20"/>
        </w:rPr>
        <w:t>Cr. C.</w:t>
      </w:r>
      <w:r w:rsidRPr="00176D4D">
        <w:rPr>
          <w:sz w:val="20"/>
        </w:rPr>
        <w:t xml:space="preserve"> is applicable.  If that defence does not apply, the court can then consider whether the defence of </w:t>
      </w:r>
      <w:proofErr w:type="spellStart"/>
      <w:r w:rsidRPr="00176D4D">
        <w:rPr>
          <w:sz w:val="20"/>
        </w:rPr>
        <w:t>self</w:t>
      </w:r>
      <w:r w:rsidRPr="00176D4D">
        <w:rPr>
          <w:sz w:val="20"/>
        </w:rPr>
        <w:noBreakHyphen/>
        <w:t>induced</w:t>
      </w:r>
      <w:proofErr w:type="spellEnd"/>
      <w:r w:rsidRPr="00176D4D">
        <w:rPr>
          <w:sz w:val="20"/>
        </w:rPr>
        <w:t xml:space="preserve"> intoxication under s. 33.1 </w:t>
      </w:r>
      <w:r w:rsidRPr="00176D4D">
        <w:rPr>
          <w:i/>
          <w:sz w:val="20"/>
        </w:rPr>
        <w:t xml:space="preserve">Cr. C. </w:t>
      </w:r>
      <w:r w:rsidRPr="00176D4D">
        <w:rPr>
          <w:sz w:val="20"/>
        </w:rPr>
        <w:t>is applicable if it is appropriate to do so on the facts of the case</w:t>
      </w:r>
      <w:r w:rsidRPr="00176D4D">
        <w:rPr>
          <w:i/>
          <w:sz w:val="20"/>
        </w:rPr>
        <w:t>.</w:t>
      </w:r>
      <w:r w:rsidRPr="00176D4D">
        <w:rPr>
          <w:sz w:val="20"/>
        </w:rPr>
        <w:t xml:space="preserve">  Intoxication and insanity are two distinct legal concepts.</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tab/>
        <w:t xml:space="preserve">An accused who wishes to successfully raise the insanity defence must meet the requirements of a </w:t>
      </w:r>
      <w:proofErr w:type="spellStart"/>
      <w:r w:rsidRPr="00176D4D">
        <w:rPr>
          <w:sz w:val="20"/>
        </w:rPr>
        <w:t>two</w:t>
      </w:r>
      <w:r w:rsidRPr="00176D4D">
        <w:rPr>
          <w:sz w:val="20"/>
        </w:rPr>
        <w:noBreakHyphen/>
        <w:t>stage</w:t>
      </w:r>
      <w:proofErr w:type="spellEnd"/>
      <w:r w:rsidRPr="00176D4D">
        <w:rPr>
          <w:sz w:val="20"/>
        </w:rPr>
        <w:t xml:space="preserve"> statutory test.  The first stage involves characterizing the mental state of the accused.  The key issue to be decided at trial at this stage is whether the accused was suffering from a mental disorder in the legal sense at the time of the alleged events.  The second stage of the defence provided for in s. 16 </w:t>
      </w:r>
      <w:r w:rsidRPr="00176D4D">
        <w:rPr>
          <w:i/>
          <w:sz w:val="20"/>
        </w:rPr>
        <w:t>Cr. C.</w:t>
      </w:r>
      <w:r w:rsidRPr="00176D4D">
        <w:rPr>
          <w:sz w:val="20"/>
        </w:rPr>
        <w:t xml:space="preserve"> concerns the effects of the mental disorder.  At this stage, it must be determined whether, owing to his or her mental condition, the accused was incapable of knowing that the act or omission was wrong.  In the instant case, it is not in dispute that B was incapable of distinguishing right from wrong at the material time.  Therefore, the only issue in this appeal is whether the psychosis resulted from a “mental disorder” within the meaning of s. 16 </w:t>
      </w:r>
      <w:r w:rsidRPr="00176D4D">
        <w:rPr>
          <w:i/>
          <w:sz w:val="20"/>
        </w:rPr>
        <w:t>Cr. C.</w:t>
      </w:r>
      <w:r w:rsidRPr="00176D4D">
        <w:rPr>
          <w:sz w:val="20"/>
        </w:rPr>
        <w:t xml:space="preserve"> </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tab/>
        <w:t xml:space="preserve">Toxic psychosis does not always result from a “mental disorder”.  In </w:t>
      </w:r>
      <w:r w:rsidRPr="00176D4D">
        <w:rPr>
          <w:i/>
          <w:sz w:val="20"/>
        </w:rPr>
        <w:t>Stone</w:t>
      </w:r>
      <w:r w:rsidRPr="00176D4D">
        <w:rPr>
          <w:sz w:val="20"/>
        </w:rPr>
        <w:t xml:space="preserve">, </w:t>
      </w:r>
      <w:proofErr w:type="spellStart"/>
      <w:r w:rsidRPr="00176D4D">
        <w:rPr>
          <w:sz w:val="20"/>
        </w:rPr>
        <w:t>Bastarache</w:t>
      </w:r>
      <w:proofErr w:type="spellEnd"/>
      <w:r w:rsidRPr="00176D4D">
        <w:rPr>
          <w:sz w:val="20"/>
        </w:rPr>
        <w:t xml:space="preserve"> J. proposed an approach for distinguishing toxic psychoses that result from mental disorders from those that do not.  This approach is structured around two analytical tools, namely the internal cause factor and the continuing danger factor, and certain policy considerations. </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tab/>
        <w:t xml:space="preserve">The internal cause factor, the first of the analytical tools, involves comparing the accused with a normal person.  The comparison between the accused and a normal person will be objective and may be based on the psychiatric evidence.  The more the psychiatric evidence suggests that a normal person, that is, a person suffering from no disease of the mind, is susceptible to such a state, the more justified the courts will be in finding that the trigger is external.  Such a finding would exclude the condition of the accused from the scope of s. 16 </w:t>
      </w:r>
      <w:r w:rsidRPr="00176D4D">
        <w:rPr>
          <w:i/>
          <w:sz w:val="20"/>
        </w:rPr>
        <w:t>Cr. C.</w:t>
      </w:r>
      <w:r w:rsidRPr="00176D4D">
        <w:rPr>
          <w:sz w:val="20"/>
        </w:rPr>
        <w:t xml:space="preserve">  The reverse also holds true. </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tab/>
        <w:t>In this case, the application of the first factor suggests that the drug-taking is an external cause.  It seems likely that the reaction of a normal person to taking drugs would indeed be to develop toxic psychosis.  This strongly suggests that B was not suffering from a mental disorder at the time he committed the impugned acts.  And the rapid appearance of psychotic symptoms generally indicates that B’s delusions can be attributed to an external factor.  In addition, the psychotic symptoms B experienced began to diminish shortly after he took the drugs and continued to do so until disappearing completely.  The Court of Appeal held that the disappearance of the symptoms showed that the symptoms of toxic psychosis coincided with the duration of B’s intoxication.  It could thus say that B suffered from no disease of the mind before committing the crimes and once the effects of his drug-taking had passed.  There is no valid reason to depart from this conclusion.</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lastRenderedPageBreak/>
        <w:tab/>
        <w:t xml:space="preserve">The second analytical tool, the continuing danger factor, is directly related to the need to ensure public safety.  In this case, there is no evidence indicating that B’s mental condition is inherently dangerous in any way.  Provided that B abstains from such drugs in the future, which he is capable of doing voluntarily, it would seem that his mental condition poses no threat to public safety. </w:t>
      </w:r>
    </w:p>
    <w:p w:rsidR="002D7D15" w:rsidRDefault="002D7D15" w:rsidP="002D7D15">
      <w:pPr>
        <w:pStyle w:val="SCCNormalDoubleSpacing"/>
        <w:spacing w:line="240" w:lineRule="auto"/>
        <w:rPr>
          <w:sz w:val="20"/>
        </w:rPr>
      </w:pPr>
    </w:p>
    <w:p w:rsidR="002D7D15" w:rsidRPr="00176D4D" w:rsidRDefault="002D7D15" w:rsidP="002D7D15">
      <w:pPr>
        <w:pStyle w:val="SCCNormalDoubleSpacing"/>
        <w:spacing w:line="240" w:lineRule="auto"/>
        <w:rPr>
          <w:sz w:val="20"/>
        </w:rPr>
      </w:pPr>
      <w:r w:rsidRPr="00176D4D">
        <w:rPr>
          <w:sz w:val="20"/>
        </w:rPr>
        <w:tab/>
        <w:t xml:space="preserve">In this context, B was not suffering from a “mental disorder” for the purposes of s. 16 </w:t>
      </w:r>
      <w:r w:rsidRPr="00176D4D">
        <w:rPr>
          <w:i/>
          <w:sz w:val="20"/>
        </w:rPr>
        <w:t>Cr. C.</w:t>
      </w:r>
      <w:r w:rsidRPr="00176D4D">
        <w:rPr>
          <w:sz w:val="20"/>
        </w:rPr>
        <w:t xml:space="preserve"> at the time he committed the assault.  A malfunctioning of the mind that results exclusively from </w:t>
      </w:r>
      <w:proofErr w:type="spellStart"/>
      <w:r w:rsidRPr="00176D4D">
        <w:rPr>
          <w:sz w:val="20"/>
        </w:rPr>
        <w:t>self</w:t>
      </w:r>
      <w:r w:rsidRPr="00176D4D">
        <w:rPr>
          <w:sz w:val="20"/>
        </w:rPr>
        <w:noBreakHyphen/>
        <w:t>induced</w:t>
      </w:r>
      <w:proofErr w:type="spellEnd"/>
      <w:r w:rsidRPr="00176D4D">
        <w:rPr>
          <w:sz w:val="20"/>
        </w:rPr>
        <w:t xml:space="preserve"> intoxication cannot be considered a disease of the mind in the legal sense, since it is not a product of the individual’s inherent psychological makeup.  This is true even though medical science may tend to consider such conditions to be diseases of the mind. </w:t>
      </w:r>
    </w:p>
    <w:p w:rsidR="002D7D15" w:rsidRDefault="002D7D15" w:rsidP="002D7D15">
      <w:pPr>
        <w:pStyle w:val="SCCNormalDoubleSpacing"/>
        <w:spacing w:line="240" w:lineRule="auto"/>
        <w:rPr>
          <w:sz w:val="20"/>
        </w:rPr>
      </w:pPr>
    </w:p>
    <w:p w:rsidR="002D7D15" w:rsidRDefault="002D7D15" w:rsidP="002D7D15">
      <w:pPr>
        <w:pStyle w:val="SCCNormalDoubleSpacing"/>
        <w:spacing w:line="240" w:lineRule="auto"/>
        <w:rPr>
          <w:sz w:val="20"/>
        </w:rPr>
      </w:pPr>
      <w:r w:rsidRPr="00176D4D">
        <w:rPr>
          <w:sz w:val="20"/>
        </w:rPr>
        <w:tab/>
        <w:t xml:space="preserve">The foregoing conclusion leads to the question whether s. 33.1 </w:t>
      </w:r>
      <w:r w:rsidRPr="00176D4D">
        <w:rPr>
          <w:i/>
          <w:sz w:val="20"/>
        </w:rPr>
        <w:t>Cr. C.</w:t>
      </w:r>
      <w:r w:rsidRPr="00176D4D">
        <w:rPr>
          <w:sz w:val="20"/>
        </w:rPr>
        <w:t xml:space="preserve"> is applicable.  This provision applies where three conditions are met:  (1) the accused was intoxicated at the material time; (2) the intoxication was </w:t>
      </w:r>
      <w:proofErr w:type="spellStart"/>
      <w:r w:rsidRPr="00176D4D">
        <w:rPr>
          <w:sz w:val="20"/>
        </w:rPr>
        <w:t>self</w:t>
      </w:r>
      <w:r w:rsidRPr="00176D4D">
        <w:rPr>
          <w:sz w:val="20"/>
        </w:rPr>
        <w:noBreakHyphen/>
        <w:t>induced</w:t>
      </w:r>
      <w:proofErr w:type="spellEnd"/>
      <w:r w:rsidRPr="00176D4D">
        <w:rPr>
          <w:sz w:val="20"/>
        </w:rPr>
        <w:t xml:space="preserve">; and (3) the accused departed from the standard of reasonable care generally recognized in Canadian society by interfering or threatening to interfere with the bodily integrity of another person.  Where these three things are proved, it is not a defence that the accused lacked the general intent or the voluntariness required to commit the offence.  Section 33.1 </w:t>
      </w:r>
      <w:r w:rsidRPr="00176D4D">
        <w:rPr>
          <w:i/>
          <w:sz w:val="20"/>
        </w:rPr>
        <w:t>Cr. C.</w:t>
      </w:r>
      <w:r w:rsidRPr="00176D4D">
        <w:rPr>
          <w:sz w:val="20"/>
        </w:rPr>
        <w:t xml:space="preserve"> therefore applies to any mental condition that is a direct extension of a state of intoxication.  There is no threshold of intoxication beyond which s. 33.1 </w:t>
      </w:r>
      <w:r w:rsidRPr="00176D4D">
        <w:rPr>
          <w:i/>
          <w:sz w:val="20"/>
        </w:rPr>
        <w:t>Cr. C.</w:t>
      </w:r>
      <w:r w:rsidRPr="00176D4D">
        <w:rPr>
          <w:sz w:val="20"/>
        </w:rPr>
        <w:t xml:space="preserve"> does not apply to an accused, which means that toxic psychosis can be one of the states of intoxication covered by this provision.  It is so covered in the case at bar.  The Court of Appeal therefore did not err in law in holding that s. 33.1 </w:t>
      </w:r>
      <w:r w:rsidRPr="00176D4D">
        <w:rPr>
          <w:i/>
          <w:sz w:val="20"/>
        </w:rPr>
        <w:t>Cr. C.</w:t>
      </w:r>
      <w:r w:rsidRPr="00176D4D">
        <w:rPr>
          <w:sz w:val="20"/>
        </w:rPr>
        <w:t xml:space="preserve"> was applicable rather than s. 16 </w:t>
      </w:r>
      <w:r w:rsidRPr="00176D4D">
        <w:rPr>
          <w:i/>
          <w:sz w:val="20"/>
        </w:rPr>
        <w:t>Cr. C.</w:t>
      </w:r>
    </w:p>
    <w:p w:rsidR="002D7D15" w:rsidRPr="00176D4D" w:rsidRDefault="002D7D15" w:rsidP="002D7D15">
      <w:pPr>
        <w:pStyle w:val="SCCNormalDoubleSpacing"/>
        <w:spacing w:line="240" w:lineRule="auto"/>
        <w:rPr>
          <w:sz w:val="20"/>
        </w:rPr>
      </w:pPr>
    </w:p>
    <w:p w:rsidR="002D7D15" w:rsidRPr="00176D4D" w:rsidRDefault="002D7D15" w:rsidP="002D7D15">
      <w:pPr>
        <w:pStyle w:val="SCCNormalDoubleSpacing"/>
        <w:widowControl w:val="0"/>
        <w:spacing w:line="240" w:lineRule="auto"/>
        <w:rPr>
          <w:sz w:val="20"/>
        </w:rPr>
      </w:pPr>
      <w:r w:rsidRPr="00176D4D">
        <w:rPr>
          <w:sz w:val="20"/>
          <w:lang w:val="en-US"/>
        </w:rPr>
        <w:tab/>
      </w:r>
      <w:r w:rsidRPr="00176D4D">
        <w:rPr>
          <w:sz w:val="20"/>
        </w:rPr>
        <w:t>APPEAL from a judgment of the Quebec Court of Appeal (</w:t>
      </w:r>
      <w:r w:rsidR="008754B5" w:rsidRPr="00176D4D">
        <w:rPr>
          <w:sz w:val="20"/>
        </w:rPr>
        <w:fldChar w:fldCharType="begin"/>
      </w:r>
      <w:r w:rsidRPr="00176D4D">
        <w:rPr>
          <w:sz w:val="20"/>
        </w:rPr>
        <w:instrText xml:space="preserve"> SEQ CHAPTER \h \r 1</w:instrText>
      </w:r>
      <w:r w:rsidR="008754B5" w:rsidRPr="00176D4D">
        <w:rPr>
          <w:sz w:val="20"/>
        </w:rPr>
        <w:fldChar w:fldCharType="end"/>
      </w:r>
      <w:r w:rsidRPr="00176D4D">
        <w:rPr>
          <w:sz w:val="20"/>
        </w:rPr>
        <w:t xml:space="preserve">Thibault, </w:t>
      </w:r>
      <w:proofErr w:type="spellStart"/>
      <w:r w:rsidRPr="00176D4D">
        <w:rPr>
          <w:sz w:val="20"/>
        </w:rPr>
        <w:t>Rochette</w:t>
      </w:r>
      <w:proofErr w:type="spellEnd"/>
      <w:r w:rsidRPr="00176D4D">
        <w:rPr>
          <w:sz w:val="20"/>
        </w:rPr>
        <w:t xml:space="preserve"> and Gagnon JJ.A.), </w:t>
      </w:r>
      <w:r w:rsidR="008754B5" w:rsidRPr="00176D4D">
        <w:rPr>
          <w:sz w:val="20"/>
        </w:rPr>
        <w:fldChar w:fldCharType="begin"/>
      </w:r>
      <w:r w:rsidRPr="00176D4D">
        <w:rPr>
          <w:sz w:val="20"/>
        </w:rPr>
        <w:instrText xml:space="preserve"> SEQ CHAPTER \h \r 1</w:instrText>
      </w:r>
      <w:r w:rsidR="008754B5" w:rsidRPr="00176D4D">
        <w:rPr>
          <w:sz w:val="20"/>
        </w:rPr>
        <w:fldChar w:fldCharType="end"/>
      </w:r>
      <w:r w:rsidRPr="00176D4D">
        <w:rPr>
          <w:sz w:val="20"/>
        </w:rPr>
        <w:t xml:space="preserve">2010 QCCA 402, 260 C.C.C. (3d) 548, 76 C.R. (6th) 59, [2010] Q.J. No. 1672 (QL), 2010 </w:t>
      </w:r>
      <w:proofErr w:type="spellStart"/>
      <w:r w:rsidRPr="00176D4D">
        <w:rPr>
          <w:sz w:val="20"/>
        </w:rPr>
        <w:t>CarswellQue</w:t>
      </w:r>
      <w:proofErr w:type="spellEnd"/>
      <w:r w:rsidRPr="00176D4D">
        <w:rPr>
          <w:sz w:val="20"/>
        </w:rPr>
        <w:t xml:space="preserve"> 9208, affirming the convictions of the accused for aggravated assault and assault entered by </w:t>
      </w:r>
      <w:r w:rsidR="008754B5" w:rsidRPr="00176D4D">
        <w:rPr>
          <w:sz w:val="20"/>
        </w:rPr>
        <w:fldChar w:fldCharType="begin"/>
      </w:r>
      <w:r w:rsidRPr="00176D4D">
        <w:rPr>
          <w:sz w:val="20"/>
        </w:rPr>
        <w:instrText xml:space="preserve"> SEQ CHAPTER \h \r 1</w:instrText>
      </w:r>
      <w:r w:rsidR="008754B5" w:rsidRPr="00176D4D">
        <w:rPr>
          <w:sz w:val="20"/>
        </w:rPr>
        <w:fldChar w:fldCharType="end"/>
      </w:r>
      <w:proofErr w:type="spellStart"/>
      <w:r w:rsidRPr="00176D4D">
        <w:rPr>
          <w:sz w:val="20"/>
        </w:rPr>
        <w:t>Decoste</w:t>
      </w:r>
      <w:proofErr w:type="spellEnd"/>
      <w:r w:rsidRPr="00176D4D">
        <w:rPr>
          <w:sz w:val="20"/>
        </w:rPr>
        <w:t xml:space="preserve"> J.C.Q., </w:t>
      </w:r>
      <w:r w:rsidR="008754B5" w:rsidRPr="00176D4D">
        <w:rPr>
          <w:sz w:val="20"/>
        </w:rPr>
        <w:fldChar w:fldCharType="begin"/>
      </w:r>
      <w:r w:rsidRPr="00176D4D">
        <w:rPr>
          <w:sz w:val="20"/>
        </w:rPr>
        <w:instrText xml:space="preserve"> SEQ CHAPTER \h \r 1</w:instrText>
      </w:r>
      <w:r w:rsidR="008754B5" w:rsidRPr="00176D4D">
        <w:rPr>
          <w:sz w:val="20"/>
        </w:rPr>
        <w:fldChar w:fldCharType="end"/>
      </w:r>
      <w:r w:rsidRPr="00176D4D">
        <w:rPr>
          <w:sz w:val="20"/>
        </w:rPr>
        <w:t>2008 QCCQ 5844 (</w:t>
      </w:r>
      <w:proofErr w:type="spellStart"/>
      <w:r w:rsidRPr="00176D4D">
        <w:rPr>
          <w:sz w:val="20"/>
        </w:rPr>
        <w:t>CanLII</w:t>
      </w:r>
      <w:proofErr w:type="spellEnd"/>
      <w:r w:rsidRPr="00176D4D">
        <w:rPr>
          <w:sz w:val="20"/>
        </w:rPr>
        <w:t>), [2008] J.Q. n</w:t>
      </w:r>
      <w:r w:rsidRPr="00176D4D">
        <w:rPr>
          <w:sz w:val="20"/>
          <w:vertAlign w:val="superscript"/>
        </w:rPr>
        <w:t>o</w:t>
      </w:r>
      <w:r w:rsidRPr="00176D4D">
        <w:rPr>
          <w:sz w:val="20"/>
        </w:rPr>
        <w:t xml:space="preserve"> 6218 (QL), 2008 </w:t>
      </w:r>
      <w:proofErr w:type="spellStart"/>
      <w:r w:rsidRPr="00176D4D">
        <w:rPr>
          <w:sz w:val="20"/>
        </w:rPr>
        <w:t>CarswellQue</w:t>
      </w:r>
      <w:proofErr w:type="spellEnd"/>
      <w:r w:rsidRPr="00176D4D">
        <w:rPr>
          <w:sz w:val="20"/>
        </w:rPr>
        <w:t xml:space="preserve"> 6362 (</w:t>
      </w:r>
      <w:r w:rsidRPr="00176D4D">
        <w:rPr>
          <w:i/>
          <w:sz w:val="20"/>
        </w:rPr>
        <w:t>sub nom. R. v. Lebrun</w:t>
      </w:r>
      <w:r w:rsidRPr="00176D4D">
        <w:rPr>
          <w:sz w:val="20"/>
        </w:rPr>
        <w:t>).  Appeal dismissed.</w:t>
      </w:r>
    </w:p>
    <w:p w:rsidR="002D7D15" w:rsidRDefault="002D7D15" w:rsidP="002D7D15">
      <w:pPr>
        <w:pStyle w:val="SCCNormalDoubleSpacing"/>
        <w:widowControl w:val="0"/>
        <w:spacing w:line="240" w:lineRule="auto"/>
        <w:rPr>
          <w:rStyle w:val="SCCCounselNameChar"/>
          <w:i w:val="0"/>
          <w:sz w:val="20"/>
        </w:rPr>
      </w:pPr>
    </w:p>
    <w:p w:rsidR="002D7D15" w:rsidRPr="00176D4D" w:rsidRDefault="002D7D15" w:rsidP="002D7D15">
      <w:pPr>
        <w:pStyle w:val="SCCNormalDoubleSpacing"/>
        <w:widowControl w:val="0"/>
        <w:spacing w:line="240" w:lineRule="auto"/>
        <w:rPr>
          <w:sz w:val="20"/>
        </w:rPr>
      </w:pPr>
      <w:r w:rsidRPr="00176D4D">
        <w:rPr>
          <w:rStyle w:val="SCCCounselNameChar"/>
          <w:sz w:val="20"/>
        </w:rPr>
        <w:tab/>
      </w:r>
      <w:proofErr w:type="spellStart"/>
      <w:r w:rsidRPr="00176D4D">
        <w:rPr>
          <w:rStyle w:val="SCCCounselNameChar"/>
          <w:sz w:val="20"/>
        </w:rPr>
        <w:t>Véronique</w:t>
      </w:r>
      <w:proofErr w:type="spellEnd"/>
      <w:r w:rsidRPr="00176D4D">
        <w:rPr>
          <w:rStyle w:val="SCCCounselNameChar"/>
          <w:sz w:val="20"/>
        </w:rPr>
        <w:t xml:space="preserve"> Robert</w:t>
      </w:r>
      <w:r w:rsidRPr="002D7D15">
        <w:rPr>
          <w:rStyle w:val="SCCCounselSeparatorChar"/>
          <w:sz w:val="20"/>
          <w:lang w:val="en-CA"/>
        </w:rPr>
        <w:t xml:space="preserve"> and </w:t>
      </w:r>
      <w:r w:rsidRPr="00176D4D">
        <w:rPr>
          <w:rStyle w:val="SCCCounselNameChar"/>
          <w:sz w:val="20"/>
        </w:rPr>
        <w:t>Roland Roy</w:t>
      </w:r>
      <w:r w:rsidRPr="00176D4D">
        <w:rPr>
          <w:rStyle w:val="SCCCounselPartyRoleChar"/>
          <w:sz w:val="20"/>
        </w:rPr>
        <w:t>, for the appellant.</w:t>
      </w:r>
    </w:p>
    <w:p w:rsidR="002D7D15" w:rsidRDefault="002D7D15" w:rsidP="002D7D15">
      <w:pPr>
        <w:pStyle w:val="SCCNormalDoubleSpacing"/>
        <w:widowControl w:val="0"/>
        <w:spacing w:line="240" w:lineRule="auto"/>
        <w:rPr>
          <w:rStyle w:val="SCCCounselNameChar"/>
          <w:i w:val="0"/>
          <w:sz w:val="20"/>
        </w:rPr>
      </w:pPr>
    </w:p>
    <w:p w:rsidR="002D7D15" w:rsidRPr="00176D4D" w:rsidRDefault="002D7D15" w:rsidP="002D7D15">
      <w:pPr>
        <w:pStyle w:val="SCCNormalDoubleSpacing"/>
        <w:widowControl w:val="0"/>
        <w:spacing w:line="240" w:lineRule="auto"/>
        <w:rPr>
          <w:sz w:val="20"/>
        </w:rPr>
      </w:pPr>
      <w:r w:rsidRPr="00176D4D">
        <w:rPr>
          <w:rStyle w:val="SCCCounselNameChar"/>
          <w:sz w:val="20"/>
        </w:rPr>
        <w:tab/>
        <w:t xml:space="preserve">Guy </w:t>
      </w:r>
      <w:proofErr w:type="spellStart"/>
      <w:r w:rsidRPr="00176D4D">
        <w:rPr>
          <w:rStyle w:val="SCCCounselNameChar"/>
          <w:sz w:val="20"/>
        </w:rPr>
        <w:t>Loisel</w:t>
      </w:r>
      <w:proofErr w:type="spellEnd"/>
      <w:r w:rsidRPr="00176D4D">
        <w:rPr>
          <w:rStyle w:val="SCCCounselPartyRoleChar"/>
          <w:sz w:val="20"/>
        </w:rPr>
        <w:t xml:space="preserve"> and </w:t>
      </w:r>
      <w:r w:rsidRPr="00176D4D">
        <w:rPr>
          <w:rStyle w:val="SCCCounselPartyRoleChar"/>
          <w:i/>
          <w:sz w:val="20"/>
        </w:rPr>
        <w:t xml:space="preserve">Pierre </w:t>
      </w:r>
      <w:proofErr w:type="spellStart"/>
      <w:r w:rsidRPr="00176D4D">
        <w:rPr>
          <w:rStyle w:val="SCCCounselPartyRoleChar"/>
          <w:i/>
          <w:sz w:val="20"/>
        </w:rPr>
        <w:t>DesRosiers</w:t>
      </w:r>
      <w:proofErr w:type="spellEnd"/>
      <w:r w:rsidRPr="00176D4D">
        <w:rPr>
          <w:rStyle w:val="SCCCounselPartyRoleChar"/>
          <w:sz w:val="20"/>
        </w:rPr>
        <w:t>, for the respondent.</w:t>
      </w:r>
    </w:p>
    <w:p w:rsidR="002D7D15" w:rsidRDefault="002D7D15" w:rsidP="002D7D15">
      <w:pPr>
        <w:pStyle w:val="SCCNormalDoubleSpacing"/>
        <w:widowControl w:val="0"/>
        <w:spacing w:line="240" w:lineRule="auto"/>
        <w:rPr>
          <w:rStyle w:val="SCCCounselNameChar"/>
          <w:i w:val="0"/>
          <w:sz w:val="20"/>
        </w:rPr>
      </w:pPr>
    </w:p>
    <w:p w:rsidR="002D7D15" w:rsidRPr="00176D4D" w:rsidRDefault="002D7D15" w:rsidP="002D7D15">
      <w:pPr>
        <w:pStyle w:val="SCCNormalDoubleSpacing"/>
        <w:widowControl w:val="0"/>
        <w:spacing w:line="240" w:lineRule="auto"/>
        <w:rPr>
          <w:sz w:val="20"/>
        </w:rPr>
      </w:pPr>
      <w:r w:rsidRPr="00176D4D">
        <w:rPr>
          <w:rStyle w:val="SCCCounselNameChar"/>
          <w:sz w:val="20"/>
        </w:rPr>
        <w:tab/>
      </w:r>
      <w:proofErr w:type="spellStart"/>
      <w:r w:rsidRPr="00176D4D">
        <w:rPr>
          <w:rStyle w:val="SCCCounselNameChar"/>
          <w:sz w:val="20"/>
        </w:rPr>
        <w:t>Ginette</w:t>
      </w:r>
      <w:proofErr w:type="spellEnd"/>
      <w:r w:rsidRPr="00176D4D">
        <w:rPr>
          <w:rStyle w:val="SCCCounselNameChar"/>
          <w:sz w:val="20"/>
        </w:rPr>
        <w:t xml:space="preserve"> </w:t>
      </w:r>
      <w:proofErr w:type="spellStart"/>
      <w:r w:rsidRPr="00176D4D">
        <w:rPr>
          <w:rStyle w:val="SCCCounselNameChar"/>
          <w:sz w:val="20"/>
        </w:rPr>
        <w:t>Gobeil</w:t>
      </w:r>
      <w:proofErr w:type="spellEnd"/>
      <w:r w:rsidRPr="00176D4D">
        <w:rPr>
          <w:rStyle w:val="SCCCounselPartyRoleChar"/>
          <w:sz w:val="20"/>
        </w:rPr>
        <w:t xml:space="preserve"> and </w:t>
      </w:r>
      <w:r w:rsidRPr="00176D4D">
        <w:rPr>
          <w:rStyle w:val="SCCCounselPartyRoleChar"/>
          <w:i/>
          <w:sz w:val="20"/>
        </w:rPr>
        <w:t xml:space="preserve">François </w:t>
      </w:r>
      <w:proofErr w:type="spellStart"/>
      <w:r w:rsidRPr="00176D4D">
        <w:rPr>
          <w:rStyle w:val="SCCCounselPartyRoleChar"/>
          <w:i/>
          <w:sz w:val="20"/>
        </w:rPr>
        <w:t>Joyal</w:t>
      </w:r>
      <w:proofErr w:type="spellEnd"/>
      <w:r w:rsidRPr="00176D4D">
        <w:rPr>
          <w:rStyle w:val="SCCCounselPartyRoleChar"/>
          <w:sz w:val="20"/>
        </w:rPr>
        <w:t>, for the intervener the Attorney General of Canada.</w:t>
      </w:r>
    </w:p>
    <w:p w:rsidR="002D7D15" w:rsidRDefault="002D7D15" w:rsidP="002D7D15">
      <w:pPr>
        <w:pStyle w:val="SCCNormalDoubleSpacing"/>
        <w:widowControl w:val="0"/>
        <w:spacing w:line="240" w:lineRule="auto"/>
        <w:rPr>
          <w:rStyle w:val="SCCCounselNameChar"/>
          <w:i w:val="0"/>
          <w:sz w:val="20"/>
        </w:rPr>
      </w:pPr>
    </w:p>
    <w:p w:rsidR="002D7D15" w:rsidRPr="00176D4D" w:rsidRDefault="002D7D15" w:rsidP="002D7D15">
      <w:pPr>
        <w:pStyle w:val="SCCNormalDoubleSpacing"/>
        <w:widowControl w:val="0"/>
        <w:spacing w:line="240" w:lineRule="auto"/>
        <w:rPr>
          <w:sz w:val="20"/>
        </w:rPr>
      </w:pPr>
      <w:r w:rsidRPr="00176D4D">
        <w:rPr>
          <w:rStyle w:val="SCCCounselNameChar"/>
          <w:sz w:val="20"/>
        </w:rPr>
        <w:tab/>
        <w:t xml:space="preserve">Robert E. </w:t>
      </w:r>
      <w:proofErr w:type="spellStart"/>
      <w:r w:rsidRPr="00176D4D">
        <w:rPr>
          <w:rStyle w:val="SCCCounselNameChar"/>
          <w:sz w:val="20"/>
        </w:rPr>
        <w:t>Gattrell</w:t>
      </w:r>
      <w:proofErr w:type="spellEnd"/>
      <w:r w:rsidRPr="002D7D15">
        <w:rPr>
          <w:rStyle w:val="SCCCounselSeparatorChar"/>
          <w:sz w:val="20"/>
          <w:lang w:val="en-CA"/>
        </w:rPr>
        <w:t xml:space="preserve"> and </w:t>
      </w:r>
      <w:r w:rsidRPr="00176D4D">
        <w:rPr>
          <w:rStyle w:val="SCCCounselNameChar"/>
          <w:sz w:val="20"/>
        </w:rPr>
        <w:t>Joan Barrett</w:t>
      </w:r>
      <w:r w:rsidRPr="00176D4D">
        <w:rPr>
          <w:rStyle w:val="SCCCounselPartyRoleChar"/>
          <w:sz w:val="20"/>
        </w:rPr>
        <w:t>, for the intervener the Attorney General of Ontario.</w:t>
      </w:r>
    </w:p>
    <w:p w:rsidR="002D7D15" w:rsidRDefault="002D7D15" w:rsidP="002D7D15">
      <w:pPr>
        <w:pStyle w:val="SCCLawFirm"/>
        <w:widowControl w:val="0"/>
        <w:spacing w:line="240" w:lineRule="auto"/>
        <w:rPr>
          <w:i w:val="0"/>
          <w:sz w:val="20"/>
        </w:rPr>
      </w:pPr>
    </w:p>
    <w:p w:rsidR="002D7D15" w:rsidRPr="00176D4D" w:rsidRDefault="002D7D15" w:rsidP="002D7D15">
      <w:pPr>
        <w:pStyle w:val="SCCLawFirm"/>
        <w:widowControl w:val="0"/>
        <w:spacing w:line="240" w:lineRule="auto"/>
        <w:rPr>
          <w:sz w:val="20"/>
          <w:lang w:val="en-US"/>
        </w:rPr>
      </w:pPr>
      <w:r w:rsidRPr="00176D4D">
        <w:rPr>
          <w:sz w:val="20"/>
        </w:rPr>
        <w:tab/>
      </w:r>
      <w:r w:rsidRPr="00176D4D">
        <w:rPr>
          <w:sz w:val="20"/>
          <w:lang w:val="en-US"/>
        </w:rPr>
        <w:t>Solicitors for the appellant:  Roy &amp; Robert, Montréal.</w:t>
      </w:r>
    </w:p>
    <w:p w:rsidR="002D7D15" w:rsidRDefault="002D7D15" w:rsidP="002D7D15">
      <w:pPr>
        <w:pStyle w:val="SCCLawFirm"/>
        <w:widowControl w:val="0"/>
        <w:spacing w:line="240" w:lineRule="auto"/>
        <w:rPr>
          <w:i w:val="0"/>
          <w:sz w:val="20"/>
          <w:lang w:val="en-US"/>
        </w:rPr>
      </w:pPr>
    </w:p>
    <w:p w:rsidR="002D7D15" w:rsidRPr="00176D4D" w:rsidRDefault="002D7D15" w:rsidP="002D7D15">
      <w:pPr>
        <w:pStyle w:val="SCCLawFirm"/>
        <w:widowControl w:val="0"/>
        <w:spacing w:line="240" w:lineRule="auto"/>
        <w:rPr>
          <w:sz w:val="20"/>
          <w:lang w:val="en-US"/>
        </w:rPr>
      </w:pPr>
      <w:r w:rsidRPr="00176D4D">
        <w:rPr>
          <w:sz w:val="20"/>
          <w:lang w:val="en-US"/>
        </w:rPr>
        <w:tab/>
        <w:t xml:space="preserve">Solicitor for the respondent:  Criminal and Penal Prosecutions of Quebec, </w:t>
      </w:r>
      <w:proofErr w:type="spellStart"/>
      <w:r w:rsidRPr="00176D4D">
        <w:rPr>
          <w:sz w:val="20"/>
          <w:lang w:val="en-US"/>
        </w:rPr>
        <w:t>Matane</w:t>
      </w:r>
      <w:proofErr w:type="spellEnd"/>
      <w:r w:rsidRPr="00176D4D">
        <w:rPr>
          <w:sz w:val="20"/>
          <w:lang w:val="en-US"/>
        </w:rPr>
        <w:t>.</w:t>
      </w:r>
    </w:p>
    <w:p w:rsidR="002D7D15" w:rsidRDefault="002D7D15" w:rsidP="002D7D15">
      <w:pPr>
        <w:pStyle w:val="SCCLawFirm"/>
        <w:widowControl w:val="0"/>
        <w:spacing w:line="240" w:lineRule="auto"/>
        <w:rPr>
          <w:i w:val="0"/>
          <w:sz w:val="20"/>
          <w:lang w:val="en-US"/>
        </w:rPr>
      </w:pPr>
    </w:p>
    <w:p w:rsidR="002D7D15" w:rsidRPr="00176D4D" w:rsidRDefault="002D7D15" w:rsidP="002D7D15">
      <w:pPr>
        <w:pStyle w:val="SCCLawFirm"/>
        <w:widowControl w:val="0"/>
        <w:spacing w:line="240" w:lineRule="auto"/>
        <w:rPr>
          <w:sz w:val="20"/>
        </w:rPr>
      </w:pPr>
      <w:r w:rsidRPr="00176D4D">
        <w:rPr>
          <w:sz w:val="20"/>
          <w:lang w:val="en-US"/>
        </w:rPr>
        <w:tab/>
      </w:r>
      <w:r w:rsidRPr="00176D4D">
        <w:rPr>
          <w:sz w:val="20"/>
        </w:rPr>
        <w:t>Solicitor for the intervener the Attorney General of Canada:  Attorney General of Canada, Montréal.</w:t>
      </w:r>
    </w:p>
    <w:p w:rsidR="002D7D15" w:rsidRDefault="002D7D15" w:rsidP="002D7D15">
      <w:pPr>
        <w:pStyle w:val="SCCLawFirm"/>
        <w:spacing w:line="240" w:lineRule="auto"/>
        <w:rPr>
          <w:i w:val="0"/>
          <w:sz w:val="20"/>
        </w:rPr>
      </w:pPr>
    </w:p>
    <w:p w:rsidR="002D7D15" w:rsidRDefault="002D7D15" w:rsidP="002D7D15">
      <w:pPr>
        <w:pStyle w:val="SCCLawFirm"/>
        <w:spacing w:line="240" w:lineRule="auto"/>
        <w:rPr>
          <w:sz w:val="20"/>
        </w:rPr>
      </w:pPr>
      <w:r w:rsidRPr="00176D4D">
        <w:rPr>
          <w:sz w:val="20"/>
        </w:rPr>
        <w:tab/>
        <w:t>Solicitor for the intervener the Attorney General of Ontario:  Attorney General of Ontario, Toronto.</w:t>
      </w:r>
    </w:p>
    <w:p w:rsidR="002D7D15" w:rsidRPr="002D7D15" w:rsidRDefault="002D7D15" w:rsidP="00DD0B49">
      <w:pPr>
        <w:rPr>
          <w:rFonts w:cs="Times New Roman"/>
          <w:sz w:val="20"/>
          <w:szCs w:val="20"/>
        </w:rPr>
      </w:pPr>
    </w:p>
    <w:p w:rsidR="002D7D15" w:rsidRDefault="008754B5" w:rsidP="005C6840">
      <w:pPr>
        <w:rPr>
          <w:rFonts w:cs="Times New Roman"/>
          <w:sz w:val="20"/>
          <w:szCs w:val="20"/>
          <w:lang w:val="fr-CA"/>
        </w:rPr>
      </w:pPr>
      <w:r w:rsidRPr="008754B5">
        <w:rPr>
          <w:rFonts w:cs="Times New Roman"/>
          <w:sz w:val="20"/>
          <w:szCs w:val="20"/>
          <w:lang w:val="fr-CA"/>
        </w:rPr>
        <w:pict>
          <v:rect id="_x0000_i1077" style="width:144.3pt;height:1pt" o:hrpct="300" o:hralign="center" o:hrstd="t" o:hrnoshade="t" o:hr="t" fillcolor="black [3213]" stroked="f"/>
        </w:pict>
      </w:r>
    </w:p>
    <w:p w:rsidR="002D7D15" w:rsidRDefault="002D7D15" w:rsidP="005C6840">
      <w:pPr>
        <w:rPr>
          <w:rFonts w:cs="Times New Roman"/>
          <w:sz w:val="20"/>
          <w:szCs w:val="20"/>
          <w:lang w:val="fr-CA"/>
        </w:rPr>
      </w:pPr>
    </w:p>
    <w:p w:rsidR="002D7D15" w:rsidRDefault="002D7D15" w:rsidP="005C6840">
      <w:pPr>
        <w:rPr>
          <w:rFonts w:cs="Times New Roman"/>
          <w:sz w:val="20"/>
          <w:szCs w:val="20"/>
          <w:lang w:val="fr-CA"/>
        </w:rPr>
      </w:pPr>
    </w:p>
    <w:p w:rsidR="005C6840" w:rsidRDefault="005C6840" w:rsidP="005C6840">
      <w:pPr>
        <w:rPr>
          <w:lang w:val="fr-CA"/>
        </w:rPr>
      </w:pPr>
      <w:r>
        <w:rPr>
          <w:lang w:val="fr-CA"/>
        </w:rPr>
        <w:br w:type="page"/>
      </w:r>
    </w:p>
    <w:p w:rsidR="00AA4DEB" w:rsidRPr="00E36B8C" w:rsidRDefault="00AA4DEB" w:rsidP="00AA4DEB">
      <w:pPr>
        <w:rPr>
          <w:rFonts w:eastAsia="Calibri" w:cs="Times New Roman"/>
          <w:sz w:val="20"/>
          <w:szCs w:val="20"/>
        </w:rPr>
      </w:pPr>
      <w:r w:rsidRPr="00127F23">
        <w:rPr>
          <w:rFonts w:eastAsia="Calibri" w:cs="Times New Roman"/>
          <w:i/>
          <w:sz w:val="20"/>
          <w:szCs w:val="20"/>
        </w:rPr>
        <w:lastRenderedPageBreak/>
        <w:t xml:space="preserve">Nor-Man Regional Health Authority Inc. v. Manitoba Association of Healthcare Professionals </w:t>
      </w:r>
      <w:r w:rsidRPr="00127F23">
        <w:rPr>
          <w:rFonts w:eastAsia="Calibri" w:cs="Times New Roman"/>
          <w:sz w:val="20"/>
          <w:szCs w:val="20"/>
        </w:rPr>
        <w:t>(Man.) (33795)</w:t>
      </w:r>
      <w:r w:rsidRPr="00E36B8C">
        <w:rPr>
          <w:rFonts w:eastAsia="Calibri" w:cs="Times New Roman"/>
          <w:sz w:val="20"/>
          <w:szCs w:val="20"/>
        </w:rPr>
        <w:t xml:space="preserve"> </w:t>
      </w:r>
    </w:p>
    <w:p w:rsidR="006A6875" w:rsidRPr="00F5393A" w:rsidRDefault="006A6875" w:rsidP="006A6875">
      <w:pPr>
        <w:jc w:val="both"/>
        <w:rPr>
          <w:b/>
          <w:sz w:val="20"/>
          <w:szCs w:val="20"/>
        </w:rPr>
      </w:pPr>
      <w:r w:rsidRPr="00F5393A">
        <w:rPr>
          <w:b/>
          <w:sz w:val="20"/>
          <w:szCs w:val="20"/>
        </w:rPr>
        <w:t xml:space="preserve">Indexed as:  </w:t>
      </w:r>
      <w:proofErr w:type="spellStart"/>
      <w:r w:rsidRPr="00F5393A">
        <w:rPr>
          <w:b/>
          <w:sz w:val="20"/>
          <w:szCs w:val="20"/>
        </w:rPr>
        <w:t>Nor</w:t>
      </w:r>
      <w:r w:rsidRPr="00F5393A">
        <w:rPr>
          <w:b/>
          <w:sz w:val="20"/>
          <w:szCs w:val="20"/>
        </w:rPr>
        <w:noBreakHyphen/>
        <w:t>Man</w:t>
      </w:r>
      <w:proofErr w:type="spellEnd"/>
      <w:r w:rsidRPr="00F5393A">
        <w:rPr>
          <w:b/>
          <w:sz w:val="20"/>
          <w:szCs w:val="20"/>
        </w:rPr>
        <w:t xml:space="preserve"> Regional Health Authority Inc. </w:t>
      </w:r>
      <w:r w:rsidRPr="00F5393A">
        <w:rPr>
          <w:b/>
          <w:i/>
          <w:sz w:val="20"/>
          <w:szCs w:val="20"/>
        </w:rPr>
        <w:t>v.</w:t>
      </w:r>
      <w:r w:rsidRPr="00F5393A">
        <w:rPr>
          <w:b/>
          <w:sz w:val="20"/>
          <w:szCs w:val="20"/>
        </w:rPr>
        <w:t xml:space="preserve"> Manitoba Association of Health Care Professionals</w:t>
      </w:r>
      <w:r>
        <w:rPr>
          <w:b/>
          <w:sz w:val="20"/>
          <w:szCs w:val="20"/>
        </w:rPr>
        <w:t xml:space="preserve"> /</w:t>
      </w:r>
    </w:p>
    <w:p w:rsidR="006A6875" w:rsidRPr="00827F70" w:rsidRDefault="006A6875" w:rsidP="006A6875">
      <w:pPr>
        <w:jc w:val="both"/>
        <w:rPr>
          <w:b/>
          <w:sz w:val="20"/>
          <w:szCs w:val="20"/>
          <w:lang w:val="en-US"/>
        </w:rPr>
      </w:pPr>
      <w:proofErr w:type="spellStart"/>
      <w:r w:rsidRPr="00827F70">
        <w:rPr>
          <w:b/>
          <w:sz w:val="20"/>
          <w:szCs w:val="20"/>
          <w:lang w:val="en-US"/>
        </w:rPr>
        <w:t>Répertorié</w:t>
      </w:r>
      <w:proofErr w:type="spellEnd"/>
      <w:r w:rsidRPr="00827F70">
        <w:rPr>
          <w:b/>
          <w:sz w:val="20"/>
          <w:szCs w:val="20"/>
          <w:lang w:val="en-US"/>
        </w:rPr>
        <w:t> : </w:t>
      </w:r>
      <w:proofErr w:type="spellStart"/>
      <w:r w:rsidRPr="00827F70">
        <w:rPr>
          <w:b/>
          <w:sz w:val="20"/>
          <w:szCs w:val="20"/>
          <w:lang w:val="en-US"/>
        </w:rPr>
        <w:t>Nor</w:t>
      </w:r>
      <w:r w:rsidRPr="00827F70">
        <w:rPr>
          <w:b/>
          <w:sz w:val="20"/>
          <w:szCs w:val="20"/>
          <w:lang w:val="en-US"/>
        </w:rPr>
        <w:noBreakHyphen/>
        <w:t>Man</w:t>
      </w:r>
      <w:proofErr w:type="spellEnd"/>
      <w:r w:rsidRPr="00827F70">
        <w:rPr>
          <w:b/>
          <w:sz w:val="20"/>
          <w:szCs w:val="20"/>
          <w:lang w:val="en-US"/>
        </w:rPr>
        <w:t xml:space="preserve"> Regional Health Authority Inc. </w:t>
      </w:r>
      <w:r w:rsidRPr="00827F70">
        <w:rPr>
          <w:b/>
          <w:i/>
          <w:sz w:val="20"/>
          <w:szCs w:val="20"/>
          <w:lang w:val="en-US"/>
        </w:rPr>
        <w:t>c.</w:t>
      </w:r>
      <w:r w:rsidRPr="00827F70">
        <w:rPr>
          <w:b/>
          <w:sz w:val="20"/>
          <w:szCs w:val="20"/>
          <w:lang w:val="en-US"/>
        </w:rPr>
        <w:t xml:space="preserve"> Manitoba Association of Health Care Professionals</w:t>
      </w:r>
    </w:p>
    <w:p w:rsidR="005C6840" w:rsidRPr="006A6875" w:rsidRDefault="005C6840" w:rsidP="005C6840">
      <w:pPr>
        <w:pStyle w:val="SCCSystemYear"/>
        <w:jc w:val="both"/>
        <w:rPr>
          <w:sz w:val="20"/>
        </w:rPr>
      </w:pPr>
      <w:proofErr w:type="spellStart"/>
      <w:r w:rsidRPr="006A6875">
        <w:rPr>
          <w:sz w:val="20"/>
        </w:rPr>
        <w:t>Neutral</w:t>
      </w:r>
      <w:proofErr w:type="spellEnd"/>
      <w:r w:rsidRPr="006A6875">
        <w:rPr>
          <w:sz w:val="20"/>
        </w:rPr>
        <w:t xml:space="preserve"> citation:  201</w:t>
      </w:r>
      <w:r w:rsidR="007F387B" w:rsidRPr="006A6875">
        <w:rPr>
          <w:sz w:val="20"/>
        </w:rPr>
        <w:t>1</w:t>
      </w:r>
      <w:r w:rsidRPr="006A6875">
        <w:rPr>
          <w:sz w:val="20"/>
        </w:rPr>
        <w:t xml:space="preserve"> SCC </w:t>
      </w:r>
      <w:r w:rsidR="00527B7A" w:rsidRPr="006A6875">
        <w:rPr>
          <w:sz w:val="20"/>
        </w:rPr>
        <w:t>59</w:t>
      </w:r>
      <w:r w:rsidRPr="006A6875">
        <w:rPr>
          <w:sz w:val="20"/>
        </w:rPr>
        <w:t xml:space="preserve"> / Référence neutre : 201</w:t>
      </w:r>
      <w:r w:rsidR="007F387B" w:rsidRPr="006A6875">
        <w:rPr>
          <w:sz w:val="20"/>
        </w:rPr>
        <w:t>1</w:t>
      </w:r>
      <w:r w:rsidRPr="006A6875">
        <w:rPr>
          <w:sz w:val="20"/>
        </w:rPr>
        <w:t xml:space="preserve"> CSC </w:t>
      </w:r>
      <w:r w:rsidR="00527B7A" w:rsidRPr="006A6875">
        <w:rPr>
          <w:sz w:val="20"/>
        </w:rPr>
        <w:t>59</w:t>
      </w:r>
    </w:p>
    <w:p w:rsidR="005C6840" w:rsidRPr="006A6875" w:rsidRDefault="005C6840" w:rsidP="005C6840">
      <w:pPr>
        <w:rPr>
          <w:sz w:val="20"/>
          <w:szCs w:val="20"/>
          <w:lang w:val="fr-CA"/>
        </w:rPr>
      </w:pPr>
      <w:proofErr w:type="spellStart"/>
      <w:r w:rsidRPr="006A6875">
        <w:rPr>
          <w:sz w:val="20"/>
          <w:szCs w:val="20"/>
          <w:lang w:val="fr-CA"/>
        </w:rPr>
        <w:t>Hearing</w:t>
      </w:r>
      <w:proofErr w:type="spellEnd"/>
      <w:r w:rsidRPr="006A6875">
        <w:rPr>
          <w:sz w:val="20"/>
          <w:szCs w:val="20"/>
          <w:lang w:val="fr-CA"/>
        </w:rPr>
        <w:t xml:space="preserve">:  </w:t>
      </w:r>
      <w:proofErr w:type="spellStart"/>
      <w:r w:rsidR="006A6875">
        <w:rPr>
          <w:sz w:val="20"/>
          <w:szCs w:val="20"/>
          <w:lang w:val="fr-CA"/>
        </w:rPr>
        <w:t>October</w:t>
      </w:r>
      <w:proofErr w:type="spellEnd"/>
      <w:r w:rsidRPr="006A6875">
        <w:rPr>
          <w:sz w:val="20"/>
          <w:szCs w:val="20"/>
          <w:lang w:val="fr-CA"/>
        </w:rPr>
        <w:t xml:space="preserve"> 2</w:t>
      </w:r>
      <w:r w:rsidR="006A6875">
        <w:rPr>
          <w:sz w:val="20"/>
          <w:szCs w:val="20"/>
          <w:lang w:val="fr-CA"/>
        </w:rPr>
        <w:t>0</w:t>
      </w:r>
      <w:r w:rsidRPr="006A6875">
        <w:rPr>
          <w:sz w:val="20"/>
          <w:szCs w:val="20"/>
          <w:lang w:val="fr-CA"/>
        </w:rPr>
        <w:t>, 201</w:t>
      </w:r>
      <w:r w:rsidR="006A6875">
        <w:rPr>
          <w:sz w:val="20"/>
          <w:szCs w:val="20"/>
          <w:lang w:val="fr-CA"/>
        </w:rPr>
        <w:t>1</w:t>
      </w:r>
      <w:r w:rsidRPr="006A6875">
        <w:rPr>
          <w:sz w:val="20"/>
          <w:szCs w:val="20"/>
          <w:lang w:val="fr-CA"/>
        </w:rPr>
        <w:t xml:space="preserve"> / </w:t>
      </w:r>
      <w:proofErr w:type="spellStart"/>
      <w:r w:rsidRPr="006A6875">
        <w:rPr>
          <w:sz w:val="20"/>
          <w:szCs w:val="20"/>
          <w:lang w:val="fr-CA"/>
        </w:rPr>
        <w:t>Judgment</w:t>
      </w:r>
      <w:proofErr w:type="spellEnd"/>
      <w:r w:rsidRPr="006A6875">
        <w:rPr>
          <w:sz w:val="20"/>
          <w:szCs w:val="20"/>
          <w:lang w:val="fr-CA"/>
        </w:rPr>
        <w:t xml:space="preserve">:  </w:t>
      </w:r>
      <w:proofErr w:type="spellStart"/>
      <w:r w:rsidR="00527B7A" w:rsidRPr="006A6875">
        <w:rPr>
          <w:sz w:val="20"/>
          <w:szCs w:val="20"/>
          <w:lang w:val="fr-CA"/>
        </w:rPr>
        <w:t>Decembe</w:t>
      </w:r>
      <w:r w:rsidRPr="006A6875">
        <w:rPr>
          <w:sz w:val="20"/>
          <w:szCs w:val="20"/>
          <w:lang w:val="fr-CA"/>
        </w:rPr>
        <w:t>r</w:t>
      </w:r>
      <w:proofErr w:type="spellEnd"/>
      <w:r w:rsidRPr="006A6875">
        <w:rPr>
          <w:sz w:val="20"/>
          <w:szCs w:val="20"/>
          <w:lang w:val="fr-CA"/>
        </w:rPr>
        <w:t xml:space="preserve"> 2, 201</w:t>
      </w:r>
      <w:r w:rsidR="00527B7A" w:rsidRPr="006A6875">
        <w:rPr>
          <w:sz w:val="20"/>
          <w:szCs w:val="20"/>
          <w:lang w:val="fr-CA"/>
        </w:rPr>
        <w:t>1</w:t>
      </w:r>
    </w:p>
    <w:p w:rsidR="005C6840" w:rsidRPr="003B3977" w:rsidRDefault="005C6840" w:rsidP="005C6840">
      <w:pPr>
        <w:rPr>
          <w:sz w:val="20"/>
          <w:szCs w:val="20"/>
          <w:lang w:val="fr-CA"/>
        </w:rPr>
      </w:pPr>
      <w:r w:rsidRPr="003B3977">
        <w:rPr>
          <w:sz w:val="20"/>
          <w:szCs w:val="20"/>
          <w:lang w:val="fr-CA"/>
        </w:rPr>
        <w:t>Audition : Le 2</w:t>
      </w:r>
      <w:r w:rsidR="006A6875">
        <w:rPr>
          <w:sz w:val="20"/>
          <w:szCs w:val="20"/>
          <w:lang w:val="fr-CA"/>
        </w:rPr>
        <w:t>o octobre</w:t>
      </w:r>
      <w:r w:rsidRPr="003B3977">
        <w:rPr>
          <w:sz w:val="20"/>
          <w:szCs w:val="20"/>
          <w:lang w:val="fr-CA"/>
        </w:rPr>
        <w:t xml:space="preserve"> 201</w:t>
      </w:r>
      <w:r w:rsidR="006A6875">
        <w:rPr>
          <w:sz w:val="20"/>
          <w:szCs w:val="20"/>
          <w:lang w:val="fr-CA"/>
        </w:rPr>
        <w:t>1</w:t>
      </w:r>
      <w:r w:rsidRPr="003B3977">
        <w:rPr>
          <w:sz w:val="20"/>
          <w:szCs w:val="20"/>
          <w:lang w:val="fr-CA"/>
        </w:rPr>
        <w:t xml:space="preserve"> / Jugement : Le 2</w:t>
      </w:r>
      <w:r w:rsidR="00527B7A">
        <w:rPr>
          <w:sz w:val="20"/>
          <w:szCs w:val="20"/>
          <w:lang w:val="fr-CA"/>
        </w:rPr>
        <w:t xml:space="preserve"> décem</w:t>
      </w:r>
      <w:r w:rsidRPr="003B3977">
        <w:rPr>
          <w:sz w:val="20"/>
          <w:szCs w:val="20"/>
          <w:lang w:val="fr-CA"/>
        </w:rPr>
        <w:t>bre 201</w:t>
      </w:r>
      <w:r w:rsidR="00527B7A">
        <w:rPr>
          <w:sz w:val="20"/>
          <w:szCs w:val="20"/>
          <w:lang w:val="fr-CA"/>
        </w:rPr>
        <w:t>1</w:t>
      </w:r>
    </w:p>
    <w:p w:rsidR="005C6840" w:rsidRPr="003B3977" w:rsidRDefault="008754B5" w:rsidP="005C6840">
      <w:pPr>
        <w:rPr>
          <w:sz w:val="20"/>
          <w:szCs w:val="20"/>
          <w:lang w:val="fr-CA"/>
        </w:rPr>
      </w:pPr>
      <w:r w:rsidRPr="008754B5">
        <w:rPr>
          <w:i/>
          <w:sz w:val="20"/>
          <w:szCs w:val="20"/>
        </w:rPr>
        <w:pict>
          <v:rect id="_x0000_i107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26AD1" w:rsidRPr="00F5393A" w:rsidRDefault="00726AD1" w:rsidP="00726AD1">
      <w:pPr>
        <w:jc w:val="both"/>
        <w:rPr>
          <w:sz w:val="20"/>
          <w:szCs w:val="20"/>
        </w:rPr>
      </w:pPr>
      <w:r w:rsidRPr="00F5393A">
        <w:rPr>
          <w:sz w:val="20"/>
          <w:szCs w:val="20"/>
        </w:rPr>
        <w:t xml:space="preserve">Present:  </w:t>
      </w:r>
      <w:proofErr w:type="spellStart"/>
      <w:r w:rsidRPr="00F5393A">
        <w:rPr>
          <w:sz w:val="20"/>
          <w:szCs w:val="20"/>
        </w:rPr>
        <w:t>McLachlin</w:t>
      </w:r>
      <w:proofErr w:type="spellEnd"/>
      <w:r w:rsidRPr="00F5393A">
        <w:rPr>
          <w:sz w:val="20"/>
          <w:szCs w:val="20"/>
        </w:rPr>
        <w:t xml:space="preserve"> C.J. and </w:t>
      </w:r>
      <w:proofErr w:type="spellStart"/>
      <w:r w:rsidRPr="00F5393A">
        <w:rPr>
          <w:sz w:val="20"/>
          <w:szCs w:val="20"/>
        </w:rPr>
        <w:t>LeBel</w:t>
      </w:r>
      <w:proofErr w:type="spellEnd"/>
      <w:r w:rsidRPr="00F5393A">
        <w:rPr>
          <w:sz w:val="20"/>
          <w:szCs w:val="20"/>
        </w:rPr>
        <w:t xml:space="preserve">, </w:t>
      </w:r>
      <w:proofErr w:type="spellStart"/>
      <w:r w:rsidRPr="00F5393A">
        <w:rPr>
          <w:sz w:val="20"/>
          <w:szCs w:val="20"/>
        </w:rPr>
        <w:t>Deschamps</w:t>
      </w:r>
      <w:proofErr w:type="spellEnd"/>
      <w:r w:rsidRPr="00F5393A">
        <w:rPr>
          <w:sz w:val="20"/>
          <w:szCs w:val="20"/>
        </w:rPr>
        <w:t xml:space="preserve">, Fish, </w:t>
      </w:r>
      <w:proofErr w:type="spellStart"/>
      <w:r w:rsidRPr="00F5393A">
        <w:rPr>
          <w:sz w:val="20"/>
          <w:szCs w:val="20"/>
        </w:rPr>
        <w:t>Abella</w:t>
      </w:r>
      <w:proofErr w:type="spellEnd"/>
      <w:r w:rsidRPr="00F5393A">
        <w:rPr>
          <w:sz w:val="20"/>
          <w:szCs w:val="20"/>
        </w:rPr>
        <w:t>, Rothstein and Cromwell JJ.</w:t>
      </w:r>
    </w:p>
    <w:p w:rsidR="00726AD1" w:rsidRPr="00726AD1" w:rsidRDefault="00726AD1" w:rsidP="00726AD1">
      <w:pPr>
        <w:pStyle w:val="SCCLowerCourtNameLowercase"/>
        <w:spacing w:line="240" w:lineRule="auto"/>
        <w:rPr>
          <w:sz w:val="20"/>
          <w:lang w:val="en-CA"/>
        </w:rPr>
      </w:pPr>
    </w:p>
    <w:p w:rsidR="00726AD1" w:rsidRPr="00F5393A" w:rsidRDefault="00726AD1" w:rsidP="00726AD1">
      <w:pPr>
        <w:pStyle w:val="SCCNormalDoubleSpacing"/>
        <w:spacing w:line="240" w:lineRule="auto"/>
        <w:rPr>
          <w:sz w:val="20"/>
          <w:lang w:val="en-US"/>
        </w:rPr>
      </w:pPr>
      <w:r w:rsidRPr="00F5393A">
        <w:rPr>
          <w:i/>
          <w:sz w:val="20"/>
          <w:lang w:val="en-US"/>
        </w:rPr>
        <w:tab/>
      </w:r>
      <w:proofErr w:type="spellStart"/>
      <w:r w:rsidRPr="00F5393A">
        <w:rPr>
          <w:i/>
          <w:sz w:val="20"/>
          <w:lang w:val="en-US"/>
        </w:rPr>
        <w:t>Labour</w:t>
      </w:r>
      <w:proofErr w:type="spellEnd"/>
      <w:r w:rsidRPr="00F5393A">
        <w:rPr>
          <w:i/>
          <w:sz w:val="20"/>
          <w:lang w:val="en-US"/>
        </w:rPr>
        <w:t xml:space="preserve"> Relations — Grievances — Arbitral award — Standard of review — Arbitrator imposing </w:t>
      </w:r>
      <w:proofErr w:type="spellStart"/>
      <w:r w:rsidRPr="00F5393A">
        <w:rPr>
          <w:i/>
          <w:sz w:val="20"/>
          <w:lang w:val="en-US"/>
        </w:rPr>
        <w:t>estoppel</w:t>
      </w:r>
      <w:proofErr w:type="spellEnd"/>
      <w:r w:rsidRPr="00F5393A">
        <w:rPr>
          <w:i/>
          <w:sz w:val="20"/>
          <w:lang w:val="en-US"/>
        </w:rPr>
        <w:t xml:space="preserve"> on union’s claim for redress under collective agreement — Whether arbitral award applying common law or equitable remedy is reviewable on standard of reasonableness or correctness.</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sz w:val="20"/>
        </w:rPr>
        <w:tab/>
        <w:t xml:space="preserve">P contended that she was entitled, upon 20 years of employment, to a bonus week of vacation pursuant to the terms of the collective agreement between </w:t>
      </w:r>
      <w:proofErr w:type="spellStart"/>
      <w:r w:rsidRPr="00F5393A">
        <w:rPr>
          <w:sz w:val="20"/>
        </w:rPr>
        <w:t>Nor</w:t>
      </w:r>
      <w:r w:rsidRPr="00F5393A">
        <w:rPr>
          <w:sz w:val="20"/>
        </w:rPr>
        <w:noBreakHyphen/>
        <w:t>Man</w:t>
      </w:r>
      <w:proofErr w:type="spellEnd"/>
      <w:r w:rsidRPr="00F5393A">
        <w:rPr>
          <w:sz w:val="20"/>
        </w:rPr>
        <w:t xml:space="preserve"> and P’s Union. Her request was denied by </w:t>
      </w:r>
      <w:proofErr w:type="spellStart"/>
      <w:r w:rsidRPr="00F5393A">
        <w:rPr>
          <w:sz w:val="20"/>
        </w:rPr>
        <w:t>Nor</w:t>
      </w:r>
      <w:r w:rsidRPr="00F5393A">
        <w:rPr>
          <w:sz w:val="20"/>
        </w:rPr>
        <w:noBreakHyphen/>
        <w:t>Man</w:t>
      </w:r>
      <w:proofErr w:type="spellEnd"/>
      <w:r w:rsidRPr="00F5393A">
        <w:rPr>
          <w:sz w:val="20"/>
        </w:rPr>
        <w:t>.  The arbitrator decided that the employer’s practice of excluding casual service in calculating vacation benefits breached the terms of the collective agreement.  However, the Union was barred by its long</w:t>
      </w:r>
      <w:r w:rsidRPr="00F5393A">
        <w:rPr>
          <w:sz w:val="20"/>
        </w:rPr>
        <w:noBreakHyphen/>
        <w:t xml:space="preserve">standing acquiescence from grieving the employer’s application of the disputed provisions of the collective agreement.  The arbitrator held that the Union was </w:t>
      </w:r>
      <w:proofErr w:type="spellStart"/>
      <w:r w:rsidRPr="00F5393A">
        <w:rPr>
          <w:sz w:val="20"/>
        </w:rPr>
        <w:t>estopped</w:t>
      </w:r>
      <w:proofErr w:type="spellEnd"/>
      <w:r w:rsidRPr="00F5393A">
        <w:rPr>
          <w:sz w:val="20"/>
        </w:rPr>
        <w:t xml:space="preserve"> from asserting its strict rights under the disputed provisions of the collective agreement until the expiry of the agreement.  The Union’s application for judicial review was dismissed on the basis that the arbitrator’s award was reasonable.  The Court of Appeal held that correctness was the governing standard of review and it set aside the </w:t>
      </w:r>
      <w:proofErr w:type="spellStart"/>
      <w:r w:rsidRPr="00F5393A">
        <w:rPr>
          <w:sz w:val="20"/>
        </w:rPr>
        <w:t>estoppel</w:t>
      </w:r>
      <w:proofErr w:type="spellEnd"/>
      <w:r w:rsidRPr="00F5393A">
        <w:rPr>
          <w:sz w:val="20"/>
        </w:rPr>
        <w:t xml:space="preserve"> imposed by the arbitrator. </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sz w:val="20"/>
        </w:rPr>
        <w:tab/>
      </w:r>
      <w:r w:rsidRPr="00F5393A">
        <w:rPr>
          <w:i/>
          <w:sz w:val="20"/>
        </w:rPr>
        <w:t>Held:</w:t>
      </w:r>
      <w:r w:rsidRPr="00F5393A">
        <w:rPr>
          <w:sz w:val="20"/>
        </w:rPr>
        <w:t xml:space="preserve">  The appeal should be allowed.</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sz w:val="20"/>
        </w:rPr>
        <w:tab/>
        <w:t xml:space="preserve">Broadly stated, the issue is whether arbitral awards that apply common law or equitable remedies are for that reason subject to judicial review for correctness.  It is well established that, as a general rule, reasonableness is the standard of review governing arbitral awards under a collective agreement.  The equitable remedy of </w:t>
      </w:r>
      <w:proofErr w:type="spellStart"/>
      <w:r w:rsidRPr="00F5393A">
        <w:rPr>
          <w:sz w:val="20"/>
        </w:rPr>
        <w:t>estoppel</w:t>
      </w:r>
      <w:proofErr w:type="spellEnd"/>
      <w:r w:rsidRPr="00F5393A">
        <w:rPr>
          <w:sz w:val="20"/>
        </w:rPr>
        <w:t xml:space="preserve"> imposed here by the arbitrator does not involve a question of central importance to the legal system as a whole that was beyond the expertise of the arbitrator.  It therefore cannot be said to fall within that established category of question ― nor any other ― subject to review for correctness.  Furthermore, a contextual analysis confirms that reasonableness, not correctness, is the appropriate standard of review.  Deference is appropriate in this case.</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sz w:val="20"/>
        </w:rPr>
        <w:tab/>
        <w:t xml:space="preserve">Rigidity in the dispute resolution process risks not only the disintegration of the relationship, but also industrial discord.  Labour arbitrators require the flexibility to craft appropriate remedial doctrines when the need arises. Labour arbitrators are not legally bound to apply equitable and common law principles ― including </w:t>
      </w:r>
      <w:proofErr w:type="spellStart"/>
      <w:r w:rsidRPr="00F5393A">
        <w:rPr>
          <w:sz w:val="20"/>
        </w:rPr>
        <w:t>estoppel</w:t>
      </w:r>
      <w:proofErr w:type="spellEnd"/>
      <w:r w:rsidRPr="00F5393A">
        <w:rPr>
          <w:sz w:val="20"/>
        </w:rPr>
        <w:t xml:space="preserve"> ― in the same manner as courts of law.  Labour arbitrators  may properly develop doctrines and fashion remedies appropriate in their field, drawing inspiration from general legal principles, the objectives and purposes of the statutory scheme, the principles of labour relations, the nature of the collective bargaining process, and the factual matrix of the grievances of which they are seized.  The broad mandate of arbitrators flows from the broad grant of authority vested in arbitrators by collective agreements, statutes such as </w:t>
      </w:r>
      <w:r w:rsidRPr="00F5393A">
        <w:rPr>
          <w:i/>
          <w:sz w:val="20"/>
        </w:rPr>
        <w:t>The Labour Relations Act</w:t>
      </w:r>
      <w:r w:rsidRPr="00F5393A">
        <w:rPr>
          <w:sz w:val="20"/>
        </w:rPr>
        <w:t xml:space="preserve"> (</w:t>
      </w:r>
      <w:r w:rsidRPr="00F5393A">
        <w:rPr>
          <w:i/>
          <w:sz w:val="20"/>
        </w:rPr>
        <w:t>LRA</w:t>
      </w:r>
      <w:r w:rsidRPr="00F5393A">
        <w:rPr>
          <w:sz w:val="20"/>
        </w:rPr>
        <w:t>), and from their distinctive role in fostering peace in industrial relations.  They are well equipped by their expertise to adapt the legal and equitable doctrines they find relevant within the sphere of arbitral creativity.  The domain reserved to arbitral discretion is by no means boundless.  An arbitral award that flexes a common law or equitable principle in a manner that does not reasonably respond to the distinctive nature of labour relations necessarily remains subject to judicial review for its reasonableness. </w:t>
      </w:r>
    </w:p>
    <w:p w:rsidR="00726AD1" w:rsidRDefault="00726AD1" w:rsidP="00726AD1">
      <w:pPr>
        <w:pStyle w:val="SCCNormalDoubleSpacing"/>
        <w:spacing w:line="240" w:lineRule="auto"/>
        <w:rPr>
          <w:sz w:val="20"/>
        </w:rPr>
      </w:pPr>
    </w:p>
    <w:p w:rsidR="00726AD1" w:rsidRDefault="00726AD1" w:rsidP="00726AD1">
      <w:pPr>
        <w:pStyle w:val="SCCNormalDoubleSpacing"/>
        <w:spacing w:line="240" w:lineRule="auto"/>
        <w:rPr>
          <w:sz w:val="20"/>
        </w:rPr>
      </w:pPr>
      <w:r w:rsidRPr="00F5393A">
        <w:rPr>
          <w:sz w:val="20"/>
        </w:rPr>
        <w:tab/>
        <w:t xml:space="preserve">Here, the labour arbitrator’s award can hardly be considered unreasonable. His reasons are not just transparent and intelligible, but coherent as well. The arbitrator adapted and applied the equitable doctrine of </w:t>
      </w:r>
      <w:proofErr w:type="spellStart"/>
      <w:r w:rsidRPr="00F5393A">
        <w:rPr>
          <w:sz w:val="20"/>
        </w:rPr>
        <w:t>estoppel</w:t>
      </w:r>
      <w:proofErr w:type="spellEnd"/>
      <w:r w:rsidRPr="00F5393A">
        <w:rPr>
          <w:sz w:val="20"/>
        </w:rPr>
        <w:t xml:space="preserve"> in a manner reasonably consistent with the objectives and purposes of the </w:t>
      </w:r>
      <w:r w:rsidRPr="00F5393A">
        <w:rPr>
          <w:i/>
          <w:sz w:val="20"/>
        </w:rPr>
        <w:t>LRA</w:t>
      </w:r>
      <w:r w:rsidRPr="00F5393A">
        <w:rPr>
          <w:sz w:val="20"/>
        </w:rPr>
        <w:t xml:space="preserve">, the principles of labour relations, the nature of the collective bargaining process, and the factual matrix of P’s grievance. The arbitrator’s reasons are amply sufficient to explain why he imposed the remedy of </w:t>
      </w:r>
      <w:proofErr w:type="spellStart"/>
      <w:r w:rsidRPr="00F5393A">
        <w:rPr>
          <w:sz w:val="20"/>
        </w:rPr>
        <w:t>estoppel</w:t>
      </w:r>
      <w:proofErr w:type="spellEnd"/>
      <w:r w:rsidRPr="00F5393A">
        <w:rPr>
          <w:sz w:val="20"/>
        </w:rPr>
        <w:t xml:space="preserve"> in this case.</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sz w:val="20"/>
        </w:rPr>
        <w:lastRenderedPageBreak/>
        <w:tab/>
        <w:t>APPEAL from a judgment of the Manitoba Court of Appeal (</w:t>
      </w:r>
      <w:proofErr w:type="spellStart"/>
      <w:r w:rsidR="008754B5" w:rsidRPr="00F5393A">
        <w:rPr>
          <w:sz w:val="20"/>
        </w:rPr>
        <w:fldChar w:fldCharType="begin"/>
      </w:r>
      <w:r w:rsidRPr="00F5393A">
        <w:rPr>
          <w:sz w:val="20"/>
        </w:rPr>
        <w:instrText xml:space="preserve"> SEQ CHAPTER \h \r 1</w:instrText>
      </w:r>
      <w:r w:rsidR="008754B5" w:rsidRPr="00F5393A">
        <w:rPr>
          <w:sz w:val="20"/>
        </w:rPr>
        <w:fldChar w:fldCharType="end"/>
      </w:r>
      <w:r w:rsidRPr="00F5393A">
        <w:rPr>
          <w:sz w:val="20"/>
        </w:rPr>
        <w:t>Monnin</w:t>
      </w:r>
      <w:proofErr w:type="spellEnd"/>
      <w:r w:rsidRPr="00F5393A">
        <w:rPr>
          <w:sz w:val="20"/>
        </w:rPr>
        <w:t>, Steel and Freedman JJ.A.), 2010 MBCA 55, 255 Man. R. (2d) 93, 486 W.A.C. 93, 319 D.L.R. (4th) 193, 194 L.A.C. (4th) 193, 5 Admin. L.R. (5th) 291, 85 C.C.E.L. (3d) 163, [2010] 7 W.W.R. 1, [2010] CLLC ¶ 220</w:t>
      </w:r>
      <w:r w:rsidRPr="00F5393A">
        <w:rPr>
          <w:sz w:val="20"/>
        </w:rPr>
        <w:noBreakHyphen/>
        <w:t xml:space="preserve">034, [2010] M.J. No. 166 (QL), 2010 </w:t>
      </w:r>
      <w:proofErr w:type="spellStart"/>
      <w:r w:rsidRPr="00F5393A">
        <w:rPr>
          <w:sz w:val="20"/>
        </w:rPr>
        <w:t>CarswellMan</w:t>
      </w:r>
      <w:proofErr w:type="spellEnd"/>
      <w:r w:rsidRPr="00F5393A">
        <w:rPr>
          <w:sz w:val="20"/>
        </w:rPr>
        <w:t xml:space="preserve"> 217, reversing a decision of </w:t>
      </w:r>
      <w:r w:rsidR="008754B5" w:rsidRPr="00F5393A">
        <w:rPr>
          <w:sz w:val="20"/>
        </w:rPr>
        <w:fldChar w:fldCharType="begin"/>
      </w:r>
      <w:r w:rsidRPr="00F5393A">
        <w:rPr>
          <w:sz w:val="20"/>
        </w:rPr>
        <w:instrText xml:space="preserve"> SEQ CHAPTER \h \r 1</w:instrText>
      </w:r>
      <w:r w:rsidR="008754B5" w:rsidRPr="00F5393A">
        <w:rPr>
          <w:sz w:val="20"/>
        </w:rPr>
        <w:fldChar w:fldCharType="end"/>
      </w:r>
      <w:proofErr w:type="spellStart"/>
      <w:r w:rsidRPr="00F5393A">
        <w:rPr>
          <w:sz w:val="20"/>
        </w:rPr>
        <w:t>Bryk</w:t>
      </w:r>
      <w:proofErr w:type="spellEnd"/>
      <w:r w:rsidRPr="00F5393A">
        <w:rPr>
          <w:sz w:val="20"/>
        </w:rPr>
        <w:t> J., 2009 MBQB 213, 243 Man. R. (2d) 281, 98 Admin. L.R. (4th) 266, [2009] CLLC ¶ 220</w:t>
      </w:r>
      <w:r w:rsidRPr="00F5393A">
        <w:rPr>
          <w:sz w:val="20"/>
        </w:rPr>
        <w:noBreakHyphen/>
        <w:t xml:space="preserve">048, [2009] M.J. No. 289 (QL), 2009 </w:t>
      </w:r>
      <w:proofErr w:type="spellStart"/>
      <w:r w:rsidRPr="00F5393A">
        <w:rPr>
          <w:sz w:val="20"/>
        </w:rPr>
        <w:t>CarswellMan</w:t>
      </w:r>
      <w:proofErr w:type="spellEnd"/>
      <w:r w:rsidRPr="00F5393A">
        <w:rPr>
          <w:sz w:val="20"/>
        </w:rPr>
        <w:t xml:space="preserve"> 386.  Appeal allowed.</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i/>
          <w:sz w:val="20"/>
        </w:rPr>
        <w:tab/>
        <w:t>Bryan P. Schwartz</w:t>
      </w:r>
      <w:r w:rsidRPr="00F5393A">
        <w:rPr>
          <w:sz w:val="20"/>
        </w:rPr>
        <w:t xml:space="preserve">, </w:t>
      </w:r>
      <w:r w:rsidRPr="00F5393A">
        <w:rPr>
          <w:i/>
          <w:sz w:val="20"/>
        </w:rPr>
        <w:t>William S. Gardner and</w:t>
      </w:r>
      <w:r w:rsidRPr="00F5393A">
        <w:rPr>
          <w:sz w:val="20"/>
        </w:rPr>
        <w:t xml:space="preserve"> </w:t>
      </w:r>
      <w:r w:rsidRPr="00F5393A">
        <w:rPr>
          <w:i/>
          <w:sz w:val="20"/>
        </w:rPr>
        <w:t>Todd C. Andres</w:t>
      </w:r>
      <w:r w:rsidRPr="00F5393A">
        <w:rPr>
          <w:sz w:val="20"/>
        </w:rPr>
        <w:t>, for the appellant.</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i/>
          <w:sz w:val="20"/>
        </w:rPr>
        <w:tab/>
        <w:t xml:space="preserve">Jacob </w:t>
      </w:r>
      <w:proofErr w:type="spellStart"/>
      <w:r w:rsidRPr="00F5393A">
        <w:rPr>
          <w:i/>
          <w:sz w:val="20"/>
        </w:rPr>
        <w:t>Giesbrecht</w:t>
      </w:r>
      <w:proofErr w:type="spellEnd"/>
      <w:r w:rsidRPr="00F5393A">
        <w:rPr>
          <w:sz w:val="20"/>
        </w:rPr>
        <w:t>, for the respondent.</w:t>
      </w:r>
    </w:p>
    <w:p w:rsidR="00726AD1" w:rsidRDefault="00726AD1" w:rsidP="00726AD1">
      <w:pPr>
        <w:pStyle w:val="SCCNormalDoubleSpacing"/>
        <w:spacing w:line="240" w:lineRule="auto"/>
        <w:rPr>
          <w:sz w:val="20"/>
        </w:rPr>
      </w:pPr>
    </w:p>
    <w:p w:rsidR="00726AD1" w:rsidRPr="00F5393A" w:rsidRDefault="00726AD1" w:rsidP="00726AD1">
      <w:pPr>
        <w:pStyle w:val="SCCNormalDoubleSpacing"/>
        <w:spacing w:line="240" w:lineRule="auto"/>
        <w:rPr>
          <w:sz w:val="20"/>
        </w:rPr>
      </w:pPr>
      <w:r w:rsidRPr="00F5393A">
        <w:rPr>
          <w:i/>
          <w:sz w:val="20"/>
        </w:rPr>
        <w:tab/>
        <w:t xml:space="preserve">Jonathan </w:t>
      </w:r>
      <w:proofErr w:type="spellStart"/>
      <w:r w:rsidRPr="00F5393A">
        <w:rPr>
          <w:i/>
          <w:sz w:val="20"/>
        </w:rPr>
        <w:t>Eades</w:t>
      </w:r>
      <w:proofErr w:type="spellEnd"/>
      <w:r w:rsidRPr="00F5393A">
        <w:rPr>
          <w:i/>
          <w:sz w:val="20"/>
        </w:rPr>
        <w:t xml:space="preserve"> and Meghan Butler</w:t>
      </w:r>
      <w:r w:rsidRPr="00F5393A">
        <w:rPr>
          <w:sz w:val="20"/>
        </w:rPr>
        <w:t>, for the intervener.</w:t>
      </w:r>
    </w:p>
    <w:p w:rsidR="00726AD1" w:rsidRDefault="00726AD1" w:rsidP="00726AD1">
      <w:pPr>
        <w:pStyle w:val="SCCLawFirm"/>
        <w:spacing w:line="240" w:lineRule="auto"/>
        <w:rPr>
          <w:i w:val="0"/>
          <w:sz w:val="20"/>
        </w:rPr>
      </w:pPr>
    </w:p>
    <w:p w:rsidR="00726AD1" w:rsidRPr="00F5393A" w:rsidRDefault="00726AD1" w:rsidP="00726AD1">
      <w:pPr>
        <w:pStyle w:val="SCCLawFirm"/>
        <w:spacing w:line="240" w:lineRule="auto"/>
        <w:rPr>
          <w:sz w:val="20"/>
        </w:rPr>
      </w:pPr>
      <w:r w:rsidRPr="00F5393A">
        <w:rPr>
          <w:sz w:val="20"/>
        </w:rPr>
        <w:tab/>
        <w:t>Solicitors for the appellant:  </w:t>
      </w:r>
      <w:proofErr w:type="spellStart"/>
      <w:r w:rsidRPr="00F5393A">
        <w:rPr>
          <w:sz w:val="20"/>
        </w:rPr>
        <w:t>Pitblado</w:t>
      </w:r>
      <w:proofErr w:type="spellEnd"/>
      <w:r w:rsidRPr="00F5393A">
        <w:rPr>
          <w:sz w:val="20"/>
        </w:rPr>
        <w:t>, Winnipeg.</w:t>
      </w:r>
    </w:p>
    <w:p w:rsidR="00726AD1" w:rsidRDefault="00726AD1" w:rsidP="00726AD1">
      <w:pPr>
        <w:pStyle w:val="SCCLawFirm"/>
        <w:spacing w:line="240" w:lineRule="auto"/>
        <w:rPr>
          <w:i w:val="0"/>
          <w:sz w:val="20"/>
        </w:rPr>
      </w:pPr>
    </w:p>
    <w:p w:rsidR="00726AD1" w:rsidRPr="00F5393A" w:rsidRDefault="00726AD1" w:rsidP="00726AD1">
      <w:pPr>
        <w:pStyle w:val="SCCLawFirm"/>
        <w:spacing w:line="240" w:lineRule="auto"/>
        <w:rPr>
          <w:sz w:val="20"/>
        </w:rPr>
      </w:pPr>
      <w:r w:rsidRPr="00F5393A">
        <w:rPr>
          <w:sz w:val="20"/>
        </w:rPr>
        <w:tab/>
        <w:t>Solicitors for the respondent:  Inkster, Christie, Hughes, Winnipeg.</w:t>
      </w:r>
    </w:p>
    <w:p w:rsidR="00726AD1" w:rsidRDefault="00726AD1" w:rsidP="00726AD1">
      <w:pPr>
        <w:pStyle w:val="SCCLawFirm"/>
        <w:spacing w:line="240" w:lineRule="auto"/>
        <w:rPr>
          <w:i w:val="0"/>
          <w:sz w:val="20"/>
        </w:rPr>
      </w:pPr>
    </w:p>
    <w:p w:rsidR="00726AD1" w:rsidRDefault="00726AD1" w:rsidP="00726AD1">
      <w:pPr>
        <w:pStyle w:val="SCCLawFirm"/>
        <w:spacing w:line="240" w:lineRule="auto"/>
        <w:rPr>
          <w:sz w:val="20"/>
        </w:rPr>
      </w:pPr>
      <w:r w:rsidRPr="00F5393A">
        <w:rPr>
          <w:sz w:val="20"/>
        </w:rPr>
        <w:tab/>
        <w:t>Solicitor for the intervener:  Attorney General of British Columbia, Victoria.</w:t>
      </w:r>
    </w:p>
    <w:p w:rsidR="003B3977" w:rsidRPr="0036450C" w:rsidRDefault="003B3977" w:rsidP="003B3977">
      <w:pPr>
        <w:rPr>
          <w:sz w:val="20"/>
          <w:szCs w:val="20"/>
          <w:lang w:val="fr-CA"/>
        </w:rPr>
      </w:pPr>
      <w:r w:rsidRPr="0036450C">
        <w:rPr>
          <w:sz w:val="20"/>
          <w:szCs w:val="20"/>
          <w:lang w:val="fr-CA"/>
        </w:rPr>
        <w:t>________________________</w:t>
      </w:r>
    </w:p>
    <w:p w:rsidR="003B3977" w:rsidRPr="0036450C" w:rsidRDefault="003B3977" w:rsidP="003B3977">
      <w:pPr>
        <w:rPr>
          <w:sz w:val="20"/>
          <w:szCs w:val="20"/>
          <w:lang w:val="fr-CA"/>
        </w:rPr>
      </w:pPr>
    </w:p>
    <w:p w:rsidR="00726AD1" w:rsidRPr="00726AD1" w:rsidRDefault="00726AD1" w:rsidP="00726AD1">
      <w:pPr>
        <w:jc w:val="both"/>
        <w:rPr>
          <w:sz w:val="20"/>
          <w:szCs w:val="20"/>
          <w:lang w:val="fr-CA"/>
        </w:rPr>
      </w:pPr>
      <w:r w:rsidRPr="00726AD1">
        <w:rPr>
          <w:sz w:val="20"/>
          <w:szCs w:val="20"/>
          <w:lang w:val="fr-CA"/>
        </w:rPr>
        <w:t xml:space="preserve">Présents : La juge en chef </w:t>
      </w:r>
      <w:proofErr w:type="spellStart"/>
      <w:r w:rsidRPr="00726AD1">
        <w:rPr>
          <w:sz w:val="20"/>
          <w:szCs w:val="20"/>
          <w:lang w:val="fr-CA"/>
        </w:rPr>
        <w:t>McLachlin</w:t>
      </w:r>
      <w:proofErr w:type="spellEnd"/>
      <w:r w:rsidRPr="00726AD1">
        <w:rPr>
          <w:sz w:val="20"/>
          <w:szCs w:val="20"/>
          <w:lang w:val="fr-CA"/>
        </w:rPr>
        <w:t xml:space="preserve"> et les juges </w:t>
      </w:r>
      <w:proofErr w:type="spellStart"/>
      <w:r w:rsidRPr="00726AD1">
        <w:rPr>
          <w:sz w:val="20"/>
          <w:szCs w:val="20"/>
          <w:lang w:val="fr-CA"/>
        </w:rPr>
        <w:t>LeBel</w:t>
      </w:r>
      <w:proofErr w:type="spellEnd"/>
      <w:r w:rsidRPr="00726AD1">
        <w:rPr>
          <w:sz w:val="20"/>
          <w:szCs w:val="20"/>
          <w:lang w:val="fr-CA"/>
        </w:rPr>
        <w:t xml:space="preserve">, Deschamps, Fish, Abella, </w:t>
      </w:r>
      <w:proofErr w:type="spellStart"/>
      <w:r w:rsidRPr="00726AD1">
        <w:rPr>
          <w:sz w:val="20"/>
          <w:szCs w:val="20"/>
          <w:lang w:val="fr-CA"/>
        </w:rPr>
        <w:t>Rothstein</w:t>
      </w:r>
      <w:proofErr w:type="spellEnd"/>
      <w:r w:rsidRPr="00726AD1">
        <w:rPr>
          <w:sz w:val="20"/>
          <w:szCs w:val="20"/>
          <w:lang w:val="fr-CA"/>
        </w:rPr>
        <w:t xml:space="preserve"> et Cromwell.</w:t>
      </w:r>
    </w:p>
    <w:p w:rsidR="00726AD1" w:rsidRDefault="00726AD1" w:rsidP="00726AD1">
      <w:pPr>
        <w:pStyle w:val="SCCLowerCourtNameLowercase"/>
        <w:spacing w:line="240" w:lineRule="auto"/>
        <w:rPr>
          <w:sz w:val="20"/>
        </w:rPr>
      </w:pPr>
    </w:p>
    <w:p w:rsidR="00726AD1" w:rsidRPr="00726AD1" w:rsidRDefault="00726AD1" w:rsidP="00726AD1">
      <w:pPr>
        <w:pStyle w:val="SCCNormalDoubleSpacing"/>
        <w:spacing w:line="240" w:lineRule="auto"/>
        <w:rPr>
          <w:sz w:val="20"/>
          <w:lang w:val="fr-CA"/>
        </w:rPr>
      </w:pPr>
      <w:r w:rsidRPr="00726AD1">
        <w:rPr>
          <w:sz w:val="20"/>
          <w:lang w:val="fr-CA"/>
        </w:rPr>
        <w:tab/>
      </w:r>
      <w:r w:rsidRPr="00726AD1">
        <w:rPr>
          <w:i/>
          <w:sz w:val="20"/>
          <w:lang w:val="fr-CA"/>
        </w:rPr>
        <w:t xml:space="preserve">Relations du travail — Griefs — Sentence arbitrale — Norme de contrôle — Arbitre ayant appliqué la </w:t>
      </w:r>
      <w:proofErr w:type="spellStart"/>
      <w:r w:rsidRPr="00726AD1">
        <w:rPr>
          <w:i/>
          <w:sz w:val="20"/>
          <w:lang w:val="fr-CA"/>
        </w:rPr>
        <w:t>préclusion</w:t>
      </w:r>
      <w:proofErr w:type="spellEnd"/>
      <w:r w:rsidRPr="00726AD1">
        <w:rPr>
          <w:i/>
          <w:sz w:val="20"/>
          <w:lang w:val="fr-CA"/>
        </w:rPr>
        <w:t xml:space="preserve"> à la demande de réparation présentée par le syndicat en vertu de la convention collective — La sentence arbitrale mettant en jeu une réparation de </w:t>
      </w:r>
      <w:proofErr w:type="spellStart"/>
      <w:r w:rsidRPr="00726AD1">
        <w:rPr>
          <w:i/>
          <w:sz w:val="20"/>
          <w:lang w:val="fr-CA"/>
        </w:rPr>
        <w:t>common</w:t>
      </w:r>
      <w:proofErr w:type="spellEnd"/>
      <w:r w:rsidRPr="00726AD1">
        <w:rPr>
          <w:i/>
          <w:sz w:val="20"/>
          <w:lang w:val="fr-CA"/>
        </w:rPr>
        <w:t xml:space="preserve"> </w:t>
      </w:r>
      <w:proofErr w:type="spellStart"/>
      <w:r w:rsidRPr="00726AD1">
        <w:rPr>
          <w:i/>
          <w:sz w:val="20"/>
          <w:lang w:val="fr-CA"/>
        </w:rPr>
        <w:t>law</w:t>
      </w:r>
      <w:proofErr w:type="spellEnd"/>
      <w:r w:rsidRPr="00726AD1">
        <w:rPr>
          <w:i/>
          <w:sz w:val="20"/>
          <w:lang w:val="fr-CA"/>
        </w:rPr>
        <w:t xml:space="preserve"> ou d’</w:t>
      </w:r>
      <w:proofErr w:type="spellStart"/>
      <w:r w:rsidRPr="00726AD1">
        <w:rPr>
          <w:i/>
          <w:sz w:val="20"/>
          <w:lang w:val="fr-CA"/>
        </w:rPr>
        <w:t>equity</w:t>
      </w:r>
      <w:proofErr w:type="spellEnd"/>
      <w:r w:rsidRPr="00726AD1">
        <w:rPr>
          <w:i/>
          <w:sz w:val="20"/>
          <w:lang w:val="fr-CA"/>
        </w:rPr>
        <w:t xml:space="preserve"> </w:t>
      </w:r>
      <w:proofErr w:type="spellStart"/>
      <w:r w:rsidRPr="00726AD1">
        <w:rPr>
          <w:i/>
          <w:sz w:val="20"/>
          <w:lang w:val="fr-CA"/>
        </w:rPr>
        <w:t>est</w:t>
      </w:r>
      <w:r w:rsidRPr="00726AD1">
        <w:rPr>
          <w:i/>
          <w:sz w:val="20"/>
          <w:lang w:val="fr-CA"/>
        </w:rPr>
        <w:noBreakHyphen/>
        <w:t>elle</w:t>
      </w:r>
      <w:proofErr w:type="spellEnd"/>
      <w:r w:rsidRPr="00726AD1">
        <w:rPr>
          <w:i/>
          <w:sz w:val="20"/>
          <w:lang w:val="fr-CA"/>
        </w:rPr>
        <w:t xml:space="preserve"> assujettie à la norme de contrôle de la décision raisonnable ou à celle de la décision correcte?</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sz w:val="20"/>
          <w:lang w:val="fr-CA"/>
        </w:rPr>
        <w:tab/>
        <w:t>P prétendait avoir droit à une semaine de congé annuel en prime l’année de son 20</w:t>
      </w:r>
      <w:r w:rsidRPr="00726AD1">
        <w:rPr>
          <w:sz w:val="20"/>
          <w:vertAlign w:val="superscript"/>
          <w:lang w:val="fr-CA"/>
        </w:rPr>
        <w:t>e</w:t>
      </w:r>
      <w:r w:rsidRPr="00726AD1">
        <w:rPr>
          <w:sz w:val="20"/>
          <w:lang w:val="fr-CA"/>
        </w:rPr>
        <w:t xml:space="preserve"> anniversaire d’entrée en service, conformément aux dispositions de la convention collective intervenue entre </w:t>
      </w:r>
      <w:proofErr w:type="spellStart"/>
      <w:r w:rsidRPr="00726AD1">
        <w:rPr>
          <w:sz w:val="20"/>
          <w:lang w:val="fr-CA"/>
        </w:rPr>
        <w:t>Nor</w:t>
      </w:r>
      <w:r w:rsidRPr="00726AD1">
        <w:rPr>
          <w:sz w:val="20"/>
          <w:lang w:val="fr-CA"/>
        </w:rPr>
        <w:noBreakHyphen/>
        <w:t>Man</w:t>
      </w:r>
      <w:proofErr w:type="spellEnd"/>
      <w:r w:rsidRPr="00726AD1">
        <w:rPr>
          <w:sz w:val="20"/>
          <w:lang w:val="fr-CA"/>
        </w:rPr>
        <w:t xml:space="preserve"> et le Syndicat la représentant.  </w:t>
      </w:r>
      <w:proofErr w:type="spellStart"/>
      <w:r w:rsidRPr="00726AD1">
        <w:rPr>
          <w:sz w:val="20"/>
          <w:lang w:val="fr-CA"/>
        </w:rPr>
        <w:t>Nor</w:t>
      </w:r>
      <w:r w:rsidRPr="00726AD1">
        <w:rPr>
          <w:sz w:val="20"/>
          <w:lang w:val="fr-CA"/>
        </w:rPr>
        <w:noBreakHyphen/>
        <w:t>Man</w:t>
      </w:r>
      <w:proofErr w:type="spellEnd"/>
      <w:r w:rsidRPr="00726AD1">
        <w:rPr>
          <w:sz w:val="20"/>
          <w:lang w:val="fr-CA"/>
        </w:rPr>
        <w:t xml:space="preserve"> lui a refusé ce congé.  L’arbitre a conclu que la pratique de l’employeur consistant à exclure les périodes d’emploi à titre occasionnel du calcul des congés annuels contrevenait aux dispositions de la convention collective.  Toutefois, le Syndicat ne pouvait pas contester la façon dont l’employeur appliquait les dispositions litigieuses de la convention collective, parce qu’il y avait acquiescé de longue date.  Selon l’arbitre, le Syndicat était </w:t>
      </w:r>
      <w:proofErr w:type="spellStart"/>
      <w:r w:rsidRPr="00726AD1">
        <w:rPr>
          <w:sz w:val="20"/>
          <w:lang w:val="fr-CA"/>
        </w:rPr>
        <w:t>préclus</w:t>
      </w:r>
      <w:proofErr w:type="spellEnd"/>
      <w:r w:rsidRPr="00726AD1">
        <w:rPr>
          <w:sz w:val="20"/>
          <w:lang w:val="fr-CA"/>
        </w:rPr>
        <w:t xml:space="preserve"> d’exiger le respect strict des droits que lui confèrent les dispositions litigieuses de la convention collective jusqu’à l’expiration de cette dernière.  La demande de contrôle judiciaire présentée par le Syndicat a été rejetée au motif que la sentence arbitrale était raisonnable.  La Cour d’appel, estimant que la norme applicable était celle de la décision correcte, a annulé la conclusion de l’arbitre selon laquelle il y avait </w:t>
      </w:r>
      <w:proofErr w:type="spellStart"/>
      <w:r w:rsidRPr="00726AD1">
        <w:rPr>
          <w:sz w:val="20"/>
          <w:lang w:val="fr-CA"/>
        </w:rPr>
        <w:t>préclusion</w:t>
      </w:r>
      <w:proofErr w:type="spellEnd"/>
      <w:r w:rsidRPr="00726AD1">
        <w:rPr>
          <w:sz w:val="20"/>
          <w:lang w:val="fr-CA"/>
        </w:rPr>
        <w:t xml:space="preserve">. </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sz w:val="20"/>
          <w:lang w:val="fr-CA"/>
        </w:rPr>
        <w:tab/>
      </w:r>
      <w:r w:rsidRPr="00726AD1">
        <w:rPr>
          <w:i/>
          <w:sz w:val="20"/>
          <w:lang w:val="fr-CA"/>
        </w:rPr>
        <w:t>Arrêt :</w:t>
      </w:r>
      <w:r w:rsidRPr="00726AD1">
        <w:rPr>
          <w:sz w:val="20"/>
          <w:lang w:val="fr-CA"/>
        </w:rPr>
        <w:t xml:space="preserve"> Le pourvoi est accueilli.</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sz w:val="20"/>
          <w:lang w:val="fr-CA"/>
        </w:rPr>
        <w:tab/>
        <w:t xml:space="preserve">Définie largement, la question consiste à déterminer si les sentences arbitrales qui mettent en jeu des réparations de </w:t>
      </w:r>
      <w:proofErr w:type="spellStart"/>
      <w:r w:rsidRPr="00726AD1">
        <w:rPr>
          <w:sz w:val="20"/>
          <w:lang w:val="fr-CA"/>
        </w:rPr>
        <w:t>common</w:t>
      </w:r>
      <w:proofErr w:type="spellEnd"/>
      <w:r w:rsidRPr="00726AD1">
        <w:rPr>
          <w:sz w:val="20"/>
          <w:lang w:val="fr-CA"/>
        </w:rPr>
        <w:t xml:space="preserve"> </w:t>
      </w:r>
      <w:proofErr w:type="spellStart"/>
      <w:r w:rsidRPr="00726AD1">
        <w:rPr>
          <w:sz w:val="20"/>
          <w:lang w:val="fr-CA"/>
        </w:rPr>
        <w:t>law</w:t>
      </w:r>
      <w:proofErr w:type="spellEnd"/>
      <w:r w:rsidRPr="00726AD1">
        <w:rPr>
          <w:sz w:val="20"/>
          <w:lang w:val="fr-CA"/>
        </w:rPr>
        <w:t xml:space="preserve"> ou d’</w:t>
      </w:r>
      <w:proofErr w:type="spellStart"/>
      <w:r w:rsidRPr="00726AD1">
        <w:rPr>
          <w:sz w:val="20"/>
          <w:lang w:val="fr-CA"/>
        </w:rPr>
        <w:t>equity</w:t>
      </w:r>
      <w:proofErr w:type="spellEnd"/>
      <w:r w:rsidRPr="00726AD1">
        <w:rPr>
          <w:sz w:val="20"/>
          <w:lang w:val="fr-CA"/>
        </w:rPr>
        <w:t xml:space="preserve"> sont, de ce fait, assujetties au contrôle judiciaire selon la norme de la décision correcte.  Il est bien établi que, règle générale, c’est la norme de la </w:t>
      </w:r>
      <w:proofErr w:type="spellStart"/>
      <w:r w:rsidRPr="00726AD1">
        <w:rPr>
          <w:sz w:val="20"/>
          <w:lang w:val="fr-CA"/>
        </w:rPr>
        <w:t>raisonnabilité</w:t>
      </w:r>
      <w:proofErr w:type="spellEnd"/>
      <w:r w:rsidRPr="00726AD1">
        <w:rPr>
          <w:sz w:val="20"/>
          <w:lang w:val="fr-CA"/>
        </w:rPr>
        <w:t xml:space="preserve"> qui s’applique aux sentences arbitrales prononcées en vertu d’une convention collective.  En l’espèce, la </w:t>
      </w:r>
      <w:proofErr w:type="spellStart"/>
      <w:r w:rsidRPr="00726AD1">
        <w:rPr>
          <w:sz w:val="20"/>
          <w:lang w:val="fr-CA"/>
        </w:rPr>
        <w:t>préclusion</w:t>
      </w:r>
      <w:proofErr w:type="spellEnd"/>
      <w:r w:rsidRPr="00726AD1">
        <w:rPr>
          <w:sz w:val="20"/>
          <w:lang w:val="fr-CA"/>
        </w:rPr>
        <w:t xml:space="preserve"> appliquée à titre de réparation d’</w:t>
      </w:r>
      <w:proofErr w:type="spellStart"/>
      <w:r w:rsidRPr="00726AD1">
        <w:rPr>
          <w:sz w:val="20"/>
          <w:lang w:val="fr-CA"/>
        </w:rPr>
        <w:t>equity</w:t>
      </w:r>
      <w:proofErr w:type="spellEnd"/>
      <w:r w:rsidRPr="00726AD1">
        <w:rPr>
          <w:sz w:val="20"/>
          <w:lang w:val="fr-CA"/>
        </w:rPr>
        <w:t xml:space="preserve"> par l’arbitre ne constitue pas une question qui revêt une importance capitale pour le système juridique dans son ensemble et est étrangère au domaine d’expertise de l’arbitre.  Par conséquent, elle ne saurait appartenir à cette catégorie — ni à quelque autre catégorie — déjà établie de questions assujetties à la norme de la décision correcte.  En outre, une analyse contextuelle vient confirmer qu’il convient d’appliquer la norme de la </w:t>
      </w:r>
      <w:proofErr w:type="spellStart"/>
      <w:r w:rsidRPr="00726AD1">
        <w:rPr>
          <w:sz w:val="20"/>
          <w:lang w:val="fr-CA"/>
        </w:rPr>
        <w:t>raisonnabilité</w:t>
      </w:r>
      <w:proofErr w:type="spellEnd"/>
      <w:r w:rsidRPr="00726AD1">
        <w:rPr>
          <w:sz w:val="20"/>
          <w:lang w:val="fr-CA"/>
        </w:rPr>
        <w:t xml:space="preserve"> — plutôt que celle de la décision correcte.  La déférence est justifiée en l’espèce.</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sz w:val="20"/>
          <w:lang w:val="fr-CA"/>
        </w:rPr>
        <w:tab/>
        <w:t xml:space="preserve">Un processus rigide de règlement des différends risque non seulement de provoquer la désintégration de la relation, mais également de troubler la paix industrielle.  Les arbitres en droit du travail ont toutefois besoin de la souplesse voulue pour façonner des solutions réparatrices lorsque la situation l’exige.  Ils ne sont pas tenus juridiquement d’appliquer les principes de </w:t>
      </w:r>
      <w:proofErr w:type="spellStart"/>
      <w:r w:rsidRPr="00726AD1">
        <w:rPr>
          <w:sz w:val="20"/>
          <w:lang w:val="fr-CA"/>
        </w:rPr>
        <w:t>common</w:t>
      </w:r>
      <w:proofErr w:type="spellEnd"/>
      <w:r w:rsidRPr="00726AD1">
        <w:rPr>
          <w:sz w:val="20"/>
          <w:lang w:val="fr-CA"/>
        </w:rPr>
        <w:t xml:space="preserve"> </w:t>
      </w:r>
      <w:proofErr w:type="spellStart"/>
      <w:r w:rsidRPr="00726AD1">
        <w:rPr>
          <w:sz w:val="20"/>
          <w:lang w:val="fr-CA"/>
        </w:rPr>
        <w:t>law</w:t>
      </w:r>
      <w:proofErr w:type="spellEnd"/>
      <w:r w:rsidRPr="00726AD1">
        <w:rPr>
          <w:sz w:val="20"/>
          <w:lang w:val="fr-CA"/>
        </w:rPr>
        <w:t xml:space="preserve"> et d’</w:t>
      </w:r>
      <w:proofErr w:type="spellStart"/>
      <w:r w:rsidRPr="00726AD1">
        <w:rPr>
          <w:sz w:val="20"/>
          <w:lang w:val="fr-CA"/>
        </w:rPr>
        <w:t>equity</w:t>
      </w:r>
      <w:proofErr w:type="spellEnd"/>
      <w:r w:rsidRPr="00726AD1">
        <w:rPr>
          <w:sz w:val="20"/>
          <w:lang w:val="fr-CA"/>
        </w:rPr>
        <w:t xml:space="preserve">, dont la </w:t>
      </w:r>
      <w:proofErr w:type="spellStart"/>
      <w:r w:rsidRPr="00726AD1">
        <w:rPr>
          <w:sz w:val="20"/>
          <w:lang w:val="fr-CA"/>
        </w:rPr>
        <w:t>préclusion</w:t>
      </w:r>
      <w:proofErr w:type="spellEnd"/>
      <w:r w:rsidRPr="00726AD1">
        <w:rPr>
          <w:sz w:val="20"/>
          <w:lang w:val="fr-CA"/>
        </w:rPr>
        <w:t xml:space="preserve">, de la même manière que les tribunaux judiciaires.  Ils peuvent, à bon droit, élaborer des doctrines et concevoir des réparations adéquates dans leur domaine, en s’inspirant des principes juridiques généraux, des buts et objectifs du régime législatif, des principes des </w:t>
      </w:r>
      <w:r w:rsidRPr="00726AD1">
        <w:rPr>
          <w:sz w:val="20"/>
          <w:lang w:val="fr-CA"/>
        </w:rPr>
        <w:lastRenderedPageBreak/>
        <w:t xml:space="preserve">relations du travail, de la nature du processus de négociation collective et du fondement factuel des griefs dont ils sont saisis.  Le large mandat dont les arbitres sont investis découle du vaste pouvoir qui leur est conféré par les conventions collectives et les textes législatifs, comme la </w:t>
      </w:r>
      <w:r w:rsidRPr="00726AD1">
        <w:rPr>
          <w:i/>
          <w:sz w:val="20"/>
          <w:lang w:val="fr-CA"/>
        </w:rPr>
        <w:t xml:space="preserve">Loi sur les relations du travail </w:t>
      </w:r>
      <w:r w:rsidRPr="00726AD1">
        <w:rPr>
          <w:sz w:val="20"/>
          <w:lang w:val="fr-CA"/>
        </w:rPr>
        <w:t>(</w:t>
      </w:r>
      <w:r w:rsidRPr="00726AD1">
        <w:rPr>
          <w:i/>
          <w:sz w:val="20"/>
          <w:lang w:val="fr-CA"/>
        </w:rPr>
        <w:t>Loi</w:t>
      </w:r>
      <w:r w:rsidRPr="00726AD1">
        <w:rPr>
          <w:sz w:val="20"/>
          <w:lang w:val="fr-CA"/>
        </w:rPr>
        <w:t xml:space="preserve">), et de leur rôle particulier de promotion de la paix dans les relations industrielles.  Grâce à leur expertise, ils ont tous les outils nécessaires pour adapter les doctrines de </w:t>
      </w:r>
      <w:proofErr w:type="spellStart"/>
      <w:r w:rsidRPr="00726AD1">
        <w:rPr>
          <w:sz w:val="20"/>
          <w:lang w:val="fr-CA"/>
        </w:rPr>
        <w:t>common</w:t>
      </w:r>
      <w:proofErr w:type="spellEnd"/>
      <w:r w:rsidRPr="00726AD1">
        <w:rPr>
          <w:sz w:val="20"/>
          <w:lang w:val="fr-CA"/>
        </w:rPr>
        <w:t xml:space="preserve"> </w:t>
      </w:r>
      <w:proofErr w:type="spellStart"/>
      <w:r w:rsidRPr="00726AD1">
        <w:rPr>
          <w:sz w:val="20"/>
          <w:lang w:val="fr-CA"/>
        </w:rPr>
        <w:t>law</w:t>
      </w:r>
      <w:proofErr w:type="spellEnd"/>
      <w:r w:rsidRPr="00726AD1">
        <w:rPr>
          <w:sz w:val="20"/>
          <w:lang w:val="fr-CA"/>
        </w:rPr>
        <w:t xml:space="preserve"> et d’</w:t>
      </w:r>
      <w:proofErr w:type="spellStart"/>
      <w:r w:rsidRPr="00726AD1">
        <w:rPr>
          <w:sz w:val="20"/>
          <w:lang w:val="fr-CA"/>
        </w:rPr>
        <w:t>equity</w:t>
      </w:r>
      <w:proofErr w:type="spellEnd"/>
      <w:r w:rsidRPr="00726AD1">
        <w:rPr>
          <w:sz w:val="20"/>
          <w:lang w:val="fr-CA"/>
        </w:rPr>
        <w:t xml:space="preserve"> qu’ils estiment pertinentes dans les limites de leur sphère de créativité.  La sphère réservée au pouvoir discrétionnaire des arbitres n’est nullement dépourvue de limites.  La sentence arbitrale qui prête à un principe de </w:t>
      </w:r>
      <w:proofErr w:type="spellStart"/>
      <w:r w:rsidRPr="00726AD1">
        <w:rPr>
          <w:sz w:val="20"/>
          <w:lang w:val="fr-CA"/>
        </w:rPr>
        <w:t>common</w:t>
      </w:r>
      <w:proofErr w:type="spellEnd"/>
      <w:r w:rsidRPr="00726AD1">
        <w:rPr>
          <w:sz w:val="20"/>
          <w:lang w:val="fr-CA"/>
        </w:rPr>
        <w:t xml:space="preserve"> </w:t>
      </w:r>
      <w:proofErr w:type="spellStart"/>
      <w:r w:rsidRPr="00726AD1">
        <w:rPr>
          <w:sz w:val="20"/>
          <w:lang w:val="fr-CA"/>
        </w:rPr>
        <w:t>law</w:t>
      </w:r>
      <w:proofErr w:type="spellEnd"/>
      <w:r w:rsidRPr="00726AD1">
        <w:rPr>
          <w:sz w:val="20"/>
          <w:lang w:val="fr-CA"/>
        </w:rPr>
        <w:t xml:space="preserve"> ou d’</w:t>
      </w:r>
      <w:proofErr w:type="spellStart"/>
      <w:r w:rsidRPr="00726AD1">
        <w:rPr>
          <w:sz w:val="20"/>
          <w:lang w:val="fr-CA"/>
        </w:rPr>
        <w:t>equity</w:t>
      </w:r>
      <w:proofErr w:type="spellEnd"/>
      <w:r w:rsidRPr="00726AD1">
        <w:rPr>
          <w:sz w:val="20"/>
          <w:lang w:val="fr-CA"/>
        </w:rPr>
        <w:t xml:space="preserve"> une application qui n’est pas raisonnablement adaptée à la nature distinctive des relations du travail demeure forcément assujettie au contrôle judiciaire selon la norme de la </w:t>
      </w:r>
      <w:proofErr w:type="spellStart"/>
      <w:r w:rsidRPr="00726AD1">
        <w:rPr>
          <w:sz w:val="20"/>
          <w:lang w:val="fr-CA"/>
        </w:rPr>
        <w:t>raisonnabilité</w:t>
      </w:r>
      <w:proofErr w:type="spellEnd"/>
      <w:r w:rsidRPr="00726AD1">
        <w:rPr>
          <w:sz w:val="20"/>
          <w:lang w:val="fr-CA"/>
        </w:rPr>
        <w:t xml:space="preserve">. </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sz w:val="20"/>
          <w:lang w:val="fr-CA"/>
        </w:rPr>
        <w:tab/>
        <w:t>En l’espèce, on peut difficilement qualifier de déraisonnable la sentence prononcée par l’arbitre.  Ses motifs sont non seulement transparents et intelligibles, mais aussi cohérents.  L’arbitre a adapté et appliqué la doctrine d’</w:t>
      </w:r>
      <w:proofErr w:type="spellStart"/>
      <w:r w:rsidRPr="00726AD1">
        <w:rPr>
          <w:sz w:val="20"/>
          <w:lang w:val="fr-CA"/>
        </w:rPr>
        <w:t>equity</w:t>
      </w:r>
      <w:proofErr w:type="spellEnd"/>
      <w:r w:rsidRPr="00726AD1">
        <w:rPr>
          <w:sz w:val="20"/>
          <w:lang w:val="fr-CA"/>
        </w:rPr>
        <w:t xml:space="preserve"> que constitue la </w:t>
      </w:r>
      <w:proofErr w:type="spellStart"/>
      <w:r w:rsidRPr="00726AD1">
        <w:rPr>
          <w:sz w:val="20"/>
          <w:lang w:val="fr-CA"/>
        </w:rPr>
        <w:t>préclusion</w:t>
      </w:r>
      <w:proofErr w:type="spellEnd"/>
      <w:r w:rsidRPr="00726AD1">
        <w:rPr>
          <w:sz w:val="20"/>
          <w:lang w:val="fr-CA"/>
        </w:rPr>
        <w:t xml:space="preserve"> d’une manière raisonnablement conforme aux buts et objectifs de la </w:t>
      </w:r>
      <w:r w:rsidRPr="00726AD1">
        <w:rPr>
          <w:i/>
          <w:sz w:val="20"/>
          <w:lang w:val="fr-CA"/>
        </w:rPr>
        <w:t>Loi</w:t>
      </w:r>
      <w:r w:rsidRPr="00726AD1">
        <w:rPr>
          <w:sz w:val="20"/>
          <w:lang w:val="fr-CA"/>
        </w:rPr>
        <w:t xml:space="preserve">, aux principes des relations du travail, à la nature du processus de négociation collective et au fondement factuel du grief de P.  Les motifs de l’arbitre expliquent amplement les raisons qui l’ont amené en l’espèce à appliquer la </w:t>
      </w:r>
      <w:proofErr w:type="spellStart"/>
      <w:r w:rsidRPr="00726AD1">
        <w:rPr>
          <w:sz w:val="20"/>
          <w:lang w:val="fr-CA"/>
        </w:rPr>
        <w:t>préclusion</w:t>
      </w:r>
      <w:proofErr w:type="spellEnd"/>
      <w:r w:rsidRPr="00726AD1">
        <w:rPr>
          <w:sz w:val="20"/>
          <w:lang w:val="fr-CA"/>
        </w:rPr>
        <w:t xml:space="preserve"> à titre de réparation.</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sz w:val="20"/>
          <w:lang w:val="fr-CA"/>
        </w:rPr>
        <w:tab/>
        <w:t xml:space="preserve">POURVOI contre un arrêt de la Cour d’appel du Manitoba (les juges </w:t>
      </w:r>
      <w:proofErr w:type="spellStart"/>
      <w:r w:rsidRPr="00726AD1">
        <w:rPr>
          <w:sz w:val="20"/>
          <w:lang w:val="fr-CA"/>
        </w:rPr>
        <w:t>Monnin</w:t>
      </w:r>
      <w:proofErr w:type="spellEnd"/>
      <w:r w:rsidRPr="00726AD1">
        <w:rPr>
          <w:sz w:val="20"/>
          <w:lang w:val="fr-CA"/>
        </w:rPr>
        <w:t xml:space="preserve">, </w:t>
      </w:r>
      <w:proofErr w:type="spellStart"/>
      <w:r w:rsidRPr="00726AD1">
        <w:rPr>
          <w:sz w:val="20"/>
          <w:lang w:val="fr-CA"/>
        </w:rPr>
        <w:t>Steel</w:t>
      </w:r>
      <w:proofErr w:type="spellEnd"/>
      <w:r w:rsidRPr="00726AD1">
        <w:rPr>
          <w:sz w:val="20"/>
          <w:lang w:val="fr-CA"/>
        </w:rPr>
        <w:t xml:space="preserve"> et </w:t>
      </w:r>
      <w:proofErr w:type="spellStart"/>
      <w:r w:rsidRPr="00726AD1">
        <w:rPr>
          <w:sz w:val="20"/>
          <w:lang w:val="fr-CA"/>
        </w:rPr>
        <w:t>Freedman</w:t>
      </w:r>
      <w:proofErr w:type="spellEnd"/>
      <w:r w:rsidRPr="00726AD1">
        <w:rPr>
          <w:sz w:val="20"/>
          <w:lang w:val="fr-CA"/>
        </w:rPr>
        <w:t xml:space="preserve">), 2010 MBCA 55, 255 Man. R. (2d) 93, 486 W.A.C. 93, 319 D.L.R. (4th) 193, 194 L.A.C. (4th) 193, 5 </w:t>
      </w:r>
      <w:proofErr w:type="spellStart"/>
      <w:r w:rsidRPr="00726AD1">
        <w:rPr>
          <w:sz w:val="20"/>
          <w:lang w:val="fr-CA"/>
        </w:rPr>
        <w:t>Admin</w:t>
      </w:r>
      <w:proofErr w:type="spellEnd"/>
      <w:r w:rsidRPr="00726AD1">
        <w:rPr>
          <w:sz w:val="20"/>
          <w:lang w:val="fr-CA"/>
        </w:rPr>
        <w:t>. L.R. (5th) 291, 85 C.C.E.L. (3d) 163, [2010] 7 W.W.R. 1, [2010] CLLC ¶ 220</w:t>
      </w:r>
      <w:r w:rsidRPr="00726AD1">
        <w:rPr>
          <w:sz w:val="20"/>
          <w:lang w:val="fr-CA"/>
        </w:rPr>
        <w:noBreakHyphen/>
        <w:t xml:space="preserve">034, [2010] M.J. No. 166 (QL), 2010 </w:t>
      </w:r>
      <w:proofErr w:type="spellStart"/>
      <w:r w:rsidRPr="00726AD1">
        <w:rPr>
          <w:sz w:val="20"/>
          <w:lang w:val="fr-CA"/>
        </w:rPr>
        <w:t>CarswellMan</w:t>
      </w:r>
      <w:proofErr w:type="spellEnd"/>
      <w:r w:rsidRPr="00726AD1">
        <w:rPr>
          <w:sz w:val="20"/>
          <w:lang w:val="fr-CA"/>
        </w:rPr>
        <w:t xml:space="preserve"> 217, qui a infirmé une décision du juge </w:t>
      </w:r>
      <w:proofErr w:type="spellStart"/>
      <w:r w:rsidRPr="00726AD1">
        <w:rPr>
          <w:sz w:val="20"/>
          <w:lang w:val="fr-CA"/>
        </w:rPr>
        <w:t>Bryk</w:t>
      </w:r>
      <w:proofErr w:type="spellEnd"/>
      <w:r w:rsidRPr="00726AD1">
        <w:rPr>
          <w:sz w:val="20"/>
          <w:lang w:val="fr-CA"/>
        </w:rPr>
        <w:t xml:space="preserve">, 2009 MBQB 213, 243 Man. R. (2d) 281, 98 </w:t>
      </w:r>
      <w:proofErr w:type="spellStart"/>
      <w:r w:rsidRPr="00726AD1">
        <w:rPr>
          <w:sz w:val="20"/>
          <w:lang w:val="fr-CA"/>
        </w:rPr>
        <w:t>Admin</w:t>
      </w:r>
      <w:proofErr w:type="spellEnd"/>
      <w:r w:rsidRPr="00726AD1">
        <w:rPr>
          <w:sz w:val="20"/>
          <w:lang w:val="fr-CA"/>
        </w:rPr>
        <w:t>. L.R. (4th) 266, [2009] CLLC ¶ 220</w:t>
      </w:r>
      <w:r w:rsidRPr="00726AD1">
        <w:rPr>
          <w:sz w:val="20"/>
          <w:lang w:val="fr-CA"/>
        </w:rPr>
        <w:noBreakHyphen/>
        <w:t xml:space="preserve">048, [2009] M.J. No. 289 (QL), 2009 </w:t>
      </w:r>
      <w:proofErr w:type="spellStart"/>
      <w:r w:rsidRPr="00726AD1">
        <w:rPr>
          <w:sz w:val="20"/>
          <w:lang w:val="fr-CA"/>
        </w:rPr>
        <w:t>CarswellMan</w:t>
      </w:r>
      <w:proofErr w:type="spellEnd"/>
      <w:r w:rsidRPr="00726AD1">
        <w:rPr>
          <w:sz w:val="20"/>
          <w:lang w:val="fr-CA"/>
        </w:rPr>
        <w:t xml:space="preserve"> 386.  Pourvoi accueilli.</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i/>
          <w:sz w:val="20"/>
          <w:lang w:val="fr-CA"/>
        </w:rPr>
        <w:tab/>
        <w:t>Bryan P. Schwartz</w:t>
      </w:r>
      <w:r w:rsidRPr="00726AD1">
        <w:rPr>
          <w:sz w:val="20"/>
          <w:lang w:val="fr-CA"/>
        </w:rPr>
        <w:t xml:space="preserve">, </w:t>
      </w:r>
      <w:r w:rsidRPr="00726AD1">
        <w:rPr>
          <w:i/>
          <w:sz w:val="20"/>
          <w:lang w:val="fr-CA"/>
        </w:rPr>
        <w:t>William S. Gardner et Todd C. Andres</w:t>
      </w:r>
      <w:r w:rsidRPr="00726AD1">
        <w:rPr>
          <w:sz w:val="20"/>
          <w:lang w:val="fr-CA"/>
        </w:rPr>
        <w:t>, pour l’appelante.</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i/>
          <w:sz w:val="20"/>
          <w:lang w:val="fr-CA"/>
        </w:rPr>
        <w:tab/>
        <w:t xml:space="preserve">Jacob </w:t>
      </w:r>
      <w:proofErr w:type="spellStart"/>
      <w:r w:rsidRPr="00726AD1">
        <w:rPr>
          <w:i/>
          <w:sz w:val="20"/>
          <w:lang w:val="fr-CA"/>
        </w:rPr>
        <w:t>Giesbrecht</w:t>
      </w:r>
      <w:proofErr w:type="spellEnd"/>
      <w:r w:rsidRPr="00726AD1">
        <w:rPr>
          <w:sz w:val="20"/>
          <w:lang w:val="fr-CA"/>
        </w:rPr>
        <w:t>, pour l’intimée.</w:t>
      </w:r>
    </w:p>
    <w:p w:rsidR="00726AD1" w:rsidRPr="00726AD1" w:rsidRDefault="00726AD1" w:rsidP="00726AD1">
      <w:pPr>
        <w:pStyle w:val="SCCNormalDoubleSpacing"/>
        <w:spacing w:line="240" w:lineRule="auto"/>
        <w:rPr>
          <w:sz w:val="20"/>
          <w:lang w:val="fr-CA"/>
        </w:rPr>
      </w:pPr>
    </w:p>
    <w:p w:rsidR="00726AD1" w:rsidRPr="00726AD1" w:rsidRDefault="00726AD1" w:rsidP="00726AD1">
      <w:pPr>
        <w:pStyle w:val="SCCNormalDoubleSpacing"/>
        <w:spacing w:line="240" w:lineRule="auto"/>
        <w:rPr>
          <w:sz w:val="20"/>
          <w:lang w:val="fr-CA"/>
        </w:rPr>
      </w:pPr>
      <w:r w:rsidRPr="00726AD1">
        <w:rPr>
          <w:i/>
          <w:sz w:val="20"/>
          <w:lang w:val="fr-CA"/>
        </w:rPr>
        <w:tab/>
        <w:t xml:space="preserve">Jonathan </w:t>
      </w:r>
      <w:proofErr w:type="spellStart"/>
      <w:r w:rsidRPr="00726AD1">
        <w:rPr>
          <w:i/>
          <w:sz w:val="20"/>
          <w:lang w:val="fr-CA"/>
        </w:rPr>
        <w:t>Eades</w:t>
      </w:r>
      <w:proofErr w:type="spellEnd"/>
      <w:r w:rsidRPr="00726AD1">
        <w:rPr>
          <w:i/>
          <w:sz w:val="20"/>
          <w:lang w:val="fr-CA"/>
        </w:rPr>
        <w:t xml:space="preserve"> et </w:t>
      </w:r>
      <w:proofErr w:type="spellStart"/>
      <w:r w:rsidRPr="00726AD1">
        <w:rPr>
          <w:i/>
          <w:sz w:val="20"/>
          <w:lang w:val="fr-CA"/>
        </w:rPr>
        <w:t>Meghan</w:t>
      </w:r>
      <w:proofErr w:type="spellEnd"/>
      <w:r w:rsidRPr="00726AD1">
        <w:rPr>
          <w:i/>
          <w:sz w:val="20"/>
          <w:lang w:val="fr-CA"/>
        </w:rPr>
        <w:t xml:space="preserve"> Butler</w:t>
      </w:r>
      <w:r w:rsidRPr="00726AD1">
        <w:rPr>
          <w:sz w:val="20"/>
          <w:lang w:val="fr-CA"/>
        </w:rPr>
        <w:t>, pour l’intervenant.</w:t>
      </w:r>
    </w:p>
    <w:p w:rsidR="00726AD1" w:rsidRPr="00726AD1" w:rsidRDefault="00726AD1" w:rsidP="00726AD1">
      <w:pPr>
        <w:pStyle w:val="SCCLawFirm"/>
        <w:spacing w:line="240" w:lineRule="auto"/>
        <w:rPr>
          <w:i w:val="0"/>
          <w:sz w:val="20"/>
          <w:lang w:val="fr-CA"/>
        </w:rPr>
      </w:pPr>
    </w:p>
    <w:p w:rsidR="00726AD1" w:rsidRPr="00726AD1" w:rsidRDefault="00726AD1" w:rsidP="00726AD1">
      <w:pPr>
        <w:pStyle w:val="SCCLawFirm"/>
        <w:spacing w:line="240" w:lineRule="auto"/>
        <w:rPr>
          <w:sz w:val="20"/>
          <w:lang w:val="fr-CA"/>
        </w:rPr>
      </w:pPr>
      <w:r w:rsidRPr="00726AD1">
        <w:rPr>
          <w:sz w:val="20"/>
          <w:lang w:val="fr-CA"/>
        </w:rPr>
        <w:tab/>
        <w:t>Procureurs de l’appelante : </w:t>
      </w:r>
      <w:proofErr w:type="spellStart"/>
      <w:r w:rsidRPr="00726AD1">
        <w:rPr>
          <w:sz w:val="20"/>
          <w:lang w:val="fr-CA"/>
        </w:rPr>
        <w:t>Pitblado</w:t>
      </w:r>
      <w:proofErr w:type="spellEnd"/>
      <w:r w:rsidRPr="00726AD1">
        <w:rPr>
          <w:sz w:val="20"/>
          <w:lang w:val="fr-CA"/>
        </w:rPr>
        <w:t>, Winnipeg.</w:t>
      </w:r>
    </w:p>
    <w:p w:rsidR="00726AD1" w:rsidRPr="00726AD1" w:rsidRDefault="00726AD1" w:rsidP="00726AD1">
      <w:pPr>
        <w:pStyle w:val="SCCLawFirm"/>
        <w:spacing w:line="240" w:lineRule="auto"/>
        <w:rPr>
          <w:i w:val="0"/>
          <w:sz w:val="20"/>
          <w:lang w:val="fr-CA"/>
        </w:rPr>
      </w:pPr>
    </w:p>
    <w:p w:rsidR="00726AD1" w:rsidRPr="00726AD1" w:rsidRDefault="00726AD1" w:rsidP="00726AD1">
      <w:pPr>
        <w:pStyle w:val="SCCLawFirm"/>
        <w:spacing w:line="240" w:lineRule="auto"/>
        <w:rPr>
          <w:sz w:val="20"/>
          <w:lang w:val="fr-CA"/>
        </w:rPr>
      </w:pPr>
      <w:r w:rsidRPr="00726AD1">
        <w:rPr>
          <w:sz w:val="20"/>
          <w:lang w:val="fr-CA"/>
        </w:rPr>
        <w:tab/>
        <w:t>Procureurs de l’intimée : </w:t>
      </w:r>
      <w:proofErr w:type="spellStart"/>
      <w:r w:rsidRPr="00726AD1">
        <w:rPr>
          <w:sz w:val="20"/>
          <w:lang w:val="fr-CA"/>
        </w:rPr>
        <w:t>Inkster</w:t>
      </w:r>
      <w:proofErr w:type="spellEnd"/>
      <w:r w:rsidRPr="00726AD1">
        <w:rPr>
          <w:sz w:val="20"/>
          <w:lang w:val="fr-CA"/>
        </w:rPr>
        <w:t>, Christie, Hughes, Winnipeg.</w:t>
      </w:r>
    </w:p>
    <w:p w:rsidR="00726AD1" w:rsidRPr="00726AD1" w:rsidRDefault="00726AD1" w:rsidP="00726AD1">
      <w:pPr>
        <w:pStyle w:val="SCCLawFirm"/>
        <w:spacing w:line="240" w:lineRule="auto"/>
        <w:rPr>
          <w:sz w:val="20"/>
          <w:lang w:val="fr-CA"/>
        </w:rPr>
      </w:pPr>
    </w:p>
    <w:p w:rsidR="00726AD1" w:rsidRPr="00726AD1" w:rsidRDefault="00726AD1" w:rsidP="00726AD1">
      <w:pPr>
        <w:pStyle w:val="SCCLawFirm"/>
        <w:spacing w:line="240" w:lineRule="auto"/>
        <w:rPr>
          <w:sz w:val="20"/>
          <w:lang w:val="fr-CA"/>
        </w:rPr>
      </w:pPr>
      <w:r w:rsidRPr="00726AD1">
        <w:rPr>
          <w:sz w:val="20"/>
          <w:lang w:val="fr-CA"/>
        </w:rPr>
        <w:tab/>
        <w:t xml:space="preserve">Procureur de l’intervenant : Procureur général de la </w:t>
      </w:r>
      <w:proofErr w:type="spellStart"/>
      <w:r w:rsidRPr="00726AD1">
        <w:rPr>
          <w:sz w:val="20"/>
          <w:lang w:val="fr-CA"/>
        </w:rPr>
        <w:t>Colombie</w:t>
      </w:r>
      <w:r w:rsidRPr="00726AD1">
        <w:rPr>
          <w:sz w:val="20"/>
          <w:lang w:val="fr-CA"/>
        </w:rPr>
        <w:noBreakHyphen/>
        <w:t>Britannique</w:t>
      </w:r>
      <w:proofErr w:type="spellEnd"/>
      <w:r w:rsidRPr="00726AD1">
        <w:rPr>
          <w:sz w:val="20"/>
          <w:lang w:val="fr-CA"/>
        </w:rPr>
        <w:t>, Victoria.</w:t>
      </w:r>
    </w:p>
    <w:p w:rsidR="00726AD1" w:rsidRDefault="00726AD1" w:rsidP="003B3977">
      <w:pPr>
        <w:rPr>
          <w:sz w:val="20"/>
          <w:szCs w:val="20"/>
          <w:lang w:val="fr-CA"/>
        </w:rPr>
      </w:pPr>
    </w:p>
    <w:p w:rsidR="002444EC" w:rsidRDefault="008754B5" w:rsidP="003B3977">
      <w:pPr>
        <w:rPr>
          <w:sz w:val="20"/>
          <w:szCs w:val="20"/>
          <w:lang w:val="fr-CA"/>
        </w:rPr>
      </w:pPr>
      <w:r w:rsidRPr="008754B5">
        <w:rPr>
          <w:rFonts w:cs="Times New Roman"/>
          <w:sz w:val="20"/>
          <w:szCs w:val="20"/>
          <w:lang w:val="fr-CA"/>
        </w:rPr>
        <w:pict>
          <v:rect id="_x0000_i1079" style="width:144.3pt;height:1pt" o:hrpct="300" o:hralign="center" o:hrstd="t" o:hrnoshade="t" o:hr="t" fillcolor="black [3213]" stroked="f"/>
        </w:pict>
      </w:r>
    </w:p>
    <w:p w:rsidR="002444EC" w:rsidRPr="00726AD1" w:rsidRDefault="002444EC" w:rsidP="003B3977">
      <w:pPr>
        <w:rPr>
          <w:sz w:val="20"/>
          <w:szCs w:val="20"/>
          <w:lang w:val="fr-CA"/>
        </w:rPr>
      </w:pPr>
    </w:p>
    <w:p w:rsidR="005C6840" w:rsidRPr="00726AD1" w:rsidRDefault="005C6840" w:rsidP="005C6840">
      <w:pPr>
        <w:jc w:val="both"/>
        <w:rPr>
          <w:sz w:val="20"/>
          <w:szCs w:val="20"/>
          <w:lang w:val="fr-CA"/>
        </w:rPr>
      </w:pPr>
    </w:p>
    <w:p w:rsidR="00102926" w:rsidRPr="00726AD1" w:rsidRDefault="00102926" w:rsidP="00782AE4">
      <w:pPr>
        <w:jc w:val="both"/>
        <w:rPr>
          <w:sz w:val="20"/>
          <w:szCs w:val="20"/>
          <w:lang w:val="fr-CA"/>
        </w:rPr>
        <w:sectPr w:rsidR="00102926" w:rsidRPr="00726AD1"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8608D5"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8608D5"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C62110">
              <w:rPr>
                <w:rFonts w:cs="Times New Roman"/>
                <w:b/>
                <w:bCs/>
                <w:sz w:val="20"/>
                <w:szCs w:val="20"/>
                <w:lang w:val="en-GB"/>
              </w:rPr>
              <w:t>1</w:t>
            </w:r>
            <w:r w:rsidRPr="00DD0B49">
              <w:rPr>
                <w:rFonts w:cs="Times New Roman"/>
                <w:b/>
                <w:bCs/>
                <w:sz w:val="20"/>
                <w:szCs w:val="20"/>
                <w:lang w:val="en-GB"/>
              </w:rPr>
              <w:t xml:space="preserve">] </w:t>
            </w:r>
            <w:r w:rsidR="00C62110">
              <w:rPr>
                <w:rFonts w:cs="Times New Roman"/>
                <w:b/>
                <w:bCs/>
                <w:sz w:val="20"/>
                <w:szCs w:val="20"/>
                <w:lang w:val="en-GB"/>
              </w:rPr>
              <w:t>2</w:t>
            </w:r>
            <w:r w:rsidRPr="00DD0B49">
              <w:rPr>
                <w:rFonts w:cs="Times New Roman"/>
                <w:b/>
                <w:bCs/>
                <w:sz w:val="20"/>
                <w:szCs w:val="20"/>
                <w:lang w:val="en-GB"/>
              </w:rPr>
              <w:t xml:space="preserve"> S.C.R. Part 3</w:t>
            </w:r>
          </w:p>
          <w:p w:rsidR="00DD0B49" w:rsidRPr="00DD0B49" w:rsidRDefault="00DD0B49" w:rsidP="003B3977">
            <w:pPr>
              <w:rPr>
                <w:rFonts w:cs="Times New Roman"/>
                <w:sz w:val="20"/>
                <w:szCs w:val="20"/>
                <w:lang w:val="en-GB"/>
              </w:rPr>
            </w:pPr>
          </w:p>
          <w:p w:rsidR="00DD0B49" w:rsidRPr="00DD0B49" w:rsidRDefault="00C62110" w:rsidP="003B3977">
            <w:pPr>
              <w:rPr>
                <w:rFonts w:cs="Times New Roman"/>
                <w:sz w:val="20"/>
                <w:szCs w:val="20"/>
                <w:lang w:val="en-GB"/>
              </w:rPr>
            </w:pPr>
            <w:proofErr w:type="spellStart"/>
            <w:r>
              <w:rPr>
                <w:rFonts w:cs="Times New Roman"/>
                <w:sz w:val="20"/>
                <w:szCs w:val="20"/>
                <w:lang w:val="en-GB"/>
              </w:rPr>
              <w:t>Aeco</w:t>
            </w:r>
            <w:r w:rsidR="00DD0B49" w:rsidRPr="00DD0B49">
              <w:rPr>
                <w:rFonts w:cs="Times New Roman"/>
                <w:sz w:val="20"/>
                <w:szCs w:val="20"/>
                <w:lang w:val="en-GB"/>
              </w:rPr>
              <w:t>n</w:t>
            </w:r>
            <w:proofErr w:type="spellEnd"/>
            <w:r>
              <w:rPr>
                <w:rFonts w:cs="Times New Roman"/>
                <w:sz w:val="20"/>
                <w:szCs w:val="20"/>
                <w:lang w:val="en-GB"/>
              </w:rPr>
              <w:t xml:space="preserve"> Buildings</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Stephenso</w:t>
            </w:r>
            <w:r w:rsidR="00DD0B49" w:rsidRPr="00DD0B49">
              <w:rPr>
                <w:rFonts w:cs="Times New Roman"/>
                <w:sz w:val="20"/>
                <w:szCs w:val="20"/>
                <w:lang w:val="en-GB"/>
              </w:rPr>
              <w:t>n</w:t>
            </w:r>
            <w:r>
              <w:rPr>
                <w:rFonts w:cs="Times New Roman"/>
                <w:sz w:val="20"/>
                <w:szCs w:val="20"/>
                <w:lang w:val="en-GB"/>
              </w:rPr>
              <w:t xml:space="preserve"> Engineering Ltd.</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C62110">
              <w:rPr>
                <w:rFonts w:cs="Times New Roman"/>
                <w:sz w:val="20"/>
                <w:szCs w:val="20"/>
                <w:lang w:val="en-GB"/>
              </w:rPr>
              <w:t>1</w:t>
            </w:r>
            <w:r w:rsidRPr="00DD0B49">
              <w:rPr>
                <w:rFonts w:cs="Times New Roman"/>
                <w:sz w:val="20"/>
                <w:szCs w:val="20"/>
                <w:lang w:val="en-GB"/>
              </w:rPr>
              <w:t xml:space="preserve"> SCC </w:t>
            </w:r>
            <w:r w:rsidR="00C62110">
              <w:rPr>
                <w:rFonts w:cs="Times New Roman"/>
                <w:sz w:val="20"/>
                <w:szCs w:val="20"/>
                <w:lang w:val="en-GB"/>
              </w:rPr>
              <w:t>3</w:t>
            </w:r>
            <w:r w:rsidRPr="00DD0B49">
              <w:rPr>
                <w:rFonts w:cs="Times New Roman"/>
                <w:sz w:val="20"/>
                <w:szCs w:val="20"/>
                <w:lang w:val="en-GB"/>
              </w:rPr>
              <w:t>3, [201</w:t>
            </w:r>
            <w:r w:rsidR="00C62110">
              <w:rPr>
                <w:rFonts w:cs="Times New Roman"/>
                <w:sz w:val="20"/>
                <w:szCs w:val="20"/>
                <w:lang w:val="en-GB"/>
              </w:rPr>
              <w:t>1</w:t>
            </w:r>
            <w:r w:rsidRPr="00DD0B49">
              <w:rPr>
                <w:rFonts w:cs="Times New Roman"/>
                <w:sz w:val="20"/>
                <w:szCs w:val="20"/>
                <w:lang w:val="en-GB"/>
              </w:rPr>
              <w:t xml:space="preserve">] </w:t>
            </w:r>
            <w:r w:rsidR="00C62110">
              <w:rPr>
                <w:rFonts w:cs="Times New Roman"/>
                <w:sz w:val="20"/>
                <w:szCs w:val="20"/>
                <w:lang w:val="en-GB"/>
              </w:rPr>
              <w:t>2</w:t>
            </w:r>
            <w:r w:rsidRPr="00DD0B49">
              <w:rPr>
                <w:rFonts w:cs="Times New Roman"/>
                <w:sz w:val="20"/>
                <w:szCs w:val="20"/>
                <w:lang w:val="en-GB"/>
              </w:rPr>
              <w:t xml:space="preserve"> S.C.R. 5</w:t>
            </w:r>
            <w:r w:rsidR="00C62110">
              <w:rPr>
                <w:rFonts w:cs="Times New Roman"/>
                <w:sz w:val="20"/>
                <w:szCs w:val="20"/>
                <w:lang w:val="en-GB"/>
              </w:rPr>
              <w:t>60</w:t>
            </w:r>
          </w:p>
          <w:p w:rsidR="00DD0B49" w:rsidRPr="00DD0B49" w:rsidRDefault="00DD0B49" w:rsidP="003B3977">
            <w:pPr>
              <w:rPr>
                <w:rFonts w:cs="Times New Roman"/>
                <w:sz w:val="20"/>
                <w:szCs w:val="20"/>
                <w:lang w:val="en-GB"/>
              </w:rPr>
            </w:pPr>
          </w:p>
          <w:p w:rsidR="00DD0B49" w:rsidRPr="00DD0B49" w:rsidRDefault="00047877" w:rsidP="003B3977">
            <w:pPr>
              <w:rPr>
                <w:rFonts w:cs="Times New Roman"/>
                <w:sz w:val="20"/>
                <w:szCs w:val="20"/>
                <w:lang w:val="en-GB"/>
              </w:rPr>
            </w:pPr>
            <w:r>
              <w:rPr>
                <w:rFonts w:cs="Times New Roman"/>
                <w:sz w:val="20"/>
                <w:szCs w:val="20"/>
                <w:lang w:val="en-GB"/>
              </w:rPr>
              <w:t>Alberta (Aboriginal Affairs and Northern Development)</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u</w:t>
            </w:r>
            <w:r w:rsidR="00DD0B49" w:rsidRPr="00DD0B49">
              <w:rPr>
                <w:rFonts w:cs="Times New Roman"/>
                <w:iCs/>
                <w:sz w:val="20"/>
                <w:szCs w:val="20"/>
                <w:lang w:val="en-GB"/>
              </w:rPr>
              <w:t>n</w:t>
            </w:r>
            <w:r>
              <w:rPr>
                <w:rFonts w:cs="Times New Roman"/>
                <w:iCs/>
                <w:sz w:val="20"/>
                <w:szCs w:val="20"/>
                <w:lang w:val="en-GB"/>
              </w:rPr>
              <w:t>ningh</w:t>
            </w:r>
            <w:r w:rsidR="00DD0B49" w:rsidRPr="00DD0B49">
              <w:rPr>
                <w:rFonts w:cs="Times New Roman"/>
                <w:iCs/>
                <w:sz w:val="20"/>
                <w:szCs w:val="20"/>
                <w:lang w:val="en-GB"/>
              </w:rPr>
              <w:t>a</w:t>
            </w:r>
            <w:r>
              <w:rPr>
                <w:rFonts w:cs="Times New Roman"/>
                <w:iCs/>
                <w:sz w:val="20"/>
                <w:szCs w:val="20"/>
                <w:lang w:val="en-GB"/>
              </w:rPr>
              <w:t>m</w:t>
            </w:r>
            <w:r w:rsidR="00DD0B49" w:rsidRPr="00DD0B49">
              <w:rPr>
                <w:rFonts w:cs="Times New Roman"/>
                <w:sz w:val="20"/>
                <w:szCs w:val="20"/>
                <w:lang w:val="en-GB"/>
              </w:rPr>
              <w:t>,</w:t>
            </w:r>
          </w:p>
          <w:p w:rsidR="00DD0B49" w:rsidRPr="00961AF7" w:rsidRDefault="00DD0B49" w:rsidP="003B3977">
            <w:pPr>
              <w:rPr>
                <w:rFonts w:cs="Times New Roman"/>
                <w:sz w:val="20"/>
                <w:szCs w:val="20"/>
              </w:rPr>
            </w:pPr>
            <w:r w:rsidRPr="00961AF7">
              <w:rPr>
                <w:rFonts w:cs="Times New Roman"/>
                <w:sz w:val="20"/>
                <w:szCs w:val="20"/>
              </w:rPr>
              <w:t>201</w:t>
            </w:r>
            <w:r w:rsidR="00C62110" w:rsidRPr="00961AF7">
              <w:rPr>
                <w:rFonts w:cs="Times New Roman"/>
                <w:sz w:val="20"/>
                <w:szCs w:val="20"/>
              </w:rPr>
              <w:t>1</w:t>
            </w:r>
            <w:r w:rsidRPr="00961AF7">
              <w:rPr>
                <w:rFonts w:cs="Times New Roman"/>
                <w:sz w:val="20"/>
                <w:szCs w:val="20"/>
              </w:rPr>
              <w:t xml:space="preserve"> SCC </w:t>
            </w:r>
            <w:r w:rsidR="00047877" w:rsidRPr="00961AF7">
              <w:rPr>
                <w:rFonts w:cs="Times New Roman"/>
                <w:sz w:val="20"/>
                <w:szCs w:val="20"/>
              </w:rPr>
              <w:t>37</w:t>
            </w:r>
            <w:r w:rsidRPr="00961AF7">
              <w:rPr>
                <w:rFonts w:cs="Times New Roman"/>
                <w:sz w:val="20"/>
                <w:szCs w:val="20"/>
              </w:rPr>
              <w:t>, [201</w:t>
            </w:r>
            <w:r w:rsidR="00C62110" w:rsidRPr="00961AF7">
              <w:rPr>
                <w:rFonts w:cs="Times New Roman"/>
                <w:sz w:val="20"/>
                <w:szCs w:val="20"/>
              </w:rPr>
              <w:t>1</w:t>
            </w:r>
            <w:r w:rsidRPr="00961AF7">
              <w:rPr>
                <w:rFonts w:cs="Times New Roman"/>
                <w:sz w:val="20"/>
                <w:szCs w:val="20"/>
              </w:rPr>
              <w:t xml:space="preserve">] </w:t>
            </w:r>
            <w:r w:rsidR="00C62110" w:rsidRPr="00961AF7">
              <w:rPr>
                <w:rFonts w:cs="Times New Roman"/>
                <w:sz w:val="20"/>
                <w:szCs w:val="20"/>
              </w:rPr>
              <w:t>2</w:t>
            </w:r>
            <w:r w:rsidRPr="00961AF7">
              <w:rPr>
                <w:rFonts w:cs="Times New Roman"/>
                <w:sz w:val="20"/>
                <w:szCs w:val="20"/>
              </w:rPr>
              <w:t xml:space="preserve"> S.C.R. </w:t>
            </w:r>
            <w:r w:rsidR="00047877" w:rsidRPr="00961AF7">
              <w:rPr>
                <w:rFonts w:cs="Times New Roman"/>
                <w:sz w:val="20"/>
                <w:szCs w:val="20"/>
              </w:rPr>
              <w:t>6</w:t>
            </w:r>
            <w:r w:rsidRPr="00961AF7">
              <w:rPr>
                <w:rFonts w:cs="Times New Roman"/>
                <w:sz w:val="20"/>
                <w:szCs w:val="20"/>
              </w:rPr>
              <w:t>7</w:t>
            </w:r>
            <w:r w:rsidR="00047877" w:rsidRPr="00961AF7">
              <w:rPr>
                <w:rFonts w:cs="Times New Roman"/>
                <w:sz w:val="20"/>
                <w:szCs w:val="20"/>
              </w:rPr>
              <w:t>0</w:t>
            </w:r>
          </w:p>
          <w:p w:rsidR="00DD0B49" w:rsidRPr="00961AF7" w:rsidRDefault="00DD0B49" w:rsidP="003B3977">
            <w:pPr>
              <w:rPr>
                <w:rFonts w:cs="Times New Roman"/>
                <w:iCs/>
                <w:sz w:val="20"/>
                <w:szCs w:val="20"/>
              </w:rPr>
            </w:pPr>
          </w:p>
          <w:p w:rsidR="00DD0B49" w:rsidRPr="00047877" w:rsidRDefault="00047877" w:rsidP="003B3977">
            <w:pPr>
              <w:rPr>
                <w:rFonts w:cs="Times New Roman"/>
                <w:iCs/>
                <w:sz w:val="20"/>
                <w:szCs w:val="20"/>
              </w:rPr>
            </w:pPr>
            <w:proofErr w:type="spellStart"/>
            <w:r w:rsidRPr="00047877">
              <w:rPr>
                <w:rFonts w:cs="Times New Roman"/>
                <w:iCs/>
                <w:sz w:val="20"/>
                <w:szCs w:val="20"/>
              </w:rPr>
              <w:t>Bastien</w:t>
            </w:r>
            <w:proofErr w:type="spellEnd"/>
            <w:r w:rsidRPr="00047877">
              <w:rPr>
                <w:rFonts w:cs="Times New Roman"/>
                <w:iCs/>
                <w:sz w:val="20"/>
                <w:szCs w:val="20"/>
              </w:rPr>
              <w:t xml:space="preserve"> Estate</w:t>
            </w:r>
            <w:r w:rsidR="00DD0B49" w:rsidRPr="00047877">
              <w:rPr>
                <w:rFonts w:cs="Times New Roman"/>
                <w:iCs/>
                <w:sz w:val="20"/>
                <w:szCs w:val="20"/>
              </w:rPr>
              <w:t xml:space="preserve"> </w:t>
            </w:r>
            <w:r w:rsidR="00DD0B49" w:rsidRPr="00047877">
              <w:rPr>
                <w:rFonts w:cs="Times New Roman"/>
                <w:i/>
                <w:iCs/>
                <w:sz w:val="20"/>
                <w:szCs w:val="20"/>
              </w:rPr>
              <w:t>v.</w:t>
            </w:r>
            <w:r w:rsidR="00DD0B49" w:rsidRPr="00047877">
              <w:rPr>
                <w:rFonts w:cs="Times New Roman"/>
                <w:iCs/>
                <w:sz w:val="20"/>
                <w:szCs w:val="20"/>
              </w:rPr>
              <w:t xml:space="preserve"> </w:t>
            </w:r>
            <w:r w:rsidRPr="00047877">
              <w:rPr>
                <w:rFonts w:cs="Times New Roman"/>
                <w:iCs/>
                <w:sz w:val="20"/>
                <w:szCs w:val="20"/>
              </w:rPr>
              <w:t>Canada</w:t>
            </w:r>
            <w:r w:rsidR="00DD0B49" w:rsidRPr="00047877">
              <w:rPr>
                <w:rFonts w:cs="Times New Roman"/>
                <w:iCs/>
                <w:sz w:val="20"/>
                <w:szCs w:val="20"/>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C62110">
              <w:rPr>
                <w:rFonts w:cs="Times New Roman"/>
                <w:sz w:val="20"/>
                <w:szCs w:val="20"/>
                <w:lang w:val="en-GB"/>
              </w:rPr>
              <w:t>1</w:t>
            </w:r>
            <w:r w:rsidRPr="00DD0B49">
              <w:rPr>
                <w:rFonts w:cs="Times New Roman"/>
                <w:sz w:val="20"/>
                <w:szCs w:val="20"/>
                <w:lang w:val="en-GB"/>
              </w:rPr>
              <w:t xml:space="preserve"> SCC </w:t>
            </w:r>
            <w:r w:rsidR="00047877">
              <w:rPr>
                <w:rFonts w:cs="Times New Roman"/>
                <w:sz w:val="20"/>
                <w:szCs w:val="20"/>
                <w:lang w:val="en-GB"/>
              </w:rPr>
              <w:t>3</w:t>
            </w:r>
            <w:r w:rsidRPr="00DD0B49">
              <w:rPr>
                <w:rFonts w:cs="Times New Roman"/>
                <w:sz w:val="20"/>
                <w:szCs w:val="20"/>
                <w:lang w:val="en-GB"/>
              </w:rPr>
              <w:t>8, [201</w:t>
            </w:r>
            <w:r w:rsidR="00C62110">
              <w:rPr>
                <w:rFonts w:cs="Times New Roman"/>
                <w:sz w:val="20"/>
                <w:szCs w:val="20"/>
                <w:lang w:val="en-GB"/>
              </w:rPr>
              <w:t>1</w:t>
            </w:r>
            <w:r w:rsidRPr="00DD0B49">
              <w:rPr>
                <w:rFonts w:cs="Times New Roman"/>
                <w:sz w:val="20"/>
                <w:szCs w:val="20"/>
                <w:lang w:val="en-GB"/>
              </w:rPr>
              <w:t xml:space="preserve">] </w:t>
            </w:r>
            <w:r w:rsidR="00C62110">
              <w:rPr>
                <w:rFonts w:cs="Times New Roman"/>
                <w:sz w:val="20"/>
                <w:szCs w:val="20"/>
                <w:lang w:val="en-GB"/>
              </w:rPr>
              <w:t>2</w:t>
            </w:r>
            <w:r w:rsidRPr="00DD0B49">
              <w:rPr>
                <w:rFonts w:cs="Times New Roman"/>
                <w:sz w:val="20"/>
                <w:szCs w:val="20"/>
                <w:lang w:val="en-GB"/>
              </w:rPr>
              <w:t xml:space="preserve"> S.C.R. 7</w:t>
            </w:r>
            <w:r w:rsidR="00047877">
              <w:rPr>
                <w:rFonts w:cs="Times New Roman"/>
                <w:sz w:val="20"/>
                <w:szCs w:val="20"/>
                <w:lang w:val="en-GB"/>
              </w:rPr>
              <w:t>10</w:t>
            </w:r>
          </w:p>
          <w:p w:rsidR="00DD0B49" w:rsidRPr="00DD0B49" w:rsidRDefault="00DD0B49" w:rsidP="003B3977">
            <w:pPr>
              <w:rPr>
                <w:rFonts w:cs="Times New Roman"/>
                <w:sz w:val="20"/>
                <w:szCs w:val="20"/>
                <w:lang w:val="en-GB"/>
              </w:rPr>
            </w:pPr>
          </w:p>
          <w:p w:rsidR="00DD0B49" w:rsidRPr="00DD0B49" w:rsidRDefault="00047877" w:rsidP="003B3977">
            <w:pPr>
              <w:rPr>
                <w:rFonts w:cs="Times New Roman"/>
                <w:sz w:val="20"/>
                <w:szCs w:val="20"/>
                <w:lang w:val="en-GB"/>
              </w:rPr>
            </w:pPr>
            <w:r>
              <w:rPr>
                <w:rFonts w:cs="Times New Roman"/>
                <w:sz w:val="20"/>
                <w:szCs w:val="20"/>
                <w:lang w:val="en-GB"/>
              </w:rPr>
              <w:t xml:space="preserve">Canada </w:t>
            </w:r>
            <w:proofErr w:type="spellStart"/>
            <w:r>
              <w:rPr>
                <w:rFonts w:cs="Times New Roman"/>
                <w:sz w:val="20"/>
                <w:szCs w:val="20"/>
                <w:lang w:val="en-GB"/>
              </w:rPr>
              <w:t>Trustco</w:t>
            </w:r>
            <w:proofErr w:type="spellEnd"/>
            <w:r>
              <w:rPr>
                <w:rFonts w:cs="Times New Roman"/>
                <w:sz w:val="20"/>
                <w:szCs w:val="20"/>
                <w:lang w:val="en-GB"/>
              </w:rPr>
              <w:t xml:space="preserve"> Mortgage Co.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Canada</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C62110">
              <w:rPr>
                <w:rFonts w:cs="Times New Roman"/>
                <w:sz w:val="20"/>
                <w:szCs w:val="20"/>
                <w:lang w:val="en-GB"/>
              </w:rPr>
              <w:t>1</w:t>
            </w:r>
            <w:r w:rsidRPr="00DD0B49">
              <w:rPr>
                <w:rFonts w:cs="Times New Roman"/>
                <w:sz w:val="20"/>
                <w:szCs w:val="20"/>
                <w:lang w:val="en-GB"/>
              </w:rPr>
              <w:t xml:space="preserve"> SCC </w:t>
            </w:r>
            <w:r w:rsidR="00047877">
              <w:rPr>
                <w:rFonts w:cs="Times New Roman"/>
                <w:sz w:val="20"/>
                <w:szCs w:val="20"/>
                <w:lang w:val="en-GB"/>
              </w:rPr>
              <w:t>36</w:t>
            </w:r>
            <w:r w:rsidRPr="00DD0B49">
              <w:rPr>
                <w:rFonts w:cs="Times New Roman"/>
                <w:sz w:val="20"/>
                <w:szCs w:val="20"/>
                <w:lang w:val="en-GB"/>
              </w:rPr>
              <w:t>, [201</w:t>
            </w:r>
            <w:r w:rsidR="00C62110">
              <w:rPr>
                <w:rFonts w:cs="Times New Roman"/>
                <w:sz w:val="20"/>
                <w:szCs w:val="20"/>
                <w:lang w:val="en-GB"/>
              </w:rPr>
              <w:t>1</w:t>
            </w:r>
            <w:r w:rsidRPr="00DD0B49">
              <w:rPr>
                <w:rFonts w:cs="Times New Roman"/>
                <w:sz w:val="20"/>
                <w:szCs w:val="20"/>
                <w:lang w:val="en-GB"/>
              </w:rPr>
              <w:t xml:space="preserve">] </w:t>
            </w:r>
            <w:r w:rsidR="00C62110">
              <w:rPr>
                <w:rFonts w:cs="Times New Roman"/>
                <w:sz w:val="20"/>
                <w:szCs w:val="20"/>
                <w:lang w:val="en-GB"/>
              </w:rPr>
              <w:t>2</w:t>
            </w:r>
            <w:r w:rsidRPr="00DD0B49">
              <w:rPr>
                <w:rFonts w:cs="Times New Roman"/>
                <w:sz w:val="20"/>
                <w:szCs w:val="20"/>
                <w:lang w:val="en-GB"/>
              </w:rPr>
              <w:t xml:space="preserve"> S.C.R. </w:t>
            </w:r>
            <w:r w:rsidR="00047877">
              <w:rPr>
                <w:rFonts w:cs="Times New Roman"/>
                <w:sz w:val="20"/>
                <w:szCs w:val="20"/>
                <w:lang w:val="en-GB"/>
              </w:rPr>
              <w:t>63</w:t>
            </w:r>
            <w:r w:rsidRPr="00DD0B49">
              <w:rPr>
                <w:rFonts w:cs="Times New Roman"/>
                <w:sz w:val="20"/>
                <w:szCs w:val="20"/>
                <w:lang w:val="en-GB"/>
              </w:rPr>
              <w:t>5</w:t>
            </w:r>
          </w:p>
          <w:p w:rsidR="00DD0B49" w:rsidRDefault="00DD0B49" w:rsidP="003B3977">
            <w:pPr>
              <w:rPr>
                <w:rFonts w:cs="Times New Roman"/>
                <w:sz w:val="20"/>
                <w:szCs w:val="20"/>
                <w:lang w:val="en-GB"/>
              </w:rPr>
            </w:pPr>
          </w:p>
          <w:p w:rsidR="00047877" w:rsidRPr="00047877" w:rsidRDefault="00047877" w:rsidP="00047877">
            <w:pPr>
              <w:rPr>
                <w:rFonts w:cs="Times New Roman"/>
                <w:sz w:val="20"/>
                <w:szCs w:val="20"/>
                <w:lang w:val="en-GB"/>
              </w:rPr>
            </w:pPr>
            <w:proofErr w:type="spellStart"/>
            <w:r>
              <w:rPr>
                <w:rFonts w:cs="Times New Roman"/>
                <w:sz w:val="20"/>
                <w:szCs w:val="20"/>
                <w:lang w:val="en-GB"/>
              </w:rPr>
              <w:t>Dubé</w:t>
            </w:r>
            <w:proofErr w:type="spellEnd"/>
            <w:r w:rsidRPr="00047877">
              <w:rPr>
                <w:rFonts w:cs="Times New Roman"/>
                <w:sz w:val="20"/>
                <w:szCs w:val="20"/>
                <w:lang w:val="en-GB"/>
              </w:rPr>
              <w:t xml:space="preserve"> </w:t>
            </w:r>
            <w:r w:rsidRPr="00047877">
              <w:rPr>
                <w:rFonts w:cs="Times New Roman"/>
                <w:i/>
                <w:iCs/>
                <w:sz w:val="20"/>
                <w:szCs w:val="20"/>
                <w:lang w:val="en-GB"/>
              </w:rPr>
              <w:t xml:space="preserve">v. </w:t>
            </w:r>
            <w:r>
              <w:rPr>
                <w:rFonts w:cs="Times New Roman"/>
                <w:iCs/>
                <w:sz w:val="20"/>
                <w:szCs w:val="20"/>
                <w:lang w:val="en-GB"/>
              </w:rPr>
              <w:t>Canada</w:t>
            </w:r>
            <w:r w:rsidRPr="00047877">
              <w:rPr>
                <w:rFonts w:cs="Times New Roman"/>
                <w:iCs/>
                <w:sz w:val="20"/>
                <w:szCs w:val="20"/>
                <w:lang w:val="en-GB"/>
              </w:rPr>
              <w:t>,</w:t>
            </w:r>
          </w:p>
          <w:p w:rsidR="00047877" w:rsidRDefault="00047877" w:rsidP="00047877">
            <w:pPr>
              <w:rPr>
                <w:rFonts w:cs="Times New Roman"/>
                <w:sz w:val="20"/>
                <w:szCs w:val="20"/>
                <w:lang w:val="en-GB"/>
              </w:rPr>
            </w:pPr>
            <w:r w:rsidRPr="00047877">
              <w:rPr>
                <w:rFonts w:cs="Times New Roman"/>
                <w:sz w:val="20"/>
                <w:szCs w:val="20"/>
                <w:lang w:val="en-GB"/>
              </w:rPr>
              <w:t xml:space="preserve">2011 SCC </w:t>
            </w:r>
            <w:r>
              <w:rPr>
                <w:rFonts w:cs="Times New Roman"/>
                <w:sz w:val="20"/>
                <w:szCs w:val="20"/>
                <w:lang w:val="en-GB"/>
              </w:rPr>
              <w:t>3</w:t>
            </w:r>
            <w:r w:rsidR="009C1D96">
              <w:rPr>
                <w:rFonts w:cs="Times New Roman"/>
                <w:sz w:val="20"/>
                <w:szCs w:val="20"/>
                <w:lang w:val="en-GB"/>
              </w:rPr>
              <w:t>9</w:t>
            </w:r>
            <w:r w:rsidRPr="00047877">
              <w:rPr>
                <w:rFonts w:cs="Times New Roman"/>
                <w:sz w:val="20"/>
                <w:szCs w:val="20"/>
                <w:lang w:val="en-GB"/>
              </w:rPr>
              <w:t xml:space="preserve">, [2011] 2 S.C.R. </w:t>
            </w:r>
            <w:r w:rsidR="009C1D96">
              <w:rPr>
                <w:rFonts w:cs="Times New Roman"/>
                <w:sz w:val="20"/>
                <w:szCs w:val="20"/>
                <w:lang w:val="en-GB"/>
              </w:rPr>
              <w:t>7</w:t>
            </w:r>
            <w:r w:rsidRPr="00047877">
              <w:rPr>
                <w:rFonts w:cs="Times New Roman"/>
                <w:sz w:val="20"/>
                <w:szCs w:val="20"/>
                <w:lang w:val="en-GB"/>
              </w:rPr>
              <w:t>6</w:t>
            </w:r>
            <w:r w:rsidR="009C1D96">
              <w:rPr>
                <w:rFonts w:cs="Times New Roman"/>
                <w:sz w:val="20"/>
                <w:szCs w:val="20"/>
                <w:lang w:val="en-GB"/>
              </w:rPr>
              <w:t>4</w:t>
            </w:r>
          </w:p>
          <w:p w:rsidR="00047877" w:rsidRPr="00DD0B49" w:rsidRDefault="00047877"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047877">
              <w:rPr>
                <w:rFonts w:cs="Times New Roman"/>
                <w:sz w:val="20"/>
                <w:szCs w:val="20"/>
                <w:lang w:val="en-GB"/>
              </w:rPr>
              <w:t>Campbell</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C62110">
              <w:rPr>
                <w:rFonts w:cs="Times New Roman"/>
                <w:sz w:val="20"/>
                <w:szCs w:val="20"/>
              </w:rPr>
              <w:t>1</w:t>
            </w:r>
            <w:r w:rsidRPr="00DD0B49">
              <w:rPr>
                <w:rFonts w:cs="Times New Roman"/>
                <w:sz w:val="20"/>
                <w:szCs w:val="20"/>
              </w:rPr>
              <w:t xml:space="preserve"> SCC </w:t>
            </w:r>
            <w:r w:rsidR="00047877">
              <w:rPr>
                <w:rFonts w:cs="Times New Roman"/>
                <w:sz w:val="20"/>
                <w:szCs w:val="20"/>
              </w:rPr>
              <w:t>3</w:t>
            </w:r>
            <w:r w:rsidRPr="00DD0B49">
              <w:rPr>
                <w:rFonts w:cs="Times New Roman"/>
                <w:sz w:val="20"/>
                <w:szCs w:val="20"/>
              </w:rPr>
              <w:t>2, [201</w:t>
            </w:r>
            <w:r w:rsidR="00C62110">
              <w:rPr>
                <w:rFonts w:cs="Times New Roman"/>
                <w:sz w:val="20"/>
                <w:szCs w:val="20"/>
              </w:rPr>
              <w:t>1</w:t>
            </w:r>
            <w:r w:rsidRPr="00DD0B49">
              <w:rPr>
                <w:rFonts w:cs="Times New Roman"/>
                <w:sz w:val="20"/>
                <w:szCs w:val="20"/>
              </w:rPr>
              <w:t xml:space="preserve">] </w:t>
            </w:r>
            <w:r w:rsidR="00C62110">
              <w:rPr>
                <w:rFonts w:cs="Times New Roman"/>
                <w:sz w:val="20"/>
                <w:szCs w:val="20"/>
              </w:rPr>
              <w:t>2</w:t>
            </w:r>
            <w:r w:rsidRPr="00DD0B49">
              <w:rPr>
                <w:rFonts w:cs="Times New Roman"/>
                <w:sz w:val="20"/>
                <w:szCs w:val="20"/>
              </w:rPr>
              <w:t xml:space="preserve"> S.C.R. </w:t>
            </w:r>
            <w:r w:rsidR="00047877">
              <w:rPr>
                <w:rFonts w:cs="Times New Roman"/>
                <w:sz w:val="20"/>
                <w:szCs w:val="20"/>
              </w:rPr>
              <w:t>549</w:t>
            </w:r>
          </w:p>
          <w:p w:rsidR="00DD0B49" w:rsidRPr="00DD0B49" w:rsidRDefault="00DD0B49" w:rsidP="003B3977">
            <w:pPr>
              <w:rPr>
                <w:rFonts w:cs="Times New Roman"/>
                <w:sz w:val="20"/>
                <w:szCs w:val="20"/>
              </w:rPr>
            </w:pPr>
          </w:p>
          <w:p w:rsidR="00DD0B49" w:rsidRPr="00047877" w:rsidRDefault="00047877" w:rsidP="003B3977">
            <w:pPr>
              <w:rPr>
                <w:rFonts w:cs="Times New Roman"/>
                <w:sz w:val="20"/>
                <w:szCs w:val="20"/>
                <w:lang w:val="fr-CA"/>
              </w:rPr>
            </w:pPr>
            <w:r w:rsidRPr="00047877">
              <w:rPr>
                <w:rFonts w:cs="Times New Roman"/>
                <w:sz w:val="20"/>
                <w:szCs w:val="20"/>
                <w:lang w:val="fr-CA"/>
              </w:rPr>
              <w:t xml:space="preserve">R. </w:t>
            </w:r>
            <w:r w:rsidR="00DD0B49" w:rsidRPr="00047877">
              <w:rPr>
                <w:rFonts w:cs="Times New Roman"/>
                <w:i/>
                <w:iCs/>
                <w:sz w:val="20"/>
                <w:szCs w:val="20"/>
                <w:lang w:val="fr-CA"/>
              </w:rPr>
              <w:t>v.</w:t>
            </w:r>
            <w:r w:rsidR="00DD0B49" w:rsidRPr="00047877">
              <w:rPr>
                <w:rFonts w:cs="Times New Roman"/>
                <w:sz w:val="20"/>
                <w:szCs w:val="20"/>
                <w:lang w:val="fr-CA"/>
              </w:rPr>
              <w:t xml:space="preserve"> </w:t>
            </w:r>
            <w:r w:rsidRPr="00047877">
              <w:rPr>
                <w:rFonts w:cs="Times New Roman"/>
                <w:sz w:val="20"/>
                <w:szCs w:val="20"/>
                <w:lang w:val="fr-CA"/>
              </w:rPr>
              <w:t>Nixo</w:t>
            </w:r>
            <w:r w:rsidR="00DD0B49" w:rsidRPr="00047877">
              <w:rPr>
                <w:rFonts w:cs="Times New Roman"/>
                <w:sz w:val="20"/>
                <w:szCs w:val="20"/>
                <w:lang w:val="fr-CA"/>
              </w:rPr>
              <w:t>n,</w:t>
            </w:r>
          </w:p>
          <w:p w:rsidR="00DD0B49" w:rsidRPr="00047877" w:rsidRDefault="00DD0B49" w:rsidP="003B3977">
            <w:pPr>
              <w:rPr>
                <w:rFonts w:cs="Times New Roman"/>
                <w:sz w:val="20"/>
                <w:szCs w:val="20"/>
                <w:lang w:val="fr-CA"/>
              </w:rPr>
            </w:pPr>
            <w:r w:rsidRPr="00047877">
              <w:rPr>
                <w:rFonts w:cs="Times New Roman"/>
                <w:sz w:val="20"/>
                <w:szCs w:val="20"/>
                <w:lang w:val="fr-CA"/>
              </w:rPr>
              <w:t>201</w:t>
            </w:r>
            <w:r w:rsidR="00C62110" w:rsidRPr="00047877">
              <w:rPr>
                <w:rFonts w:cs="Times New Roman"/>
                <w:sz w:val="20"/>
                <w:szCs w:val="20"/>
                <w:lang w:val="fr-CA"/>
              </w:rPr>
              <w:t>1</w:t>
            </w:r>
            <w:r w:rsidRPr="00047877">
              <w:rPr>
                <w:rFonts w:cs="Times New Roman"/>
                <w:sz w:val="20"/>
                <w:szCs w:val="20"/>
                <w:lang w:val="fr-CA"/>
              </w:rPr>
              <w:t xml:space="preserve"> SCC </w:t>
            </w:r>
            <w:r w:rsidR="00047877" w:rsidRPr="00047877">
              <w:rPr>
                <w:rFonts w:cs="Times New Roman"/>
                <w:sz w:val="20"/>
                <w:szCs w:val="20"/>
                <w:lang w:val="fr-CA"/>
              </w:rPr>
              <w:t>34</w:t>
            </w:r>
            <w:r w:rsidRPr="00047877">
              <w:rPr>
                <w:rFonts w:cs="Times New Roman"/>
                <w:sz w:val="20"/>
                <w:szCs w:val="20"/>
                <w:lang w:val="fr-CA"/>
              </w:rPr>
              <w:t>, [201</w:t>
            </w:r>
            <w:r w:rsidR="00C62110" w:rsidRPr="00047877">
              <w:rPr>
                <w:rFonts w:cs="Times New Roman"/>
                <w:sz w:val="20"/>
                <w:szCs w:val="20"/>
                <w:lang w:val="fr-CA"/>
              </w:rPr>
              <w:t>1</w:t>
            </w:r>
            <w:r w:rsidRPr="00047877">
              <w:rPr>
                <w:rFonts w:cs="Times New Roman"/>
                <w:sz w:val="20"/>
                <w:szCs w:val="20"/>
                <w:lang w:val="fr-CA"/>
              </w:rPr>
              <w:t xml:space="preserve">] </w:t>
            </w:r>
            <w:r w:rsidR="00C62110" w:rsidRPr="00047877">
              <w:rPr>
                <w:rFonts w:cs="Times New Roman"/>
                <w:sz w:val="20"/>
                <w:szCs w:val="20"/>
                <w:lang w:val="fr-CA"/>
              </w:rPr>
              <w:t>2</w:t>
            </w:r>
            <w:r w:rsidRPr="00047877">
              <w:rPr>
                <w:rFonts w:cs="Times New Roman"/>
                <w:sz w:val="20"/>
                <w:szCs w:val="20"/>
                <w:lang w:val="fr-CA"/>
              </w:rPr>
              <w:t xml:space="preserve"> S.C.R. </w:t>
            </w:r>
            <w:r w:rsidR="00047877" w:rsidRPr="00047877">
              <w:rPr>
                <w:rFonts w:cs="Times New Roman"/>
                <w:sz w:val="20"/>
                <w:szCs w:val="20"/>
                <w:lang w:val="fr-CA"/>
              </w:rPr>
              <w:t>566</w:t>
            </w:r>
          </w:p>
          <w:p w:rsidR="00DD0B49" w:rsidRPr="00047877" w:rsidRDefault="00DD0B49" w:rsidP="003B3977">
            <w:pPr>
              <w:rPr>
                <w:rFonts w:cs="Times New Roman"/>
                <w:sz w:val="20"/>
                <w:szCs w:val="20"/>
                <w:lang w:val="fr-CA"/>
              </w:rPr>
            </w:pPr>
          </w:p>
          <w:p w:rsidR="00DD0B49" w:rsidRPr="00047877" w:rsidRDefault="00047877" w:rsidP="003B3977">
            <w:pPr>
              <w:rPr>
                <w:rFonts w:cs="Times New Roman"/>
                <w:sz w:val="20"/>
                <w:szCs w:val="20"/>
                <w:lang w:val="en-GB"/>
              </w:rPr>
            </w:pPr>
            <w:r>
              <w:rPr>
                <w:rFonts w:cs="Times New Roman"/>
                <w:sz w:val="20"/>
                <w:szCs w:val="20"/>
                <w:lang w:val="en-GB"/>
              </w:rPr>
              <w:t>Schreyer</w:t>
            </w:r>
            <w:r w:rsidR="00DD0B49" w:rsidRPr="00047877">
              <w:rPr>
                <w:rFonts w:cs="Times New Roman"/>
                <w:sz w:val="20"/>
                <w:szCs w:val="20"/>
                <w:lang w:val="en-GB"/>
              </w:rPr>
              <w:t xml:space="preserve"> </w:t>
            </w:r>
            <w:r w:rsidR="00DD0B49" w:rsidRPr="00047877">
              <w:rPr>
                <w:rFonts w:cs="Times New Roman"/>
                <w:i/>
                <w:iCs/>
                <w:sz w:val="20"/>
                <w:szCs w:val="20"/>
                <w:lang w:val="en-GB"/>
              </w:rPr>
              <w:t xml:space="preserve">v. </w:t>
            </w:r>
            <w:r>
              <w:rPr>
                <w:rFonts w:cs="Times New Roman"/>
                <w:iCs/>
                <w:sz w:val="20"/>
                <w:szCs w:val="20"/>
                <w:lang w:val="en-GB"/>
              </w:rPr>
              <w:t>Schreyer</w:t>
            </w:r>
            <w:r w:rsidR="00DD0B49" w:rsidRPr="00047877">
              <w:rPr>
                <w:rFonts w:cs="Times New Roman"/>
                <w:iCs/>
                <w:sz w:val="20"/>
                <w:szCs w:val="20"/>
                <w:lang w:val="en-GB"/>
              </w:rPr>
              <w:t>,</w:t>
            </w:r>
          </w:p>
          <w:p w:rsidR="00DD0B49" w:rsidRPr="00047877" w:rsidRDefault="00DD0B49" w:rsidP="003B3977">
            <w:pPr>
              <w:rPr>
                <w:rFonts w:cs="Times New Roman"/>
                <w:sz w:val="20"/>
                <w:szCs w:val="20"/>
                <w:lang w:val="en-GB"/>
              </w:rPr>
            </w:pPr>
            <w:r w:rsidRPr="00047877">
              <w:rPr>
                <w:rFonts w:cs="Times New Roman"/>
                <w:sz w:val="20"/>
                <w:szCs w:val="20"/>
                <w:lang w:val="en-GB"/>
              </w:rPr>
              <w:t>201</w:t>
            </w:r>
            <w:r w:rsidR="00C62110" w:rsidRPr="00047877">
              <w:rPr>
                <w:rFonts w:cs="Times New Roman"/>
                <w:sz w:val="20"/>
                <w:szCs w:val="20"/>
                <w:lang w:val="en-GB"/>
              </w:rPr>
              <w:t>1</w:t>
            </w:r>
            <w:r w:rsidRPr="00047877">
              <w:rPr>
                <w:rFonts w:cs="Times New Roman"/>
                <w:sz w:val="20"/>
                <w:szCs w:val="20"/>
                <w:lang w:val="en-GB"/>
              </w:rPr>
              <w:t xml:space="preserve"> SCC </w:t>
            </w:r>
            <w:r w:rsidR="00047877">
              <w:rPr>
                <w:rFonts w:cs="Times New Roman"/>
                <w:sz w:val="20"/>
                <w:szCs w:val="20"/>
                <w:lang w:val="en-GB"/>
              </w:rPr>
              <w:t>35</w:t>
            </w:r>
            <w:r w:rsidRPr="00047877">
              <w:rPr>
                <w:rFonts w:cs="Times New Roman"/>
                <w:sz w:val="20"/>
                <w:szCs w:val="20"/>
                <w:lang w:val="en-GB"/>
              </w:rPr>
              <w:t>, [201</w:t>
            </w:r>
            <w:r w:rsidR="00C62110" w:rsidRPr="00047877">
              <w:rPr>
                <w:rFonts w:cs="Times New Roman"/>
                <w:sz w:val="20"/>
                <w:szCs w:val="20"/>
                <w:lang w:val="en-GB"/>
              </w:rPr>
              <w:t>1</w:t>
            </w:r>
            <w:r w:rsidRPr="00047877">
              <w:rPr>
                <w:rFonts w:cs="Times New Roman"/>
                <w:sz w:val="20"/>
                <w:szCs w:val="20"/>
                <w:lang w:val="en-GB"/>
              </w:rPr>
              <w:t xml:space="preserve">] </w:t>
            </w:r>
            <w:r w:rsidR="00C62110" w:rsidRPr="00047877">
              <w:rPr>
                <w:rFonts w:cs="Times New Roman"/>
                <w:sz w:val="20"/>
                <w:szCs w:val="20"/>
                <w:lang w:val="en-GB"/>
              </w:rPr>
              <w:t>2</w:t>
            </w:r>
            <w:r w:rsidRPr="00047877">
              <w:rPr>
                <w:rFonts w:cs="Times New Roman"/>
                <w:sz w:val="20"/>
                <w:szCs w:val="20"/>
                <w:lang w:val="en-GB"/>
              </w:rPr>
              <w:t xml:space="preserve"> S.C.R. 6</w:t>
            </w:r>
            <w:r w:rsidR="00047877">
              <w:rPr>
                <w:rFonts w:cs="Times New Roman"/>
                <w:sz w:val="20"/>
                <w:szCs w:val="20"/>
                <w:lang w:val="en-GB"/>
              </w:rPr>
              <w:t>05</w:t>
            </w:r>
          </w:p>
          <w:p w:rsidR="00DD0B49" w:rsidRPr="00047877" w:rsidRDefault="00DD0B49" w:rsidP="003B3977">
            <w:pPr>
              <w:keepNext/>
              <w:keepLines/>
              <w:rPr>
                <w:rFonts w:cs="Times New Roman"/>
                <w:bCs/>
                <w:sz w:val="20"/>
                <w:szCs w:val="20"/>
                <w:lang w:val="en-GB"/>
              </w:rPr>
            </w:pPr>
          </w:p>
          <w:p w:rsidR="00DD0B49" w:rsidRPr="00047877" w:rsidRDefault="008754B5" w:rsidP="003B3977">
            <w:pPr>
              <w:keepNext/>
              <w:keepLines/>
              <w:rPr>
                <w:rFonts w:cs="Times New Roman"/>
                <w:bCs/>
                <w:sz w:val="20"/>
                <w:szCs w:val="20"/>
                <w:lang w:val="en-GB"/>
              </w:rPr>
            </w:pPr>
            <w:r w:rsidRPr="008754B5">
              <w:rPr>
                <w:rFonts w:cs="Times New Roman"/>
                <w:sz w:val="20"/>
                <w:szCs w:val="20"/>
              </w:rPr>
              <w:pict>
                <v:rect id="_x0000_i1082" style="width:129.6pt;height:1pt" o:hrpct="600" o:hralign="center" o:hrstd="t" o:hrnoshade="t" o:hr="t" fillcolor="black [3213]" stroked="f"/>
              </w:pict>
            </w:r>
          </w:p>
          <w:p w:rsidR="00DD0B49" w:rsidRPr="00047877" w:rsidRDefault="00DD0B49" w:rsidP="003B3977">
            <w:pPr>
              <w:keepNext/>
              <w:keepLines/>
              <w:rPr>
                <w:rFonts w:cs="Times New Roman"/>
                <w:bCs/>
                <w:sz w:val="20"/>
                <w:szCs w:val="20"/>
                <w:lang w:val="en-GB"/>
              </w:rPr>
            </w:pPr>
          </w:p>
        </w:tc>
        <w:tc>
          <w:tcPr>
            <w:tcW w:w="840" w:type="dxa"/>
            <w:tcBorders>
              <w:top w:val="nil"/>
              <w:left w:val="nil"/>
              <w:bottom w:val="nil"/>
              <w:right w:val="nil"/>
            </w:tcBorders>
          </w:tcPr>
          <w:p w:rsidR="00DD0B49" w:rsidRPr="00047877"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961AF7" w:rsidRDefault="00DD0B49" w:rsidP="003B3977">
            <w:pPr>
              <w:rPr>
                <w:rFonts w:cs="Times New Roman"/>
                <w:b/>
                <w:bCs/>
                <w:sz w:val="20"/>
                <w:szCs w:val="20"/>
                <w:lang w:val="fr-CA"/>
              </w:rPr>
            </w:pPr>
            <w:r w:rsidRPr="00961AF7">
              <w:rPr>
                <w:rFonts w:cs="Times New Roman"/>
                <w:b/>
                <w:bCs/>
                <w:sz w:val="20"/>
                <w:szCs w:val="20"/>
                <w:lang w:val="fr-CA"/>
              </w:rPr>
              <w:t>Jugements publiés dans [201</w:t>
            </w:r>
            <w:r w:rsidR="00C62110" w:rsidRPr="00961AF7">
              <w:rPr>
                <w:rFonts w:cs="Times New Roman"/>
                <w:b/>
                <w:bCs/>
                <w:sz w:val="20"/>
                <w:szCs w:val="20"/>
                <w:lang w:val="fr-CA"/>
              </w:rPr>
              <w:t>1</w:t>
            </w:r>
            <w:r w:rsidRPr="00961AF7">
              <w:rPr>
                <w:rFonts w:cs="Times New Roman"/>
                <w:b/>
                <w:bCs/>
                <w:sz w:val="20"/>
                <w:szCs w:val="20"/>
                <w:lang w:val="fr-CA"/>
              </w:rPr>
              <w:t xml:space="preserve">] </w:t>
            </w:r>
            <w:r w:rsidR="00C62110" w:rsidRPr="00961AF7">
              <w:rPr>
                <w:rFonts w:cs="Times New Roman"/>
                <w:b/>
                <w:bCs/>
                <w:sz w:val="20"/>
                <w:szCs w:val="20"/>
                <w:lang w:val="fr-CA"/>
              </w:rPr>
              <w:t>2</w:t>
            </w:r>
            <w:r w:rsidRPr="00961AF7">
              <w:rPr>
                <w:rFonts w:cs="Times New Roman"/>
                <w:b/>
                <w:bCs/>
                <w:sz w:val="20"/>
                <w:szCs w:val="20"/>
                <w:lang w:val="fr-CA"/>
              </w:rPr>
              <w:t xml:space="preserve"> R.C.S. Partie 3</w:t>
            </w:r>
          </w:p>
          <w:p w:rsidR="00DD0B49" w:rsidRPr="00961AF7" w:rsidRDefault="00DD0B49" w:rsidP="003B3977">
            <w:pPr>
              <w:rPr>
                <w:rFonts w:cs="Times New Roman"/>
                <w:b/>
                <w:bCs/>
                <w:sz w:val="20"/>
                <w:szCs w:val="20"/>
                <w:lang w:val="fr-CA"/>
              </w:rPr>
            </w:pPr>
          </w:p>
          <w:p w:rsidR="00DD0B49" w:rsidRPr="00C62110" w:rsidRDefault="00C62110" w:rsidP="003B3977">
            <w:pPr>
              <w:rPr>
                <w:rFonts w:cs="Times New Roman"/>
                <w:sz w:val="20"/>
                <w:szCs w:val="20"/>
              </w:rPr>
            </w:pPr>
            <w:proofErr w:type="spellStart"/>
            <w:r w:rsidRPr="00C62110">
              <w:rPr>
                <w:rFonts w:cs="Times New Roman"/>
                <w:sz w:val="20"/>
                <w:szCs w:val="20"/>
              </w:rPr>
              <w:t>Aecon</w:t>
            </w:r>
            <w:proofErr w:type="spellEnd"/>
            <w:r w:rsidRPr="00C62110">
              <w:rPr>
                <w:rFonts w:cs="Times New Roman"/>
                <w:sz w:val="20"/>
                <w:szCs w:val="20"/>
              </w:rPr>
              <w:t xml:space="preserve"> Buildings </w:t>
            </w:r>
            <w:r w:rsidR="00DD0B49" w:rsidRPr="00C62110">
              <w:rPr>
                <w:rFonts w:cs="Times New Roman"/>
                <w:i/>
                <w:sz w:val="20"/>
                <w:szCs w:val="20"/>
              </w:rPr>
              <w:t>c.</w:t>
            </w:r>
            <w:r w:rsidR="00DD0B49" w:rsidRPr="00C62110">
              <w:rPr>
                <w:rFonts w:cs="Times New Roman"/>
                <w:sz w:val="20"/>
                <w:szCs w:val="20"/>
              </w:rPr>
              <w:t xml:space="preserve"> </w:t>
            </w:r>
            <w:r>
              <w:rPr>
                <w:rFonts w:cs="Times New Roman"/>
                <w:sz w:val="20"/>
                <w:szCs w:val="20"/>
              </w:rPr>
              <w:t>Stephenson Engineering Ltd.</w:t>
            </w:r>
            <w:r w:rsidR="00DD0B49" w:rsidRPr="00C62110">
              <w:rPr>
                <w:rFonts w:cs="Times New Roman"/>
                <w:sz w:val="20"/>
                <w:szCs w:val="20"/>
              </w:rPr>
              <w:t>,</w:t>
            </w:r>
          </w:p>
          <w:p w:rsidR="00DD0B49" w:rsidRPr="00047877" w:rsidRDefault="00DD0B49" w:rsidP="003B3977">
            <w:pPr>
              <w:rPr>
                <w:rFonts w:cs="Times New Roman"/>
                <w:sz w:val="20"/>
                <w:szCs w:val="20"/>
                <w:lang w:val="fr-CA"/>
              </w:rPr>
            </w:pPr>
            <w:r w:rsidRPr="00961AF7">
              <w:rPr>
                <w:rFonts w:cs="Times New Roman"/>
                <w:sz w:val="20"/>
                <w:szCs w:val="20"/>
                <w:lang w:val="fr-CA"/>
              </w:rPr>
              <w:t>201</w:t>
            </w:r>
            <w:r w:rsidR="00C62110" w:rsidRPr="00961AF7">
              <w:rPr>
                <w:rFonts w:cs="Times New Roman"/>
                <w:sz w:val="20"/>
                <w:szCs w:val="20"/>
                <w:lang w:val="fr-CA"/>
              </w:rPr>
              <w:t>1</w:t>
            </w:r>
            <w:r w:rsidRPr="00961AF7">
              <w:rPr>
                <w:rFonts w:cs="Times New Roman"/>
                <w:sz w:val="20"/>
                <w:szCs w:val="20"/>
                <w:lang w:val="fr-CA"/>
              </w:rPr>
              <w:t xml:space="preserve"> CSC </w:t>
            </w:r>
            <w:r w:rsidR="00C62110" w:rsidRPr="00961AF7">
              <w:rPr>
                <w:rFonts w:cs="Times New Roman"/>
                <w:sz w:val="20"/>
                <w:szCs w:val="20"/>
                <w:lang w:val="fr-CA"/>
              </w:rPr>
              <w:t>3</w:t>
            </w:r>
            <w:r w:rsidRPr="00961AF7">
              <w:rPr>
                <w:rFonts w:cs="Times New Roman"/>
                <w:sz w:val="20"/>
                <w:szCs w:val="20"/>
                <w:lang w:val="fr-CA"/>
              </w:rPr>
              <w:t>3, [201</w:t>
            </w:r>
            <w:r w:rsidR="00C62110" w:rsidRPr="00961AF7">
              <w:rPr>
                <w:rFonts w:cs="Times New Roman"/>
                <w:sz w:val="20"/>
                <w:szCs w:val="20"/>
                <w:lang w:val="fr-CA"/>
              </w:rPr>
              <w:t>1</w:t>
            </w:r>
            <w:r w:rsidRPr="00961AF7">
              <w:rPr>
                <w:rFonts w:cs="Times New Roman"/>
                <w:sz w:val="20"/>
                <w:szCs w:val="20"/>
                <w:lang w:val="fr-CA"/>
              </w:rPr>
              <w:t xml:space="preserve">] </w:t>
            </w:r>
            <w:r w:rsidR="00C62110" w:rsidRPr="00961AF7">
              <w:rPr>
                <w:rFonts w:cs="Times New Roman"/>
                <w:sz w:val="20"/>
                <w:szCs w:val="20"/>
                <w:lang w:val="fr-CA"/>
              </w:rPr>
              <w:t>2</w:t>
            </w:r>
            <w:r w:rsidRPr="00961AF7">
              <w:rPr>
                <w:rFonts w:cs="Times New Roman"/>
                <w:sz w:val="20"/>
                <w:szCs w:val="20"/>
                <w:lang w:val="fr-CA"/>
              </w:rPr>
              <w:t xml:space="preserve"> R.C.S</w:t>
            </w:r>
            <w:r w:rsidRPr="00047877">
              <w:rPr>
                <w:rFonts w:cs="Times New Roman"/>
                <w:sz w:val="20"/>
                <w:szCs w:val="20"/>
                <w:lang w:val="fr-CA"/>
              </w:rPr>
              <w:t>. 5</w:t>
            </w:r>
            <w:r w:rsidR="00C62110" w:rsidRPr="00047877">
              <w:rPr>
                <w:rFonts w:cs="Times New Roman"/>
                <w:sz w:val="20"/>
                <w:szCs w:val="20"/>
                <w:lang w:val="fr-CA"/>
              </w:rPr>
              <w:t>60</w:t>
            </w:r>
          </w:p>
          <w:p w:rsidR="00DD0B49" w:rsidRPr="00047877" w:rsidRDefault="00DD0B49" w:rsidP="003B3977">
            <w:pPr>
              <w:rPr>
                <w:rFonts w:cs="Times New Roman"/>
                <w:sz w:val="20"/>
                <w:szCs w:val="20"/>
                <w:lang w:val="fr-CA"/>
              </w:rPr>
            </w:pPr>
          </w:p>
          <w:p w:rsidR="00DD0B49" w:rsidRPr="00047877" w:rsidRDefault="00047877" w:rsidP="003B3977">
            <w:pPr>
              <w:rPr>
                <w:rFonts w:cs="Times New Roman"/>
                <w:sz w:val="20"/>
                <w:szCs w:val="20"/>
                <w:lang w:val="fr-CA"/>
              </w:rPr>
            </w:pPr>
            <w:r w:rsidRPr="00047877">
              <w:rPr>
                <w:rFonts w:cs="Times New Roman"/>
                <w:sz w:val="20"/>
                <w:szCs w:val="20"/>
                <w:lang w:val="fr-CA"/>
              </w:rPr>
              <w:t xml:space="preserve">Alberta (Affaires autochtones et Développement du Nord) </w:t>
            </w:r>
            <w:r w:rsidR="00DD0B49" w:rsidRPr="00047877">
              <w:rPr>
                <w:rFonts w:cs="Times New Roman"/>
                <w:i/>
                <w:iCs/>
                <w:sz w:val="20"/>
                <w:szCs w:val="20"/>
                <w:lang w:val="fr-CA"/>
              </w:rPr>
              <w:t>c.</w:t>
            </w:r>
            <w:r w:rsidR="00DD0B49" w:rsidRPr="00047877">
              <w:rPr>
                <w:rFonts w:cs="Times New Roman"/>
                <w:iCs/>
                <w:sz w:val="20"/>
                <w:szCs w:val="20"/>
                <w:lang w:val="fr-CA"/>
              </w:rPr>
              <w:t xml:space="preserve"> </w:t>
            </w:r>
            <w:proofErr w:type="spellStart"/>
            <w:r w:rsidR="00DD0B49" w:rsidRPr="00047877">
              <w:rPr>
                <w:rFonts w:cs="Times New Roman"/>
                <w:iCs/>
                <w:sz w:val="20"/>
                <w:szCs w:val="20"/>
                <w:lang w:val="fr-CA"/>
              </w:rPr>
              <w:t>C</w:t>
            </w:r>
            <w:r>
              <w:rPr>
                <w:rFonts w:cs="Times New Roman"/>
                <w:iCs/>
                <w:sz w:val="20"/>
                <w:szCs w:val="20"/>
                <w:lang w:val="fr-CA"/>
              </w:rPr>
              <w:t>u</w:t>
            </w:r>
            <w:r w:rsidR="00DD0B49" w:rsidRPr="00047877">
              <w:rPr>
                <w:rFonts w:cs="Times New Roman"/>
                <w:iCs/>
                <w:sz w:val="20"/>
                <w:szCs w:val="20"/>
                <w:lang w:val="fr-CA"/>
              </w:rPr>
              <w:t>n</w:t>
            </w:r>
            <w:r>
              <w:rPr>
                <w:rFonts w:cs="Times New Roman"/>
                <w:iCs/>
                <w:sz w:val="20"/>
                <w:szCs w:val="20"/>
                <w:lang w:val="fr-CA"/>
              </w:rPr>
              <w:t>nnigh</w:t>
            </w:r>
            <w:r w:rsidR="00DD0B49" w:rsidRPr="00047877">
              <w:rPr>
                <w:rFonts w:cs="Times New Roman"/>
                <w:iCs/>
                <w:sz w:val="20"/>
                <w:szCs w:val="20"/>
                <w:lang w:val="fr-CA"/>
              </w:rPr>
              <w:t>a</w:t>
            </w:r>
            <w:r>
              <w:rPr>
                <w:rFonts w:cs="Times New Roman"/>
                <w:iCs/>
                <w:sz w:val="20"/>
                <w:szCs w:val="20"/>
                <w:lang w:val="fr-CA"/>
              </w:rPr>
              <w:t>m</w:t>
            </w:r>
            <w:proofErr w:type="spellEnd"/>
            <w:r w:rsidR="00DD0B49" w:rsidRPr="00047877">
              <w:rPr>
                <w:rFonts w:cs="Times New Roman"/>
                <w:sz w:val="20"/>
                <w:szCs w:val="20"/>
                <w:lang w:val="fr-CA"/>
              </w:rPr>
              <w:t>,</w:t>
            </w:r>
          </w:p>
          <w:p w:rsidR="00DD0B49" w:rsidRPr="00047877" w:rsidRDefault="00DD0B49" w:rsidP="003B3977">
            <w:pPr>
              <w:rPr>
                <w:rFonts w:cs="Times New Roman"/>
                <w:sz w:val="20"/>
                <w:szCs w:val="20"/>
                <w:lang w:val="fr-CA"/>
              </w:rPr>
            </w:pPr>
            <w:r w:rsidRPr="00047877">
              <w:rPr>
                <w:rFonts w:cs="Times New Roman"/>
                <w:sz w:val="20"/>
                <w:szCs w:val="20"/>
                <w:lang w:val="fr-CA"/>
              </w:rPr>
              <w:t>201</w:t>
            </w:r>
            <w:r w:rsidR="00C62110" w:rsidRPr="00047877">
              <w:rPr>
                <w:rFonts w:cs="Times New Roman"/>
                <w:sz w:val="20"/>
                <w:szCs w:val="20"/>
                <w:lang w:val="fr-CA"/>
              </w:rPr>
              <w:t>1</w:t>
            </w:r>
            <w:r w:rsidRPr="00047877">
              <w:rPr>
                <w:rFonts w:cs="Times New Roman"/>
                <w:sz w:val="20"/>
                <w:szCs w:val="20"/>
                <w:lang w:val="fr-CA"/>
              </w:rPr>
              <w:t xml:space="preserve"> CSC </w:t>
            </w:r>
            <w:r w:rsidR="00047877" w:rsidRPr="00047877">
              <w:rPr>
                <w:rFonts w:cs="Times New Roman"/>
                <w:sz w:val="20"/>
                <w:szCs w:val="20"/>
                <w:lang w:val="fr-CA"/>
              </w:rPr>
              <w:t>37</w:t>
            </w:r>
            <w:r w:rsidRPr="00047877">
              <w:rPr>
                <w:rFonts w:cs="Times New Roman"/>
                <w:sz w:val="20"/>
                <w:szCs w:val="20"/>
                <w:lang w:val="fr-CA"/>
              </w:rPr>
              <w:t>, [201</w:t>
            </w:r>
            <w:r w:rsidR="00C62110" w:rsidRPr="00047877">
              <w:rPr>
                <w:rFonts w:cs="Times New Roman"/>
                <w:sz w:val="20"/>
                <w:szCs w:val="20"/>
                <w:lang w:val="fr-CA"/>
              </w:rPr>
              <w:t>1</w:t>
            </w:r>
            <w:r w:rsidRPr="00047877">
              <w:rPr>
                <w:rFonts w:cs="Times New Roman"/>
                <w:sz w:val="20"/>
                <w:szCs w:val="20"/>
                <w:lang w:val="fr-CA"/>
              </w:rPr>
              <w:t xml:space="preserve">] </w:t>
            </w:r>
            <w:r w:rsidR="00C62110" w:rsidRPr="00047877">
              <w:rPr>
                <w:rFonts w:cs="Times New Roman"/>
                <w:sz w:val="20"/>
                <w:szCs w:val="20"/>
                <w:lang w:val="fr-CA"/>
              </w:rPr>
              <w:t>2</w:t>
            </w:r>
            <w:r w:rsidRPr="00047877">
              <w:rPr>
                <w:rFonts w:cs="Times New Roman"/>
                <w:sz w:val="20"/>
                <w:szCs w:val="20"/>
                <w:lang w:val="fr-CA"/>
              </w:rPr>
              <w:t xml:space="preserve"> R.C.S. 6</w:t>
            </w:r>
            <w:r w:rsidR="00047877" w:rsidRPr="00047877">
              <w:rPr>
                <w:rFonts w:cs="Times New Roman"/>
                <w:sz w:val="20"/>
                <w:szCs w:val="20"/>
                <w:lang w:val="fr-CA"/>
              </w:rPr>
              <w:t>70</w:t>
            </w:r>
          </w:p>
          <w:p w:rsidR="00DD0B49" w:rsidRPr="00047877" w:rsidRDefault="00DD0B49" w:rsidP="003B3977">
            <w:pPr>
              <w:rPr>
                <w:rFonts w:cs="Times New Roman"/>
                <w:iCs/>
                <w:sz w:val="20"/>
                <w:szCs w:val="20"/>
                <w:lang w:val="fr-CA"/>
              </w:rPr>
            </w:pPr>
          </w:p>
          <w:p w:rsidR="00DD0B49" w:rsidRPr="00047877" w:rsidRDefault="00047877" w:rsidP="003B3977">
            <w:pPr>
              <w:rPr>
                <w:rFonts w:cs="Times New Roman"/>
                <w:iCs/>
                <w:sz w:val="20"/>
                <w:szCs w:val="20"/>
                <w:lang w:val="fr-CA"/>
              </w:rPr>
            </w:pPr>
            <w:r w:rsidRPr="00047877">
              <w:rPr>
                <w:rFonts w:cs="Times New Roman"/>
                <w:iCs/>
                <w:sz w:val="20"/>
                <w:szCs w:val="20"/>
                <w:lang w:val="fr-CA"/>
              </w:rPr>
              <w:t>Bastien (Succession)</w:t>
            </w:r>
            <w:r w:rsidR="00DD0B49" w:rsidRPr="00047877">
              <w:rPr>
                <w:rFonts w:cs="Times New Roman"/>
                <w:iCs/>
                <w:sz w:val="20"/>
                <w:szCs w:val="20"/>
                <w:lang w:val="fr-CA"/>
              </w:rPr>
              <w:t xml:space="preserve"> </w:t>
            </w:r>
            <w:r w:rsidR="00DD0B49" w:rsidRPr="00047877">
              <w:rPr>
                <w:rFonts w:cs="Times New Roman"/>
                <w:i/>
                <w:iCs/>
                <w:sz w:val="20"/>
                <w:szCs w:val="20"/>
                <w:lang w:val="fr-CA"/>
              </w:rPr>
              <w:t>c.</w:t>
            </w:r>
            <w:r w:rsidR="00DD0B49" w:rsidRPr="00047877">
              <w:rPr>
                <w:rFonts w:cs="Times New Roman"/>
                <w:iCs/>
                <w:sz w:val="20"/>
                <w:szCs w:val="20"/>
                <w:lang w:val="fr-CA"/>
              </w:rPr>
              <w:t xml:space="preserve"> </w:t>
            </w:r>
            <w:r w:rsidRPr="00047877">
              <w:rPr>
                <w:rFonts w:cs="Times New Roman"/>
                <w:iCs/>
                <w:sz w:val="20"/>
                <w:szCs w:val="20"/>
                <w:lang w:val="fr-CA"/>
              </w:rPr>
              <w:t>Canada</w:t>
            </w:r>
            <w:r w:rsidR="00DD0B49" w:rsidRPr="00047877">
              <w:rPr>
                <w:rFonts w:cs="Times New Roman"/>
                <w:iCs/>
                <w:sz w:val="20"/>
                <w:szCs w:val="20"/>
                <w:lang w:val="fr-CA"/>
              </w:rPr>
              <w:t>,</w:t>
            </w:r>
          </w:p>
          <w:p w:rsidR="00DD0B49" w:rsidRPr="00047877" w:rsidRDefault="00DD0B49" w:rsidP="003B3977">
            <w:pPr>
              <w:rPr>
                <w:rFonts w:cs="Times New Roman"/>
                <w:sz w:val="20"/>
                <w:szCs w:val="20"/>
                <w:lang w:val="fr-CA"/>
              </w:rPr>
            </w:pPr>
            <w:r w:rsidRPr="00047877">
              <w:rPr>
                <w:rFonts w:cs="Times New Roman"/>
                <w:sz w:val="20"/>
                <w:szCs w:val="20"/>
                <w:lang w:val="fr-CA"/>
              </w:rPr>
              <w:t>201</w:t>
            </w:r>
            <w:r w:rsidR="00C62110" w:rsidRPr="00047877">
              <w:rPr>
                <w:rFonts w:cs="Times New Roman"/>
                <w:sz w:val="20"/>
                <w:szCs w:val="20"/>
                <w:lang w:val="fr-CA"/>
              </w:rPr>
              <w:t>1</w:t>
            </w:r>
            <w:r w:rsidRPr="00047877">
              <w:rPr>
                <w:rFonts w:cs="Times New Roman"/>
                <w:sz w:val="20"/>
                <w:szCs w:val="20"/>
                <w:lang w:val="fr-CA"/>
              </w:rPr>
              <w:t xml:space="preserve"> CSC </w:t>
            </w:r>
            <w:r w:rsidR="00047877" w:rsidRPr="00047877">
              <w:rPr>
                <w:rFonts w:cs="Times New Roman"/>
                <w:sz w:val="20"/>
                <w:szCs w:val="20"/>
                <w:lang w:val="fr-CA"/>
              </w:rPr>
              <w:t>3</w:t>
            </w:r>
            <w:r w:rsidRPr="00047877">
              <w:rPr>
                <w:rFonts w:cs="Times New Roman"/>
                <w:sz w:val="20"/>
                <w:szCs w:val="20"/>
                <w:lang w:val="fr-CA"/>
              </w:rPr>
              <w:t>8, [201</w:t>
            </w:r>
            <w:r w:rsidR="00C62110" w:rsidRPr="00047877">
              <w:rPr>
                <w:rFonts w:cs="Times New Roman"/>
                <w:sz w:val="20"/>
                <w:szCs w:val="20"/>
                <w:lang w:val="fr-CA"/>
              </w:rPr>
              <w:t>1</w:t>
            </w:r>
            <w:r w:rsidRPr="00047877">
              <w:rPr>
                <w:rFonts w:cs="Times New Roman"/>
                <w:sz w:val="20"/>
                <w:szCs w:val="20"/>
                <w:lang w:val="fr-CA"/>
              </w:rPr>
              <w:t xml:space="preserve">] </w:t>
            </w:r>
            <w:r w:rsidR="00C62110" w:rsidRPr="00047877">
              <w:rPr>
                <w:rFonts w:cs="Times New Roman"/>
                <w:sz w:val="20"/>
                <w:szCs w:val="20"/>
                <w:lang w:val="fr-CA"/>
              </w:rPr>
              <w:t>2</w:t>
            </w:r>
            <w:r w:rsidRPr="00047877">
              <w:rPr>
                <w:rFonts w:cs="Times New Roman"/>
                <w:sz w:val="20"/>
                <w:szCs w:val="20"/>
                <w:lang w:val="fr-CA"/>
              </w:rPr>
              <w:t xml:space="preserve"> R.C.S. 7</w:t>
            </w:r>
            <w:r w:rsidR="00047877" w:rsidRPr="00047877">
              <w:rPr>
                <w:rFonts w:cs="Times New Roman"/>
                <w:sz w:val="20"/>
                <w:szCs w:val="20"/>
                <w:lang w:val="fr-CA"/>
              </w:rPr>
              <w:t>10</w:t>
            </w:r>
          </w:p>
          <w:p w:rsidR="00DD0B49" w:rsidRPr="00047877" w:rsidRDefault="00DD0B49" w:rsidP="003B3977">
            <w:pPr>
              <w:rPr>
                <w:rFonts w:cs="Times New Roman"/>
                <w:sz w:val="20"/>
                <w:szCs w:val="20"/>
                <w:lang w:val="fr-CA"/>
              </w:rPr>
            </w:pPr>
          </w:p>
          <w:p w:rsidR="00DD0B49" w:rsidRPr="00047877" w:rsidRDefault="00047877" w:rsidP="003B3977">
            <w:pPr>
              <w:rPr>
                <w:rFonts w:cs="Times New Roman"/>
                <w:sz w:val="20"/>
                <w:szCs w:val="20"/>
                <w:lang w:val="fr-CA"/>
              </w:rPr>
            </w:pPr>
            <w:proofErr w:type="spellStart"/>
            <w:r w:rsidRPr="00047877">
              <w:rPr>
                <w:rFonts w:cs="Times New Roman"/>
                <w:sz w:val="20"/>
                <w:szCs w:val="20"/>
                <w:lang w:val="fr-CA"/>
              </w:rPr>
              <w:t>Dubé</w:t>
            </w:r>
            <w:proofErr w:type="spellEnd"/>
            <w:r w:rsidRPr="00047877">
              <w:rPr>
                <w:rFonts w:cs="Times New Roman"/>
                <w:sz w:val="20"/>
                <w:szCs w:val="20"/>
                <w:lang w:val="fr-CA"/>
              </w:rPr>
              <w:t xml:space="preserve"> </w:t>
            </w:r>
            <w:r w:rsidR="00DD0B49" w:rsidRPr="00047877">
              <w:rPr>
                <w:rFonts w:cs="Times New Roman"/>
                <w:i/>
                <w:iCs/>
                <w:sz w:val="20"/>
                <w:szCs w:val="20"/>
                <w:lang w:val="fr-CA"/>
              </w:rPr>
              <w:t>c.</w:t>
            </w:r>
            <w:r w:rsidR="00DD0B49" w:rsidRPr="00047877">
              <w:rPr>
                <w:rFonts w:cs="Times New Roman"/>
                <w:sz w:val="20"/>
                <w:szCs w:val="20"/>
                <w:lang w:val="fr-CA"/>
              </w:rPr>
              <w:t xml:space="preserve"> </w:t>
            </w:r>
            <w:r w:rsidRPr="00047877">
              <w:rPr>
                <w:rFonts w:cs="Times New Roman"/>
                <w:sz w:val="20"/>
                <w:szCs w:val="20"/>
                <w:lang w:val="fr-CA"/>
              </w:rPr>
              <w:t>Canada</w:t>
            </w:r>
            <w:r w:rsidR="00DD0B49" w:rsidRPr="00047877">
              <w:rPr>
                <w:rFonts w:cs="Times New Roman"/>
                <w:sz w:val="20"/>
                <w:szCs w:val="20"/>
                <w:lang w:val="fr-CA"/>
              </w:rPr>
              <w:t>,</w:t>
            </w:r>
          </w:p>
          <w:p w:rsidR="00DD0B49" w:rsidRPr="00047877" w:rsidRDefault="00DD0B49" w:rsidP="003B3977">
            <w:pPr>
              <w:rPr>
                <w:rFonts w:cs="Times New Roman"/>
                <w:sz w:val="20"/>
                <w:szCs w:val="20"/>
                <w:lang w:val="fr-CA"/>
              </w:rPr>
            </w:pPr>
            <w:r w:rsidRPr="00047877">
              <w:rPr>
                <w:rFonts w:cs="Times New Roman"/>
                <w:sz w:val="20"/>
                <w:szCs w:val="20"/>
                <w:lang w:val="fr-CA"/>
              </w:rPr>
              <w:t>201</w:t>
            </w:r>
            <w:r w:rsidR="00C62110" w:rsidRPr="00047877">
              <w:rPr>
                <w:rFonts w:cs="Times New Roman"/>
                <w:sz w:val="20"/>
                <w:szCs w:val="20"/>
                <w:lang w:val="fr-CA"/>
              </w:rPr>
              <w:t>1</w:t>
            </w:r>
            <w:r w:rsidRPr="00047877">
              <w:rPr>
                <w:rFonts w:cs="Times New Roman"/>
                <w:sz w:val="20"/>
                <w:szCs w:val="20"/>
                <w:lang w:val="fr-CA"/>
              </w:rPr>
              <w:t xml:space="preserve"> CSC </w:t>
            </w:r>
            <w:r w:rsidR="00047877" w:rsidRPr="00047877">
              <w:rPr>
                <w:rFonts w:cs="Times New Roman"/>
                <w:sz w:val="20"/>
                <w:szCs w:val="20"/>
                <w:lang w:val="fr-CA"/>
              </w:rPr>
              <w:t>39</w:t>
            </w:r>
            <w:r w:rsidRPr="00047877">
              <w:rPr>
                <w:rFonts w:cs="Times New Roman"/>
                <w:sz w:val="20"/>
                <w:szCs w:val="20"/>
                <w:lang w:val="fr-CA"/>
              </w:rPr>
              <w:t>, [201</w:t>
            </w:r>
            <w:r w:rsidR="00C62110" w:rsidRPr="00047877">
              <w:rPr>
                <w:rFonts w:cs="Times New Roman"/>
                <w:sz w:val="20"/>
                <w:szCs w:val="20"/>
                <w:lang w:val="fr-CA"/>
              </w:rPr>
              <w:t>1</w:t>
            </w:r>
            <w:r w:rsidRPr="00047877">
              <w:rPr>
                <w:rFonts w:cs="Times New Roman"/>
                <w:sz w:val="20"/>
                <w:szCs w:val="20"/>
                <w:lang w:val="fr-CA"/>
              </w:rPr>
              <w:t xml:space="preserve">] </w:t>
            </w:r>
            <w:r w:rsidR="00C62110" w:rsidRPr="00047877">
              <w:rPr>
                <w:rFonts w:cs="Times New Roman"/>
                <w:sz w:val="20"/>
                <w:szCs w:val="20"/>
                <w:lang w:val="fr-CA"/>
              </w:rPr>
              <w:t>2</w:t>
            </w:r>
            <w:r w:rsidRPr="00047877">
              <w:rPr>
                <w:rFonts w:cs="Times New Roman"/>
                <w:sz w:val="20"/>
                <w:szCs w:val="20"/>
                <w:lang w:val="fr-CA"/>
              </w:rPr>
              <w:t xml:space="preserve"> R.C.S. </w:t>
            </w:r>
            <w:r w:rsidR="00047877" w:rsidRPr="00047877">
              <w:rPr>
                <w:rFonts w:cs="Times New Roman"/>
                <w:sz w:val="20"/>
                <w:szCs w:val="20"/>
                <w:lang w:val="fr-CA"/>
              </w:rPr>
              <w:t>764</w:t>
            </w:r>
          </w:p>
          <w:p w:rsidR="00DD0B49" w:rsidRPr="00047877" w:rsidRDefault="00DD0B49" w:rsidP="003B3977">
            <w:pPr>
              <w:rPr>
                <w:rFonts w:cs="Times New Roman"/>
                <w:sz w:val="20"/>
                <w:szCs w:val="20"/>
                <w:lang w:val="fr-CA"/>
              </w:rPr>
            </w:pPr>
          </w:p>
          <w:p w:rsidR="00DD0B49" w:rsidRPr="00961AF7" w:rsidRDefault="00047877" w:rsidP="003B3977">
            <w:pPr>
              <w:rPr>
                <w:rFonts w:cs="Times New Roman"/>
                <w:sz w:val="20"/>
                <w:szCs w:val="20"/>
                <w:lang w:val="fr-CA"/>
              </w:rPr>
            </w:pPr>
            <w:proofErr w:type="spellStart"/>
            <w:r w:rsidRPr="00961AF7">
              <w:rPr>
                <w:rFonts w:cs="Times New Roman"/>
                <w:sz w:val="20"/>
                <w:szCs w:val="20"/>
                <w:lang w:val="fr-CA"/>
              </w:rPr>
              <w:t>Hyphothèques</w:t>
            </w:r>
            <w:proofErr w:type="spellEnd"/>
            <w:r w:rsidRPr="00961AF7">
              <w:rPr>
                <w:rFonts w:cs="Times New Roman"/>
                <w:sz w:val="20"/>
                <w:szCs w:val="20"/>
                <w:lang w:val="fr-CA"/>
              </w:rPr>
              <w:t xml:space="preserve"> </w:t>
            </w:r>
            <w:proofErr w:type="spellStart"/>
            <w:r w:rsidRPr="00961AF7">
              <w:rPr>
                <w:rFonts w:cs="Times New Roman"/>
                <w:sz w:val="20"/>
                <w:szCs w:val="20"/>
                <w:lang w:val="fr-CA"/>
              </w:rPr>
              <w:t>Trustco</w:t>
            </w:r>
            <w:proofErr w:type="spellEnd"/>
            <w:r w:rsidRPr="00961AF7">
              <w:rPr>
                <w:rFonts w:cs="Times New Roman"/>
                <w:sz w:val="20"/>
                <w:szCs w:val="20"/>
                <w:lang w:val="fr-CA"/>
              </w:rPr>
              <w:t xml:space="preserve"> Canada </w:t>
            </w:r>
            <w:r w:rsidR="00DD0B49" w:rsidRPr="00961AF7">
              <w:rPr>
                <w:rFonts w:cs="Times New Roman"/>
                <w:i/>
                <w:iCs/>
                <w:sz w:val="20"/>
                <w:szCs w:val="20"/>
                <w:lang w:val="fr-CA"/>
              </w:rPr>
              <w:t>c</w:t>
            </w:r>
            <w:r w:rsidR="00DD0B49" w:rsidRPr="00961AF7">
              <w:rPr>
                <w:rFonts w:cs="Times New Roman"/>
                <w:sz w:val="20"/>
                <w:szCs w:val="20"/>
                <w:lang w:val="fr-CA"/>
              </w:rPr>
              <w:t xml:space="preserve">. </w:t>
            </w:r>
            <w:r w:rsidRPr="00961AF7">
              <w:rPr>
                <w:rFonts w:cs="Times New Roman"/>
                <w:sz w:val="20"/>
                <w:szCs w:val="20"/>
                <w:lang w:val="fr-CA"/>
              </w:rPr>
              <w:t>Canada</w:t>
            </w:r>
            <w:r w:rsidR="00DD0B49" w:rsidRPr="00961AF7">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C62110">
              <w:rPr>
                <w:rFonts w:cs="Times New Roman"/>
                <w:sz w:val="20"/>
                <w:szCs w:val="20"/>
              </w:rPr>
              <w:t>1</w:t>
            </w:r>
            <w:r w:rsidRPr="00DD0B49">
              <w:rPr>
                <w:rFonts w:cs="Times New Roman"/>
                <w:sz w:val="20"/>
                <w:szCs w:val="20"/>
              </w:rPr>
              <w:t xml:space="preserve"> CSC </w:t>
            </w:r>
            <w:r w:rsidR="00047877">
              <w:rPr>
                <w:rFonts w:cs="Times New Roman"/>
                <w:sz w:val="20"/>
                <w:szCs w:val="20"/>
              </w:rPr>
              <w:t>36</w:t>
            </w:r>
            <w:r w:rsidRPr="00DD0B49">
              <w:rPr>
                <w:rFonts w:cs="Times New Roman"/>
                <w:sz w:val="20"/>
                <w:szCs w:val="20"/>
              </w:rPr>
              <w:t>, [201</w:t>
            </w:r>
            <w:r w:rsidR="00C62110">
              <w:rPr>
                <w:rFonts w:cs="Times New Roman"/>
                <w:sz w:val="20"/>
                <w:szCs w:val="20"/>
              </w:rPr>
              <w:t>1</w:t>
            </w:r>
            <w:r w:rsidRPr="00DD0B49">
              <w:rPr>
                <w:rFonts w:cs="Times New Roman"/>
                <w:sz w:val="20"/>
                <w:szCs w:val="20"/>
              </w:rPr>
              <w:t xml:space="preserve">] </w:t>
            </w:r>
            <w:r w:rsidR="00C62110">
              <w:rPr>
                <w:rFonts w:cs="Times New Roman"/>
                <w:sz w:val="20"/>
                <w:szCs w:val="20"/>
              </w:rPr>
              <w:t>2</w:t>
            </w:r>
            <w:r w:rsidRPr="00DD0B49">
              <w:rPr>
                <w:rFonts w:cs="Times New Roman"/>
                <w:sz w:val="20"/>
                <w:szCs w:val="20"/>
              </w:rPr>
              <w:t xml:space="preserve"> R.C.S. 6</w:t>
            </w:r>
            <w:r w:rsidR="00047877">
              <w:rPr>
                <w:rFonts w:cs="Times New Roman"/>
                <w:sz w:val="20"/>
                <w:szCs w:val="20"/>
              </w:rPr>
              <w:t>35</w:t>
            </w:r>
          </w:p>
          <w:p w:rsidR="00DD0B49" w:rsidRPr="00DD0B49" w:rsidRDefault="00DD0B49" w:rsidP="003B3977">
            <w:pPr>
              <w:rPr>
                <w:rFonts w:cs="Times New Roman"/>
                <w:sz w:val="20"/>
                <w:szCs w:val="20"/>
              </w:rPr>
            </w:pPr>
          </w:p>
          <w:p w:rsidR="00DD0B49" w:rsidRPr="00DD0B49" w:rsidRDefault="00047877"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sz w:val="20"/>
                <w:szCs w:val="20"/>
              </w:rPr>
              <w:t xml:space="preserve"> Ca</w:t>
            </w:r>
            <w:r>
              <w:rPr>
                <w:rFonts w:cs="Times New Roman"/>
                <w:sz w:val="20"/>
                <w:szCs w:val="20"/>
              </w:rPr>
              <w:t>mpbell</w:t>
            </w:r>
            <w:r w:rsidR="00DD0B49" w:rsidRPr="00DD0B49">
              <w:rPr>
                <w:rFonts w:cs="Times New Roman"/>
                <w:sz w:val="20"/>
                <w:szCs w:val="20"/>
              </w:rPr>
              <w:t>,</w:t>
            </w:r>
          </w:p>
          <w:p w:rsidR="00DD0B49" w:rsidRPr="00961AF7" w:rsidRDefault="00DD0B49" w:rsidP="003B3977">
            <w:pPr>
              <w:rPr>
                <w:rFonts w:cs="Times New Roman"/>
                <w:sz w:val="20"/>
                <w:szCs w:val="20"/>
              </w:rPr>
            </w:pPr>
            <w:r w:rsidRPr="00961AF7">
              <w:rPr>
                <w:rFonts w:cs="Times New Roman"/>
                <w:sz w:val="20"/>
                <w:szCs w:val="20"/>
              </w:rPr>
              <w:t>201</w:t>
            </w:r>
            <w:r w:rsidR="00C62110" w:rsidRPr="00961AF7">
              <w:rPr>
                <w:rFonts w:cs="Times New Roman"/>
                <w:sz w:val="20"/>
                <w:szCs w:val="20"/>
              </w:rPr>
              <w:t>1</w:t>
            </w:r>
            <w:r w:rsidRPr="00961AF7">
              <w:rPr>
                <w:rFonts w:cs="Times New Roman"/>
                <w:sz w:val="20"/>
                <w:szCs w:val="20"/>
              </w:rPr>
              <w:t xml:space="preserve"> CSC </w:t>
            </w:r>
            <w:r w:rsidR="00047877" w:rsidRPr="00961AF7">
              <w:rPr>
                <w:rFonts w:cs="Times New Roman"/>
                <w:sz w:val="20"/>
                <w:szCs w:val="20"/>
              </w:rPr>
              <w:t>3</w:t>
            </w:r>
            <w:r w:rsidRPr="00961AF7">
              <w:rPr>
                <w:rFonts w:cs="Times New Roman"/>
                <w:sz w:val="20"/>
                <w:szCs w:val="20"/>
              </w:rPr>
              <w:t>2, [201</w:t>
            </w:r>
            <w:r w:rsidR="00C62110" w:rsidRPr="00961AF7">
              <w:rPr>
                <w:rFonts w:cs="Times New Roman"/>
                <w:sz w:val="20"/>
                <w:szCs w:val="20"/>
              </w:rPr>
              <w:t>1</w:t>
            </w:r>
            <w:r w:rsidRPr="00961AF7">
              <w:rPr>
                <w:rFonts w:cs="Times New Roman"/>
                <w:sz w:val="20"/>
                <w:szCs w:val="20"/>
              </w:rPr>
              <w:t xml:space="preserve">] </w:t>
            </w:r>
            <w:r w:rsidR="00C62110" w:rsidRPr="00961AF7">
              <w:rPr>
                <w:rFonts w:cs="Times New Roman"/>
                <w:sz w:val="20"/>
                <w:szCs w:val="20"/>
              </w:rPr>
              <w:t>2</w:t>
            </w:r>
            <w:r w:rsidRPr="00961AF7">
              <w:rPr>
                <w:rFonts w:cs="Times New Roman"/>
                <w:sz w:val="20"/>
                <w:szCs w:val="20"/>
              </w:rPr>
              <w:t xml:space="preserve"> R.C.S. </w:t>
            </w:r>
            <w:r w:rsidR="00047877" w:rsidRPr="00961AF7">
              <w:rPr>
                <w:rFonts w:cs="Times New Roman"/>
                <w:sz w:val="20"/>
                <w:szCs w:val="20"/>
              </w:rPr>
              <w:t>549</w:t>
            </w:r>
          </w:p>
          <w:p w:rsidR="00DD0B49" w:rsidRPr="00961AF7" w:rsidRDefault="00DD0B49" w:rsidP="003B3977">
            <w:pPr>
              <w:rPr>
                <w:rFonts w:cs="Times New Roman"/>
                <w:sz w:val="20"/>
                <w:szCs w:val="20"/>
              </w:rPr>
            </w:pPr>
          </w:p>
          <w:p w:rsidR="00DD0B49" w:rsidRPr="00961AF7" w:rsidRDefault="00047877" w:rsidP="003B3977">
            <w:pPr>
              <w:rPr>
                <w:rFonts w:cs="Times New Roman"/>
                <w:sz w:val="20"/>
                <w:szCs w:val="20"/>
              </w:rPr>
            </w:pPr>
            <w:r w:rsidRPr="00961AF7">
              <w:rPr>
                <w:rFonts w:cs="Times New Roman"/>
                <w:sz w:val="20"/>
                <w:szCs w:val="20"/>
              </w:rPr>
              <w:t>R.</w:t>
            </w:r>
            <w:r w:rsidR="00DD0B49" w:rsidRPr="00961AF7">
              <w:rPr>
                <w:rFonts w:cs="Times New Roman"/>
                <w:sz w:val="20"/>
                <w:szCs w:val="20"/>
              </w:rPr>
              <w:t xml:space="preserve"> </w:t>
            </w:r>
            <w:r w:rsidR="00DD0B49" w:rsidRPr="00961AF7">
              <w:rPr>
                <w:rFonts w:cs="Times New Roman"/>
                <w:i/>
                <w:iCs/>
                <w:sz w:val="20"/>
                <w:szCs w:val="20"/>
              </w:rPr>
              <w:t xml:space="preserve">c. </w:t>
            </w:r>
            <w:r w:rsidRPr="00961AF7">
              <w:rPr>
                <w:rFonts w:cs="Times New Roman"/>
                <w:iCs/>
                <w:sz w:val="20"/>
                <w:szCs w:val="20"/>
              </w:rPr>
              <w:t>Ni</w:t>
            </w:r>
            <w:r w:rsidR="00DD0B49" w:rsidRPr="00961AF7">
              <w:rPr>
                <w:rFonts w:cs="Times New Roman"/>
                <w:iCs/>
                <w:sz w:val="20"/>
                <w:szCs w:val="20"/>
              </w:rPr>
              <w:t>xo</w:t>
            </w:r>
            <w:r w:rsidRPr="00961AF7">
              <w:rPr>
                <w:rFonts w:cs="Times New Roman"/>
                <w:iCs/>
                <w:sz w:val="20"/>
                <w:szCs w:val="20"/>
              </w:rPr>
              <w:t>n</w:t>
            </w:r>
            <w:r w:rsidR="00DD0B49" w:rsidRPr="00961AF7">
              <w:rPr>
                <w:rFonts w:cs="Times New Roman"/>
                <w:iCs/>
                <w:sz w:val="20"/>
                <w:szCs w:val="20"/>
              </w:rPr>
              <w:t>,</w:t>
            </w:r>
          </w:p>
          <w:p w:rsidR="00DD0B49" w:rsidRPr="00961AF7" w:rsidRDefault="00DD0B49" w:rsidP="003B3977">
            <w:pPr>
              <w:rPr>
                <w:rFonts w:cs="Times New Roman"/>
                <w:sz w:val="20"/>
                <w:szCs w:val="20"/>
              </w:rPr>
            </w:pPr>
            <w:r w:rsidRPr="00961AF7">
              <w:rPr>
                <w:rFonts w:cs="Times New Roman"/>
                <w:sz w:val="20"/>
                <w:szCs w:val="20"/>
              </w:rPr>
              <w:t>201</w:t>
            </w:r>
            <w:r w:rsidR="00C62110" w:rsidRPr="00961AF7">
              <w:rPr>
                <w:rFonts w:cs="Times New Roman"/>
                <w:sz w:val="20"/>
                <w:szCs w:val="20"/>
              </w:rPr>
              <w:t>1</w:t>
            </w:r>
            <w:r w:rsidRPr="00961AF7">
              <w:rPr>
                <w:rFonts w:cs="Times New Roman"/>
                <w:sz w:val="20"/>
                <w:szCs w:val="20"/>
              </w:rPr>
              <w:t xml:space="preserve"> CSC </w:t>
            </w:r>
            <w:r w:rsidR="00047877" w:rsidRPr="00961AF7">
              <w:rPr>
                <w:rFonts w:cs="Times New Roman"/>
                <w:sz w:val="20"/>
                <w:szCs w:val="20"/>
              </w:rPr>
              <w:t>34</w:t>
            </w:r>
            <w:r w:rsidRPr="00961AF7">
              <w:rPr>
                <w:rFonts w:cs="Times New Roman"/>
                <w:sz w:val="20"/>
                <w:szCs w:val="20"/>
              </w:rPr>
              <w:t>, [201</w:t>
            </w:r>
            <w:r w:rsidR="00C62110" w:rsidRPr="00961AF7">
              <w:rPr>
                <w:rFonts w:cs="Times New Roman"/>
                <w:sz w:val="20"/>
                <w:szCs w:val="20"/>
              </w:rPr>
              <w:t>1</w:t>
            </w:r>
            <w:r w:rsidRPr="00961AF7">
              <w:rPr>
                <w:rFonts w:cs="Times New Roman"/>
                <w:sz w:val="20"/>
                <w:szCs w:val="20"/>
              </w:rPr>
              <w:t xml:space="preserve">] </w:t>
            </w:r>
            <w:r w:rsidR="00C62110" w:rsidRPr="00961AF7">
              <w:rPr>
                <w:rFonts w:cs="Times New Roman"/>
                <w:sz w:val="20"/>
                <w:szCs w:val="20"/>
              </w:rPr>
              <w:t>2</w:t>
            </w:r>
            <w:r w:rsidRPr="00961AF7">
              <w:rPr>
                <w:rFonts w:cs="Times New Roman"/>
                <w:sz w:val="20"/>
                <w:szCs w:val="20"/>
              </w:rPr>
              <w:t xml:space="preserve"> R.C.S. </w:t>
            </w:r>
            <w:r w:rsidR="00047877" w:rsidRPr="00961AF7">
              <w:rPr>
                <w:rFonts w:cs="Times New Roman"/>
                <w:sz w:val="20"/>
                <w:szCs w:val="20"/>
              </w:rPr>
              <w:t>56</w:t>
            </w:r>
            <w:r w:rsidRPr="00961AF7">
              <w:rPr>
                <w:rFonts w:cs="Times New Roman"/>
                <w:sz w:val="20"/>
                <w:szCs w:val="20"/>
              </w:rPr>
              <w:t>6</w:t>
            </w:r>
          </w:p>
          <w:p w:rsidR="00DD0B49" w:rsidRPr="00961AF7" w:rsidRDefault="00DD0B49" w:rsidP="003B3977">
            <w:pPr>
              <w:keepNext/>
              <w:keepLines/>
              <w:rPr>
                <w:rFonts w:cs="Times New Roman"/>
                <w:bCs/>
                <w:sz w:val="20"/>
                <w:szCs w:val="20"/>
              </w:rPr>
            </w:pPr>
          </w:p>
          <w:p w:rsidR="009C1D96" w:rsidRPr="009C1D96" w:rsidRDefault="009C1D96" w:rsidP="009C1D96">
            <w:pPr>
              <w:rPr>
                <w:rFonts w:cs="Times New Roman"/>
                <w:sz w:val="20"/>
                <w:szCs w:val="20"/>
              </w:rPr>
            </w:pPr>
            <w:r w:rsidRPr="009C1D96">
              <w:rPr>
                <w:rFonts w:cs="Times New Roman"/>
                <w:sz w:val="20"/>
                <w:szCs w:val="20"/>
              </w:rPr>
              <w:t xml:space="preserve">Schreyer </w:t>
            </w:r>
            <w:r w:rsidRPr="009C1D96">
              <w:rPr>
                <w:rFonts w:cs="Times New Roman"/>
                <w:i/>
                <w:iCs/>
                <w:sz w:val="20"/>
                <w:szCs w:val="20"/>
              </w:rPr>
              <w:t>c.</w:t>
            </w:r>
            <w:r w:rsidRPr="009C1D96">
              <w:rPr>
                <w:rFonts w:cs="Times New Roman"/>
                <w:sz w:val="20"/>
                <w:szCs w:val="20"/>
              </w:rPr>
              <w:t xml:space="preserve"> </w:t>
            </w:r>
            <w:r>
              <w:rPr>
                <w:rFonts w:cs="Times New Roman"/>
                <w:sz w:val="20"/>
                <w:szCs w:val="20"/>
              </w:rPr>
              <w:t>Schreyer</w:t>
            </w:r>
            <w:r w:rsidRPr="009C1D96">
              <w:rPr>
                <w:rFonts w:cs="Times New Roman"/>
                <w:sz w:val="20"/>
                <w:szCs w:val="20"/>
              </w:rPr>
              <w:t>,</w:t>
            </w:r>
          </w:p>
          <w:p w:rsidR="009C1D96" w:rsidRPr="009C1D96" w:rsidRDefault="009C1D96" w:rsidP="009C1D96">
            <w:pPr>
              <w:rPr>
                <w:rFonts w:cs="Times New Roman"/>
                <w:sz w:val="20"/>
                <w:szCs w:val="20"/>
              </w:rPr>
            </w:pPr>
            <w:r w:rsidRPr="009C1D96">
              <w:rPr>
                <w:rFonts w:cs="Times New Roman"/>
                <w:sz w:val="20"/>
                <w:szCs w:val="20"/>
              </w:rPr>
              <w:t>2011 CSC 3</w:t>
            </w:r>
            <w:r>
              <w:rPr>
                <w:rFonts w:cs="Times New Roman"/>
                <w:sz w:val="20"/>
                <w:szCs w:val="20"/>
              </w:rPr>
              <w:t>5</w:t>
            </w:r>
            <w:r w:rsidRPr="009C1D96">
              <w:rPr>
                <w:rFonts w:cs="Times New Roman"/>
                <w:sz w:val="20"/>
                <w:szCs w:val="20"/>
              </w:rPr>
              <w:t>, [2011] 2 R.C.S. 6</w:t>
            </w:r>
            <w:r>
              <w:rPr>
                <w:rFonts w:cs="Times New Roman"/>
                <w:sz w:val="20"/>
                <w:szCs w:val="20"/>
              </w:rPr>
              <w:t>05</w:t>
            </w:r>
          </w:p>
          <w:p w:rsidR="009C1D96" w:rsidRPr="009C1D96" w:rsidRDefault="009C1D96" w:rsidP="003B3977">
            <w:pPr>
              <w:keepNext/>
              <w:keepLines/>
              <w:rPr>
                <w:rFonts w:cs="Times New Roman"/>
                <w:bCs/>
                <w:sz w:val="20"/>
                <w:szCs w:val="20"/>
              </w:rPr>
            </w:pPr>
          </w:p>
          <w:p w:rsidR="00DD0B49" w:rsidRPr="00DD0B49" w:rsidRDefault="008754B5" w:rsidP="003B3977">
            <w:pPr>
              <w:rPr>
                <w:rFonts w:cs="Times New Roman"/>
                <w:sz w:val="20"/>
                <w:szCs w:val="20"/>
              </w:rPr>
            </w:pPr>
            <w:r w:rsidRPr="008754B5">
              <w:rPr>
                <w:rFonts w:cs="Times New Roman"/>
                <w:sz w:val="20"/>
                <w:szCs w:val="20"/>
              </w:rPr>
              <w:pict>
                <v:rect id="_x0000_i1083" style="width:129.6pt;height:1pt" o:hrpct="600" o:hralign="center" o:hrstd="t" o:hrnoshade="t" o:hr="t" fillcolor="black [3213]" stroked="f"/>
              </w:pict>
            </w:r>
          </w:p>
          <w:p w:rsidR="00DD0B49" w:rsidRPr="00047877" w:rsidRDefault="00DD0B49" w:rsidP="003B3977">
            <w:pPr>
              <w:keepNext/>
              <w:keepLines/>
              <w:rPr>
                <w:rFonts w:cs="Times New Roman"/>
                <w:bCs/>
                <w:sz w:val="20"/>
                <w:szCs w:val="20"/>
              </w:rPr>
            </w:pPr>
          </w:p>
        </w:tc>
      </w:tr>
    </w:tbl>
    <w:p w:rsidR="00DD0B49" w:rsidRPr="00047877" w:rsidRDefault="00DD0B49" w:rsidP="006B6926">
      <w:pPr>
        <w:rPr>
          <w:sz w:val="20"/>
          <w:szCs w:val="20"/>
        </w:rPr>
      </w:pPr>
    </w:p>
    <w:p w:rsidR="00DD0B49" w:rsidRPr="00047877" w:rsidRDefault="00DD0B49" w:rsidP="006B6926">
      <w:pPr>
        <w:rPr>
          <w:sz w:val="20"/>
          <w:szCs w:val="20"/>
        </w:rPr>
      </w:pPr>
    </w:p>
    <w:p w:rsidR="00DD0B49" w:rsidRPr="00047877" w:rsidRDefault="00DD0B49" w:rsidP="006B6926">
      <w:pPr>
        <w:rPr>
          <w:sz w:val="20"/>
          <w:szCs w:val="20"/>
        </w:rPr>
      </w:pPr>
    </w:p>
    <w:p w:rsidR="006B6926" w:rsidRPr="00047877" w:rsidRDefault="006B6926">
      <w:pPr>
        <w:rPr>
          <w:sz w:val="20"/>
          <w:szCs w:val="20"/>
        </w:rPr>
      </w:pPr>
    </w:p>
    <w:p w:rsidR="006B6926" w:rsidRPr="00047877" w:rsidRDefault="006B6926" w:rsidP="00782AE4">
      <w:pPr>
        <w:jc w:val="both"/>
        <w:rPr>
          <w:sz w:val="20"/>
          <w:szCs w:val="20"/>
        </w:rPr>
      </w:pPr>
    </w:p>
    <w:p w:rsidR="006B6926" w:rsidRPr="00047877" w:rsidRDefault="006B6926" w:rsidP="00782AE4">
      <w:pPr>
        <w:jc w:val="both"/>
        <w:rPr>
          <w:sz w:val="20"/>
          <w:szCs w:val="20"/>
        </w:rPr>
      </w:pPr>
    </w:p>
    <w:p w:rsidR="006B6926" w:rsidRPr="00047877" w:rsidRDefault="006B6926" w:rsidP="00782AE4">
      <w:pPr>
        <w:jc w:val="both"/>
        <w:rPr>
          <w:sz w:val="20"/>
          <w:szCs w:val="20"/>
        </w:rPr>
        <w:sectPr w:rsidR="006B6926" w:rsidRPr="00047877" w:rsidSect="006B6926">
          <w:headerReference w:type="default"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p w:rsidR="00E903A1" w:rsidRPr="002E0C7E" w:rsidRDefault="008754B5"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04787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047877">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047877">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DECEMBER - DÉCEMBRE</w:t>
            </w:r>
          </w:p>
        </w:tc>
      </w:tr>
      <w:tr w:rsidR="00E903A1" w:rsidRPr="002E0C7E" w:rsidTr="000478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r>
      <w:tr w:rsidR="00E903A1" w:rsidRPr="002E0C7E" w:rsidTr="000478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r>
      <w:tr w:rsidR="00E903A1" w:rsidRPr="002E0C7E" w:rsidTr="000478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10</w:t>
            </w:r>
          </w:p>
        </w:tc>
      </w:tr>
      <w:tr w:rsidR="00E903A1" w:rsidRPr="002E0C7E" w:rsidTr="00047877">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r>
      <w:tr w:rsidR="00E903A1" w:rsidRPr="002E0C7E" w:rsidTr="000478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r>
      <w:tr w:rsidR="00E903A1" w:rsidRPr="002E0C7E" w:rsidTr="00047877">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23</w:t>
            </w:r>
          </w:p>
          <w:p w:rsidR="00E903A1" w:rsidRPr="002E0C7E" w:rsidRDefault="00E903A1" w:rsidP="00047877">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24</w:t>
            </w:r>
          </w:p>
          <w:p w:rsidR="00E903A1" w:rsidRPr="002E0C7E" w:rsidRDefault="00E903A1" w:rsidP="00047877">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04787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047877">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04787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MARCH - MARS</w:t>
            </w:r>
          </w:p>
        </w:tc>
      </w:tr>
      <w:tr w:rsidR="00E903A1" w:rsidRPr="002E0C7E" w:rsidTr="00047877">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r>
      <w:tr w:rsidR="00E903A1" w:rsidRPr="002E0C7E" w:rsidTr="000478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r>
      <w:tr w:rsidR="00E903A1" w:rsidRPr="002E0C7E" w:rsidTr="000478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10</w:t>
            </w:r>
          </w:p>
        </w:tc>
      </w:tr>
      <w:tr w:rsidR="00E903A1" w:rsidRPr="002E0C7E" w:rsidTr="000478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r>
      <w:tr w:rsidR="00E903A1" w:rsidRPr="002E0C7E" w:rsidTr="000478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r>
      <w:tr w:rsidR="00E903A1" w:rsidRPr="002E0C7E" w:rsidTr="00047877">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04787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04787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047877">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JUNE - JUIN</w:t>
            </w:r>
          </w:p>
        </w:tc>
      </w:tr>
      <w:tr w:rsidR="00E903A1" w:rsidRPr="002E0C7E" w:rsidTr="00047877">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M</w:t>
            </w:r>
          </w:p>
          <w:p w:rsidR="00E903A1" w:rsidRPr="002E0C7E" w:rsidRDefault="00E903A1" w:rsidP="0004787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W</w:t>
            </w:r>
          </w:p>
          <w:p w:rsidR="00E903A1" w:rsidRPr="002E0C7E" w:rsidRDefault="00E903A1" w:rsidP="000478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T</w:t>
            </w:r>
          </w:p>
          <w:p w:rsidR="00E903A1" w:rsidRPr="002E0C7E" w:rsidRDefault="00E903A1" w:rsidP="0004787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F</w:t>
            </w:r>
          </w:p>
          <w:p w:rsidR="00E903A1" w:rsidRPr="002E0C7E" w:rsidRDefault="00E903A1" w:rsidP="0004787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s</w:t>
            </w:r>
          </w:p>
          <w:p w:rsidR="00E903A1" w:rsidRPr="002E0C7E" w:rsidRDefault="00E903A1" w:rsidP="00047877">
            <w:pPr>
              <w:widowControl w:val="0"/>
              <w:jc w:val="center"/>
              <w:rPr>
                <w:rFonts w:ascii="Arial" w:hAnsi="Arial"/>
                <w:sz w:val="14"/>
              </w:rPr>
            </w:pPr>
            <w:r w:rsidRPr="002E0C7E">
              <w:rPr>
                <w:rFonts w:ascii="Arial" w:hAnsi="Arial"/>
                <w:sz w:val="14"/>
              </w:rPr>
              <w:t>s</w:t>
            </w:r>
          </w:p>
        </w:tc>
      </w:tr>
      <w:tr w:rsidR="00E903A1" w:rsidRPr="002E0C7E" w:rsidTr="00047877">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b/>
                <w:sz w:val="14"/>
              </w:rPr>
            </w:pPr>
          </w:p>
          <w:p w:rsidR="00E903A1" w:rsidRPr="002E0C7E" w:rsidRDefault="00E903A1" w:rsidP="00047877">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w:t>
            </w:r>
          </w:p>
        </w:tc>
      </w:tr>
      <w:tr w:rsidR="00E903A1" w:rsidRPr="002E0C7E" w:rsidTr="00047877">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M</w:t>
            </w:r>
          </w:p>
          <w:p w:rsidR="00E903A1" w:rsidRPr="002E0C7E" w:rsidRDefault="00E903A1" w:rsidP="00047877">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9</w:t>
            </w:r>
          </w:p>
        </w:tc>
      </w:tr>
      <w:tr w:rsidR="00E903A1" w:rsidRPr="002E0C7E" w:rsidTr="0004787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16</w:t>
            </w:r>
          </w:p>
        </w:tc>
      </w:tr>
      <w:tr w:rsidR="00E903A1" w:rsidRPr="002E0C7E" w:rsidTr="0004787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b/>
                <w:sz w:val="14"/>
              </w:rPr>
              <w:t>H</w:t>
            </w: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23</w:t>
            </w:r>
          </w:p>
        </w:tc>
      </w:tr>
      <w:tr w:rsidR="00E903A1" w:rsidRPr="002E0C7E" w:rsidTr="00047877">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r w:rsidRPr="002E0C7E">
              <w:rPr>
                <w:rFonts w:ascii="Arial" w:hAnsi="Arial"/>
                <w:sz w:val="14"/>
              </w:rPr>
              <w:t xml:space="preserve">    </w:t>
            </w: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047877">
            <w:pPr>
              <w:widowControl w:val="0"/>
              <w:jc w:val="center"/>
              <w:rPr>
                <w:rFonts w:ascii="Arial" w:hAnsi="Arial"/>
                <w:sz w:val="14"/>
              </w:rPr>
            </w:pPr>
          </w:p>
          <w:p w:rsidR="00E903A1" w:rsidRPr="002E0C7E" w:rsidRDefault="00E903A1" w:rsidP="00047877">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047877">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047877">
            <w:pPr>
              <w:widowControl w:val="0"/>
              <w:rPr>
                <w:rFonts w:ascii="Arial" w:hAnsi="Arial"/>
                <w:sz w:val="16"/>
              </w:rPr>
            </w:pPr>
            <w:r w:rsidRPr="002E0C7E">
              <w:rPr>
                <w:rFonts w:ascii="Arial" w:hAnsi="Arial"/>
                <w:sz w:val="16"/>
              </w:rPr>
              <w:t>Sittings of the court:</w:t>
            </w:r>
          </w:p>
          <w:p w:rsidR="00E903A1" w:rsidRPr="002E0C7E" w:rsidRDefault="00E903A1" w:rsidP="00047877">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047877">
            <w:pPr>
              <w:widowControl w:val="0"/>
              <w:rPr>
                <w:rFonts w:ascii="Arial" w:hAnsi="Arial"/>
                <w:sz w:val="16"/>
              </w:rPr>
            </w:pPr>
          </w:p>
          <w:p w:rsidR="00E903A1" w:rsidRPr="002E0C7E" w:rsidRDefault="00E903A1" w:rsidP="0004787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04787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04787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047877">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047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6"/>
      <w:footerReference w:type="default" r:id="rId5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52" w:rsidRDefault="00927152" w:rsidP="00A87207">
      <w:r>
        <w:separator/>
      </w:r>
    </w:p>
  </w:endnote>
  <w:endnote w:type="continuationSeparator" w:id="0">
    <w:p w:rsidR="00927152" w:rsidRDefault="0092715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pPr>
      <w:pStyle w:val="Footer"/>
      <w:rPr>
        <w:lang w:val="fr-CA"/>
      </w:rPr>
    </w:pPr>
    <w:r w:rsidRPr="008754B5">
      <w:rPr>
        <w:lang w:val="fr-CA"/>
      </w:rPr>
      <w:pict>
        <v:rect id="_x0000_i1058" style="width:480.95pt;height:1pt" o:hralign="center" o:hrstd="t" o:hrnoshade="t" o:hr="t" fillcolor="black [3213]" stroked="f"/>
      </w:pict>
    </w:r>
  </w:p>
  <w:p w:rsidR="00927152" w:rsidRDefault="00927152" w:rsidP="00245129">
    <w:pPr>
      <w:tabs>
        <w:tab w:val="center" w:pos="4680"/>
      </w:tabs>
    </w:pPr>
    <w:r>
      <w:tab/>
    </w:r>
    <w:r w:rsidRPr="0009648D">
      <w:t xml:space="preserve">- </w:t>
    </w:r>
    <w:fldSimple w:instr=" PAGE   \* MERGEFORMAT ">
      <w:r w:rsidR="008608D5">
        <w:rPr>
          <w:noProof/>
        </w:rPr>
        <w:t>1775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7152" w:rsidRDefault="0092715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755F22">
    <w:pPr>
      <w:tabs>
        <w:tab w:val="left" w:pos="-1440"/>
        <w:tab w:val="left" w:pos="-720"/>
      </w:tabs>
    </w:pPr>
    <w:r>
      <w:pict>
        <v:rect id="_x0000_i1066" style="width:480.95pt;height:1pt" o:hralign="center" o:hrstd="t" o:hrnoshade="t" o:hr="t" fillcolor="black [3213]" stroked="f"/>
      </w:pict>
    </w:r>
  </w:p>
  <w:p w:rsidR="00927152" w:rsidRDefault="00927152" w:rsidP="00EB2B90">
    <w:pPr>
      <w:tabs>
        <w:tab w:val="center" w:pos="4680"/>
      </w:tabs>
    </w:pPr>
    <w:r>
      <w:tab/>
      <w:t xml:space="preserve">- </w:t>
    </w:r>
    <w:fldSimple w:instr=" PAGE   \* MERGEFORMAT ">
      <w:r w:rsidR="008608D5">
        <w:rPr>
          <w:noProof/>
        </w:rPr>
        <w:t>1799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EB2B90">
    <w:pPr>
      <w:tabs>
        <w:tab w:val="center" w:pos="4680"/>
      </w:tabs>
    </w:pPr>
    <w:r>
      <w:pict>
        <v:rect id="_x0000_i1067" style="width:480.95pt;height:1pt" o:hralign="center" o:hrstd="t" o:hrnoshade="t" o:hr="t" fillcolor="black [3213]" stroked="f"/>
      </w:pict>
    </w:r>
  </w:p>
  <w:p w:rsidR="00927152" w:rsidRPr="0031432F" w:rsidRDefault="00927152" w:rsidP="00EB2B90">
    <w:pPr>
      <w:tabs>
        <w:tab w:val="center" w:pos="4680"/>
      </w:tabs>
    </w:pPr>
    <w:r>
      <w:tab/>
      <w:t xml:space="preserve">- </w:t>
    </w:r>
    <w:fldSimple w:instr=" PAGE   \* MERGEFORMAT ">
      <w:r w:rsidR="008608D5">
        <w:rPr>
          <w:noProof/>
        </w:rPr>
        <w:t>1793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7152" w:rsidRDefault="00927152">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754B5">
      <w:rPr>
        <w:lang w:val="fr-CA"/>
      </w:rPr>
      <w:pict>
        <v:rect id="_x0000_i1070" style="width:480.95pt;height:1pt" o:hralign="center" o:hrstd="t" o:hrnoshade="t" o:hr="t" fillcolor="black [3213]" stroked="f"/>
      </w:pict>
    </w:r>
  </w:p>
  <w:p w:rsidR="00927152" w:rsidRDefault="00927152"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pPr>
      <w:pStyle w:val="Footer"/>
      <w:rPr>
        <w:lang w:val="fr-CA"/>
      </w:rPr>
    </w:pPr>
    <w:r w:rsidRPr="008754B5">
      <w:rPr>
        <w:lang w:val="fr-CA"/>
      </w:rPr>
      <w:pict>
        <v:rect id="_x0000_i1071" style="width:480.95pt;height:1pt" o:hralign="center" o:hrstd="t" o:hrnoshade="t" o:hr="t" fillcolor="black [3213]" stroked="f"/>
      </w:pict>
    </w:r>
  </w:p>
  <w:p w:rsidR="00927152" w:rsidRDefault="00927152" w:rsidP="00EB2B90">
    <w:pPr>
      <w:tabs>
        <w:tab w:val="center" w:pos="4680"/>
      </w:tabs>
    </w:pPr>
    <w:r>
      <w:tab/>
      <w:t xml:space="preserve">- </w:t>
    </w:r>
    <w:fldSimple w:instr=" PAGE   \* MERGEFORMAT ">
      <w:r w:rsidR="008608D5">
        <w:rPr>
          <w:noProof/>
        </w:rPr>
        <w:t>1800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7152" w:rsidRDefault="0092715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732DB7">
    <w:r>
      <w:pict>
        <v:rect id="_x0000_i1074" style="width:480.95pt;height:1pt" o:hralign="center" o:hrstd="t" o:hrnoshade="t" o:hr="t" fillcolor="black" stroked="f"/>
      </w:pict>
    </w:r>
  </w:p>
  <w:p w:rsidR="00927152" w:rsidRDefault="00927152">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pPr>
      <w:pStyle w:val="Footer"/>
    </w:pPr>
    <w:r>
      <w:pict>
        <v:rect id="_x0000_i1075" style="width:480.95pt;height:1pt" o:hralign="center" o:hrstd="t" o:hrnoshade="t" o:hr="t" fillcolor="black [3213]" stroked="f"/>
      </w:pict>
    </w:r>
  </w:p>
  <w:p w:rsidR="00927152" w:rsidRPr="003C2C0F" w:rsidRDefault="00927152" w:rsidP="00697C62">
    <w:pPr>
      <w:tabs>
        <w:tab w:val="center" w:pos="4680"/>
      </w:tabs>
    </w:pPr>
    <w:r>
      <w:tab/>
      <w:t xml:space="preserve">- </w:t>
    </w:r>
    <w:fldSimple w:instr=" PAGE   \* MERGEFORMAT ">
      <w:r w:rsidR="008608D5">
        <w:rPr>
          <w:noProof/>
        </w:rPr>
        <w:t>1801</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7152" w:rsidRDefault="00927152">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7152" w:rsidRDefault="008754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pt" o:hralign="center" o:hrstd="t" o:hrnoshade="t" o:hr="t" fillcolor="black [3213]" stroked="f"/>
      </w:pict>
    </w:r>
  </w:p>
  <w:p w:rsidR="00927152" w:rsidRDefault="00927152" w:rsidP="00782AE4">
    <w:pPr>
      <w:tabs>
        <w:tab w:val="center" w:pos="4680"/>
      </w:tabs>
    </w:pPr>
    <w:r>
      <w:tab/>
      <w:t xml:space="preserve">- </w:t>
    </w:r>
    <w:r w:rsidR="008754B5" w:rsidRPr="001775C1">
      <w:rPr>
        <w:szCs w:val="24"/>
      </w:rPr>
      <w:fldChar w:fldCharType="begin"/>
    </w:r>
    <w:r w:rsidRPr="001775C1">
      <w:rPr>
        <w:szCs w:val="24"/>
      </w:rPr>
      <w:instrText xml:space="preserve"> PAGE   \* MERGEFORMAT </w:instrText>
    </w:r>
    <w:r w:rsidR="008754B5" w:rsidRPr="001775C1">
      <w:rPr>
        <w:szCs w:val="24"/>
      </w:rPr>
      <w:fldChar w:fldCharType="separate"/>
    </w:r>
    <w:r w:rsidR="008608D5">
      <w:rPr>
        <w:noProof/>
        <w:szCs w:val="24"/>
      </w:rPr>
      <w:t>1808</w:t>
    </w:r>
    <w:r w:rsidR="008754B5"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782AE4">
    <w:pPr>
      <w:tabs>
        <w:tab w:val="center" w:pos="4680"/>
      </w:tabs>
    </w:pPr>
    <w:r>
      <w:pict>
        <v:rect id="_x0000_i1081" style="width:480.95pt;height:1pt" o:hralign="center" o:hrstd="t" o:hrnoshade="t" o:hr="t" fillcolor="black [3213]" stroked="f"/>
      </w:pict>
    </w:r>
  </w:p>
  <w:p w:rsidR="00927152" w:rsidRDefault="00927152" w:rsidP="00782AE4">
    <w:pPr>
      <w:tabs>
        <w:tab w:val="center" w:pos="4680"/>
      </w:tabs>
    </w:pPr>
    <w:r>
      <w:tab/>
      <w:t xml:space="preserve">- </w:t>
    </w:r>
    <w:r w:rsidR="008754B5" w:rsidRPr="001775C1">
      <w:rPr>
        <w:szCs w:val="24"/>
      </w:rPr>
      <w:fldChar w:fldCharType="begin"/>
    </w:r>
    <w:r w:rsidRPr="001775C1">
      <w:rPr>
        <w:szCs w:val="24"/>
      </w:rPr>
      <w:instrText xml:space="preserve"> PAGE   \* MERGEFORMAT </w:instrText>
    </w:r>
    <w:r w:rsidR="008754B5" w:rsidRPr="001775C1">
      <w:rPr>
        <w:szCs w:val="24"/>
      </w:rPr>
      <w:fldChar w:fldCharType="separate"/>
    </w:r>
    <w:r w:rsidR="008608D5">
      <w:rPr>
        <w:noProof/>
        <w:szCs w:val="24"/>
      </w:rPr>
      <w:t>1802</w:t>
    </w:r>
    <w:r w:rsidR="008754B5"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 w:rsidRPr="008754B5">
      <w:rPr>
        <w:lang w:val="fr-CA"/>
      </w:rPr>
      <w:pict>
        <v:rect id="_x0000_i1084" style="width:480.95pt;height:1pt" o:hralign="center" o:hrstd="t" o:hrnoshade="t" o:hr="t" fillcolor="black [3213]" stroked="f"/>
      </w:pict>
    </w:r>
  </w:p>
  <w:p w:rsidR="00927152" w:rsidRDefault="00927152" w:rsidP="006B6926">
    <w:pPr>
      <w:tabs>
        <w:tab w:val="center" w:pos="4680"/>
      </w:tabs>
    </w:pPr>
    <w:r>
      <w:tab/>
      <w:t xml:space="preserve">- </w:t>
    </w:r>
    <w:fldSimple w:instr="PAGE ">
      <w:r>
        <w:rPr>
          <w:noProof/>
        </w:rPr>
        <w:t>540</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6B6926">
    <w:pPr>
      <w:tabs>
        <w:tab w:val="center" w:pos="4680"/>
      </w:tabs>
      <w:rPr>
        <w:lang w:val="fr-CA"/>
      </w:rPr>
    </w:pPr>
    <w:r w:rsidRPr="008754B5">
      <w:rPr>
        <w:lang w:val="fr-CA"/>
      </w:rPr>
      <w:pict>
        <v:rect id="_x0000_i1085" style="width:480.95pt;height:1pt" o:hralign="center" o:hrstd="t" o:hrnoshade="t" o:hr="t" fillcolor="black [3213]" stroked="f"/>
      </w:pict>
    </w:r>
  </w:p>
  <w:p w:rsidR="00927152" w:rsidRDefault="00927152" w:rsidP="006B6926">
    <w:pPr>
      <w:tabs>
        <w:tab w:val="center" w:pos="4680"/>
      </w:tabs>
    </w:pPr>
    <w:r>
      <w:tab/>
      <w:t xml:space="preserve">- </w:t>
    </w:r>
    <w:fldSimple w:instr="PAGE ">
      <w:r w:rsidR="008608D5">
        <w:rPr>
          <w:noProof/>
        </w:rPr>
        <w:t>1809</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Pr="00924065" w:rsidRDefault="0092715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A87207">
    <w:pPr>
      <w:pStyle w:val="Footer"/>
    </w:pPr>
    <w:r>
      <w:pict>
        <v:rect id="_x0000_i1035" style="width:480.95pt;height:1pt" o:hralign="center" o:hrstd="t" o:hrnoshade="t" o:hr="t" fillcolor="black [3213]" stroked="f"/>
      </w:pict>
    </w:r>
  </w:p>
  <w:p w:rsidR="00927152" w:rsidRPr="00B7374B" w:rsidRDefault="00927152" w:rsidP="00B7374B">
    <w:pPr>
      <w:tabs>
        <w:tab w:val="center" w:pos="4680"/>
      </w:tabs>
      <w:rPr>
        <w:szCs w:val="24"/>
      </w:rPr>
    </w:pPr>
    <w:r w:rsidRPr="00954D22">
      <w:rPr>
        <w:szCs w:val="24"/>
      </w:rPr>
      <w:tab/>
      <w:t xml:space="preserve">- </w:t>
    </w:r>
    <w:r w:rsidR="008754B5" w:rsidRPr="00954D22">
      <w:rPr>
        <w:szCs w:val="24"/>
      </w:rPr>
      <w:fldChar w:fldCharType="begin"/>
    </w:r>
    <w:r w:rsidRPr="00954D22">
      <w:rPr>
        <w:szCs w:val="24"/>
      </w:rPr>
      <w:instrText xml:space="preserve"> PAGE   \* MERGEFORMAT </w:instrText>
    </w:r>
    <w:r w:rsidR="008754B5" w:rsidRPr="00954D22">
      <w:rPr>
        <w:szCs w:val="24"/>
      </w:rPr>
      <w:fldChar w:fldCharType="separate"/>
    </w:r>
    <w:r w:rsidR="008608D5">
      <w:rPr>
        <w:noProof/>
        <w:szCs w:val="24"/>
      </w:rPr>
      <w:t>1773</w:t>
    </w:r>
    <w:r w:rsidR="008754B5"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755F22">
    <w:pPr>
      <w:tabs>
        <w:tab w:val="left" w:pos="-1440"/>
        <w:tab w:val="left" w:pos="-720"/>
      </w:tabs>
    </w:pPr>
    <w:r>
      <w:pict>
        <v:rect id="_x0000_i1036" style="width:480.95pt;height:1pt" o:hralign="center" o:hrstd="t" o:hrnoshade="t" o:hr="t" fillcolor="black [3213]" stroked="f"/>
      </w:pict>
    </w:r>
  </w:p>
  <w:p w:rsidR="00927152" w:rsidRPr="00954D22" w:rsidRDefault="00927152" w:rsidP="00B7374B">
    <w:pPr>
      <w:tabs>
        <w:tab w:val="center" w:pos="4680"/>
      </w:tabs>
      <w:rPr>
        <w:szCs w:val="24"/>
      </w:rPr>
    </w:pPr>
    <w:r w:rsidRPr="00954D22">
      <w:rPr>
        <w:szCs w:val="24"/>
      </w:rPr>
      <w:tab/>
      <w:t xml:space="preserve">- </w:t>
    </w:r>
    <w:r w:rsidR="008754B5">
      <w:rPr>
        <w:szCs w:val="24"/>
      </w:rPr>
      <w:fldChar w:fldCharType="begin"/>
    </w:r>
    <w:r>
      <w:rPr>
        <w:szCs w:val="24"/>
      </w:rPr>
      <w:instrText xml:space="preserve"> PAGE   \* MERGEFORMAT </w:instrText>
    </w:r>
    <w:r w:rsidR="008754B5">
      <w:rPr>
        <w:szCs w:val="24"/>
      </w:rPr>
      <w:fldChar w:fldCharType="separate"/>
    </w:r>
    <w:r w:rsidR="008608D5">
      <w:rPr>
        <w:noProof/>
        <w:szCs w:val="24"/>
      </w:rPr>
      <w:t>1772</w:t>
    </w:r>
    <w:r w:rsidR="008754B5">
      <w:rPr>
        <w:szCs w:val="24"/>
      </w:rPr>
      <w:fldChar w:fldCharType="end"/>
    </w:r>
    <w:r w:rsidRPr="00954D22">
      <w:rPr>
        <w:szCs w:val="24"/>
      </w:rPr>
      <w:t xml:space="preserve"> -</w:t>
    </w:r>
  </w:p>
  <w:p w:rsidR="00927152" w:rsidRDefault="0092715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A87207">
    <w:pPr>
      <w:pStyle w:val="Footer"/>
    </w:pPr>
    <w:r>
      <w:pict>
        <v:rect id="_x0000_i1039" style="width:480.95pt;height:1pt" o:hralign="center" o:hrstd="t" o:hrnoshade="t" o:hr="t" fillcolor="black [3213]" stroked="f"/>
      </w:pict>
    </w:r>
  </w:p>
  <w:p w:rsidR="00927152" w:rsidRPr="00B7374B" w:rsidRDefault="00927152" w:rsidP="00B7374B">
    <w:pPr>
      <w:tabs>
        <w:tab w:val="center" w:pos="4680"/>
      </w:tabs>
      <w:rPr>
        <w:szCs w:val="24"/>
      </w:rPr>
    </w:pPr>
    <w:r w:rsidRPr="00954D22">
      <w:rPr>
        <w:szCs w:val="24"/>
      </w:rPr>
      <w:tab/>
      <w:t xml:space="preserve">- </w:t>
    </w:r>
    <w:r w:rsidR="008754B5" w:rsidRPr="00954D22">
      <w:rPr>
        <w:szCs w:val="24"/>
      </w:rPr>
      <w:fldChar w:fldCharType="begin"/>
    </w:r>
    <w:r w:rsidRPr="00954D22">
      <w:rPr>
        <w:szCs w:val="24"/>
      </w:rPr>
      <w:instrText xml:space="preserve"> PAGE   \* MERGEFORMAT </w:instrText>
    </w:r>
    <w:r w:rsidR="008754B5" w:rsidRPr="00954D22">
      <w:rPr>
        <w:szCs w:val="24"/>
      </w:rPr>
      <w:fldChar w:fldCharType="separate"/>
    </w:r>
    <w:r>
      <w:rPr>
        <w:noProof/>
        <w:szCs w:val="24"/>
      </w:rPr>
      <w:t>1775</w:t>
    </w:r>
    <w:r w:rsidR="008754B5"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927152" w:rsidRPr="00954D22" w:rsidRDefault="00927152" w:rsidP="00B7374B">
    <w:pPr>
      <w:tabs>
        <w:tab w:val="center" w:pos="4680"/>
      </w:tabs>
      <w:rPr>
        <w:szCs w:val="24"/>
      </w:rPr>
    </w:pPr>
    <w:r w:rsidRPr="00954D22">
      <w:rPr>
        <w:szCs w:val="24"/>
      </w:rPr>
      <w:tab/>
      <w:t xml:space="preserve">- </w:t>
    </w:r>
    <w:r w:rsidR="008754B5" w:rsidRPr="00954D22">
      <w:rPr>
        <w:szCs w:val="24"/>
      </w:rPr>
      <w:fldChar w:fldCharType="begin"/>
    </w:r>
    <w:r w:rsidRPr="00954D22">
      <w:rPr>
        <w:szCs w:val="24"/>
      </w:rPr>
      <w:instrText xml:space="preserve"> PAGE   \* MERGEFORMAT </w:instrText>
    </w:r>
    <w:r w:rsidR="008754B5" w:rsidRPr="00954D22">
      <w:rPr>
        <w:szCs w:val="24"/>
      </w:rPr>
      <w:fldChar w:fldCharType="separate"/>
    </w:r>
    <w:r w:rsidR="008608D5">
      <w:rPr>
        <w:noProof/>
        <w:szCs w:val="24"/>
      </w:rPr>
      <w:t>1774</w:t>
    </w:r>
    <w:r w:rsidR="008754B5"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7152" w:rsidRDefault="00927152">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8754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754B5">
      <w:rPr>
        <w:lang w:val="fr-CA"/>
      </w:rPr>
      <w:pict>
        <v:rect id="_x0000_i1057" style="width:480.95pt;height:1pt" o:hralign="center" o:hrstd="t" o:hrnoshade="t" o:hr="t" fillcolor="black [3213]" stroked="f"/>
      </w:pict>
    </w:r>
  </w:p>
  <w:p w:rsidR="00927152" w:rsidRPr="0009648D" w:rsidRDefault="00927152" w:rsidP="00ED7E83">
    <w:pPr>
      <w:tabs>
        <w:tab w:val="center" w:pos="4680"/>
      </w:tabs>
    </w:pPr>
    <w:r>
      <w:tab/>
    </w:r>
    <w:r w:rsidRPr="0009648D">
      <w:t xml:space="preserve">- </w:t>
    </w:r>
    <w:fldSimple w:instr=" PAGE   \* MERGEFORMAT ">
      <w:r w:rsidR="008608D5">
        <w:rPr>
          <w:noProof/>
        </w:rPr>
        <w:t>1792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52" w:rsidRDefault="00927152" w:rsidP="00A87207">
      <w:r>
        <w:separator/>
      </w:r>
    </w:p>
  </w:footnote>
  <w:footnote w:type="continuationSeparator" w:id="0">
    <w:p w:rsidR="00927152" w:rsidRDefault="0092715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27152">
      <w:tc>
        <w:tcPr>
          <w:tcW w:w="423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27152"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7152"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27152">
      <w:trPr>
        <w:gridAfter w:val="2"/>
        <w:wAfter w:w="5250" w:type="dxa"/>
      </w:trPr>
      <w:tc>
        <w:tcPr>
          <w:tcW w:w="4230" w:type="dxa"/>
          <w:tcMar>
            <w:left w:w="0" w:type="dxa"/>
            <w:right w:w="0" w:type="dxa"/>
          </w:tcMar>
        </w:tcPr>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27152" w:rsidRPr="00755F22" w:rsidTr="00245129">
      <w:tc>
        <w:tcPr>
          <w:tcW w:w="4230" w:type="dxa"/>
          <w:tcMar>
            <w:left w:w="0" w:type="dxa"/>
            <w:right w:w="0" w:type="dxa"/>
          </w:tcMar>
        </w:tcPr>
        <w:p w:rsidR="00927152" w:rsidRPr="00755F22" w:rsidRDefault="00927152" w:rsidP="00831CA9">
          <w:pPr>
            <w:keepNext/>
            <w:keepLines/>
            <w:rPr>
              <w:sz w:val="20"/>
              <w:szCs w:val="20"/>
            </w:rPr>
          </w:pPr>
          <w:r w:rsidRPr="00755F22">
            <w:rPr>
              <w:sz w:val="20"/>
              <w:szCs w:val="20"/>
            </w:rPr>
            <w:t>MOTIONS</w:t>
          </w:r>
        </w:p>
      </w:tc>
      <w:tc>
        <w:tcPr>
          <w:tcW w:w="1170" w:type="dxa"/>
          <w:tcMar>
            <w:left w:w="0" w:type="dxa"/>
            <w:right w:w="0" w:type="dxa"/>
          </w:tcMar>
        </w:tcPr>
        <w:p w:rsidR="00927152" w:rsidRPr="00755F22" w:rsidRDefault="00927152" w:rsidP="00831CA9">
          <w:pPr>
            <w:keepLines/>
            <w:jc w:val="center"/>
            <w:rPr>
              <w:sz w:val="20"/>
              <w:szCs w:val="20"/>
            </w:rPr>
          </w:pPr>
        </w:p>
        <w:p w:rsidR="00927152" w:rsidRPr="00755F22" w:rsidRDefault="00927152" w:rsidP="00831CA9">
          <w:pPr>
            <w:keepLines/>
            <w:tabs>
              <w:tab w:val="left" w:pos="-1440"/>
              <w:tab w:val="left" w:pos="-720"/>
            </w:tabs>
            <w:jc w:val="center"/>
            <w:rPr>
              <w:sz w:val="20"/>
              <w:szCs w:val="20"/>
            </w:rPr>
          </w:pPr>
        </w:p>
      </w:tc>
      <w:tc>
        <w:tcPr>
          <w:tcW w:w="4080" w:type="dxa"/>
          <w:tcMar>
            <w:left w:w="0" w:type="dxa"/>
            <w:right w:w="0" w:type="dxa"/>
          </w:tcMar>
        </w:tcPr>
        <w:p w:rsidR="00927152" w:rsidRPr="00BA6468" w:rsidRDefault="00927152" w:rsidP="00BA6468">
          <w:pPr>
            <w:keepLines/>
            <w:rPr>
              <w:sz w:val="20"/>
              <w:szCs w:val="20"/>
              <w:lang w:val="fr-CA"/>
            </w:rPr>
          </w:pPr>
          <w:r w:rsidRPr="00BA6468">
            <w:rPr>
              <w:sz w:val="20"/>
              <w:szCs w:val="20"/>
              <w:lang w:val="fr-CA"/>
            </w:rPr>
            <w:t>REQUÊTES</w:t>
          </w:r>
        </w:p>
      </w:tc>
    </w:tr>
  </w:tbl>
  <w:p w:rsidR="00927152" w:rsidRDefault="00927152"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27152" w:rsidRPr="008608D5">
      <w:tc>
        <w:tcPr>
          <w:tcW w:w="420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7152" w:rsidRPr="00B01A03"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27152" w:rsidRPr="00B01A03"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27152" w:rsidRPr="00B01A03"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27152" w:rsidRPr="008608D5" w:rsidTr="00245129">
      <w:tc>
        <w:tcPr>
          <w:tcW w:w="4200" w:type="dxa"/>
          <w:tcMar>
            <w:left w:w="0" w:type="dxa"/>
            <w:right w:w="0" w:type="dxa"/>
          </w:tcMar>
        </w:tcPr>
        <w:p w:rsidR="00927152" w:rsidRPr="00F40249" w:rsidRDefault="0092715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27152" w:rsidRDefault="00927152" w:rsidP="00102926">
          <w:pPr>
            <w:keepNext/>
            <w:keepLines/>
            <w:tabs>
              <w:tab w:val="left" w:pos="-1440"/>
              <w:tab w:val="left" w:pos="-720"/>
            </w:tabs>
            <w:jc w:val="center"/>
            <w:rPr>
              <w:sz w:val="20"/>
              <w:szCs w:val="20"/>
            </w:rPr>
          </w:pPr>
        </w:p>
        <w:p w:rsidR="00927152" w:rsidRDefault="00927152" w:rsidP="00102926">
          <w:pPr>
            <w:keepNext/>
            <w:keepLines/>
            <w:tabs>
              <w:tab w:val="left" w:pos="-1440"/>
              <w:tab w:val="left" w:pos="-720"/>
            </w:tabs>
            <w:jc w:val="center"/>
            <w:rPr>
              <w:sz w:val="20"/>
              <w:szCs w:val="20"/>
            </w:rPr>
          </w:pPr>
        </w:p>
        <w:p w:rsidR="00927152" w:rsidRPr="00F40249" w:rsidRDefault="00927152" w:rsidP="00102926">
          <w:pPr>
            <w:keepNext/>
            <w:keepLines/>
            <w:tabs>
              <w:tab w:val="left" w:pos="-1440"/>
              <w:tab w:val="left" w:pos="-720"/>
            </w:tabs>
            <w:jc w:val="center"/>
            <w:rPr>
              <w:sz w:val="20"/>
              <w:szCs w:val="20"/>
            </w:rPr>
          </w:pPr>
        </w:p>
      </w:tc>
      <w:tc>
        <w:tcPr>
          <w:tcW w:w="4230" w:type="dxa"/>
          <w:tcMar>
            <w:left w:w="0" w:type="dxa"/>
            <w:right w:w="0" w:type="dxa"/>
          </w:tcMar>
        </w:tcPr>
        <w:p w:rsidR="00927152" w:rsidRPr="00F40249" w:rsidRDefault="0092715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27152" w:rsidRPr="00B01A03" w:rsidRDefault="0092715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27152" w:rsidRPr="008608D5">
      <w:tc>
        <w:tcPr>
          <w:tcW w:w="420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27152" w:rsidRPr="003C2C0F"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27152" w:rsidRPr="003C2C0F"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27152" w:rsidRPr="003C2C0F"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27152" w:rsidRPr="008608D5" w:rsidTr="00245129">
      <w:tc>
        <w:tcPr>
          <w:tcW w:w="4200" w:type="dxa"/>
          <w:tcMar>
            <w:left w:w="0" w:type="dxa"/>
            <w:right w:w="0" w:type="dxa"/>
          </w:tcMar>
        </w:tcPr>
        <w:p w:rsidR="00927152" w:rsidRPr="00FF6EEC" w:rsidRDefault="00927152" w:rsidP="00FF6EEC">
          <w:pPr>
            <w:rPr>
              <w:sz w:val="20"/>
              <w:szCs w:val="20"/>
            </w:rPr>
          </w:pPr>
          <w:r w:rsidRPr="00FF6EEC">
            <w:rPr>
              <w:sz w:val="20"/>
              <w:szCs w:val="20"/>
            </w:rPr>
            <w:t>PRONOUNCEMENTS OF APPEALS RESERVED</w:t>
          </w:r>
        </w:p>
      </w:tc>
      <w:tc>
        <w:tcPr>
          <w:tcW w:w="1200" w:type="dxa"/>
          <w:tcMar>
            <w:left w:w="0" w:type="dxa"/>
            <w:right w:w="0" w:type="dxa"/>
          </w:tcMar>
        </w:tcPr>
        <w:p w:rsidR="00927152" w:rsidRPr="00FF6EEC" w:rsidRDefault="00927152" w:rsidP="00FF6EEC">
          <w:pPr>
            <w:jc w:val="center"/>
            <w:rPr>
              <w:sz w:val="20"/>
              <w:szCs w:val="20"/>
            </w:rPr>
          </w:pPr>
        </w:p>
        <w:p w:rsidR="00927152" w:rsidRPr="00FF6EEC" w:rsidRDefault="00927152" w:rsidP="00FF6EEC">
          <w:pPr>
            <w:jc w:val="center"/>
            <w:rPr>
              <w:sz w:val="20"/>
              <w:szCs w:val="20"/>
            </w:rPr>
          </w:pPr>
        </w:p>
        <w:p w:rsidR="00927152" w:rsidRPr="00FF6EEC" w:rsidRDefault="00927152" w:rsidP="00FF6EEC">
          <w:pPr>
            <w:jc w:val="center"/>
            <w:rPr>
              <w:sz w:val="20"/>
              <w:szCs w:val="20"/>
            </w:rPr>
          </w:pPr>
        </w:p>
      </w:tc>
      <w:tc>
        <w:tcPr>
          <w:tcW w:w="4080" w:type="dxa"/>
          <w:tcMar>
            <w:left w:w="0" w:type="dxa"/>
            <w:right w:w="0" w:type="dxa"/>
          </w:tcMar>
        </w:tcPr>
        <w:p w:rsidR="00927152" w:rsidRPr="00FF6EEC" w:rsidRDefault="00927152" w:rsidP="00FF6EEC">
          <w:pPr>
            <w:rPr>
              <w:sz w:val="20"/>
              <w:szCs w:val="20"/>
              <w:lang w:val="fr-CA"/>
            </w:rPr>
          </w:pPr>
          <w:r w:rsidRPr="00FF6EEC">
            <w:rPr>
              <w:sz w:val="20"/>
              <w:szCs w:val="20"/>
              <w:lang w:val="fr-CA"/>
            </w:rPr>
            <w:t>JUGEMENTS RENDUS SUR LES APPELS EN DÉLIBÉRÉ</w:t>
          </w:r>
        </w:p>
      </w:tc>
    </w:tr>
  </w:tbl>
  <w:p w:rsidR="00927152" w:rsidRPr="003C2C0F" w:rsidRDefault="0092715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27152">
      <w:tc>
        <w:tcPr>
          <w:tcW w:w="423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27152"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27152"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27152" w:rsidRPr="00782AE4" w:rsidTr="00245129">
      <w:tc>
        <w:tcPr>
          <w:tcW w:w="4230" w:type="dxa"/>
          <w:tcMar>
            <w:left w:w="0" w:type="dxa"/>
            <w:right w:w="0" w:type="dxa"/>
          </w:tcMar>
        </w:tcPr>
        <w:p w:rsidR="00927152" w:rsidRPr="00782AE4" w:rsidRDefault="00927152" w:rsidP="00102926">
          <w:pPr>
            <w:keepNext/>
            <w:keepLines/>
            <w:tabs>
              <w:tab w:val="left" w:pos="-1440"/>
              <w:tab w:val="left" w:pos="-720"/>
            </w:tabs>
            <w:rPr>
              <w:sz w:val="20"/>
              <w:szCs w:val="20"/>
            </w:rPr>
          </w:pPr>
          <w:r w:rsidRPr="00782AE4">
            <w:rPr>
              <w:sz w:val="20"/>
              <w:szCs w:val="20"/>
            </w:rPr>
            <w:t xml:space="preserve">HEADNOTES OF RECENT </w:t>
          </w:r>
        </w:p>
        <w:p w:rsidR="00927152" w:rsidRPr="00782AE4"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27152" w:rsidRDefault="00927152" w:rsidP="00102926">
          <w:pPr>
            <w:keepNext/>
            <w:keepLines/>
            <w:tabs>
              <w:tab w:val="left" w:pos="-1440"/>
              <w:tab w:val="left" w:pos="-720"/>
            </w:tabs>
            <w:jc w:val="center"/>
            <w:rPr>
              <w:sz w:val="20"/>
              <w:szCs w:val="20"/>
            </w:rPr>
          </w:pPr>
        </w:p>
        <w:p w:rsidR="00927152" w:rsidRDefault="00927152" w:rsidP="00102926">
          <w:pPr>
            <w:keepNext/>
            <w:keepLines/>
            <w:tabs>
              <w:tab w:val="left" w:pos="-1440"/>
              <w:tab w:val="left" w:pos="-720"/>
            </w:tabs>
            <w:jc w:val="center"/>
            <w:rPr>
              <w:sz w:val="20"/>
              <w:szCs w:val="20"/>
            </w:rPr>
          </w:pPr>
        </w:p>
        <w:p w:rsidR="00927152" w:rsidRPr="00782AE4" w:rsidRDefault="00927152" w:rsidP="00102926">
          <w:pPr>
            <w:keepNext/>
            <w:keepLines/>
            <w:tabs>
              <w:tab w:val="left" w:pos="-1440"/>
              <w:tab w:val="left" w:pos="-720"/>
            </w:tabs>
            <w:jc w:val="center"/>
            <w:rPr>
              <w:sz w:val="20"/>
              <w:szCs w:val="20"/>
            </w:rPr>
          </w:pPr>
        </w:p>
      </w:tc>
      <w:tc>
        <w:tcPr>
          <w:tcW w:w="4080" w:type="dxa"/>
          <w:tcMar>
            <w:left w:w="0" w:type="dxa"/>
            <w:right w:w="0" w:type="dxa"/>
          </w:tcMar>
        </w:tcPr>
        <w:p w:rsidR="00927152" w:rsidRPr="00102926"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27152" w:rsidRPr="00782AE4" w:rsidRDefault="00927152" w:rsidP="00102926">
          <w:pPr>
            <w:keepLines/>
            <w:tabs>
              <w:tab w:val="left" w:pos="-1440"/>
              <w:tab w:val="left" w:pos="-720"/>
            </w:tabs>
            <w:rPr>
              <w:sz w:val="20"/>
              <w:szCs w:val="20"/>
            </w:rPr>
          </w:pPr>
          <w:r w:rsidRPr="00102926">
            <w:rPr>
              <w:sz w:val="20"/>
              <w:szCs w:val="20"/>
              <w:lang w:val="fr-CA"/>
            </w:rPr>
            <w:t>RÉCENTS</w:t>
          </w:r>
        </w:p>
      </w:tc>
    </w:tr>
  </w:tbl>
  <w:p w:rsidR="00927152" w:rsidRDefault="0092715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927152" w:rsidRPr="008608D5" w:rsidTr="00245129">
      <w:tc>
        <w:tcPr>
          <w:tcW w:w="4320" w:type="dxa"/>
        </w:tcPr>
        <w:p w:rsidR="00927152" w:rsidRPr="006B6926" w:rsidRDefault="00927152" w:rsidP="006B6926">
          <w:pPr>
            <w:keepNext/>
            <w:keepLines/>
            <w:rPr>
              <w:bCs/>
              <w:sz w:val="20"/>
              <w:szCs w:val="20"/>
              <w:lang w:val="en-GB"/>
            </w:rPr>
          </w:pPr>
          <w:r w:rsidRPr="006B6926">
            <w:rPr>
              <w:bCs/>
              <w:sz w:val="20"/>
              <w:szCs w:val="20"/>
              <w:lang w:val="en-GB"/>
            </w:rPr>
            <w:t>SUPREME COURT REPORTS</w:t>
          </w:r>
        </w:p>
      </w:tc>
      <w:tc>
        <w:tcPr>
          <w:tcW w:w="840" w:type="dxa"/>
        </w:tcPr>
        <w:p w:rsidR="00927152" w:rsidRDefault="00927152" w:rsidP="006B6926">
          <w:pPr>
            <w:jc w:val="center"/>
            <w:rPr>
              <w:bCs/>
              <w:sz w:val="20"/>
              <w:szCs w:val="20"/>
              <w:lang w:val="en-GB"/>
            </w:rPr>
          </w:pPr>
        </w:p>
        <w:p w:rsidR="00927152" w:rsidRPr="006B6926" w:rsidRDefault="00927152" w:rsidP="006B6926">
          <w:pPr>
            <w:jc w:val="center"/>
            <w:rPr>
              <w:bCs/>
              <w:sz w:val="20"/>
              <w:szCs w:val="20"/>
              <w:lang w:val="en-GB"/>
            </w:rPr>
          </w:pPr>
        </w:p>
      </w:tc>
      <w:tc>
        <w:tcPr>
          <w:tcW w:w="4320" w:type="dxa"/>
        </w:tcPr>
        <w:p w:rsidR="00927152" w:rsidRPr="006B6926" w:rsidRDefault="00927152" w:rsidP="006B6926">
          <w:pPr>
            <w:keepNext/>
            <w:keepLines/>
            <w:rPr>
              <w:bCs/>
              <w:sz w:val="20"/>
              <w:szCs w:val="20"/>
              <w:lang w:val="fr-CA"/>
            </w:rPr>
          </w:pPr>
          <w:r w:rsidRPr="006B6926">
            <w:rPr>
              <w:bCs/>
              <w:sz w:val="20"/>
              <w:szCs w:val="20"/>
              <w:lang w:val="fr-CA"/>
            </w:rPr>
            <w:t>RECUEIL DES ARRÊTS DE LA COUR SUPRÊME</w:t>
          </w:r>
        </w:p>
      </w:tc>
    </w:tr>
  </w:tbl>
  <w:p w:rsidR="00927152" w:rsidRPr="000924F7" w:rsidRDefault="00927152">
    <w:pPr>
      <w:pStyle w:val="Header"/>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27152" w:rsidRPr="0044776A" w:rsidTr="00245129">
      <w:tc>
        <w:tcPr>
          <w:tcW w:w="4290" w:type="dxa"/>
          <w:tcMar>
            <w:left w:w="0" w:type="dxa"/>
            <w:right w:w="0" w:type="dxa"/>
          </w:tcMar>
        </w:tcPr>
        <w:p w:rsidR="00927152" w:rsidRPr="0044776A" w:rsidRDefault="0092715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27152" w:rsidRPr="0044776A" w:rsidRDefault="00927152" w:rsidP="002E2327">
          <w:pPr>
            <w:keepNext/>
            <w:keepLines/>
            <w:tabs>
              <w:tab w:val="left" w:pos="-1440"/>
              <w:tab w:val="left" w:pos="-720"/>
            </w:tabs>
            <w:jc w:val="center"/>
            <w:rPr>
              <w:sz w:val="20"/>
              <w:szCs w:val="20"/>
            </w:rPr>
          </w:pPr>
        </w:p>
        <w:p w:rsidR="00927152" w:rsidRPr="0044776A" w:rsidRDefault="00927152" w:rsidP="002E2327">
          <w:pPr>
            <w:keepNext/>
            <w:keepLines/>
            <w:tabs>
              <w:tab w:val="left" w:pos="-1440"/>
              <w:tab w:val="left" w:pos="-720"/>
            </w:tabs>
            <w:jc w:val="center"/>
            <w:rPr>
              <w:sz w:val="20"/>
              <w:szCs w:val="20"/>
            </w:rPr>
          </w:pPr>
        </w:p>
        <w:p w:rsidR="00927152" w:rsidRPr="0044776A" w:rsidRDefault="00927152" w:rsidP="002E2327">
          <w:pPr>
            <w:keepNext/>
            <w:keepLines/>
            <w:tabs>
              <w:tab w:val="left" w:pos="-1440"/>
              <w:tab w:val="left" w:pos="-720"/>
            </w:tabs>
            <w:jc w:val="center"/>
            <w:rPr>
              <w:sz w:val="20"/>
              <w:szCs w:val="20"/>
            </w:rPr>
          </w:pPr>
        </w:p>
      </w:tc>
      <w:tc>
        <w:tcPr>
          <w:tcW w:w="4320" w:type="dxa"/>
          <w:tcMar>
            <w:left w:w="0" w:type="dxa"/>
            <w:right w:w="0" w:type="dxa"/>
          </w:tcMar>
        </w:tcPr>
        <w:p w:rsidR="00927152" w:rsidRPr="0044776A" w:rsidRDefault="00927152" w:rsidP="002E2327">
          <w:pPr>
            <w:keepLines/>
            <w:rPr>
              <w:sz w:val="20"/>
              <w:szCs w:val="20"/>
              <w:lang w:val="fr-CA"/>
            </w:rPr>
          </w:pPr>
          <w:r w:rsidRPr="0044776A">
            <w:rPr>
              <w:sz w:val="20"/>
              <w:szCs w:val="20"/>
              <w:lang w:val="fr-CA"/>
            </w:rPr>
            <w:t>DEMANDES D'AUTORISATION D'APPEL DÉPOSÉES</w:t>
          </w:r>
        </w:p>
      </w:tc>
    </w:tr>
  </w:tbl>
  <w:p w:rsidR="00927152" w:rsidRDefault="0092715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27152" w:rsidRPr="008608D5" w:rsidTr="00245129">
      <w:tc>
        <w:tcPr>
          <w:tcW w:w="4200" w:type="dxa"/>
          <w:tcMar>
            <w:left w:w="0" w:type="dxa"/>
            <w:right w:w="0" w:type="dxa"/>
          </w:tcMar>
        </w:tcPr>
        <w:p w:rsidR="00927152" w:rsidRPr="0044776A" w:rsidRDefault="00927152" w:rsidP="0044776A">
          <w:pPr>
            <w:keepNext/>
            <w:keepLines/>
            <w:widowControl w:val="0"/>
            <w:rPr>
              <w:sz w:val="20"/>
              <w:szCs w:val="20"/>
            </w:rPr>
          </w:pPr>
          <w:r>
            <w:rPr>
              <w:sz w:val="20"/>
              <w:szCs w:val="20"/>
            </w:rPr>
            <w:t>APPLICATIONS FOR LEAVE</w:t>
          </w:r>
        </w:p>
        <w:p w:rsidR="00927152" w:rsidRPr="0044776A" w:rsidRDefault="0092715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27152" w:rsidRPr="0044776A" w:rsidRDefault="00927152" w:rsidP="0044776A">
          <w:pPr>
            <w:keepNext/>
            <w:keepLines/>
            <w:widowControl w:val="0"/>
            <w:jc w:val="center"/>
            <w:rPr>
              <w:sz w:val="20"/>
              <w:szCs w:val="20"/>
            </w:rPr>
          </w:pPr>
        </w:p>
        <w:p w:rsidR="00927152" w:rsidRPr="0044776A" w:rsidRDefault="00927152" w:rsidP="0044776A">
          <w:pPr>
            <w:keepNext/>
            <w:keepLines/>
            <w:widowControl w:val="0"/>
            <w:jc w:val="center"/>
            <w:rPr>
              <w:sz w:val="20"/>
              <w:szCs w:val="20"/>
            </w:rPr>
          </w:pPr>
        </w:p>
        <w:p w:rsidR="00927152" w:rsidRPr="0044776A" w:rsidRDefault="00927152" w:rsidP="0044776A">
          <w:pPr>
            <w:keepNext/>
            <w:keepLines/>
            <w:widowControl w:val="0"/>
            <w:jc w:val="center"/>
            <w:rPr>
              <w:sz w:val="20"/>
              <w:szCs w:val="20"/>
            </w:rPr>
          </w:pPr>
        </w:p>
      </w:tc>
      <w:tc>
        <w:tcPr>
          <w:tcW w:w="4080" w:type="dxa"/>
          <w:tcMar>
            <w:left w:w="0" w:type="dxa"/>
            <w:right w:w="0" w:type="dxa"/>
          </w:tcMar>
        </w:tcPr>
        <w:p w:rsidR="00927152" w:rsidRPr="0044776A" w:rsidRDefault="00927152" w:rsidP="0044776A">
          <w:pPr>
            <w:keepLines/>
            <w:widowControl w:val="0"/>
            <w:rPr>
              <w:sz w:val="20"/>
              <w:szCs w:val="20"/>
              <w:lang w:val="fr-CA"/>
            </w:rPr>
          </w:pPr>
          <w:r w:rsidRPr="0044776A">
            <w:rPr>
              <w:sz w:val="20"/>
              <w:szCs w:val="20"/>
              <w:lang w:val="fr-CA"/>
            </w:rPr>
            <w:t>DEMANDES SOUMISES À LA COUR DEPUIS LA DERNIÈRE PARUTION</w:t>
          </w:r>
        </w:p>
        <w:p w:rsidR="00927152" w:rsidRPr="0044776A" w:rsidRDefault="00927152" w:rsidP="0044776A">
          <w:pPr>
            <w:widowControl w:val="0"/>
            <w:rPr>
              <w:sz w:val="20"/>
              <w:szCs w:val="20"/>
              <w:lang w:val="fr-CA"/>
            </w:rPr>
          </w:pPr>
        </w:p>
      </w:tc>
    </w:tr>
  </w:tbl>
  <w:p w:rsidR="00927152" w:rsidRPr="002E2327" w:rsidRDefault="0092715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52" w:rsidRDefault="0092715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27152" w:rsidRPr="008608D5">
      <w:tc>
        <w:tcPr>
          <w:tcW w:w="4200" w:type="dxa"/>
          <w:tcMar>
            <w:left w:w="0" w:type="dxa"/>
            <w:right w:w="0" w:type="dxa"/>
          </w:tcMar>
        </w:tcPr>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2715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27152"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7152" w:rsidRPr="00FF6BA5"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27152" w:rsidRPr="00FF6BA5"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27152" w:rsidRPr="00FF6BA5"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27152" w:rsidRPr="00FF6BA5" w:rsidRDefault="00927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27152" w:rsidRPr="008608D5" w:rsidTr="00245129">
      <w:tc>
        <w:tcPr>
          <w:tcW w:w="4200" w:type="dxa"/>
          <w:tcMar>
            <w:left w:w="0" w:type="dxa"/>
            <w:right w:w="0" w:type="dxa"/>
          </w:tcMar>
        </w:tcPr>
        <w:p w:rsidR="00927152" w:rsidRPr="00755F2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27152" w:rsidRPr="00755F22" w:rsidRDefault="00927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27152" w:rsidRPr="00755F22" w:rsidRDefault="00927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7152" w:rsidRPr="00755F22" w:rsidRDefault="00927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7152" w:rsidRPr="00755F22" w:rsidRDefault="00927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27152" w:rsidRPr="00755F22" w:rsidRDefault="00927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27152" w:rsidRPr="00FF6BA5" w:rsidRDefault="00927152"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110BA"/>
    <w:multiLevelType w:val="hybridMultilevel"/>
    <w:tmpl w:val="AB5204E4"/>
    <w:lvl w:ilvl="0" w:tplc="69B6D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4833"/>
  </w:hdrShapeDefaults>
  <w:footnotePr>
    <w:footnote w:id="-1"/>
    <w:footnote w:id="0"/>
  </w:footnotePr>
  <w:endnotePr>
    <w:endnote w:id="-1"/>
    <w:endnote w:id="0"/>
  </w:endnotePr>
  <w:compat/>
  <w:rsids>
    <w:rsidRoot w:val="00517AED"/>
    <w:rsid w:val="0003223B"/>
    <w:rsid w:val="000327B2"/>
    <w:rsid w:val="000435A1"/>
    <w:rsid w:val="00047877"/>
    <w:rsid w:val="0005394E"/>
    <w:rsid w:val="0006223D"/>
    <w:rsid w:val="00094018"/>
    <w:rsid w:val="00096BD9"/>
    <w:rsid w:val="000B3C9A"/>
    <w:rsid w:val="000B40A2"/>
    <w:rsid w:val="000C0ACD"/>
    <w:rsid w:val="000C2A52"/>
    <w:rsid w:val="00102926"/>
    <w:rsid w:val="0010587F"/>
    <w:rsid w:val="00111C6B"/>
    <w:rsid w:val="001164EA"/>
    <w:rsid w:val="00117827"/>
    <w:rsid w:val="0013369E"/>
    <w:rsid w:val="00164E6D"/>
    <w:rsid w:val="00165317"/>
    <w:rsid w:val="0017036D"/>
    <w:rsid w:val="001866A0"/>
    <w:rsid w:val="001906A4"/>
    <w:rsid w:val="001B1AAD"/>
    <w:rsid w:val="001B5C23"/>
    <w:rsid w:val="001D0D5F"/>
    <w:rsid w:val="001D4F3A"/>
    <w:rsid w:val="001D507E"/>
    <w:rsid w:val="001D6B8C"/>
    <w:rsid w:val="001F1F83"/>
    <w:rsid w:val="002021A9"/>
    <w:rsid w:val="002139A7"/>
    <w:rsid w:val="00215F7C"/>
    <w:rsid w:val="0022323B"/>
    <w:rsid w:val="002410B8"/>
    <w:rsid w:val="00242AEE"/>
    <w:rsid w:val="002444EC"/>
    <w:rsid w:val="00245129"/>
    <w:rsid w:val="00245879"/>
    <w:rsid w:val="00267FD5"/>
    <w:rsid w:val="00270E22"/>
    <w:rsid w:val="002868D0"/>
    <w:rsid w:val="002938DC"/>
    <w:rsid w:val="002A27D1"/>
    <w:rsid w:val="002B1438"/>
    <w:rsid w:val="002B516C"/>
    <w:rsid w:val="002D72EB"/>
    <w:rsid w:val="002D7D15"/>
    <w:rsid w:val="002E2327"/>
    <w:rsid w:val="002E3583"/>
    <w:rsid w:val="002E5576"/>
    <w:rsid w:val="002F279C"/>
    <w:rsid w:val="00331B52"/>
    <w:rsid w:val="003359D3"/>
    <w:rsid w:val="00355967"/>
    <w:rsid w:val="0036450C"/>
    <w:rsid w:val="00382C47"/>
    <w:rsid w:val="00384384"/>
    <w:rsid w:val="003B3977"/>
    <w:rsid w:val="00432989"/>
    <w:rsid w:val="00440E24"/>
    <w:rsid w:val="0044776A"/>
    <w:rsid w:val="00460AFC"/>
    <w:rsid w:val="0047471F"/>
    <w:rsid w:val="004A6C0F"/>
    <w:rsid w:val="004B1FCF"/>
    <w:rsid w:val="004B66B4"/>
    <w:rsid w:val="004B7F60"/>
    <w:rsid w:val="004C1AAC"/>
    <w:rsid w:val="004C3B4A"/>
    <w:rsid w:val="004E2535"/>
    <w:rsid w:val="004F090E"/>
    <w:rsid w:val="00517AED"/>
    <w:rsid w:val="00527B7A"/>
    <w:rsid w:val="00527CC7"/>
    <w:rsid w:val="00571CA4"/>
    <w:rsid w:val="00582136"/>
    <w:rsid w:val="00587A4D"/>
    <w:rsid w:val="005C6840"/>
    <w:rsid w:val="005F263E"/>
    <w:rsid w:val="005F46BD"/>
    <w:rsid w:val="00600252"/>
    <w:rsid w:val="00612A40"/>
    <w:rsid w:val="0065600E"/>
    <w:rsid w:val="006636B5"/>
    <w:rsid w:val="00675479"/>
    <w:rsid w:val="00697C62"/>
    <w:rsid w:val="006A329B"/>
    <w:rsid w:val="006A6875"/>
    <w:rsid w:val="006A7EB8"/>
    <w:rsid w:val="006B1A8B"/>
    <w:rsid w:val="006B6926"/>
    <w:rsid w:val="006C3F47"/>
    <w:rsid w:val="006C5F7A"/>
    <w:rsid w:val="006D688E"/>
    <w:rsid w:val="006E06AF"/>
    <w:rsid w:val="006F350F"/>
    <w:rsid w:val="00726AD1"/>
    <w:rsid w:val="00732DB7"/>
    <w:rsid w:val="00736E6B"/>
    <w:rsid w:val="00741E4C"/>
    <w:rsid w:val="0074238B"/>
    <w:rsid w:val="00755F22"/>
    <w:rsid w:val="00766E4A"/>
    <w:rsid w:val="00772CE7"/>
    <w:rsid w:val="007820CE"/>
    <w:rsid w:val="00782AE4"/>
    <w:rsid w:val="0078765C"/>
    <w:rsid w:val="0079724F"/>
    <w:rsid w:val="007A3EAE"/>
    <w:rsid w:val="007A72EF"/>
    <w:rsid w:val="007B58EB"/>
    <w:rsid w:val="007C04FC"/>
    <w:rsid w:val="007D3E0F"/>
    <w:rsid w:val="007F387B"/>
    <w:rsid w:val="00802863"/>
    <w:rsid w:val="00815B3C"/>
    <w:rsid w:val="00824A1C"/>
    <w:rsid w:val="00825423"/>
    <w:rsid w:val="0082783A"/>
    <w:rsid w:val="00831CA9"/>
    <w:rsid w:val="00850E1F"/>
    <w:rsid w:val="0085476B"/>
    <w:rsid w:val="008608D5"/>
    <w:rsid w:val="008754B5"/>
    <w:rsid w:val="00890FEB"/>
    <w:rsid w:val="008D292F"/>
    <w:rsid w:val="008E03DC"/>
    <w:rsid w:val="00912F86"/>
    <w:rsid w:val="00923972"/>
    <w:rsid w:val="00924065"/>
    <w:rsid w:val="00927152"/>
    <w:rsid w:val="00927924"/>
    <w:rsid w:val="00930D68"/>
    <w:rsid w:val="00932DB4"/>
    <w:rsid w:val="00941A4B"/>
    <w:rsid w:val="00946242"/>
    <w:rsid w:val="0095096B"/>
    <w:rsid w:val="009569A8"/>
    <w:rsid w:val="00961AF7"/>
    <w:rsid w:val="00970CD3"/>
    <w:rsid w:val="009723FA"/>
    <w:rsid w:val="00984546"/>
    <w:rsid w:val="00996510"/>
    <w:rsid w:val="009B7F44"/>
    <w:rsid w:val="009C1D96"/>
    <w:rsid w:val="009D1F15"/>
    <w:rsid w:val="009D21E6"/>
    <w:rsid w:val="009D555E"/>
    <w:rsid w:val="009E228D"/>
    <w:rsid w:val="009E2E8E"/>
    <w:rsid w:val="00A0355E"/>
    <w:rsid w:val="00A04467"/>
    <w:rsid w:val="00A27223"/>
    <w:rsid w:val="00A375D1"/>
    <w:rsid w:val="00A45CF4"/>
    <w:rsid w:val="00A51D10"/>
    <w:rsid w:val="00A52A83"/>
    <w:rsid w:val="00A6552C"/>
    <w:rsid w:val="00A77303"/>
    <w:rsid w:val="00A83F53"/>
    <w:rsid w:val="00A87207"/>
    <w:rsid w:val="00A935AA"/>
    <w:rsid w:val="00AA4DEB"/>
    <w:rsid w:val="00AB2201"/>
    <w:rsid w:val="00AF1715"/>
    <w:rsid w:val="00AF3904"/>
    <w:rsid w:val="00B010C0"/>
    <w:rsid w:val="00B06584"/>
    <w:rsid w:val="00B159C8"/>
    <w:rsid w:val="00B4740D"/>
    <w:rsid w:val="00B61629"/>
    <w:rsid w:val="00B63ECD"/>
    <w:rsid w:val="00B7374B"/>
    <w:rsid w:val="00B90DC0"/>
    <w:rsid w:val="00BA116A"/>
    <w:rsid w:val="00BA40E1"/>
    <w:rsid w:val="00BA5582"/>
    <w:rsid w:val="00BA6468"/>
    <w:rsid w:val="00BD06DA"/>
    <w:rsid w:val="00BD4217"/>
    <w:rsid w:val="00BF25F3"/>
    <w:rsid w:val="00C1697B"/>
    <w:rsid w:val="00C21CB5"/>
    <w:rsid w:val="00C2500C"/>
    <w:rsid w:val="00C40E9B"/>
    <w:rsid w:val="00C454C8"/>
    <w:rsid w:val="00C50A5C"/>
    <w:rsid w:val="00C50FDF"/>
    <w:rsid w:val="00C54E0F"/>
    <w:rsid w:val="00C62110"/>
    <w:rsid w:val="00C621DC"/>
    <w:rsid w:val="00C73E1B"/>
    <w:rsid w:val="00C759B4"/>
    <w:rsid w:val="00C77713"/>
    <w:rsid w:val="00CB43D5"/>
    <w:rsid w:val="00CC4D84"/>
    <w:rsid w:val="00D3500C"/>
    <w:rsid w:val="00D50719"/>
    <w:rsid w:val="00D64901"/>
    <w:rsid w:val="00D76BDF"/>
    <w:rsid w:val="00D862C1"/>
    <w:rsid w:val="00D902FA"/>
    <w:rsid w:val="00D91743"/>
    <w:rsid w:val="00D93B50"/>
    <w:rsid w:val="00D94670"/>
    <w:rsid w:val="00DA46F6"/>
    <w:rsid w:val="00DA495B"/>
    <w:rsid w:val="00DC7B77"/>
    <w:rsid w:val="00DD0B49"/>
    <w:rsid w:val="00E06DFA"/>
    <w:rsid w:val="00E20A0A"/>
    <w:rsid w:val="00E2314E"/>
    <w:rsid w:val="00E32933"/>
    <w:rsid w:val="00E356C7"/>
    <w:rsid w:val="00E36B8C"/>
    <w:rsid w:val="00E5545F"/>
    <w:rsid w:val="00E55E44"/>
    <w:rsid w:val="00E64FA7"/>
    <w:rsid w:val="00E770CB"/>
    <w:rsid w:val="00E903A1"/>
    <w:rsid w:val="00E940EB"/>
    <w:rsid w:val="00EB2B90"/>
    <w:rsid w:val="00ED7E83"/>
    <w:rsid w:val="00EE79FF"/>
    <w:rsid w:val="00EF4B63"/>
    <w:rsid w:val="00EF4B94"/>
    <w:rsid w:val="00F0068D"/>
    <w:rsid w:val="00F0576D"/>
    <w:rsid w:val="00F12A36"/>
    <w:rsid w:val="00F14E6D"/>
    <w:rsid w:val="00F15EA8"/>
    <w:rsid w:val="00F16C8D"/>
    <w:rsid w:val="00F26C61"/>
    <w:rsid w:val="00F33CCE"/>
    <w:rsid w:val="00F40249"/>
    <w:rsid w:val="00F526C8"/>
    <w:rsid w:val="00F81266"/>
    <w:rsid w:val="00F9518C"/>
    <w:rsid w:val="00FA1037"/>
    <w:rsid w:val="00FA316E"/>
    <w:rsid w:val="00FA50B0"/>
    <w:rsid w:val="00FA59EF"/>
    <w:rsid w:val="00FB00A7"/>
    <w:rsid w:val="00FB19A2"/>
    <w:rsid w:val="00FB44B7"/>
    <w:rsid w:val="00FD4E31"/>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character" w:customStyle="1" w:styleId="textred1">
    <w:name w:val="textred1"/>
    <w:basedOn w:val="DefaultParagraphFont"/>
    <w:rsid w:val="00C2500C"/>
    <w:rPr>
      <w:rFonts w:ascii="Verdana" w:hAnsi="Verdana" w:hint="default"/>
      <w:b/>
      <w:bCs/>
      <w:color w:val="990000"/>
      <w:shd w:val="clear" w:color="auto" w:fill="auto"/>
    </w:rPr>
  </w:style>
  <w:style w:type="paragraph" w:customStyle="1" w:styleId="SCCLowerCourtNameLowercase">
    <w:name w:val="SCC.LowerCourtNameLowercase"/>
    <w:basedOn w:val="SCCNormalDoubleSpacing"/>
    <w:next w:val="SCCNormalDoubleSpacing"/>
    <w:rsid w:val="004B1FCF"/>
    <w:pPr>
      <w:tabs>
        <w:tab w:val="left" w:pos="1168"/>
      </w:tabs>
    </w:pPr>
    <w:rPr>
      <w:smallCaps/>
      <w:lang w:val="fr-CA"/>
    </w:rPr>
  </w:style>
  <w:style w:type="paragraph" w:customStyle="1" w:styleId="SCCFileNumber">
    <w:name w:val="SCC.FileNumber"/>
    <w:basedOn w:val="Normal"/>
    <w:next w:val="Normal"/>
    <w:link w:val="SCCFileNumberChar"/>
    <w:rsid w:val="00772CE7"/>
    <w:pPr>
      <w:jc w:val="center"/>
    </w:pPr>
    <w:rPr>
      <w:b/>
      <w:szCs w:val="24"/>
      <w:lang w:val="fr-CA"/>
    </w:rPr>
  </w:style>
  <w:style w:type="character" w:customStyle="1" w:styleId="SCCFileNumberChar">
    <w:name w:val="SCC.FileNumber Char"/>
    <w:basedOn w:val="DefaultParagraphFont"/>
    <w:link w:val="SCCFileNumber"/>
    <w:rsid w:val="00772CE7"/>
    <w:rPr>
      <w:b/>
      <w:szCs w:val="24"/>
      <w:lang w:val="fr-CA"/>
    </w:rPr>
  </w:style>
  <w:style w:type="paragraph" w:customStyle="1" w:styleId="SCCLsoc">
    <w:name w:val="SCC.Lsoc"/>
    <w:basedOn w:val="Normal"/>
    <w:next w:val="Normal"/>
    <w:link w:val="SCCLsocChar"/>
    <w:rsid w:val="00772CE7"/>
    <w:pPr>
      <w:jc w:val="center"/>
    </w:pPr>
    <w:rPr>
      <w:b/>
      <w:szCs w:val="24"/>
      <w:u w:val="single"/>
      <w:lang w:val="fr-CA"/>
    </w:rPr>
  </w:style>
  <w:style w:type="character" w:customStyle="1" w:styleId="SCCLsocChar">
    <w:name w:val="SCC.Lsoc Char"/>
    <w:basedOn w:val="DefaultParagraphFont"/>
    <w:link w:val="SCCLsoc"/>
    <w:rsid w:val="00772CE7"/>
    <w:rPr>
      <w:b/>
      <w:szCs w:val="24"/>
      <w:u w:val="single"/>
      <w:lang w:val="fr-CA"/>
    </w:rPr>
  </w:style>
  <w:style w:type="paragraph" w:customStyle="1" w:styleId="SCCCoram">
    <w:name w:val="SCC.Coram"/>
    <w:basedOn w:val="Normal"/>
    <w:next w:val="Normal"/>
    <w:link w:val="SCCCoramChar"/>
    <w:rsid w:val="00772CE7"/>
    <w:pPr>
      <w:jc w:val="center"/>
    </w:pPr>
    <w:rPr>
      <w:szCs w:val="24"/>
      <w:u w:val="single"/>
      <w:lang w:val="fr-CA"/>
    </w:rPr>
  </w:style>
  <w:style w:type="character" w:customStyle="1" w:styleId="SCCCoramChar">
    <w:name w:val="SCC.Coram Char"/>
    <w:basedOn w:val="DefaultParagraphFont"/>
    <w:link w:val="SCCCoram"/>
    <w:rsid w:val="00772CE7"/>
    <w:rPr>
      <w:szCs w:val="24"/>
      <w:u w:val="single"/>
      <w:lang w:val="fr-CA"/>
    </w:rPr>
  </w:style>
  <w:style w:type="paragraph" w:customStyle="1" w:styleId="SCCShortJudgment">
    <w:name w:val="SCC.ShortJudgment"/>
    <w:basedOn w:val="Normal"/>
    <w:qFormat/>
    <w:rsid w:val="00772CE7"/>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16152</Words>
  <Characters>92069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2011-12-02T20:35:00Z</dcterms:created>
  <dcterms:modified xsi:type="dcterms:W3CDTF">2012-02-03T19:53:00Z</dcterms:modified>
</cp:coreProperties>
</file>