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04C4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04C4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04C4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C04C4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04C40" w:rsidTr="002E5576">
        <w:tc>
          <w:tcPr>
            <w:tcW w:w="4518" w:type="dxa"/>
          </w:tcPr>
          <w:p w:rsidR="00BF25F3" w:rsidRPr="002E2327" w:rsidRDefault="008A655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A655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B653A7" w:rsidP="00F0068D">
      <w:pPr>
        <w:pBdr>
          <w:bottom w:val="single" w:sz="6" w:space="1" w:color="auto"/>
        </w:pBdr>
        <w:tabs>
          <w:tab w:val="center" w:pos="4680"/>
          <w:tab w:val="right" w:pos="9360"/>
        </w:tabs>
        <w:rPr>
          <w:lang w:val="fr-CA"/>
        </w:rPr>
      </w:pPr>
      <w:r>
        <w:rPr>
          <w:lang w:val="fr-CA"/>
        </w:rPr>
        <w:t>December 9</w:t>
      </w:r>
      <w:r w:rsidR="00440E24" w:rsidRPr="00675479">
        <w:rPr>
          <w:lang w:val="fr-CA"/>
        </w:rPr>
        <w:t>, 201</w:t>
      </w:r>
      <w:r w:rsidR="003359D3">
        <w:rPr>
          <w:lang w:val="fr-CA"/>
        </w:rPr>
        <w:t>1</w:t>
      </w:r>
      <w:r w:rsidR="00F0068D" w:rsidRPr="00675479">
        <w:rPr>
          <w:lang w:val="fr-CA"/>
        </w:rPr>
        <w:tab/>
        <w:t>1</w:t>
      </w:r>
      <w:r w:rsidR="00CB2338">
        <w:rPr>
          <w:lang w:val="fr-CA"/>
        </w:rPr>
        <w:t xml:space="preserve">810 </w:t>
      </w:r>
      <w:r w:rsidR="00F0068D" w:rsidRPr="00675479">
        <w:rPr>
          <w:lang w:val="fr-CA"/>
        </w:rPr>
        <w:t xml:space="preserve">- </w:t>
      </w:r>
      <w:r w:rsidR="00383543">
        <w:rPr>
          <w:lang w:val="fr-CA"/>
        </w:rPr>
        <w:t>1870</w:t>
      </w:r>
      <w:r w:rsidR="00440E24" w:rsidRPr="00675479">
        <w:rPr>
          <w:lang w:val="fr-CA"/>
        </w:rPr>
        <w:tab/>
      </w:r>
      <w:r w:rsidR="00440E24" w:rsidRPr="002E2327">
        <w:rPr>
          <w:lang w:val="fr-CA"/>
        </w:rPr>
        <w:t xml:space="preserve">Le </w:t>
      </w:r>
      <w:r>
        <w:rPr>
          <w:lang w:val="fr-CA"/>
        </w:rPr>
        <w:t>9 décembre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5B3329" w:rsidRPr="002E2327" w:rsidRDefault="005B3329"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95096B">
            <w:pPr>
              <w:tabs>
                <w:tab w:val="right" w:pos="9360"/>
              </w:tabs>
              <w:rPr>
                <w:rFonts w:cs="Times New Roman"/>
                <w:sz w:val="20"/>
                <w:szCs w:val="20"/>
              </w:rPr>
            </w:pPr>
          </w:p>
        </w:tc>
        <w:tc>
          <w:tcPr>
            <w:tcW w:w="1980" w:type="dxa"/>
          </w:tcPr>
          <w:p w:rsidR="0095096B" w:rsidRPr="002E2327" w:rsidRDefault="00CB2338" w:rsidP="0095096B">
            <w:pPr>
              <w:jc w:val="center"/>
              <w:rPr>
                <w:rFonts w:cs="Times New Roman"/>
                <w:sz w:val="20"/>
                <w:szCs w:val="20"/>
              </w:rPr>
            </w:pPr>
            <w:r>
              <w:rPr>
                <w:rFonts w:cs="Times New Roman"/>
                <w:sz w:val="20"/>
                <w:szCs w:val="20"/>
              </w:rPr>
              <w:t xml:space="preserve">1810 </w:t>
            </w:r>
            <w:r w:rsidR="008A6550" w:rsidRPr="002E2327">
              <w:rPr>
                <w:rFonts w:cs="Times New Roman"/>
                <w:sz w:val="20"/>
                <w:szCs w:val="20"/>
              </w:rPr>
              <w:fldChar w:fldCharType="begin"/>
            </w:r>
            <w:r w:rsidR="0095096B" w:rsidRPr="002E2327">
              <w:rPr>
                <w:rFonts w:cs="Times New Roman"/>
                <w:sz w:val="20"/>
                <w:szCs w:val="20"/>
              </w:rPr>
              <w:instrText xml:space="preserve"> SEQ CHAPTER \h \r 1</w:instrText>
            </w:r>
            <w:r w:rsidR="008A6550" w:rsidRPr="002E2327">
              <w:rPr>
                <w:rFonts w:cs="Times New Roman"/>
                <w:sz w:val="20"/>
                <w:szCs w:val="20"/>
              </w:rPr>
              <w:fldChar w:fldCharType="end"/>
            </w:r>
            <w:r w:rsidR="0095096B" w:rsidRPr="002E2327">
              <w:rPr>
                <w:rFonts w:cs="Times New Roman"/>
                <w:sz w:val="20"/>
                <w:szCs w:val="20"/>
              </w:rPr>
              <w:t>-</w:t>
            </w:r>
            <w:r w:rsidR="005B3329">
              <w:rPr>
                <w:rFonts w:cs="Times New Roman"/>
                <w:sz w:val="20"/>
                <w:szCs w:val="20"/>
              </w:rPr>
              <w:t xml:space="preserve"> 1811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3329" w:rsidP="0095096B">
            <w:pPr>
              <w:jc w:val="center"/>
              <w:rPr>
                <w:rFonts w:cs="Times New Roman"/>
                <w:sz w:val="20"/>
                <w:szCs w:val="20"/>
              </w:rPr>
            </w:pPr>
            <w:r>
              <w:rPr>
                <w:rFonts w:cs="Times New Roman"/>
                <w:sz w:val="20"/>
                <w:szCs w:val="20"/>
              </w:rPr>
              <w:t>1812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B2431" w:rsidP="0095096B">
            <w:pPr>
              <w:jc w:val="center"/>
              <w:rPr>
                <w:rFonts w:cs="Times New Roman"/>
                <w:sz w:val="20"/>
                <w:szCs w:val="20"/>
              </w:rPr>
            </w:pPr>
            <w:r>
              <w:rPr>
                <w:rFonts w:cs="Times New Roman"/>
                <w:sz w:val="20"/>
                <w:szCs w:val="20"/>
              </w:rPr>
              <w:t xml:space="preserve">1813 </w:t>
            </w:r>
            <w:r w:rsidR="0095096B" w:rsidRPr="002E2327">
              <w:rPr>
                <w:rFonts w:cs="Times New Roman"/>
                <w:sz w:val="20"/>
                <w:szCs w:val="20"/>
              </w:rPr>
              <w:t>-</w:t>
            </w:r>
            <w:r w:rsidR="00383543">
              <w:rPr>
                <w:rFonts w:cs="Times New Roman"/>
                <w:sz w:val="20"/>
                <w:szCs w:val="20"/>
              </w:rPr>
              <w:t xml:space="preserve"> 1856</w:t>
            </w:r>
          </w:p>
          <w:p w:rsidR="0095096B" w:rsidRDefault="0095096B" w:rsidP="0095096B">
            <w:pPr>
              <w:jc w:val="center"/>
              <w:rPr>
                <w:rFonts w:cs="Times New Roman"/>
                <w:sz w:val="20"/>
                <w:szCs w:val="20"/>
              </w:rPr>
            </w:pPr>
          </w:p>
          <w:p w:rsidR="005B3329" w:rsidRPr="002E2327" w:rsidRDefault="005B3329" w:rsidP="0095096B">
            <w:pPr>
              <w:jc w:val="center"/>
              <w:rPr>
                <w:rFonts w:cs="Times New Roman"/>
                <w:sz w:val="20"/>
                <w:szCs w:val="20"/>
              </w:rPr>
            </w:pPr>
          </w:p>
          <w:p w:rsidR="0095096B" w:rsidRPr="00383543" w:rsidRDefault="00383543" w:rsidP="0095096B">
            <w:pPr>
              <w:jc w:val="center"/>
              <w:rPr>
                <w:rFonts w:cs="Times New Roman"/>
                <w:sz w:val="20"/>
                <w:szCs w:val="20"/>
              </w:rPr>
            </w:pPr>
            <w:r>
              <w:rPr>
                <w:rFonts w:cs="Times New Roman"/>
                <w:sz w:val="20"/>
                <w:szCs w:val="20"/>
              </w:rPr>
              <w:t xml:space="preserve">1857 </w:t>
            </w:r>
            <w:r w:rsidR="0095096B" w:rsidRPr="00383543">
              <w:rPr>
                <w:rFonts w:cs="Times New Roman"/>
                <w:sz w:val="20"/>
                <w:szCs w:val="20"/>
              </w:rPr>
              <w:t>-</w:t>
            </w:r>
            <w:r>
              <w:rPr>
                <w:rFonts w:cs="Times New Roman"/>
                <w:sz w:val="20"/>
                <w:szCs w:val="20"/>
              </w:rPr>
              <w:t xml:space="preserve"> 1860</w:t>
            </w:r>
          </w:p>
          <w:p w:rsidR="0095096B" w:rsidRPr="002E2327" w:rsidRDefault="0095096B" w:rsidP="0095096B">
            <w:pPr>
              <w:jc w:val="center"/>
              <w:rPr>
                <w:rFonts w:cs="Times New Roman"/>
                <w:sz w:val="20"/>
                <w:szCs w:val="20"/>
              </w:rPr>
            </w:pPr>
          </w:p>
          <w:p w:rsidR="0095096B" w:rsidRPr="002E2327" w:rsidRDefault="00383543" w:rsidP="0095096B">
            <w:pPr>
              <w:jc w:val="center"/>
              <w:rPr>
                <w:rFonts w:cs="Times New Roman"/>
                <w:sz w:val="20"/>
                <w:szCs w:val="20"/>
              </w:rPr>
            </w:pPr>
            <w:r>
              <w:rPr>
                <w:rFonts w:cs="Times New Roman"/>
                <w:sz w:val="20"/>
                <w:szCs w:val="20"/>
              </w:rPr>
              <w:t xml:space="preserve">1861 </w:t>
            </w:r>
            <w:r w:rsidR="0095096B" w:rsidRPr="002E2327">
              <w:rPr>
                <w:rFonts w:cs="Times New Roman"/>
                <w:sz w:val="20"/>
                <w:szCs w:val="20"/>
              </w:rPr>
              <w:t>-</w:t>
            </w:r>
            <w:r>
              <w:rPr>
                <w:rFonts w:cs="Times New Roman"/>
                <w:sz w:val="20"/>
                <w:szCs w:val="20"/>
              </w:rPr>
              <w:t xml:space="preserve"> 1866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83543" w:rsidP="0095096B">
            <w:pPr>
              <w:jc w:val="center"/>
              <w:rPr>
                <w:rFonts w:cs="Times New Roman"/>
                <w:sz w:val="20"/>
                <w:szCs w:val="20"/>
              </w:rPr>
            </w:pPr>
            <w:r>
              <w:rPr>
                <w:rFonts w:cs="Times New Roman"/>
                <w:sz w:val="20"/>
                <w:szCs w:val="20"/>
              </w:rPr>
              <w:t>1867</w:t>
            </w:r>
          </w:p>
          <w:p w:rsidR="0095096B" w:rsidRPr="002E2327" w:rsidRDefault="0095096B" w:rsidP="0095096B">
            <w:pPr>
              <w:jc w:val="center"/>
              <w:rPr>
                <w:rFonts w:cs="Times New Roman"/>
                <w:sz w:val="20"/>
                <w:szCs w:val="20"/>
              </w:rPr>
            </w:pPr>
          </w:p>
          <w:p w:rsidR="005B3329" w:rsidRDefault="005B3329" w:rsidP="0095096B">
            <w:pPr>
              <w:jc w:val="center"/>
              <w:rPr>
                <w:rFonts w:cs="Times New Roman"/>
                <w:sz w:val="20"/>
                <w:szCs w:val="20"/>
              </w:rPr>
            </w:pPr>
          </w:p>
          <w:p w:rsidR="0095096B" w:rsidRPr="002E2327" w:rsidRDefault="00383543" w:rsidP="0095096B">
            <w:pPr>
              <w:jc w:val="center"/>
              <w:rPr>
                <w:rFonts w:cs="Times New Roman"/>
                <w:sz w:val="20"/>
                <w:szCs w:val="20"/>
              </w:rPr>
            </w:pPr>
            <w:r>
              <w:rPr>
                <w:rFonts w:cs="Times New Roman"/>
                <w:sz w:val="20"/>
                <w:szCs w:val="20"/>
              </w:rPr>
              <w:t>1868 - 1870</w:t>
            </w:r>
          </w:p>
          <w:p w:rsidR="00A87207" w:rsidRDefault="00A87207" w:rsidP="0095096B">
            <w:pPr>
              <w:tabs>
                <w:tab w:val="right" w:pos="9360"/>
              </w:tabs>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8A655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95096B">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tblPr>
      <w:tblGrid>
        <w:gridCol w:w="9576"/>
      </w:tblGrid>
      <w:tr w:rsidR="0079724F" w:rsidRPr="00C04C4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D1146" w:rsidRPr="00A935AA" w:rsidTr="003B3977">
        <w:tc>
          <w:tcPr>
            <w:tcW w:w="4320" w:type="dxa"/>
            <w:shd w:val="clear" w:color="auto" w:fill="auto"/>
          </w:tcPr>
          <w:p w:rsidR="001D1146" w:rsidRPr="00A935AA" w:rsidRDefault="001D1146" w:rsidP="00CB2338">
            <w:pPr>
              <w:rPr>
                <w:b/>
                <w:sz w:val="20"/>
                <w:szCs w:val="20"/>
              </w:rPr>
            </w:pPr>
            <w:r>
              <w:rPr>
                <w:b/>
                <w:sz w:val="20"/>
                <w:szCs w:val="20"/>
              </w:rPr>
              <w:t>Eric Claude L’Espinay</w:t>
            </w:r>
          </w:p>
          <w:p w:rsidR="001D1146" w:rsidRPr="00A935AA" w:rsidRDefault="001D1146" w:rsidP="00CB2338">
            <w:pPr>
              <w:tabs>
                <w:tab w:val="left" w:pos="-1440"/>
                <w:tab w:val="left" w:pos="-720"/>
              </w:tabs>
              <w:rPr>
                <w:sz w:val="20"/>
                <w:szCs w:val="20"/>
              </w:rPr>
            </w:pPr>
            <w:r w:rsidRPr="00A935AA">
              <w:rPr>
                <w:sz w:val="20"/>
                <w:szCs w:val="20"/>
              </w:rPr>
              <w:tab/>
            </w:r>
            <w:r>
              <w:rPr>
                <w:sz w:val="20"/>
                <w:szCs w:val="20"/>
              </w:rPr>
              <w:t>Eric Claude L’Espinay</w:t>
            </w:r>
          </w:p>
          <w:p w:rsidR="001D1146" w:rsidRPr="00A935AA" w:rsidRDefault="001D1146" w:rsidP="00CB2338">
            <w:pPr>
              <w:tabs>
                <w:tab w:val="left" w:pos="-1440"/>
                <w:tab w:val="left" w:pos="-720"/>
              </w:tabs>
              <w:rPr>
                <w:sz w:val="20"/>
                <w:szCs w:val="20"/>
              </w:rPr>
            </w:pPr>
          </w:p>
          <w:p w:rsidR="001D1146" w:rsidRPr="00A935AA" w:rsidRDefault="001D1146" w:rsidP="00CB2338">
            <w:pPr>
              <w:tabs>
                <w:tab w:val="left" w:pos="-1440"/>
                <w:tab w:val="left" w:pos="-720"/>
              </w:tabs>
              <w:rPr>
                <w:sz w:val="20"/>
                <w:szCs w:val="20"/>
              </w:rPr>
            </w:pPr>
            <w:r w:rsidRPr="00A935AA">
              <w:rPr>
                <w:sz w:val="20"/>
                <w:szCs w:val="20"/>
              </w:rPr>
              <w:tab/>
              <w:t>v. (3</w:t>
            </w:r>
            <w:r>
              <w:rPr>
                <w:sz w:val="20"/>
                <w:szCs w:val="20"/>
              </w:rPr>
              <w:t>4525</w:t>
            </w:r>
            <w:r w:rsidRPr="00A935AA">
              <w:rPr>
                <w:sz w:val="20"/>
                <w:szCs w:val="20"/>
              </w:rPr>
              <w:t>)</w:t>
            </w:r>
          </w:p>
          <w:p w:rsidR="001D1146" w:rsidRPr="00A935AA" w:rsidRDefault="001D1146" w:rsidP="00CB2338">
            <w:pPr>
              <w:tabs>
                <w:tab w:val="left" w:pos="-1440"/>
                <w:tab w:val="left" w:pos="-720"/>
              </w:tabs>
              <w:rPr>
                <w:sz w:val="20"/>
                <w:szCs w:val="20"/>
              </w:rPr>
            </w:pPr>
          </w:p>
          <w:p w:rsidR="001D1146" w:rsidRPr="00A935AA" w:rsidRDefault="001D1146" w:rsidP="00CB2338">
            <w:pPr>
              <w:tabs>
                <w:tab w:val="left" w:pos="-1440"/>
                <w:tab w:val="left" w:pos="-720"/>
              </w:tabs>
              <w:rPr>
                <w:b/>
                <w:sz w:val="20"/>
                <w:szCs w:val="20"/>
              </w:rPr>
            </w:pPr>
            <w:r>
              <w:rPr>
                <w:b/>
                <w:sz w:val="20"/>
                <w:szCs w:val="20"/>
              </w:rPr>
              <w:t xml:space="preserve">Her Majesty the Queen </w:t>
            </w:r>
            <w:r w:rsidRPr="00A935AA">
              <w:rPr>
                <w:b/>
                <w:sz w:val="20"/>
                <w:szCs w:val="20"/>
              </w:rPr>
              <w:t>(B.C.)</w:t>
            </w:r>
          </w:p>
          <w:p w:rsidR="001D1146" w:rsidRPr="00A935AA" w:rsidRDefault="001D1146" w:rsidP="00CB2338">
            <w:pPr>
              <w:tabs>
                <w:tab w:val="left" w:pos="-1440"/>
                <w:tab w:val="left" w:pos="-720"/>
              </w:tabs>
              <w:rPr>
                <w:sz w:val="20"/>
                <w:szCs w:val="20"/>
              </w:rPr>
            </w:pPr>
            <w:r w:rsidRPr="00A935AA">
              <w:rPr>
                <w:sz w:val="20"/>
                <w:szCs w:val="20"/>
              </w:rPr>
              <w:tab/>
            </w:r>
            <w:r>
              <w:rPr>
                <w:sz w:val="20"/>
                <w:szCs w:val="20"/>
              </w:rPr>
              <w:t>Paul</w:t>
            </w:r>
            <w:r w:rsidR="00C04C40">
              <w:rPr>
                <w:sz w:val="20"/>
                <w:szCs w:val="20"/>
              </w:rPr>
              <w:t xml:space="preserve"> W.</w:t>
            </w:r>
            <w:r>
              <w:rPr>
                <w:sz w:val="20"/>
                <w:szCs w:val="20"/>
              </w:rPr>
              <w:t xml:space="preserve"> Riley</w:t>
            </w:r>
          </w:p>
          <w:p w:rsidR="001D1146" w:rsidRPr="00A935AA" w:rsidRDefault="001D1146" w:rsidP="00CB2338">
            <w:pPr>
              <w:tabs>
                <w:tab w:val="left" w:pos="-1440"/>
                <w:tab w:val="left" w:pos="-720"/>
              </w:tabs>
              <w:rPr>
                <w:sz w:val="20"/>
                <w:szCs w:val="20"/>
              </w:rPr>
            </w:pPr>
            <w:r w:rsidRPr="00A935AA">
              <w:rPr>
                <w:sz w:val="20"/>
                <w:szCs w:val="20"/>
              </w:rPr>
              <w:tab/>
            </w:r>
            <w:r>
              <w:rPr>
                <w:sz w:val="20"/>
                <w:szCs w:val="20"/>
              </w:rPr>
              <w:t>Public Prosecution Service of Canada</w:t>
            </w:r>
          </w:p>
          <w:p w:rsidR="001D1146" w:rsidRPr="00A935AA" w:rsidRDefault="001D1146" w:rsidP="00CB2338">
            <w:pPr>
              <w:tabs>
                <w:tab w:val="left" w:pos="-1440"/>
                <w:tab w:val="left" w:pos="-720"/>
              </w:tabs>
              <w:rPr>
                <w:sz w:val="20"/>
                <w:szCs w:val="20"/>
              </w:rPr>
            </w:pPr>
          </w:p>
          <w:p w:rsidR="001D1146" w:rsidRPr="00A935AA" w:rsidRDefault="001D1146" w:rsidP="00CB2338">
            <w:pPr>
              <w:rPr>
                <w:sz w:val="20"/>
                <w:szCs w:val="20"/>
              </w:rPr>
            </w:pPr>
            <w:r w:rsidRPr="00A935AA">
              <w:rPr>
                <w:sz w:val="20"/>
                <w:szCs w:val="20"/>
              </w:rPr>
              <w:t>FILING DATE: 2</w:t>
            </w:r>
            <w:r>
              <w:rPr>
                <w:sz w:val="20"/>
                <w:szCs w:val="20"/>
              </w:rPr>
              <w:t>5</w:t>
            </w:r>
            <w:r w:rsidRPr="00A935AA">
              <w:rPr>
                <w:sz w:val="20"/>
                <w:szCs w:val="20"/>
              </w:rPr>
              <w:t>.</w:t>
            </w:r>
            <w:r>
              <w:rPr>
                <w:sz w:val="20"/>
                <w:szCs w:val="20"/>
              </w:rPr>
              <w:t>05</w:t>
            </w:r>
            <w:r w:rsidRPr="00A935AA">
              <w:rPr>
                <w:sz w:val="20"/>
                <w:szCs w:val="20"/>
              </w:rPr>
              <w:t>.201</w:t>
            </w:r>
            <w:r>
              <w:rPr>
                <w:sz w:val="20"/>
                <w:szCs w:val="20"/>
              </w:rPr>
              <w:t>1</w:t>
            </w:r>
          </w:p>
          <w:p w:rsidR="001D1146" w:rsidRPr="00A935AA" w:rsidRDefault="008A6550" w:rsidP="00CB2338">
            <w:pPr>
              <w:rPr>
                <w:sz w:val="20"/>
                <w:szCs w:val="20"/>
              </w:rPr>
            </w:pPr>
            <w:r w:rsidRPr="008A6550">
              <w:rPr>
                <w:sz w:val="20"/>
                <w:szCs w:val="20"/>
                <w:lang w:val="fr-CA"/>
              </w:rPr>
              <w:pict>
                <v:rect id="_x0000_i1025" style="width:108pt;height:1pt" o:hrpct="0" o:hralign="center" o:hrstd="t" o:hrnoshade="t" o:hr="t" fillcolor="black [3213]" stroked="f"/>
              </w:pict>
            </w:r>
          </w:p>
        </w:tc>
        <w:tc>
          <w:tcPr>
            <w:tcW w:w="1181" w:type="dxa"/>
            <w:shd w:val="clear" w:color="auto" w:fill="auto"/>
          </w:tcPr>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Default="001D1146" w:rsidP="00242AEE">
            <w:pPr>
              <w:jc w:val="center"/>
              <w:rPr>
                <w:sz w:val="20"/>
                <w:szCs w:val="20"/>
              </w:rPr>
            </w:pPr>
          </w:p>
          <w:p w:rsidR="001D1146" w:rsidRPr="00A935AA" w:rsidRDefault="001D1146" w:rsidP="00242AEE">
            <w:pPr>
              <w:jc w:val="center"/>
              <w:rPr>
                <w:sz w:val="20"/>
                <w:szCs w:val="20"/>
              </w:rPr>
            </w:pPr>
          </w:p>
        </w:tc>
        <w:tc>
          <w:tcPr>
            <w:tcW w:w="4320" w:type="dxa"/>
            <w:shd w:val="clear" w:color="auto" w:fill="auto"/>
          </w:tcPr>
          <w:p w:rsidR="007D0A5A" w:rsidRDefault="007D0A5A" w:rsidP="007D0A5A">
            <w:pPr>
              <w:keepNext/>
              <w:keepLines/>
              <w:tabs>
                <w:tab w:val="left" w:pos="-1440"/>
                <w:tab w:val="left" w:pos="-720"/>
              </w:tabs>
              <w:rPr>
                <w:b/>
                <w:sz w:val="20"/>
                <w:szCs w:val="20"/>
              </w:rPr>
            </w:pPr>
            <w:r w:rsidRPr="009829B5">
              <w:rPr>
                <w:b/>
                <w:sz w:val="20"/>
                <w:szCs w:val="20"/>
              </w:rPr>
              <w:t>Andrew Mark Alexander</w:t>
            </w:r>
            <w:r>
              <w:rPr>
                <w:b/>
                <w:sz w:val="20"/>
                <w:szCs w:val="20"/>
              </w:rPr>
              <w:t xml:space="preserve"> Lawrence</w:t>
            </w:r>
          </w:p>
          <w:p w:rsidR="007D0A5A" w:rsidRPr="009829B5" w:rsidRDefault="007D0A5A" w:rsidP="007D0A5A">
            <w:pPr>
              <w:keepNext/>
              <w:keepLines/>
              <w:tabs>
                <w:tab w:val="left" w:pos="-1440"/>
                <w:tab w:val="left" w:pos="-720"/>
              </w:tabs>
              <w:rPr>
                <w:sz w:val="20"/>
                <w:szCs w:val="20"/>
              </w:rPr>
            </w:pPr>
            <w:r w:rsidRPr="00A935AA">
              <w:rPr>
                <w:sz w:val="20"/>
                <w:szCs w:val="20"/>
              </w:rPr>
              <w:tab/>
            </w:r>
            <w:r w:rsidRPr="009829B5">
              <w:rPr>
                <w:sz w:val="20"/>
                <w:szCs w:val="20"/>
              </w:rPr>
              <w:t>Andrew Mark Alexander Lawrence</w:t>
            </w:r>
          </w:p>
          <w:p w:rsidR="007D0A5A" w:rsidRPr="00A935AA" w:rsidRDefault="007D0A5A" w:rsidP="007D0A5A">
            <w:pPr>
              <w:keepNext/>
              <w:keepLines/>
              <w:tabs>
                <w:tab w:val="left" w:pos="-1440"/>
                <w:tab w:val="left" w:pos="-720"/>
              </w:tabs>
              <w:rPr>
                <w:sz w:val="20"/>
                <w:szCs w:val="20"/>
              </w:rPr>
            </w:pPr>
          </w:p>
          <w:p w:rsidR="007D0A5A" w:rsidRPr="009829B5" w:rsidRDefault="007D0A5A" w:rsidP="007D0A5A">
            <w:pPr>
              <w:keepNext/>
              <w:keepLines/>
              <w:tabs>
                <w:tab w:val="left" w:pos="-1440"/>
                <w:tab w:val="left" w:pos="-720"/>
              </w:tabs>
              <w:rPr>
                <w:sz w:val="20"/>
                <w:szCs w:val="20"/>
                <w:lang w:val="fr-CA"/>
              </w:rPr>
            </w:pPr>
            <w:r w:rsidRPr="00A935AA">
              <w:rPr>
                <w:sz w:val="20"/>
                <w:szCs w:val="20"/>
              </w:rPr>
              <w:tab/>
            </w:r>
            <w:r w:rsidRPr="009829B5">
              <w:rPr>
                <w:sz w:val="20"/>
                <w:szCs w:val="20"/>
                <w:lang w:val="fr-CA"/>
              </w:rPr>
              <w:t>v. (34553)</w:t>
            </w:r>
          </w:p>
          <w:p w:rsidR="007D0A5A" w:rsidRPr="009829B5" w:rsidRDefault="007D0A5A" w:rsidP="007D0A5A">
            <w:pPr>
              <w:keepNext/>
              <w:keepLines/>
              <w:tabs>
                <w:tab w:val="left" w:pos="-1440"/>
                <w:tab w:val="left" w:pos="-720"/>
              </w:tabs>
              <w:rPr>
                <w:sz w:val="20"/>
                <w:szCs w:val="20"/>
                <w:lang w:val="fr-CA"/>
              </w:rPr>
            </w:pPr>
          </w:p>
          <w:p w:rsidR="007D0A5A" w:rsidRPr="009829B5" w:rsidRDefault="007D0A5A" w:rsidP="007D0A5A">
            <w:pPr>
              <w:keepNext/>
              <w:keepLines/>
              <w:tabs>
                <w:tab w:val="left" w:pos="-1440"/>
                <w:tab w:val="left" w:pos="-720"/>
              </w:tabs>
              <w:rPr>
                <w:b/>
                <w:sz w:val="20"/>
                <w:szCs w:val="20"/>
                <w:lang w:val="fr-CA"/>
              </w:rPr>
            </w:pPr>
            <w:r w:rsidRPr="009829B5">
              <w:rPr>
                <w:b/>
                <w:sz w:val="20"/>
                <w:szCs w:val="20"/>
                <w:lang w:val="fr-CA"/>
              </w:rPr>
              <w:t>Peel Regional Police Force et al. (Ont.)</w:t>
            </w:r>
          </w:p>
          <w:p w:rsidR="007D0A5A" w:rsidRPr="002D5CEA" w:rsidRDefault="007D0A5A" w:rsidP="007D0A5A">
            <w:pPr>
              <w:keepNext/>
              <w:keepLines/>
              <w:tabs>
                <w:tab w:val="left" w:pos="-1440"/>
                <w:tab w:val="left" w:pos="-720"/>
              </w:tabs>
              <w:rPr>
                <w:sz w:val="20"/>
                <w:szCs w:val="20"/>
                <w:lang w:val="en-US"/>
              </w:rPr>
            </w:pPr>
            <w:r w:rsidRPr="009829B5">
              <w:rPr>
                <w:sz w:val="20"/>
                <w:szCs w:val="20"/>
                <w:lang w:val="fr-CA"/>
              </w:rPr>
              <w:tab/>
            </w:r>
            <w:r w:rsidRPr="002D5CEA">
              <w:rPr>
                <w:sz w:val="20"/>
                <w:szCs w:val="20"/>
                <w:lang w:val="en-US"/>
              </w:rPr>
              <w:t>Eugene Mazzuca</w:t>
            </w:r>
          </w:p>
          <w:p w:rsidR="007D0A5A" w:rsidRPr="007D0A5A" w:rsidRDefault="007D0A5A" w:rsidP="007D0A5A">
            <w:pPr>
              <w:keepNext/>
              <w:keepLines/>
              <w:tabs>
                <w:tab w:val="left" w:pos="-1440"/>
                <w:tab w:val="left" w:pos="-720"/>
              </w:tabs>
              <w:rPr>
                <w:sz w:val="20"/>
                <w:szCs w:val="20"/>
                <w:lang w:val="en-US"/>
              </w:rPr>
            </w:pPr>
            <w:r w:rsidRPr="002D5CEA">
              <w:rPr>
                <w:sz w:val="20"/>
                <w:szCs w:val="20"/>
                <w:lang w:val="en-US"/>
              </w:rPr>
              <w:tab/>
            </w:r>
            <w:r w:rsidRPr="007D0A5A">
              <w:rPr>
                <w:sz w:val="20"/>
                <w:szCs w:val="20"/>
                <w:lang w:val="en-US"/>
              </w:rPr>
              <w:t>Blaney McMurtry LLP</w:t>
            </w:r>
          </w:p>
          <w:p w:rsidR="007D0A5A" w:rsidRPr="007D0A5A" w:rsidRDefault="007D0A5A" w:rsidP="007D0A5A">
            <w:pPr>
              <w:keepNext/>
              <w:keepLines/>
              <w:tabs>
                <w:tab w:val="left" w:pos="-1440"/>
                <w:tab w:val="left" w:pos="-720"/>
              </w:tabs>
              <w:rPr>
                <w:sz w:val="20"/>
                <w:szCs w:val="20"/>
                <w:lang w:val="en-US"/>
              </w:rPr>
            </w:pPr>
          </w:p>
          <w:p w:rsidR="007D0A5A" w:rsidRDefault="007D0A5A" w:rsidP="007D0A5A">
            <w:pPr>
              <w:keepNext/>
              <w:keepLines/>
              <w:tabs>
                <w:tab w:val="left" w:pos="-1440"/>
                <w:tab w:val="left" w:pos="-720"/>
              </w:tabs>
              <w:rPr>
                <w:sz w:val="20"/>
                <w:szCs w:val="20"/>
              </w:rPr>
            </w:pPr>
            <w:r w:rsidRPr="00A935AA">
              <w:rPr>
                <w:sz w:val="20"/>
                <w:szCs w:val="20"/>
              </w:rPr>
              <w:t>FILING DATE: 2</w:t>
            </w:r>
            <w:r>
              <w:rPr>
                <w:sz w:val="20"/>
                <w:szCs w:val="20"/>
              </w:rPr>
              <w:t>2</w:t>
            </w:r>
            <w:r w:rsidRPr="00A935AA">
              <w:rPr>
                <w:sz w:val="20"/>
                <w:szCs w:val="20"/>
              </w:rPr>
              <w:t>.</w:t>
            </w:r>
            <w:r>
              <w:rPr>
                <w:sz w:val="20"/>
                <w:szCs w:val="20"/>
              </w:rPr>
              <w:t>11</w:t>
            </w:r>
            <w:r w:rsidRPr="00A935AA">
              <w:rPr>
                <w:sz w:val="20"/>
                <w:szCs w:val="20"/>
              </w:rPr>
              <w:t>.201</w:t>
            </w:r>
            <w:r>
              <w:rPr>
                <w:sz w:val="20"/>
                <w:szCs w:val="20"/>
              </w:rPr>
              <w:t>1</w:t>
            </w:r>
          </w:p>
          <w:p w:rsidR="001D1146" w:rsidRPr="00A935AA" w:rsidRDefault="008A6550" w:rsidP="009F7A4A">
            <w:pPr>
              <w:rPr>
                <w:sz w:val="20"/>
                <w:szCs w:val="20"/>
              </w:rPr>
            </w:pPr>
            <w:r w:rsidRPr="008A6550">
              <w:rPr>
                <w:sz w:val="20"/>
                <w:szCs w:val="20"/>
                <w:lang w:val="fr-CA"/>
              </w:rPr>
              <w:pict>
                <v:rect id="_x0000_i1026" style="width:108pt;height:1pt" o:hrpct="0" o:hralign="center" o:hrstd="t" o:hrnoshade="t" o:hr="t" fillcolor="black [3213]" stroked="f"/>
              </w:pict>
            </w:r>
          </w:p>
        </w:tc>
      </w:tr>
      <w:tr w:rsidR="009F7A4A" w:rsidRPr="00A935AA" w:rsidTr="003B3977">
        <w:tc>
          <w:tcPr>
            <w:tcW w:w="4320" w:type="dxa"/>
            <w:shd w:val="clear" w:color="auto" w:fill="auto"/>
          </w:tcPr>
          <w:p w:rsidR="007D0A5A" w:rsidRPr="00A935AA" w:rsidRDefault="007D0A5A" w:rsidP="007D0A5A">
            <w:pPr>
              <w:keepNext/>
              <w:keepLines/>
              <w:tabs>
                <w:tab w:val="left" w:pos="-1440"/>
                <w:tab w:val="left" w:pos="-720"/>
              </w:tabs>
              <w:rPr>
                <w:b/>
                <w:sz w:val="20"/>
                <w:szCs w:val="20"/>
              </w:rPr>
            </w:pPr>
            <w:r>
              <w:rPr>
                <w:b/>
                <w:sz w:val="20"/>
                <w:szCs w:val="20"/>
              </w:rPr>
              <w:t>Robert Manning</w:t>
            </w:r>
          </w:p>
          <w:p w:rsidR="007D0A5A" w:rsidRPr="00A935AA" w:rsidRDefault="007D0A5A" w:rsidP="007D0A5A">
            <w:pPr>
              <w:tabs>
                <w:tab w:val="left" w:pos="-1440"/>
                <w:tab w:val="left" w:pos="-720"/>
              </w:tabs>
              <w:rPr>
                <w:sz w:val="20"/>
                <w:szCs w:val="20"/>
              </w:rPr>
            </w:pPr>
            <w:r w:rsidRPr="00A935AA">
              <w:rPr>
                <w:sz w:val="20"/>
                <w:szCs w:val="20"/>
              </w:rPr>
              <w:tab/>
            </w:r>
            <w:r>
              <w:rPr>
                <w:sz w:val="20"/>
                <w:szCs w:val="20"/>
              </w:rPr>
              <w:t>Robert Manning</w:t>
            </w:r>
          </w:p>
          <w:p w:rsidR="007D0A5A" w:rsidRPr="00A935AA" w:rsidRDefault="007D0A5A" w:rsidP="007D0A5A">
            <w:pPr>
              <w:tabs>
                <w:tab w:val="left" w:pos="-1440"/>
                <w:tab w:val="left" w:pos="-720"/>
              </w:tabs>
              <w:rPr>
                <w:sz w:val="20"/>
                <w:szCs w:val="20"/>
              </w:rPr>
            </w:pPr>
          </w:p>
          <w:p w:rsidR="007D0A5A" w:rsidRPr="00A935AA" w:rsidRDefault="007D0A5A" w:rsidP="007D0A5A">
            <w:pPr>
              <w:tabs>
                <w:tab w:val="left" w:pos="-1440"/>
                <w:tab w:val="left" w:pos="-720"/>
              </w:tabs>
              <w:rPr>
                <w:sz w:val="20"/>
                <w:szCs w:val="20"/>
              </w:rPr>
            </w:pPr>
            <w:r w:rsidRPr="00A935AA">
              <w:rPr>
                <w:sz w:val="20"/>
                <w:szCs w:val="20"/>
              </w:rPr>
              <w:tab/>
              <w:t>v. (3</w:t>
            </w:r>
            <w:r>
              <w:rPr>
                <w:sz w:val="20"/>
                <w:szCs w:val="20"/>
              </w:rPr>
              <w:t>4529</w:t>
            </w:r>
            <w:r w:rsidRPr="00A935AA">
              <w:rPr>
                <w:sz w:val="20"/>
                <w:szCs w:val="20"/>
              </w:rPr>
              <w:t>)</w:t>
            </w:r>
          </w:p>
          <w:p w:rsidR="007D0A5A" w:rsidRPr="00A935AA" w:rsidRDefault="007D0A5A" w:rsidP="007D0A5A">
            <w:pPr>
              <w:tabs>
                <w:tab w:val="left" w:pos="-1440"/>
                <w:tab w:val="left" w:pos="-720"/>
              </w:tabs>
              <w:rPr>
                <w:sz w:val="20"/>
                <w:szCs w:val="20"/>
              </w:rPr>
            </w:pPr>
          </w:p>
          <w:p w:rsidR="007D0A5A" w:rsidRPr="00A935AA" w:rsidRDefault="007D0A5A" w:rsidP="007D0A5A">
            <w:pPr>
              <w:tabs>
                <w:tab w:val="left" w:pos="-1440"/>
                <w:tab w:val="left" w:pos="-720"/>
              </w:tabs>
              <w:rPr>
                <w:b/>
                <w:sz w:val="20"/>
                <w:szCs w:val="20"/>
              </w:rPr>
            </w:pPr>
            <w:r>
              <w:rPr>
                <w:b/>
                <w:sz w:val="20"/>
                <w:szCs w:val="20"/>
              </w:rPr>
              <w:t xml:space="preserve">College of Nurses of Ontario </w:t>
            </w:r>
            <w:r w:rsidRPr="00A935AA">
              <w:rPr>
                <w:b/>
                <w:sz w:val="20"/>
                <w:szCs w:val="20"/>
              </w:rPr>
              <w:t>(</w:t>
            </w:r>
            <w:r>
              <w:rPr>
                <w:b/>
                <w:sz w:val="20"/>
                <w:szCs w:val="20"/>
              </w:rPr>
              <w:t>Ont</w:t>
            </w:r>
            <w:r w:rsidRPr="00A935AA">
              <w:rPr>
                <w:b/>
                <w:sz w:val="20"/>
                <w:szCs w:val="20"/>
              </w:rPr>
              <w:t>.)</w:t>
            </w:r>
          </w:p>
          <w:p w:rsidR="007D0A5A" w:rsidRPr="00A935AA" w:rsidRDefault="007D0A5A" w:rsidP="007D0A5A">
            <w:pPr>
              <w:tabs>
                <w:tab w:val="left" w:pos="-1440"/>
                <w:tab w:val="left" w:pos="-720"/>
              </w:tabs>
              <w:rPr>
                <w:sz w:val="20"/>
                <w:szCs w:val="20"/>
              </w:rPr>
            </w:pPr>
            <w:r w:rsidRPr="00A935AA">
              <w:rPr>
                <w:sz w:val="20"/>
                <w:szCs w:val="20"/>
              </w:rPr>
              <w:tab/>
            </w:r>
            <w:r>
              <w:rPr>
                <w:sz w:val="20"/>
                <w:szCs w:val="20"/>
              </w:rPr>
              <w:t>Linda Rothstein</w:t>
            </w:r>
          </w:p>
          <w:p w:rsidR="007D0A5A" w:rsidRPr="00A935AA" w:rsidRDefault="007D0A5A" w:rsidP="007D0A5A">
            <w:pPr>
              <w:tabs>
                <w:tab w:val="left" w:pos="-1440"/>
                <w:tab w:val="left" w:pos="-720"/>
              </w:tabs>
              <w:rPr>
                <w:sz w:val="20"/>
                <w:szCs w:val="20"/>
              </w:rPr>
            </w:pPr>
            <w:r w:rsidRPr="00A935AA">
              <w:rPr>
                <w:sz w:val="20"/>
                <w:szCs w:val="20"/>
              </w:rPr>
              <w:tab/>
            </w:r>
            <w:r>
              <w:rPr>
                <w:sz w:val="20"/>
                <w:szCs w:val="20"/>
              </w:rPr>
              <w:t xml:space="preserve">Paliare, Roland, Rosenberg, Rothstein </w:t>
            </w:r>
            <w:r>
              <w:rPr>
                <w:sz w:val="20"/>
                <w:szCs w:val="20"/>
              </w:rPr>
              <w:tab/>
              <w:t>LLP</w:t>
            </w:r>
          </w:p>
          <w:p w:rsidR="007D0A5A" w:rsidRPr="00A935AA" w:rsidRDefault="007D0A5A" w:rsidP="007D0A5A">
            <w:pPr>
              <w:tabs>
                <w:tab w:val="left" w:pos="-1440"/>
                <w:tab w:val="left" w:pos="-720"/>
              </w:tabs>
              <w:rPr>
                <w:sz w:val="20"/>
                <w:szCs w:val="20"/>
              </w:rPr>
            </w:pPr>
          </w:p>
          <w:p w:rsidR="007D0A5A" w:rsidRPr="00A935AA" w:rsidRDefault="007D0A5A" w:rsidP="007D0A5A">
            <w:pPr>
              <w:rPr>
                <w:sz w:val="20"/>
                <w:szCs w:val="20"/>
              </w:rPr>
            </w:pPr>
            <w:r w:rsidRPr="00A935AA">
              <w:rPr>
                <w:sz w:val="20"/>
                <w:szCs w:val="20"/>
              </w:rPr>
              <w:t xml:space="preserve">FILING DATE: </w:t>
            </w:r>
            <w:r>
              <w:rPr>
                <w:sz w:val="20"/>
                <w:szCs w:val="20"/>
              </w:rPr>
              <w:t>0</w:t>
            </w:r>
            <w:r w:rsidRPr="00A935AA">
              <w:rPr>
                <w:sz w:val="20"/>
                <w:szCs w:val="20"/>
              </w:rPr>
              <w:t>7.</w:t>
            </w:r>
            <w:r>
              <w:rPr>
                <w:sz w:val="20"/>
                <w:szCs w:val="20"/>
              </w:rPr>
              <w:t>11</w:t>
            </w:r>
            <w:r w:rsidRPr="00A935AA">
              <w:rPr>
                <w:sz w:val="20"/>
                <w:szCs w:val="20"/>
              </w:rPr>
              <w:t>.201</w:t>
            </w:r>
            <w:r>
              <w:rPr>
                <w:sz w:val="20"/>
                <w:szCs w:val="20"/>
              </w:rPr>
              <w:t>1</w:t>
            </w:r>
          </w:p>
          <w:p w:rsidR="009F7A4A" w:rsidRPr="00A935AA" w:rsidRDefault="008A6550" w:rsidP="009F7A4A">
            <w:pPr>
              <w:rPr>
                <w:sz w:val="20"/>
                <w:szCs w:val="20"/>
              </w:rPr>
            </w:pPr>
            <w:r w:rsidRPr="008A655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Default="009F7A4A" w:rsidP="00242AEE">
            <w:pPr>
              <w:jc w:val="center"/>
              <w:rPr>
                <w:sz w:val="20"/>
                <w:szCs w:val="20"/>
              </w:rPr>
            </w:pPr>
          </w:p>
          <w:p w:rsidR="009F7A4A" w:rsidRPr="00A935AA" w:rsidRDefault="009F7A4A" w:rsidP="00242AEE">
            <w:pPr>
              <w:jc w:val="center"/>
              <w:rPr>
                <w:sz w:val="20"/>
                <w:szCs w:val="20"/>
              </w:rPr>
            </w:pPr>
          </w:p>
        </w:tc>
        <w:tc>
          <w:tcPr>
            <w:tcW w:w="4320" w:type="dxa"/>
            <w:shd w:val="clear" w:color="auto" w:fill="auto"/>
          </w:tcPr>
          <w:p w:rsidR="009F7A4A" w:rsidRPr="00A935AA" w:rsidRDefault="009F7A4A" w:rsidP="009829B5">
            <w:pPr>
              <w:keepNext/>
              <w:keepLines/>
              <w:tabs>
                <w:tab w:val="left" w:pos="-1440"/>
                <w:tab w:val="left" w:pos="-720"/>
              </w:tabs>
              <w:rPr>
                <w:b/>
                <w:sz w:val="20"/>
                <w:szCs w:val="20"/>
              </w:rPr>
            </w:pPr>
            <w:r>
              <w:rPr>
                <w:b/>
                <w:sz w:val="20"/>
                <w:szCs w:val="20"/>
              </w:rPr>
              <w:t>Daishowa-Marubeni International Ltd.</w:t>
            </w:r>
          </w:p>
          <w:p w:rsidR="009F7A4A" w:rsidRPr="00A935AA" w:rsidRDefault="009F7A4A" w:rsidP="009829B5">
            <w:pPr>
              <w:keepNext/>
              <w:keepLines/>
              <w:tabs>
                <w:tab w:val="left" w:pos="-1440"/>
                <w:tab w:val="left" w:pos="-720"/>
              </w:tabs>
              <w:rPr>
                <w:sz w:val="20"/>
                <w:szCs w:val="20"/>
              </w:rPr>
            </w:pPr>
            <w:r w:rsidRPr="00A935AA">
              <w:rPr>
                <w:sz w:val="20"/>
                <w:szCs w:val="20"/>
              </w:rPr>
              <w:tab/>
            </w:r>
            <w:r>
              <w:rPr>
                <w:sz w:val="20"/>
                <w:szCs w:val="20"/>
              </w:rPr>
              <w:t>John H. Saunders</w:t>
            </w:r>
          </w:p>
          <w:p w:rsidR="009F7A4A" w:rsidRPr="00A935AA" w:rsidRDefault="009F7A4A" w:rsidP="009829B5">
            <w:pPr>
              <w:keepNext/>
              <w:keepLines/>
              <w:tabs>
                <w:tab w:val="left" w:pos="-1440"/>
                <w:tab w:val="left" w:pos="-720"/>
              </w:tabs>
              <w:rPr>
                <w:sz w:val="20"/>
                <w:szCs w:val="20"/>
              </w:rPr>
            </w:pPr>
            <w:r w:rsidRPr="00A935AA">
              <w:rPr>
                <w:sz w:val="20"/>
                <w:szCs w:val="20"/>
              </w:rPr>
              <w:tab/>
            </w:r>
            <w:r>
              <w:rPr>
                <w:sz w:val="20"/>
                <w:szCs w:val="20"/>
              </w:rPr>
              <w:t>Wilson &amp; Partners LLP</w:t>
            </w:r>
          </w:p>
          <w:p w:rsidR="009F7A4A" w:rsidRPr="00A935AA" w:rsidRDefault="009F7A4A" w:rsidP="009829B5">
            <w:pPr>
              <w:keepNext/>
              <w:keepLines/>
              <w:tabs>
                <w:tab w:val="left" w:pos="-1440"/>
                <w:tab w:val="left" w:pos="-720"/>
              </w:tabs>
              <w:rPr>
                <w:sz w:val="20"/>
                <w:szCs w:val="20"/>
              </w:rPr>
            </w:pPr>
          </w:p>
          <w:p w:rsidR="009F7A4A" w:rsidRPr="00832502" w:rsidRDefault="009F7A4A" w:rsidP="009829B5">
            <w:pPr>
              <w:keepNext/>
              <w:keepLines/>
              <w:tabs>
                <w:tab w:val="left" w:pos="-1440"/>
                <w:tab w:val="left" w:pos="-720"/>
              </w:tabs>
              <w:rPr>
                <w:sz w:val="20"/>
                <w:szCs w:val="20"/>
              </w:rPr>
            </w:pPr>
            <w:r w:rsidRPr="00A935AA">
              <w:rPr>
                <w:sz w:val="20"/>
                <w:szCs w:val="20"/>
              </w:rPr>
              <w:tab/>
            </w:r>
            <w:r w:rsidRPr="00832502">
              <w:rPr>
                <w:sz w:val="20"/>
                <w:szCs w:val="20"/>
              </w:rPr>
              <w:t>v. (34</w:t>
            </w:r>
            <w:r>
              <w:rPr>
                <w:sz w:val="20"/>
                <w:szCs w:val="20"/>
              </w:rPr>
              <w:t>534</w:t>
            </w:r>
            <w:r w:rsidRPr="00832502">
              <w:rPr>
                <w:sz w:val="20"/>
                <w:szCs w:val="20"/>
              </w:rPr>
              <w:t>)</w:t>
            </w:r>
          </w:p>
          <w:p w:rsidR="009F7A4A" w:rsidRPr="00832502" w:rsidRDefault="009F7A4A" w:rsidP="009829B5">
            <w:pPr>
              <w:keepNext/>
              <w:keepLines/>
              <w:tabs>
                <w:tab w:val="left" w:pos="-1440"/>
                <w:tab w:val="left" w:pos="-720"/>
              </w:tabs>
              <w:rPr>
                <w:sz w:val="20"/>
                <w:szCs w:val="20"/>
              </w:rPr>
            </w:pPr>
          </w:p>
          <w:p w:rsidR="009F7A4A" w:rsidRPr="00832502" w:rsidRDefault="009F7A4A" w:rsidP="009829B5">
            <w:pPr>
              <w:keepNext/>
              <w:keepLines/>
              <w:tabs>
                <w:tab w:val="left" w:pos="-1440"/>
                <w:tab w:val="left" w:pos="-720"/>
              </w:tabs>
              <w:rPr>
                <w:b/>
                <w:sz w:val="20"/>
                <w:szCs w:val="20"/>
              </w:rPr>
            </w:pPr>
            <w:r>
              <w:rPr>
                <w:b/>
                <w:sz w:val="20"/>
                <w:szCs w:val="20"/>
              </w:rPr>
              <w:t xml:space="preserve">Her Majesty the Queen </w:t>
            </w:r>
            <w:r w:rsidRPr="00832502">
              <w:rPr>
                <w:b/>
                <w:sz w:val="20"/>
                <w:szCs w:val="20"/>
              </w:rPr>
              <w:t>(</w:t>
            </w:r>
            <w:r>
              <w:rPr>
                <w:b/>
                <w:sz w:val="20"/>
                <w:szCs w:val="20"/>
              </w:rPr>
              <w:t>F.C</w:t>
            </w:r>
            <w:r w:rsidRPr="00832502">
              <w:rPr>
                <w:b/>
                <w:sz w:val="20"/>
                <w:szCs w:val="20"/>
              </w:rPr>
              <w:t>.)</w:t>
            </w:r>
          </w:p>
          <w:p w:rsidR="009F7A4A" w:rsidRPr="00832502" w:rsidRDefault="009F7A4A" w:rsidP="009829B5">
            <w:pPr>
              <w:keepNext/>
              <w:keepLines/>
              <w:tabs>
                <w:tab w:val="left" w:pos="-1440"/>
                <w:tab w:val="left" w:pos="-720"/>
              </w:tabs>
              <w:rPr>
                <w:sz w:val="20"/>
                <w:szCs w:val="20"/>
              </w:rPr>
            </w:pPr>
            <w:r w:rsidRPr="00832502">
              <w:rPr>
                <w:sz w:val="20"/>
                <w:szCs w:val="20"/>
              </w:rPr>
              <w:tab/>
            </w:r>
            <w:r>
              <w:rPr>
                <w:sz w:val="20"/>
                <w:szCs w:val="20"/>
              </w:rPr>
              <w:t>David Jacyk</w:t>
            </w:r>
          </w:p>
          <w:p w:rsidR="009F7A4A" w:rsidRPr="00832502" w:rsidRDefault="009F7A4A" w:rsidP="009829B5">
            <w:pPr>
              <w:keepNext/>
              <w:keepLines/>
              <w:tabs>
                <w:tab w:val="left" w:pos="-1440"/>
                <w:tab w:val="left" w:pos="-720"/>
              </w:tabs>
              <w:rPr>
                <w:sz w:val="20"/>
                <w:szCs w:val="20"/>
              </w:rPr>
            </w:pPr>
            <w:r w:rsidRPr="00832502">
              <w:rPr>
                <w:sz w:val="20"/>
                <w:szCs w:val="20"/>
              </w:rPr>
              <w:tab/>
            </w:r>
            <w:r>
              <w:rPr>
                <w:sz w:val="20"/>
                <w:szCs w:val="20"/>
              </w:rPr>
              <w:t>A.G. of Canada</w:t>
            </w:r>
          </w:p>
          <w:p w:rsidR="009F7A4A" w:rsidRPr="00832502" w:rsidRDefault="009F7A4A" w:rsidP="009829B5">
            <w:pPr>
              <w:keepNext/>
              <w:keepLines/>
              <w:tabs>
                <w:tab w:val="left" w:pos="-1440"/>
                <w:tab w:val="left" w:pos="-720"/>
              </w:tabs>
              <w:rPr>
                <w:sz w:val="20"/>
                <w:szCs w:val="20"/>
              </w:rPr>
            </w:pPr>
          </w:p>
          <w:p w:rsidR="009F7A4A" w:rsidRPr="00A935AA" w:rsidRDefault="009F7A4A" w:rsidP="009829B5">
            <w:pPr>
              <w:rPr>
                <w:sz w:val="20"/>
                <w:szCs w:val="20"/>
              </w:rPr>
            </w:pPr>
            <w:r w:rsidRPr="00A935AA">
              <w:rPr>
                <w:sz w:val="20"/>
                <w:szCs w:val="20"/>
              </w:rPr>
              <w:t>FILING DATE: 2</w:t>
            </w:r>
            <w:r>
              <w:rPr>
                <w:sz w:val="20"/>
                <w:szCs w:val="20"/>
              </w:rPr>
              <w:t>1</w:t>
            </w:r>
            <w:r w:rsidRPr="00A935AA">
              <w:rPr>
                <w:sz w:val="20"/>
                <w:szCs w:val="20"/>
              </w:rPr>
              <w:t>.</w:t>
            </w:r>
            <w:r>
              <w:rPr>
                <w:sz w:val="20"/>
                <w:szCs w:val="20"/>
              </w:rPr>
              <w:t>11</w:t>
            </w:r>
            <w:r w:rsidRPr="00A935AA">
              <w:rPr>
                <w:sz w:val="20"/>
                <w:szCs w:val="20"/>
              </w:rPr>
              <w:t>.201</w:t>
            </w:r>
            <w:r>
              <w:rPr>
                <w:sz w:val="20"/>
                <w:szCs w:val="20"/>
              </w:rPr>
              <w:t>1</w:t>
            </w:r>
            <w:r w:rsidR="008A6550" w:rsidRPr="008A6550">
              <w:rPr>
                <w:sz w:val="20"/>
                <w:szCs w:val="20"/>
                <w:lang w:val="fr-CA"/>
              </w:rPr>
              <w:pict>
                <v:rect id="_x0000_i1028" style="width:108pt;height:1pt" o:hrpct="0" o:hralign="center" o:hrstd="t" o:hrnoshade="t" o:hr="t" fillcolor="black [3213]" stroked="f"/>
              </w:pict>
            </w:r>
          </w:p>
        </w:tc>
      </w:tr>
      <w:tr w:rsidR="009F7A4A" w:rsidRPr="00A935AA" w:rsidTr="003B3977">
        <w:tc>
          <w:tcPr>
            <w:tcW w:w="4320" w:type="dxa"/>
            <w:shd w:val="clear" w:color="auto" w:fill="auto"/>
          </w:tcPr>
          <w:p w:rsidR="007D0A5A" w:rsidRDefault="007D0A5A" w:rsidP="00832502">
            <w:pPr>
              <w:rPr>
                <w:b/>
                <w:sz w:val="20"/>
                <w:szCs w:val="20"/>
              </w:rPr>
            </w:pPr>
          </w:p>
          <w:p w:rsidR="009F7A4A" w:rsidRPr="00A935AA" w:rsidRDefault="009F7A4A" w:rsidP="00832502">
            <w:pPr>
              <w:rPr>
                <w:b/>
                <w:sz w:val="20"/>
                <w:szCs w:val="20"/>
              </w:rPr>
            </w:pPr>
            <w:r>
              <w:rPr>
                <w:b/>
                <w:sz w:val="20"/>
                <w:szCs w:val="20"/>
              </w:rPr>
              <w:t>TBT Personnel Services Inc.</w:t>
            </w:r>
          </w:p>
          <w:p w:rsidR="009F7A4A" w:rsidRPr="00A935AA" w:rsidRDefault="009F7A4A" w:rsidP="00832502">
            <w:pPr>
              <w:tabs>
                <w:tab w:val="left" w:pos="-1440"/>
                <w:tab w:val="left" w:pos="-720"/>
              </w:tabs>
              <w:rPr>
                <w:sz w:val="20"/>
                <w:szCs w:val="20"/>
              </w:rPr>
            </w:pPr>
            <w:r w:rsidRPr="00A935AA">
              <w:rPr>
                <w:sz w:val="20"/>
                <w:szCs w:val="20"/>
              </w:rPr>
              <w:tab/>
            </w:r>
            <w:r>
              <w:rPr>
                <w:sz w:val="20"/>
                <w:szCs w:val="20"/>
              </w:rPr>
              <w:t>David W. Chodikoff</w:t>
            </w:r>
          </w:p>
          <w:p w:rsidR="009F7A4A" w:rsidRPr="00A935AA" w:rsidRDefault="009F7A4A" w:rsidP="00832502">
            <w:pPr>
              <w:tabs>
                <w:tab w:val="left" w:pos="-1440"/>
                <w:tab w:val="left" w:pos="-720"/>
              </w:tabs>
              <w:rPr>
                <w:sz w:val="20"/>
                <w:szCs w:val="20"/>
              </w:rPr>
            </w:pPr>
            <w:r w:rsidRPr="00A935AA">
              <w:rPr>
                <w:sz w:val="20"/>
                <w:szCs w:val="20"/>
              </w:rPr>
              <w:tab/>
            </w:r>
            <w:r>
              <w:rPr>
                <w:sz w:val="20"/>
                <w:szCs w:val="20"/>
              </w:rPr>
              <w:t>Miller Thomson LLP</w:t>
            </w:r>
          </w:p>
          <w:p w:rsidR="009F7A4A" w:rsidRPr="00A935AA" w:rsidRDefault="009F7A4A" w:rsidP="00832502">
            <w:pPr>
              <w:tabs>
                <w:tab w:val="left" w:pos="-1440"/>
                <w:tab w:val="left" w:pos="-720"/>
              </w:tabs>
              <w:rPr>
                <w:sz w:val="20"/>
                <w:szCs w:val="20"/>
              </w:rPr>
            </w:pPr>
          </w:p>
          <w:p w:rsidR="009F7A4A" w:rsidRPr="00A935AA" w:rsidRDefault="009F7A4A" w:rsidP="00832502">
            <w:pPr>
              <w:tabs>
                <w:tab w:val="left" w:pos="-1440"/>
                <w:tab w:val="left" w:pos="-720"/>
              </w:tabs>
              <w:rPr>
                <w:sz w:val="20"/>
                <w:szCs w:val="20"/>
              </w:rPr>
            </w:pPr>
            <w:r w:rsidRPr="00A935AA">
              <w:rPr>
                <w:sz w:val="20"/>
                <w:szCs w:val="20"/>
              </w:rPr>
              <w:tab/>
              <w:t>v. (3</w:t>
            </w:r>
            <w:r>
              <w:rPr>
                <w:sz w:val="20"/>
                <w:szCs w:val="20"/>
              </w:rPr>
              <w:t>4533</w:t>
            </w:r>
            <w:r w:rsidRPr="00A935AA">
              <w:rPr>
                <w:sz w:val="20"/>
                <w:szCs w:val="20"/>
              </w:rPr>
              <w:t>)</w:t>
            </w:r>
          </w:p>
          <w:p w:rsidR="009F7A4A" w:rsidRPr="00A935AA" w:rsidRDefault="009F7A4A" w:rsidP="00832502">
            <w:pPr>
              <w:tabs>
                <w:tab w:val="left" w:pos="-1440"/>
                <w:tab w:val="left" w:pos="-720"/>
              </w:tabs>
              <w:rPr>
                <w:sz w:val="20"/>
                <w:szCs w:val="20"/>
              </w:rPr>
            </w:pPr>
          </w:p>
          <w:p w:rsidR="009F7A4A" w:rsidRPr="00A935AA" w:rsidRDefault="009F7A4A" w:rsidP="00832502">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w:t>
            </w:r>
            <w:r w:rsidRPr="00A935AA">
              <w:rPr>
                <w:b/>
                <w:sz w:val="20"/>
                <w:szCs w:val="20"/>
              </w:rPr>
              <w:t>.C.)</w:t>
            </w:r>
          </w:p>
          <w:p w:rsidR="009F7A4A" w:rsidRPr="00A935AA" w:rsidRDefault="009F7A4A" w:rsidP="00832502">
            <w:pPr>
              <w:tabs>
                <w:tab w:val="left" w:pos="-1440"/>
                <w:tab w:val="left" w:pos="-720"/>
              </w:tabs>
              <w:rPr>
                <w:sz w:val="20"/>
                <w:szCs w:val="20"/>
              </w:rPr>
            </w:pPr>
            <w:r w:rsidRPr="00A935AA">
              <w:rPr>
                <w:sz w:val="20"/>
                <w:szCs w:val="20"/>
              </w:rPr>
              <w:tab/>
            </w:r>
            <w:r>
              <w:rPr>
                <w:sz w:val="20"/>
                <w:szCs w:val="20"/>
              </w:rPr>
              <w:t>Marie-Thérèse Boris</w:t>
            </w:r>
          </w:p>
          <w:p w:rsidR="009F7A4A" w:rsidRPr="00A935AA" w:rsidRDefault="009F7A4A" w:rsidP="00832502">
            <w:pPr>
              <w:tabs>
                <w:tab w:val="left" w:pos="-1440"/>
                <w:tab w:val="left" w:pos="-720"/>
              </w:tabs>
              <w:rPr>
                <w:sz w:val="20"/>
                <w:szCs w:val="20"/>
              </w:rPr>
            </w:pPr>
            <w:r w:rsidRPr="00A935AA">
              <w:rPr>
                <w:sz w:val="20"/>
                <w:szCs w:val="20"/>
              </w:rPr>
              <w:tab/>
            </w:r>
            <w:r>
              <w:rPr>
                <w:sz w:val="20"/>
                <w:szCs w:val="20"/>
              </w:rPr>
              <w:t>A.G. of Canada</w:t>
            </w:r>
          </w:p>
          <w:p w:rsidR="009F7A4A" w:rsidRPr="00A935AA" w:rsidRDefault="009F7A4A" w:rsidP="00832502">
            <w:pPr>
              <w:tabs>
                <w:tab w:val="left" w:pos="-1440"/>
                <w:tab w:val="left" w:pos="-720"/>
              </w:tabs>
              <w:rPr>
                <w:sz w:val="20"/>
                <w:szCs w:val="20"/>
              </w:rPr>
            </w:pPr>
          </w:p>
          <w:p w:rsidR="009F7A4A" w:rsidRPr="00A935AA" w:rsidRDefault="009F7A4A" w:rsidP="00832502">
            <w:pPr>
              <w:rPr>
                <w:sz w:val="20"/>
                <w:szCs w:val="20"/>
              </w:rPr>
            </w:pPr>
            <w:r w:rsidRPr="00A935AA">
              <w:rPr>
                <w:sz w:val="20"/>
                <w:szCs w:val="20"/>
              </w:rPr>
              <w:t>FILING DATE: 2</w:t>
            </w:r>
            <w:r>
              <w:rPr>
                <w:sz w:val="20"/>
                <w:szCs w:val="20"/>
              </w:rPr>
              <w:t>1</w:t>
            </w:r>
            <w:r w:rsidRPr="00A935AA">
              <w:rPr>
                <w:sz w:val="20"/>
                <w:szCs w:val="20"/>
              </w:rPr>
              <w:t>.</w:t>
            </w:r>
            <w:r>
              <w:rPr>
                <w:sz w:val="20"/>
                <w:szCs w:val="20"/>
              </w:rPr>
              <w:t>11</w:t>
            </w:r>
            <w:r w:rsidRPr="00A935AA">
              <w:rPr>
                <w:sz w:val="20"/>
                <w:szCs w:val="20"/>
              </w:rPr>
              <w:t>.201</w:t>
            </w:r>
            <w:r>
              <w:rPr>
                <w:sz w:val="20"/>
                <w:szCs w:val="20"/>
              </w:rPr>
              <w:t>1</w:t>
            </w:r>
          </w:p>
          <w:p w:rsidR="009F7A4A" w:rsidRPr="00A935AA" w:rsidRDefault="008A6550" w:rsidP="00832502">
            <w:pPr>
              <w:rPr>
                <w:sz w:val="20"/>
                <w:szCs w:val="20"/>
              </w:rPr>
            </w:pPr>
            <w:r w:rsidRPr="008A6550">
              <w:rPr>
                <w:sz w:val="20"/>
                <w:szCs w:val="20"/>
                <w:lang w:val="fr-CA"/>
              </w:rPr>
              <w:pict>
                <v:rect id="_x0000_i1029" style="width:108pt;height:1pt" o:hrpct="0" o:hralign="center" o:hrstd="t" o:hrnoshade="t" o:hr="t" fillcolor="black [3213]" stroked="f"/>
              </w:pict>
            </w:r>
          </w:p>
        </w:tc>
        <w:tc>
          <w:tcPr>
            <w:tcW w:w="1181" w:type="dxa"/>
            <w:shd w:val="clear" w:color="auto" w:fill="auto"/>
          </w:tcPr>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p w:rsidR="009F7A4A" w:rsidRPr="00A935AA" w:rsidRDefault="009F7A4A" w:rsidP="00242AEE">
            <w:pPr>
              <w:jc w:val="center"/>
              <w:rPr>
                <w:sz w:val="20"/>
                <w:szCs w:val="20"/>
              </w:rPr>
            </w:pPr>
          </w:p>
        </w:tc>
        <w:tc>
          <w:tcPr>
            <w:tcW w:w="4320" w:type="dxa"/>
            <w:shd w:val="clear" w:color="auto" w:fill="auto"/>
          </w:tcPr>
          <w:p w:rsidR="009829B5" w:rsidRDefault="009829B5" w:rsidP="009829B5">
            <w:pPr>
              <w:keepNext/>
              <w:keepLines/>
              <w:tabs>
                <w:tab w:val="left" w:pos="-1440"/>
                <w:tab w:val="left" w:pos="-720"/>
              </w:tabs>
              <w:rPr>
                <w:b/>
                <w:sz w:val="20"/>
                <w:szCs w:val="20"/>
              </w:rPr>
            </w:pPr>
          </w:p>
          <w:p w:rsidR="00FF2C3C" w:rsidRPr="00FF2C3C" w:rsidRDefault="00FF2C3C" w:rsidP="00FF2C3C">
            <w:pPr>
              <w:keepNext/>
              <w:keepLines/>
              <w:tabs>
                <w:tab w:val="left" w:pos="-1440"/>
                <w:tab w:val="left" w:pos="-720"/>
              </w:tabs>
              <w:rPr>
                <w:b/>
                <w:sz w:val="20"/>
                <w:szCs w:val="20"/>
                <w:lang w:val="fr-CA"/>
              </w:rPr>
            </w:pPr>
            <w:r w:rsidRPr="00FF2C3C">
              <w:rPr>
                <w:b/>
                <w:sz w:val="20"/>
                <w:szCs w:val="20"/>
                <w:lang w:val="fr-CA"/>
              </w:rPr>
              <w:t>Jacques Nault</w:t>
            </w:r>
          </w:p>
          <w:p w:rsidR="00FF2C3C" w:rsidRPr="00FF2C3C" w:rsidRDefault="00FF2C3C" w:rsidP="00FF2C3C">
            <w:pPr>
              <w:keepNext/>
              <w:keepLines/>
              <w:tabs>
                <w:tab w:val="left" w:pos="-1440"/>
                <w:tab w:val="left" w:pos="-720"/>
              </w:tabs>
              <w:rPr>
                <w:sz w:val="20"/>
                <w:szCs w:val="20"/>
                <w:lang w:val="fr-CA"/>
              </w:rPr>
            </w:pPr>
            <w:r w:rsidRPr="00FF2C3C">
              <w:rPr>
                <w:sz w:val="20"/>
                <w:szCs w:val="20"/>
                <w:lang w:val="fr-CA"/>
              </w:rPr>
              <w:tab/>
              <w:t>Jacques Nault</w:t>
            </w:r>
          </w:p>
          <w:p w:rsidR="00FF2C3C" w:rsidRPr="00FF2C3C" w:rsidRDefault="00FF2C3C" w:rsidP="00FF2C3C">
            <w:pPr>
              <w:keepNext/>
              <w:keepLines/>
              <w:tabs>
                <w:tab w:val="left" w:pos="-1440"/>
                <w:tab w:val="left" w:pos="-720"/>
              </w:tabs>
              <w:rPr>
                <w:sz w:val="20"/>
                <w:szCs w:val="20"/>
                <w:lang w:val="fr-CA"/>
              </w:rPr>
            </w:pPr>
          </w:p>
          <w:p w:rsidR="00FF2C3C" w:rsidRPr="00FF2C3C" w:rsidRDefault="00FF2C3C" w:rsidP="00FF2C3C">
            <w:pPr>
              <w:keepNext/>
              <w:keepLines/>
              <w:tabs>
                <w:tab w:val="left" w:pos="-1440"/>
                <w:tab w:val="left" w:pos="-720"/>
              </w:tabs>
              <w:rPr>
                <w:sz w:val="20"/>
                <w:szCs w:val="20"/>
                <w:lang w:val="fr-CA"/>
              </w:rPr>
            </w:pPr>
            <w:r w:rsidRPr="00FF2C3C">
              <w:rPr>
                <w:sz w:val="20"/>
                <w:szCs w:val="20"/>
                <w:lang w:val="fr-CA"/>
              </w:rPr>
              <w:tab/>
              <w:t>c. (34550)</w:t>
            </w:r>
          </w:p>
          <w:p w:rsidR="00FF2C3C" w:rsidRPr="00FF2C3C" w:rsidRDefault="00FF2C3C" w:rsidP="00FF2C3C">
            <w:pPr>
              <w:keepNext/>
              <w:keepLines/>
              <w:tabs>
                <w:tab w:val="left" w:pos="-1440"/>
                <w:tab w:val="left" w:pos="-720"/>
              </w:tabs>
              <w:rPr>
                <w:sz w:val="20"/>
                <w:szCs w:val="20"/>
                <w:lang w:val="fr-CA"/>
              </w:rPr>
            </w:pPr>
          </w:p>
          <w:p w:rsidR="00FF2C3C" w:rsidRPr="00FF2C3C" w:rsidRDefault="00FF2C3C" w:rsidP="00FF2C3C">
            <w:pPr>
              <w:keepNext/>
              <w:keepLines/>
              <w:tabs>
                <w:tab w:val="left" w:pos="-1440"/>
                <w:tab w:val="left" w:pos="-720"/>
              </w:tabs>
              <w:rPr>
                <w:b/>
                <w:sz w:val="20"/>
                <w:szCs w:val="20"/>
                <w:lang w:val="fr-CA"/>
              </w:rPr>
            </w:pPr>
            <w:r w:rsidRPr="00FF2C3C">
              <w:rPr>
                <w:b/>
                <w:sz w:val="20"/>
                <w:szCs w:val="20"/>
                <w:lang w:val="fr-CA"/>
              </w:rPr>
              <w:t>Ministre des travaux publics et services gouvernementaux du Canada (C.F.)</w:t>
            </w:r>
          </w:p>
          <w:p w:rsidR="00FF2C3C" w:rsidRPr="00FF2C3C" w:rsidRDefault="00FF2C3C" w:rsidP="00FF2C3C">
            <w:pPr>
              <w:keepNext/>
              <w:keepLines/>
              <w:tabs>
                <w:tab w:val="left" w:pos="-1440"/>
                <w:tab w:val="left" w:pos="-720"/>
              </w:tabs>
              <w:rPr>
                <w:sz w:val="20"/>
                <w:szCs w:val="20"/>
                <w:lang w:val="fr-CA"/>
              </w:rPr>
            </w:pPr>
            <w:r w:rsidRPr="00FF2C3C">
              <w:rPr>
                <w:sz w:val="20"/>
                <w:szCs w:val="20"/>
                <w:lang w:val="fr-CA"/>
              </w:rPr>
              <w:tab/>
            </w:r>
            <w:r>
              <w:rPr>
                <w:sz w:val="20"/>
                <w:szCs w:val="20"/>
                <w:lang w:val="fr-CA"/>
              </w:rPr>
              <w:t>Caroline Laverdière</w:t>
            </w:r>
          </w:p>
          <w:p w:rsidR="00FF2C3C" w:rsidRPr="00FF2C3C" w:rsidRDefault="00FF2C3C" w:rsidP="00FF2C3C">
            <w:pPr>
              <w:keepNext/>
              <w:keepLines/>
              <w:tabs>
                <w:tab w:val="left" w:pos="-1440"/>
                <w:tab w:val="left" w:pos="-720"/>
              </w:tabs>
              <w:rPr>
                <w:sz w:val="20"/>
                <w:szCs w:val="20"/>
                <w:lang w:val="fr-CA"/>
              </w:rPr>
            </w:pPr>
            <w:r w:rsidRPr="00FF2C3C">
              <w:rPr>
                <w:sz w:val="20"/>
                <w:szCs w:val="20"/>
                <w:lang w:val="fr-CA"/>
              </w:rPr>
              <w:tab/>
            </w:r>
            <w:r>
              <w:rPr>
                <w:sz w:val="20"/>
                <w:szCs w:val="20"/>
                <w:lang w:val="fr-CA"/>
              </w:rPr>
              <w:t>P.G. du Canada</w:t>
            </w:r>
          </w:p>
          <w:p w:rsidR="00FF2C3C" w:rsidRPr="00FF2C3C" w:rsidRDefault="00FF2C3C" w:rsidP="00FF2C3C">
            <w:pPr>
              <w:keepNext/>
              <w:keepLines/>
              <w:tabs>
                <w:tab w:val="left" w:pos="-1440"/>
                <w:tab w:val="left" w:pos="-720"/>
              </w:tabs>
              <w:rPr>
                <w:sz w:val="20"/>
                <w:szCs w:val="20"/>
                <w:lang w:val="fr-CA"/>
              </w:rPr>
            </w:pPr>
          </w:p>
          <w:p w:rsidR="009F7A4A" w:rsidRPr="00A935AA" w:rsidRDefault="006B19DA" w:rsidP="006B19DA">
            <w:pPr>
              <w:keepNext/>
              <w:keepLines/>
              <w:tabs>
                <w:tab w:val="left" w:pos="-1440"/>
                <w:tab w:val="left" w:pos="-720"/>
              </w:tabs>
              <w:rPr>
                <w:sz w:val="20"/>
                <w:szCs w:val="20"/>
              </w:rPr>
            </w:pPr>
            <w:r>
              <w:rPr>
                <w:sz w:val="20"/>
                <w:szCs w:val="20"/>
              </w:rPr>
              <w:t xml:space="preserve">DATE DE PRODUCTION </w:t>
            </w:r>
            <w:r w:rsidR="00FF2C3C">
              <w:rPr>
                <w:sz w:val="20"/>
                <w:szCs w:val="20"/>
              </w:rPr>
              <w:t>: 22</w:t>
            </w:r>
            <w:r w:rsidR="00FF2C3C" w:rsidRPr="00A935AA">
              <w:rPr>
                <w:sz w:val="20"/>
                <w:szCs w:val="20"/>
              </w:rPr>
              <w:t>.</w:t>
            </w:r>
            <w:r w:rsidR="00FF2C3C">
              <w:rPr>
                <w:sz w:val="20"/>
                <w:szCs w:val="20"/>
              </w:rPr>
              <w:t>11</w:t>
            </w:r>
            <w:r w:rsidR="00FF2C3C" w:rsidRPr="00A935AA">
              <w:rPr>
                <w:sz w:val="20"/>
                <w:szCs w:val="20"/>
              </w:rPr>
              <w:t>.</w:t>
            </w:r>
            <w:r w:rsidR="00FF2C3C">
              <w:rPr>
                <w:sz w:val="20"/>
                <w:szCs w:val="20"/>
              </w:rPr>
              <w:t>2011</w:t>
            </w:r>
            <w:r w:rsidR="008A6550" w:rsidRPr="008A6550">
              <w:rPr>
                <w:sz w:val="20"/>
                <w:szCs w:val="20"/>
                <w:lang w:val="fr-CA"/>
              </w:rPr>
              <w:pict>
                <v:rect id="_x0000_i1030" style="width:108pt;height:1pt" o:hrpct="0" o:hralign="center" o:hrstd="t" o:hrnoshade="t" o:hr="t" fillcolor="black [3213]" stroked="f"/>
              </w:pict>
            </w:r>
          </w:p>
        </w:tc>
      </w:tr>
      <w:tr w:rsidR="001D1146" w:rsidRPr="00A935AA" w:rsidTr="003B3977">
        <w:tc>
          <w:tcPr>
            <w:tcW w:w="4320" w:type="dxa"/>
            <w:shd w:val="clear" w:color="auto" w:fill="auto"/>
          </w:tcPr>
          <w:p w:rsidR="0036574E" w:rsidRDefault="0036574E" w:rsidP="0036574E">
            <w:pPr>
              <w:keepNext/>
              <w:keepLines/>
              <w:tabs>
                <w:tab w:val="left" w:pos="-1440"/>
                <w:tab w:val="left" w:pos="-720"/>
              </w:tabs>
              <w:rPr>
                <w:b/>
                <w:sz w:val="20"/>
                <w:szCs w:val="20"/>
                <w:lang w:val="fr-CA"/>
              </w:rPr>
            </w:pPr>
          </w:p>
          <w:p w:rsidR="0036574E" w:rsidRPr="0036574E" w:rsidRDefault="0036574E" w:rsidP="0036574E">
            <w:pPr>
              <w:keepNext/>
              <w:keepLines/>
              <w:tabs>
                <w:tab w:val="left" w:pos="-1440"/>
                <w:tab w:val="left" w:pos="-720"/>
              </w:tabs>
              <w:rPr>
                <w:b/>
                <w:sz w:val="20"/>
                <w:szCs w:val="20"/>
                <w:lang w:val="fr-CA"/>
              </w:rPr>
            </w:pPr>
            <w:r w:rsidRPr="0036574E">
              <w:rPr>
                <w:b/>
                <w:sz w:val="20"/>
                <w:szCs w:val="20"/>
                <w:lang w:val="fr-CA"/>
              </w:rPr>
              <w:t>S…R…</w:t>
            </w:r>
          </w:p>
          <w:p w:rsidR="0036574E" w:rsidRPr="0036574E" w:rsidRDefault="0036574E" w:rsidP="0036574E">
            <w:pPr>
              <w:keepNext/>
              <w:keepLines/>
              <w:tabs>
                <w:tab w:val="left" w:pos="-1440"/>
                <w:tab w:val="left" w:pos="-720"/>
              </w:tabs>
              <w:rPr>
                <w:sz w:val="20"/>
                <w:szCs w:val="20"/>
                <w:lang w:val="fr-CA"/>
              </w:rPr>
            </w:pPr>
            <w:r w:rsidRPr="0036574E">
              <w:rPr>
                <w:sz w:val="20"/>
                <w:szCs w:val="20"/>
                <w:lang w:val="fr-CA"/>
              </w:rPr>
              <w:tab/>
              <w:t>S…R…</w:t>
            </w:r>
          </w:p>
          <w:p w:rsidR="0036574E" w:rsidRPr="0036574E" w:rsidRDefault="0036574E" w:rsidP="0036574E">
            <w:pPr>
              <w:keepNext/>
              <w:keepLines/>
              <w:tabs>
                <w:tab w:val="left" w:pos="-1440"/>
                <w:tab w:val="left" w:pos="-720"/>
              </w:tabs>
              <w:rPr>
                <w:sz w:val="20"/>
                <w:szCs w:val="20"/>
                <w:lang w:val="fr-CA"/>
              </w:rPr>
            </w:pPr>
            <w:r w:rsidRPr="0036574E">
              <w:rPr>
                <w:sz w:val="20"/>
                <w:szCs w:val="20"/>
                <w:lang w:val="fr-CA"/>
              </w:rPr>
              <w:tab/>
            </w:r>
          </w:p>
          <w:p w:rsidR="0036574E" w:rsidRPr="0036574E" w:rsidRDefault="0036574E" w:rsidP="0036574E">
            <w:pPr>
              <w:keepNext/>
              <w:keepLines/>
              <w:tabs>
                <w:tab w:val="left" w:pos="-1440"/>
                <w:tab w:val="left" w:pos="-720"/>
              </w:tabs>
              <w:rPr>
                <w:sz w:val="20"/>
                <w:szCs w:val="20"/>
                <w:lang w:val="fr-CA"/>
              </w:rPr>
            </w:pPr>
            <w:r w:rsidRPr="0036574E">
              <w:rPr>
                <w:sz w:val="20"/>
                <w:szCs w:val="20"/>
                <w:lang w:val="fr-CA"/>
              </w:rPr>
              <w:tab/>
              <w:t>c. (34544)</w:t>
            </w:r>
          </w:p>
          <w:p w:rsidR="0036574E" w:rsidRPr="0036574E" w:rsidRDefault="0036574E" w:rsidP="0036574E">
            <w:pPr>
              <w:keepNext/>
              <w:keepLines/>
              <w:tabs>
                <w:tab w:val="left" w:pos="-1440"/>
                <w:tab w:val="left" w:pos="-720"/>
              </w:tabs>
              <w:rPr>
                <w:sz w:val="20"/>
                <w:szCs w:val="20"/>
                <w:lang w:val="fr-CA"/>
              </w:rPr>
            </w:pPr>
          </w:p>
          <w:p w:rsidR="0036574E" w:rsidRPr="0036574E" w:rsidRDefault="0036574E" w:rsidP="0036574E">
            <w:pPr>
              <w:keepNext/>
              <w:keepLines/>
              <w:tabs>
                <w:tab w:val="left" w:pos="-1440"/>
                <w:tab w:val="left" w:pos="-720"/>
              </w:tabs>
              <w:rPr>
                <w:b/>
                <w:sz w:val="20"/>
                <w:szCs w:val="20"/>
                <w:lang w:val="fr-CA"/>
              </w:rPr>
            </w:pPr>
            <w:r w:rsidRPr="0036574E">
              <w:rPr>
                <w:b/>
                <w:sz w:val="20"/>
                <w:szCs w:val="20"/>
                <w:lang w:val="fr-CA"/>
              </w:rPr>
              <w:t>C…RA… et autre</w:t>
            </w:r>
            <w:r w:rsidR="00AD0280">
              <w:rPr>
                <w:b/>
                <w:sz w:val="20"/>
                <w:szCs w:val="20"/>
                <w:lang w:val="fr-CA"/>
              </w:rPr>
              <w:t xml:space="preserve"> </w:t>
            </w:r>
            <w:r w:rsidRPr="0036574E">
              <w:rPr>
                <w:b/>
                <w:sz w:val="20"/>
                <w:szCs w:val="20"/>
                <w:lang w:val="fr-CA"/>
              </w:rPr>
              <w:t>(Qc)</w:t>
            </w:r>
          </w:p>
          <w:p w:rsidR="0036574E" w:rsidRPr="0036574E" w:rsidRDefault="0036574E" w:rsidP="0036574E">
            <w:pPr>
              <w:keepNext/>
              <w:keepLines/>
              <w:tabs>
                <w:tab w:val="left" w:pos="-1440"/>
                <w:tab w:val="left" w:pos="-720"/>
              </w:tabs>
              <w:rPr>
                <w:sz w:val="20"/>
                <w:szCs w:val="20"/>
                <w:lang w:val="fr-CA"/>
              </w:rPr>
            </w:pPr>
            <w:r w:rsidRPr="0036574E">
              <w:rPr>
                <w:sz w:val="20"/>
                <w:szCs w:val="20"/>
                <w:lang w:val="fr-CA"/>
              </w:rPr>
              <w:tab/>
            </w:r>
            <w:r>
              <w:rPr>
                <w:sz w:val="20"/>
                <w:szCs w:val="20"/>
                <w:lang w:val="fr-CA"/>
              </w:rPr>
              <w:t>Aide juridique de Montréal</w:t>
            </w:r>
          </w:p>
          <w:p w:rsidR="0036574E" w:rsidRPr="0036574E" w:rsidRDefault="0036574E" w:rsidP="0036574E">
            <w:pPr>
              <w:keepNext/>
              <w:keepLines/>
              <w:tabs>
                <w:tab w:val="left" w:pos="-1440"/>
                <w:tab w:val="left" w:pos="-720"/>
              </w:tabs>
              <w:rPr>
                <w:sz w:val="20"/>
                <w:szCs w:val="20"/>
                <w:lang w:val="fr-CA"/>
              </w:rPr>
            </w:pPr>
            <w:r w:rsidRPr="0036574E">
              <w:rPr>
                <w:sz w:val="20"/>
                <w:szCs w:val="20"/>
                <w:lang w:val="fr-CA"/>
              </w:rPr>
              <w:tab/>
            </w:r>
            <w:r>
              <w:rPr>
                <w:sz w:val="20"/>
                <w:szCs w:val="20"/>
                <w:lang w:val="fr-CA"/>
              </w:rPr>
              <w:t>Jean-François Pépin</w:t>
            </w:r>
          </w:p>
          <w:p w:rsidR="0036574E" w:rsidRPr="0036574E" w:rsidRDefault="0036574E" w:rsidP="0036574E">
            <w:pPr>
              <w:keepNext/>
              <w:keepLines/>
              <w:tabs>
                <w:tab w:val="left" w:pos="-1440"/>
                <w:tab w:val="left" w:pos="-720"/>
              </w:tabs>
              <w:rPr>
                <w:sz w:val="20"/>
                <w:szCs w:val="20"/>
                <w:lang w:val="fr-CA"/>
              </w:rPr>
            </w:pPr>
          </w:p>
          <w:p w:rsidR="0036574E" w:rsidRDefault="0036574E" w:rsidP="0036574E">
            <w:pPr>
              <w:rPr>
                <w:b/>
                <w:sz w:val="20"/>
                <w:szCs w:val="20"/>
                <w:lang w:val="fr-CA"/>
              </w:rPr>
            </w:pPr>
            <w:r w:rsidRPr="0036574E">
              <w:rPr>
                <w:sz w:val="20"/>
                <w:szCs w:val="20"/>
                <w:lang w:val="fr-CA"/>
              </w:rPr>
              <w:t>DATE DE PRODUCTION : 2</w:t>
            </w:r>
            <w:r>
              <w:rPr>
                <w:sz w:val="20"/>
                <w:szCs w:val="20"/>
                <w:lang w:val="fr-CA"/>
              </w:rPr>
              <w:t>2</w:t>
            </w:r>
            <w:r w:rsidRPr="0036574E">
              <w:rPr>
                <w:sz w:val="20"/>
                <w:szCs w:val="20"/>
                <w:lang w:val="fr-CA"/>
              </w:rPr>
              <w:t>.11.2011</w:t>
            </w:r>
            <w:r w:rsidRPr="0036574E">
              <w:rPr>
                <w:b/>
                <w:sz w:val="20"/>
                <w:szCs w:val="20"/>
                <w:lang w:val="fr-CA"/>
              </w:rPr>
              <w:t xml:space="preserve"> </w:t>
            </w:r>
          </w:p>
          <w:p w:rsidR="001D1146" w:rsidRPr="00A935AA" w:rsidRDefault="008A6550" w:rsidP="00CB2338">
            <w:pPr>
              <w:rPr>
                <w:sz w:val="20"/>
                <w:szCs w:val="20"/>
              </w:rPr>
            </w:pPr>
            <w:r w:rsidRPr="008A6550">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Default="001D1146" w:rsidP="00242AEE">
            <w:pPr>
              <w:jc w:val="center"/>
              <w:rPr>
                <w:sz w:val="20"/>
                <w:szCs w:val="20"/>
              </w:rPr>
            </w:pPr>
          </w:p>
          <w:p w:rsidR="0036574E" w:rsidRPr="00A935AA" w:rsidRDefault="0036574E" w:rsidP="00242AEE">
            <w:pPr>
              <w:jc w:val="center"/>
              <w:rPr>
                <w:sz w:val="20"/>
                <w:szCs w:val="20"/>
              </w:rPr>
            </w:pPr>
          </w:p>
        </w:tc>
        <w:tc>
          <w:tcPr>
            <w:tcW w:w="4320" w:type="dxa"/>
            <w:shd w:val="clear" w:color="auto" w:fill="auto"/>
          </w:tcPr>
          <w:p w:rsidR="00FF2C3C" w:rsidRDefault="00FF2C3C" w:rsidP="00832502">
            <w:pPr>
              <w:rPr>
                <w:sz w:val="20"/>
                <w:szCs w:val="20"/>
                <w:lang w:val="fr-CA"/>
              </w:rPr>
            </w:pPr>
          </w:p>
          <w:p w:rsidR="00FF2C3C" w:rsidRPr="00A935AA" w:rsidRDefault="00FF2C3C" w:rsidP="00FF2C3C">
            <w:pPr>
              <w:keepNext/>
              <w:keepLines/>
              <w:tabs>
                <w:tab w:val="left" w:pos="-1440"/>
                <w:tab w:val="left" w:pos="-720"/>
              </w:tabs>
              <w:rPr>
                <w:b/>
                <w:sz w:val="20"/>
                <w:szCs w:val="20"/>
              </w:rPr>
            </w:pPr>
            <w:r>
              <w:rPr>
                <w:b/>
                <w:sz w:val="20"/>
                <w:szCs w:val="20"/>
              </w:rPr>
              <w:t>Edward Burke Hudson</w:t>
            </w:r>
          </w:p>
          <w:p w:rsidR="00FF2C3C" w:rsidRPr="00A935AA" w:rsidRDefault="00FF2C3C" w:rsidP="00FF2C3C">
            <w:pPr>
              <w:keepNext/>
              <w:keepLines/>
              <w:tabs>
                <w:tab w:val="left" w:pos="-1440"/>
                <w:tab w:val="left" w:pos="-720"/>
              </w:tabs>
              <w:rPr>
                <w:sz w:val="20"/>
                <w:szCs w:val="20"/>
              </w:rPr>
            </w:pPr>
            <w:r w:rsidRPr="00A935AA">
              <w:rPr>
                <w:sz w:val="20"/>
                <w:szCs w:val="20"/>
              </w:rPr>
              <w:tab/>
            </w:r>
            <w:r>
              <w:rPr>
                <w:sz w:val="20"/>
                <w:szCs w:val="20"/>
              </w:rPr>
              <w:t>Edward Burke Hudson</w:t>
            </w:r>
          </w:p>
          <w:p w:rsidR="00FF2C3C" w:rsidRPr="00A935AA" w:rsidRDefault="00FF2C3C" w:rsidP="00FF2C3C">
            <w:pPr>
              <w:keepNext/>
              <w:keepLines/>
              <w:tabs>
                <w:tab w:val="left" w:pos="-1440"/>
                <w:tab w:val="left" w:pos="-720"/>
              </w:tabs>
              <w:rPr>
                <w:sz w:val="20"/>
                <w:szCs w:val="20"/>
              </w:rPr>
            </w:pPr>
          </w:p>
          <w:p w:rsidR="00FF2C3C" w:rsidRPr="00832502" w:rsidRDefault="00FF2C3C" w:rsidP="00FF2C3C">
            <w:pPr>
              <w:keepNext/>
              <w:keepLines/>
              <w:tabs>
                <w:tab w:val="left" w:pos="-1440"/>
                <w:tab w:val="left" w:pos="-720"/>
              </w:tabs>
              <w:rPr>
                <w:sz w:val="20"/>
                <w:szCs w:val="20"/>
              </w:rPr>
            </w:pPr>
            <w:r w:rsidRPr="00A935AA">
              <w:rPr>
                <w:sz w:val="20"/>
                <w:szCs w:val="20"/>
              </w:rPr>
              <w:tab/>
            </w:r>
            <w:r w:rsidRPr="00832502">
              <w:rPr>
                <w:sz w:val="20"/>
                <w:szCs w:val="20"/>
              </w:rPr>
              <w:t>v. (34527)</w:t>
            </w:r>
          </w:p>
          <w:p w:rsidR="00FF2C3C" w:rsidRPr="00832502" w:rsidRDefault="00FF2C3C" w:rsidP="00FF2C3C">
            <w:pPr>
              <w:keepNext/>
              <w:keepLines/>
              <w:tabs>
                <w:tab w:val="left" w:pos="-1440"/>
                <w:tab w:val="left" w:pos="-720"/>
              </w:tabs>
              <w:rPr>
                <w:sz w:val="20"/>
                <w:szCs w:val="20"/>
              </w:rPr>
            </w:pPr>
          </w:p>
          <w:p w:rsidR="00FF2C3C" w:rsidRPr="00832502" w:rsidRDefault="00FF2C3C" w:rsidP="00FF2C3C">
            <w:pPr>
              <w:keepNext/>
              <w:keepLines/>
              <w:tabs>
                <w:tab w:val="left" w:pos="-1440"/>
                <w:tab w:val="left" w:pos="-720"/>
              </w:tabs>
              <w:rPr>
                <w:b/>
                <w:sz w:val="20"/>
                <w:szCs w:val="20"/>
              </w:rPr>
            </w:pPr>
            <w:r w:rsidRPr="00832502">
              <w:rPr>
                <w:b/>
                <w:sz w:val="20"/>
                <w:szCs w:val="20"/>
              </w:rPr>
              <w:t>Attorney General of Canada (Sask.)</w:t>
            </w:r>
          </w:p>
          <w:p w:rsidR="00FF2C3C" w:rsidRPr="00832502" w:rsidRDefault="00FF2C3C" w:rsidP="00FF2C3C">
            <w:pPr>
              <w:keepNext/>
              <w:keepLines/>
              <w:tabs>
                <w:tab w:val="left" w:pos="-1440"/>
                <w:tab w:val="left" w:pos="-720"/>
              </w:tabs>
              <w:rPr>
                <w:sz w:val="20"/>
                <w:szCs w:val="20"/>
              </w:rPr>
            </w:pPr>
            <w:r w:rsidRPr="00832502">
              <w:rPr>
                <w:sz w:val="20"/>
                <w:szCs w:val="20"/>
              </w:rPr>
              <w:tab/>
            </w:r>
            <w:r>
              <w:rPr>
                <w:sz w:val="20"/>
                <w:szCs w:val="20"/>
              </w:rPr>
              <w:t>Scott R. Spencer</w:t>
            </w:r>
          </w:p>
          <w:p w:rsidR="00FF2C3C" w:rsidRPr="00832502" w:rsidRDefault="00FF2C3C" w:rsidP="00FF2C3C">
            <w:pPr>
              <w:keepNext/>
              <w:keepLines/>
              <w:tabs>
                <w:tab w:val="left" w:pos="-1440"/>
                <w:tab w:val="left" w:pos="-720"/>
              </w:tabs>
              <w:rPr>
                <w:sz w:val="20"/>
                <w:szCs w:val="20"/>
              </w:rPr>
            </w:pPr>
            <w:r w:rsidRPr="00832502">
              <w:rPr>
                <w:sz w:val="20"/>
                <w:szCs w:val="20"/>
              </w:rPr>
              <w:tab/>
            </w:r>
            <w:r>
              <w:rPr>
                <w:sz w:val="20"/>
                <w:szCs w:val="20"/>
              </w:rPr>
              <w:t>A.G. of Canada</w:t>
            </w:r>
          </w:p>
          <w:p w:rsidR="00FF2C3C" w:rsidRPr="00832502" w:rsidRDefault="00FF2C3C" w:rsidP="00FF2C3C">
            <w:pPr>
              <w:keepNext/>
              <w:keepLines/>
              <w:tabs>
                <w:tab w:val="left" w:pos="-1440"/>
                <w:tab w:val="left" w:pos="-720"/>
              </w:tabs>
              <w:rPr>
                <w:sz w:val="20"/>
                <w:szCs w:val="20"/>
              </w:rPr>
            </w:pPr>
          </w:p>
          <w:p w:rsidR="00FF2C3C" w:rsidRDefault="00FF2C3C" w:rsidP="00FF2C3C">
            <w:pPr>
              <w:keepNext/>
              <w:keepLines/>
              <w:tabs>
                <w:tab w:val="left" w:pos="-1440"/>
                <w:tab w:val="left" w:pos="-720"/>
              </w:tabs>
              <w:rPr>
                <w:b/>
                <w:sz w:val="20"/>
                <w:szCs w:val="20"/>
              </w:rPr>
            </w:pPr>
            <w:r w:rsidRPr="00A935AA">
              <w:rPr>
                <w:sz w:val="20"/>
                <w:szCs w:val="20"/>
              </w:rPr>
              <w:t xml:space="preserve">FILING DATE: </w:t>
            </w:r>
            <w:r>
              <w:rPr>
                <w:sz w:val="20"/>
                <w:szCs w:val="20"/>
              </w:rPr>
              <w:t>16</w:t>
            </w:r>
            <w:r w:rsidRPr="00A935AA">
              <w:rPr>
                <w:sz w:val="20"/>
                <w:szCs w:val="20"/>
              </w:rPr>
              <w:t>.</w:t>
            </w:r>
            <w:r>
              <w:rPr>
                <w:sz w:val="20"/>
                <w:szCs w:val="20"/>
              </w:rPr>
              <w:t>11</w:t>
            </w:r>
            <w:r w:rsidRPr="00A935AA">
              <w:rPr>
                <w:sz w:val="20"/>
                <w:szCs w:val="20"/>
              </w:rPr>
              <w:t>.201</w:t>
            </w:r>
            <w:r>
              <w:rPr>
                <w:sz w:val="20"/>
                <w:szCs w:val="20"/>
              </w:rPr>
              <w:t>1</w:t>
            </w:r>
          </w:p>
          <w:p w:rsidR="001D1146" w:rsidRPr="00A935AA" w:rsidRDefault="008A6550" w:rsidP="00832502">
            <w:pPr>
              <w:rPr>
                <w:sz w:val="20"/>
                <w:szCs w:val="20"/>
              </w:rPr>
            </w:pPr>
            <w:r w:rsidRPr="008A6550">
              <w:rPr>
                <w:sz w:val="20"/>
                <w:szCs w:val="20"/>
                <w:lang w:val="fr-CA"/>
              </w:rPr>
              <w:pict>
                <v:rect id="_x0000_i1032" style="width:108pt;height:1pt" o:hrpct="0" o:hralign="center" o:hrstd="t" o:hrnoshade="t" o:hr="t" fillcolor="black [3213]" stroked="f"/>
              </w:pict>
            </w:r>
          </w:p>
        </w:tc>
      </w:tr>
    </w:tbl>
    <w:p w:rsidR="00601301" w:rsidRDefault="00601301"/>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D1146" w:rsidRPr="0036574E" w:rsidTr="003B3977">
        <w:trPr>
          <w:cantSplit/>
        </w:trPr>
        <w:tc>
          <w:tcPr>
            <w:tcW w:w="4320" w:type="dxa"/>
            <w:shd w:val="clear" w:color="auto" w:fill="auto"/>
          </w:tcPr>
          <w:p w:rsidR="0036574E" w:rsidRDefault="0036574E" w:rsidP="00832502">
            <w:pPr>
              <w:rPr>
                <w:b/>
                <w:sz w:val="20"/>
                <w:szCs w:val="20"/>
              </w:rPr>
            </w:pPr>
          </w:p>
          <w:p w:rsidR="001D1146" w:rsidRPr="00A935AA" w:rsidRDefault="00D82D41" w:rsidP="00832502">
            <w:pPr>
              <w:rPr>
                <w:b/>
                <w:sz w:val="20"/>
                <w:szCs w:val="20"/>
              </w:rPr>
            </w:pPr>
            <w:r>
              <w:rPr>
                <w:b/>
                <w:sz w:val="20"/>
                <w:szCs w:val="20"/>
              </w:rPr>
              <w:t>Sirshar Ahmad</w:t>
            </w:r>
          </w:p>
          <w:p w:rsidR="001D1146" w:rsidRPr="00A935AA" w:rsidRDefault="001D1146" w:rsidP="00832502">
            <w:pPr>
              <w:tabs>
                <w:tab w:val="left" w:pos="-1440"/>
                <w:tab w:val="left" w:pos="-720"/>
              </w:tabs>
              <w:rPr>
                <w:sz w:val="20"/>
                <w:szCs w:val="20"/>
              </w:rPr>
            </w:pPr>
            <w:r w:rsidRPr="00A935AA">
              <w:rPr>
                <w:sz w:val="20"/>
                <w:szCs w:val="20"/>
              </w:rPr>
              <w:tab/>
            </w:r>
            <w:r w:rsidR="006B19DA">
              <w:rPr>
                <w:sz w:val="20"/>
                <w:szCs w:val="20"/>
              </w:rPr>
              <w:t>Howard C. Cohen</w:t>
            </w:r>
          </w:p>
          <w:p w:rsidR="001D1146" w:rsidRPr="00A935AA" w:rsidRDefault="001D1146" w:rsidP="00832502">
            <w:pPr>
              <w:tabs>
                <w:tab w:val="left" w:pos="-1440"/>
                <w:tab w:val="left" w:pos="-720"/>
              </w:tabs>
              <w:rPr>
                <w:sz w:val="20"/>
                <w:szCs w:val="20"/>
              </w:rPr>
            </w:pPr>
            <w:r w:rsidRPr="00A935AA">
              <w:rPr>
                <w:sz w:val="20"/>
                <w:szCs w:val="20"/>
              </w:rPr>
              <w:tab/>
            </w:r>
            <w:r w:rsidR="006B19DA">
              <w:rPr>
                <w:sz w:val="20"/>
                <w:szCs w:val="20"/>
              </w:rPr>
              <w:t>Cohen, Sabsay LLP</w:t>
            </w:r>
          </w:p>
          <w:p w:rsidR="001D1146" w:rsidRPr="00A935AA" w:rsidRDefault="001D1146" w:rsidP="00832502">
            <w:pPr>
              <w:tabs>
                <w:tab w:val="left" w:pos="-1440"/>
                <w:tab w:val="left" w:pos="-720"/>
              </w:tabs>
              <w:rPr>
                <w:sz w:val="20"/>
                <w:szCs w:val="20"/>
              </w:rPr>
            </w:pPr>
          </w:p>
          <w:p w:rsidR="001D1146" w:rsidRPr="00A935AA" w:rsidRDefault="001D1146" w:rsidP="00832502">
            <w:pPr>
              <w:tabs>
                <w:tab w:val="left" w:pos="-1440"/>
                <w:tab w:val="left" w:pos="-720"/>
              </w:tabs>
              <w:rPr>
                <w:sz w:val="20"/>
                <w:szCs w:val="20"/>
              </w:rPr>
            </w:pPr>
            <w:r w:rsidRPr="00A935AA">
              <w:rPr>
                <w:sz w:val="20"/>
                <w:szCs w:val="20"/>
              </w:rPr>
              <w:tab/>
              <w:t>v. (3</w:t>
            </w:r>
            <w:r>
              <w:rPr>
                <w:sz w:val="20"/>
                <w:szCs w:val="20"/>
              </w:rPr>
              <w:t>4</w:t>
            </w:r>
            <w:r w:rsidR="006B19DA">
              <w:rPr>
                <w:sz w:val="20"/>
                <w:szCs w:val="20"/>
              </w:rPr>
              <w:t>537</w:t>
            </w:r>
            <w:r w:rsidRPr="00A935AA">
              <w:rPr>
                <w:sz w:val="20"/>
                <w:szCs w:val="20"/>
              </w:rPr>
              <w:t>)</w:t>
            </w:r>
          </w:p>
          <w:p w:rsidR="001D1146" w:rsidRPr="00A935AA" w:rsidRDefault="001D1146" w:rsidP="00832502">
            <w:pPr>
              <w:tabs>
                <w:tab w:val="left" w:pos="-1440"/>
                <w:tab w:val="left" w:pos="-720"/>
              </w:tabs>
              <w:rPr>
                <w:sz w:val="20"/>
                <w:szCs w:val="20"/>
              </w:rPr>
            </w:pPr>
          </w:p>
          <w:p w:rsidR="001D1146" w:rsidRPr="00A935AA" w:rsidRDefault="006B19DA" w:rsidP="00832502">
            <w:pPr>
              <w:tabs>
                <w:tab w:val="left" w:pos="-1440"/>
                <w:tab w:val="left" w:pos="-720"/>
              </w:tabs>
              <w:rPr>
                <w:b/>
                <w:sz w:val="20"/>
                <w:szCs w:val="20"/>
              </w:rPr>
            </w:pPr>
            <w:r>
              <w:rPr>
                <w:b/>
                <w:sz w:val="20"/>
                <w:szCs w:val="20"/>
              </w:rPr>
              <w:t xml:space="preserve">Her Majesty the Queen </w:t>
            </w:r>
            <w:r w:rsidR="001D1146" w:rsidRPr="00A935AA">
              <w:rPr>
                <w:b/>
                <w:sz w:val="20"/>
                <w:szCs w:val="20"/>
              </w:rPr>
              <w:t>(</w:t>
            </w:r>
            <w:r>
              <w:rPr>
                <w:b/>
                <w:sz w:val="20"/>
                <w:szCs w:val="20"/>
              </w:rPr>
              <w:t>Ont</w:t>
            </w:r>
            <w:r w:rsidR="001D1146" w:rsidRPr="00A935AA">
              <w:rPr>
                <w:b/>
                <w:sz w:val="20"/>
                <w:szCs w:val="20"/>
              </w:rPr>
              <w:t>.)</w:t>
            </w:r>
          </w:p>
          <w:p w:rsidR="001D1146" w:rsidRPr="00A935AA" w:rsidRDefault="001D1146" w:rsidP="00832502">
            <w:pPr>
              <w:tabs>
                <w:tab w:val="left" w:pos="-1440"/>
                <w:tab w:val="left" w:pos="-720"/>
              </w:tabs>
              <w:rPr>
                <w:sz w:val="20"/>
                <w:szCs w:val="20"/>
              </w:rPr>
            </w:pPr>
            <w:r w:rsidRPr="00A935AA">
              <w:rPr>
                <w:sz w:val="20"/>
                <w:szCs w:val="20"/>
              </w:rPr>
              <w:tab/>
            </w:r>
            <w:r w:rsidR="006B19DA">
              <w:rPr>
                <w:sz w:val="20"/>
                <w:szCs w:val="20"/>
              </w:rPr>
              <w:t>Dena Bonnet</w:t>
            </w:r>
          </w:p>
          <w:p w:rsidR="001D1146" w:rsidRPr="00A935AA" w:rsidRDefault="001D1146" w:rsidP="00832502">
            <w:pPr>
              <w:tabs>
                <w:tab w:val="left" w:pos="-1440"/>
                <w:tab w:val="left" w:pos="-720"/>
              </w:tabs>
              <w:rPr>
                <w:sz w:val="20"/>
                <w:szCs w:val="20"/>
              </w:rPr>
            </w:pPr>
            <w:r w:rsidRPr="00A935AA">
              <w:rPr>
                <w:sz w:val="20"/>
                <w:szCs w:val="20"/>
              </w:rPr>
              <w:tab/>
            </w:r>
            <w:r w:rsidR="006B19DA">
              <w:rPr>
                <w:sz w:val="20"/>
                <w:szCs w:val="20"/>
              </w:rPr>
              <w:t>A.G. of Ontario</w:t>
            </w:r>
          </w:p>
          <w:p w:rsidR="001D1146" w:rsidRPr="00A935AA" w:rsidRDefault="001D1146" w:rsidP="00832502">
            <w:pPr>
              <w:tabs>
                <w:tab w:val="left" w:pos="-1440"/>
                <w:tab w:val="left" w:pos="-720"/>
              </w:tabs>
              <w:rPr>
                <w:sz w:val="20"/>
                <w:szCs w:val="20"/>
              </w:rPr>
            </w:pPr>
          </w:p>
          <w:p w:rsidR="001D1146" w:rsidRPr="00A935AA" w:rsidRDefault="001D1146" w:rsidP="00832502">
            <w:pPr>
              <w:rPr>
                <w:sz w:val="20"/>
                <w:szCs w:val="20"/>
              </w:rPr>
            </w:pPr>
            <w:r w:rsidRPr="00A935AA">
              <w:rPr>
                <w:sz w:val="20"/>
                <w:szCs w:val="20"/>
              </w:rPr>
              <w:t xml:space="preserve">FILING DATE: </w:t>
            </w:r>
            <w:r w:rsidR="006B19DA">
              <w:rPr>
                <w:sz w:val="20"/>
                <w:szCs w:val="20"/>
              </w:rPr>
              <w:t>1</w:t>
            </w:r>
            <w:r w:rsidRPr="00A935AA">
              <w:rPr>
                <w:sz w:val="20"/>
                <w:szCs w:val="20"/>
              </w:rPr>
              <w:t>7.</w:t>
            </w:r>
            <w:r>
              <w:rPr>
                <w:sz w:val="20"/>
                <w:szCs w:val="20"/>
              </w:rPr>
              <w:t>11</w:t>
            </w:r>
            <w:r w:rsidRPr="00A935AA">
              <w:rPr>
                <w:sz w:val="20"/>
                <w:szCs w:val="20"/>
              </w:rPr>
              <w:t>.201</w:t>
            </w:r>
            <w:r>
              <w:rPr>
                <w:sz w:val="20"/>
                <w:szCs w:val="20"/>
              </w:rPr>
              <w:t>1</w:t>
            </w:r>
          </w:p>
          <w:p w:rsidR="001D1146" w:rsidRPr="00A935AA" w:rsidRDefault="008A6550" w:rsidP="00832502">
            <w:pPr>
              <w:rPr>
                <w:sz w:val="20"/>
                <w:szCs w:val="20"/>
              </w:rPr>
            </w:pPr>
            <w:r w:rsidRPr="008A6550">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p w:rsidR="001D1146" w:rsidRPr="00A935AA" w:rsidRDefault="001D1146" w:rsidP="00242AEE">
            <w:pPr>
              <w:jc w:val="center"/>
              <w:rPr>
                <w:sz w:val="20"/>
                <w:szCs w:val="20"/>
              </w:rPr>
            </w:pPr>
          </w:p>
        </w:tc>
        <w:tc>
          <w:tcPr>
            <w:tcW w:w="4320" w:type="dxa"/>
            <w:shd w:val="clear" w:color="auto" w:fill="auto"/>
          </w:tcPr>
          <w:p w:rsidR="0036574E" w:rsidRDefault="0036574E" w:rsidP="0036574E">
            <w:pPr>
              <w:rPr>
                <w:b/>
                <w:sz w:val="20"/>
                <w:szCs w:val="20"/>
                <w:lang w:val="fr-CA"/>
              </w:rPr>
            </w:pPr>
          </w:p>
          <w:p w:rsidR="0036574E" w:rsidRPr="0036574E" w:rsidRDefault="0036574E" w:rsidP="0036574E">
            <w:pPr>
              <w:rPr>
                <w:b/>
                <w:sz w:val="20"/>
                <w:szCs w:val="20"/>
                <w:lang w:val="fr-CA"/>
              </w:rPr>
            </w:pPr>
            <w:r w:rsidRPr="0036574E">
              <w:rPr>
                <w:b/>
                <w:sz w:val="20"/>
                <w:szCs w:val="20"/>
                <w:lang w:val="fr-CA"/>
              </w:rPr>
              <w:t>George Salter et al.</w:t>
            </w:r>
          </w:p>
          <w:p w:rsidR="0036574E" w:rsidRPr="002D5CEA" w:rsidRDefault="0036574E" w:rsidP="0036574E">
            <w:pPr>
              <w:tabs>
                <w:tab w:val="left" w:pos="-1440"/>
                <w:tab w:val="left" w:pos="-720"/>
              </w:tabs>
              <w:rPr>
                <w:sz w:val="20"/>
                <w:szCs w:val="20"/>
                <w:lang w:val="fr-CA"/>
              </w:rPr>
            </w:pPr>
            <w:r w:rsidRPr="0036574E">
              <w:rPr>
                <w:sz w:val="20"/>
                <w:szCs w:val="20"/>
                <w:lang w:val="fr-CA"/>
              </w:rPr>
              <w:tab/>
            </w:r>
            <w:r w:rsidRPr="002D5CEA">
              <w:rPr>
                <w:sz w:val="20"/>
                <w:szCs w:val="20"/>
                <w:lang w:val="fr-CA"/>
              </w:rPr>
              <w:t>James L. Vigmond</w:t>
            </w:r>
          </w:p>
          <w:p w:rsidR="0036574E" w:rsidRPr="00A935AA" w:rsidRDefault="0036574E" w:rsidP="0036574E">
            <w:pPr>
              <w:tabs>
                <w:tab w:val="left" w:pos="-1440"/>
                <w:tab w:val="left" w:pos="-720"/>
              </w:tabs>
              <w:ind w:left="720" w:hanging="720"/>
              <w:rPr>
                <w:sz w:val="20"/>
                <w:szCs w:val="20"/>
              </w:rPr>
            </w:pPr>
            <w:r w:rsidRPr="002D5CEA">
              <w:rPr>
                <w:sz w:val="20"/>
                <w:szCs w:val="20"/>
                <w:lang w:val="fr-CA"/>
              </w:rPr>
              <w:tab/>
            </w:r>
            <w:r>
              <w:rPr>
                <w:sz w:val="20"/>
                <w:szCs w:val="20"/>
              </w:rPr>
              <w:t>Oatley, Vigmond Personal Injury Lawyers LLP</w:t>
            </w:r>
          </w:p>
          <w:p w:rsidR="0036574E" w:rsidRPr="00A935AA" w:rsidRDefault="0036574E" w:rsidP="0036574E">
            <w:pPr>
              <w:tabs>
                <w:tab w:val="left" w:pos="-1440"/>
                <w:tab w:val="left" w:pos="-720"/>
              </w:tabs>
              <w:rPr>
                <w:sz w:val="20"/>
                <w:szCs w:val="20"/>
              </w:rPr>
            </w:pPr>
          </w:p>
          <w:p w:rsidR="0036574E" w:rsidRPr="00A935AA" w:rsidRDefault="0036574E" w:rsidP="0036574E">
            <w:pPr>
              <w:tabs>
                <w:tab w:val="left" w:pos="-1440"/>
                <w:tab w:val="left" w:pos="-720"/>
              </w:tabs>
              <w:rPr>
                <w:sz w:val="20"/>
                <w:szCs w:val="20"/>
              </w:rPr>
            </w:pPr>
            <w:r w:rsidRPr="00A935AA">
              <w:rPr>
                <w:sz w:val="20"/>
                <w:szCs w:val="20"/>
              </w:rPr>
              <w:tab/>
              <w:t>v. (3</w:t>
            </w:r>
            <w:r>
              <w:rPr>
                <w:sz w:val="20"/>
                <w:szCs w:val="20"/>
              </w:rPr>
              <w:t>4536</w:t>
            </w:r>
            <w:r w:rsidRPr="00A935AA">
              <w:rPr>
                <w:sz w:val="20"/>
                <w:szCs w:val="20"/>
              </w:rPr>
              <w:t>)</w:t>
            </w:r>
          </w:p>
          <w:p w:rsidR="0036574E" w:rsidRPr="00A935AA" w:rsidRDefault="0036574E" w:rsidP="0036574E">
            <w:pPr>
              <w:tabs>
                <w:tab w:val="left" w:pos="-1440"/>
                <w:tab w:val="left" w:pos="-720"/>
              </w:tabs>
              <w:rPr>
                <w:sz w:val="20"/>
                <w:szCs w:val="20"/>
              </w:rPr>
            </w:pPr>
          </w:p>
          <w:p w:rsidR="0036574E" w:rsidRPr="00A935AA" w:rsidRDefault="0036574E" w:rsidP="0036574E">
            <w:pPr>
              <w:tabs>
                <w:tab w:val="left" w:pos="-1440"/>
                <w:tab w:val="left" w:pos="-720"/>
              </w:tabs>
              <w:rPr>
                <w:b/>
                <w:sz w:val="20"/>
                <w:szCs w:val="20"/>
              </w:rPr>
            </w:pPr>
            <w:r>
              <w:rPr>
                <w:b/>
                <w:sz w:val="20"/>
                <w:szCs w:val="20"/>
              </w:rPr>
              <w:t xml:space="preserve">Jason Hirst </w:t>
            </w:r>
            <w:r w:rsidRPr="00A935AA">
              <w:rPr>
                <w:b/>
                <w:sz w:val="20"/>
                <w:szCs w:val="20"/>
              </w:rPr>
              <w:t>(</w:t>
            </w:r>
            <w:r>
              <w:rPr>
                <w:b/>
                <w:sz w:val="20"/>
                <w:szCs w:val="20"/>
              </w:rPr>
              <w:t>Ont</w:t>
            </w:r>
            <w:r w:rsidRPr="00A935AA">
              <w:rPr>
                <w:b/>
                <w:sz w:val="20"/>
                <w:szCs w:val="20"/>
              </w:rPr>
              <w:t>.)</w:t>
            </w:r>
          </w:p>
          <w:p w:rsidR="0036574E" w:rsidRPr="00A935AA" w:rsidRDefault="0036574E" w:rsidP="0036574E">
            <w:pPr>
              <w:tabs>
                <w:tab w:val="left" w:pos="-1440"/>
                <w:tab w:val="left" w:pos="-720"/>
              </w:tabs>
              <w:rPr>
                <w:sz w:val="20"/>
                <w:szCs w:val="20"/>
              </w:rPr>
            </w:pPr>
            <w:r w:rsidRPr="00A935AA">
              <w:rPr>
                <w:sz w:val="20"/>
                <w:szCs w:val="20"/>
              </w:rPr>
              <w:tab/>
            </w:r>
            <w:r>
              <w:rPr>
                <w:sz w:val="20"/>
                <w:szCs w:val="20"/>
              </w:rPr>
              <w:t>Christopher Hubbard</w:t>
            </w:r>
          </w:p>
          <w:p w:rsidR="0036574E" w:rsidRPr="00CB480D" w:rsidRDefault="0036574E" w:rsidP="0036574E">
            <w:pPr>
              <w:tabs>
                <w:tab w:val="left" w:pos="-1440"/>
                <w:tab w:val="left" w:pos="-720"/>
              </w:tabs>
              <w:rPr>
                <w:sz w:val="20"/>
                <w:szCs w:val="20"/>
              </w:rPr>
            </w:pPr>
            <w:r w:rsidRPr="00A935AA">
              <w:rPr>
                <w:sz w:val="20"/>
                <w:szCs w:val="20"/>
              </w:rPr>
              <w:tab/>
            </w:r>
            <w:r>
              <w:rPr>
                <w:sz w:val="20"/>
                <w:szCs w:val="20"/>
              </w:rPr>
              <w:t>McCarthy T</w:t>
            </w:r>
            <w:r w:rsidRPr="00CB480D">
              <w:rPr>
                <w:sz w:val="20"/>
                <w:szCs w:val="20"/>
                <w:lang w:val="en-US"/>
              </w:rPr>
              <w:t>étrault LLP</w:t>
            </w:r>
          </w:p>
          <w:p w:rsidR="0036574E" w:rsidRPr="00A935AA" w:rsidRDefault="0036574E" w:rsidP="0036574E">
            <w:pPr>
              <w:tabs>
                <w:tab w:val="left" w:pos="-1440"/>
                <w:tab w:val="left" w:pos="-720"/>
              </w:tabs>
              <w:rPr>
                <w:sz w:val="20"/>
                <w:szCs w:val="20"/>
              </w:rPr>
            </w:pPr>
          </w:p>
          <w:p w:rsidR="0036574E" w:rsidRPr="00A935AA" w:rsidRDefault="0036574E" w:rsidP="0036574E">
            <w:pPr>
              <w:rPr>
                <w:sz w:val="20"/>
                <w:szCs w:val="20"/>
              </w:rPr>
            </w:pPr>
            <w:r w:rsidRPr="00A935AA">
              <w:rPr>
                <w:sz w:val="20"/>
                <w:szCs w:val="20"/>
              </w:rPr>
              <w:t>FILING DATE: 2</w:t>
            </w:r>
            <w:r>
              <w:rPr>
                <w:sz w:val="20"/>
                <w:szCs w:val="20"/>
              </w:rPr>
              <w:t>1</w:t>
            </w:r>
            <w:r w:rsidRPr="00A935AA">
              <w:rPr>
                <w:sz w:val="20"/>
                <w:szCs w:val="20"/>
              </w:rPr>
              <w:t>.</w:t>
            </w:r>
            <w:r>
              <w:rPr>
                <w:sz w:val="20"/>
                <w:szCs w:val="20"/>
              </w:rPr>
              <w:t>11</w:t>
            </w:r>
            <w:r w:rsidRPr="00A935AA">
              <w:rPr>
                <w:sz w:val="20"/>
                <w:szCs w:val="20"/>
              </w:rPr>
              <w:t>.201</w:t>
            </w:r>
            <w:r>
              <w:rPr>
                <w:sz w:val="20"/>
                <w:szCs w:val="20"/>
              </w:rPr>
              <w:t>1</w:t>
            </w:r>
          </w:p>
          <w:p w:rsidR="001D1146" w:rsidRPr="0036574E" w:rsidRDefault="008A6550" w:rsidP="0036574E">
            <w:pPr>
              <w:rPr>
                <w:sz w:val="20"/>
                <w:szCs w:val="20"/>
                <w:lang w:val="fr-CA"/>
              </w:rPr>
            </w:pPr>
            <w:r w:rsidRPr="008A6550">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B2338">
          <w:headerReference w:type="default" r:id="rId14"/>
          <w:footerReference w:type="default" r:id="rId15"/>
          <w:headerReference w:type="first" r:id="rId16"/>
          <w:footerReference w:type="first" r:id="rId17"/>
          <w:pgSz w:w="12240" w:h="15840"/>
          <w:pgMar w:top="720" w:right="965" w:bottom="1080" w:left="1656" w:header="706" w:footer="706" w:gutter="0"/>
          <w:pgNumType w:start="181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C04C4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9D0A50" w:rsidP="004B7F60">
      <w:pPr>
        <w:widowControl w:val="0"/>
        <w:rPr>
          <w:b/>
          <w:sz w:val="20"/>
          <w:szCs w:val="20"/>
        </w:rPr>
      </w:pPr>
      <w:r>
        <w:rPr>
          <w:b/>
          <w:sz w:val="20"/>
          <w:szCs w:val="20"/>
        </w:rPr>
        <w:t>DEC</w:t>
      </w:r>
      <w:r w:rsidR="004B7F60">
        <w:rPr>
          <w:b/>
          <w:sz w:val="20"/>
          <w:szCs w:val="20"/>
        </w:rPr>
        <w:t>EMBER</w:t>
      </w:r>
      <w:r w:rsidR="004B7F60" w:rsidRPr="00C50A5C">
        <w:rPr>
          <w:b/>
          <w:sz w:val="20"/>
          <w:szCs w:val="20"/>
        </w:rPr>
        <w:t xml:space="preserve"> </w:t>
      </w:r>
      <w:r>
        <w:rPr>
          <w:b/>
          <w:sz w:val="20"/>
          <w:szCs w:val="20"/>
        </w:rPr>
        <w:t>5</w:t>
      </w:r>
      <w:r w:rsidR="004B7F60" w:rsidRPr="00C50A5C">
        <w:rPr>
          <w:b/>
          <w:sz w:val="20"/>
          <w:szCs w:val="20"/>
        </w:rPr>
        <w:t>, 201</w:t>
      </w:r>
      <w:r w:rsidR="004B7F60">
        <w:rPr>
          <w:b/>
          <w:sz w:val="20"/>
          <w:szCs w:val="20"/>
        </w:rPr>
        <w:t>1</w:t>
      </w:r>
      <w:r w:rsidR="004B7F60" w:rsidRPr="00C50A5C">
        <w:rPr>
          <w:b/>
          <w:sz w:val="20"/>
          <w:szCs w:val="20"/>
        </w:rPr>
        <w:t xml:space="preserve"> / LE </w:t>
      </w:r>
      <w:r>
        <w:rPr>
          <w:b/>
          <w:sz w:val="20"/>
          <w:szCs w:val="20"/>
        </w:rPr>
        <w:t>5</w:t>
      </w:r>
      <w:r w:rsidR="004B7F60">
        <w:rPr>
          <w:b/>
          <w:sz w:val="20"/>
          <w:szCs w:val="20"/>
        </w:rPr>
        <w:t xml:space="preserve"> </w:t>
      </w:r>
      <w:r>
        <w:rPr>
          <w:b/>
          <w:sz w:val="20"/>
          <w:szCs w:val="20"/>
        </w:rPr>
        <w:t>DÉC</w:t>
      </w:r>
      <w:r w:rsidR="004B7F60">
        <w:rPr>
          <w:b/>
          <w:sz w:val="20"/>
          <w:szCs w:val="20"/>
        </w:rPr>
        <w:t>EMBRE</w:t>
      </w:r>
      <w:r w:rsidR="004B7F60" w:rsidRPr="00C50A5C">
        <w:rPr>
          <w:b/>
          <w:sz w:val="20"/>
          <w:szCs w:val="20"/>
        </w:rPr>
        <w:t xml:space="preserve"> 201</w:t>
      </w:r>
      <w:r w:rsidR="004B7F60">
        <w:rPr>
          <w:b/>
          <w:sz w:val="20"/>
          <w:szCs w:val="20"/>
        </w:rPr>
        <w:t>1</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63214B" w:rsidRDefault="004B7F60" w:rsidP="004B7F60">
      <w:pPr>
        <w:widowControl w:val="0"/>
        <w:rPr>
          <w:sz w:val="20"/>
          <w:szCs w:val="20"/>
          <w:lang w:val="fr-CA"/>
        </w:rPr>
      </w:pPr>
    </w:p>
    <w:p w:rsidR="0063214B" w:rsidRPr="001D6E58" w:rsidRDefault="0063214B" w:rsidP="001D6E58">
      <w:pPr>
        <w:pStyle w:val="SCCAppellantInfoAppellantInfo"/>
        <w:numPr>
          <w:ilvl w:val="0"/>
          <w:numId w:val="5"/>
        </w:numPr>
        <w:ind w:hanging="720"/>
        <w:rPr>
          <w:sz w:val="20"/>
          <w:szCs w:val="20"/>
        </w:rPr>
      </w:pPr>
      <w:r w:rsidRPr="001D6E58">
        <w:rPr>
          <w:i/>
          <w:sz w:val="20"/>
          <w:szCs w:val="20"/>
        </w:rPr>
        <w:t>Frederick William Quipp, Jr. et al. v. Her Majesty the Queen</w:t>
      </w:r>
      <w:r w:rsidRPr="001D6E58">
        <w:rPr>
          <w:sz w:val="20"/>
          <w:szCs w:val="20"/>
        </w:rPr>
        <w:t xml:space="preserve"> (B.C.) (Crim.) (By Leave) (34376)</w:t>
      </w:r>
    </w:p>
    <w:p w:rsidR="002A2BF4" w:rsidRPr="001D6E58" w:rsidRDefault="002A2BF4" w:rsidP="001D6E58">
      <w:pPr>
        <w:ind w:left="720" w:hanging="720"/>
        <w:rPr>
          <w:sz w:val="20"/>
          <w:szCs w:val="20"/>
        </w:rPr>
      </w:pPr>
    </w:p>
    <w:p w:rsidR="002A2BF4" w:rsidRPr="001D6E58" w:rsidRDefault="002A2BF4" w:rsidP="001D6E58">
      <w:pPr>
        <w:pStyle w:val="SCCAppellantInfoAppellantInfo"/>
        <w:numPr>
          <w:ilvl w:val="0"/>
          <w:numId w:val="5"/>
        </w:numPr>
        <w:ind w:hanging="720"/>
        <w:rPr>
          <w:sz w:val="20"/>
          <w:szCs w:val="20"/>
        </w:rPr>
      </w:pPr>
      <w:r w:rsidRPr="001D6E58">
        <w:rPr>
          <w:i/>
          <w:sz w:val="20"/>
          <w:szCs w:val="20"/>
        </w:rPr>
        <w:t>Gregory Allan Johnson v. Workers' Compensation Board of British Columbia et al.</w:t>
      </w:r>
      <w:r w:rsidRPr="001D6E58">
        <w:rPr>
          <w:sz w:val="20"/>
          <w:szCs w:val="20"/>
        </w:rPr>
        <w:t xml:space="preserve"> (B.C.) (Civil) (By Leave) (34348)</w:t>
      </w:r>
    </w:p>
    <w:p w:rsidR="002A2BF4" w:rsidRPr="001D6E58" w:rsidRDefault="002A2BF4" w:rsidP="001D6E58">
      <w:pPr>
        <w:ind w:left="720" w:hanging="720"/>
        <w:rPr>
          <w:sz w:val="20"/>
          <w:szCs w:val="20"/>
        </w:rPr>
      </w:pPr>
    </w:p>
    <w:p w:rsidR="001D6E58" w:rsidRPr="001D6E58" w:rsidRDefault="001D6E58" w:rsidP="001D6E58">
      <w:pPr>
        <w:pStyle w:val="ListParagraph"/>
        <w:numPr>
          <w:ilvl w:val="0"/>
          <w:numId w:val="5"/>
        </w:numPr>
        <w:ind w:hanging="720"/>
        <w:rPr>
          <w:sz w:val="20"/>
          <w:szCs w:val="20"/>
        </w:rPr>
      </w:pPr>
      <w:r w:rsidRPr="001D6E58">
        <w:rPr>
          <w:i/>
          <w:sz w:val="20"/>
          <w:szCs w:val="20"/>
          <w:lang w:val="en-US"/>
        </w:rPr>
        <w:t xml:space="preserve">Abdullah Almalki et al. v. </w:t>
      </w:r>
      <w:r w:rsidRPr="001D6E58">
        <w:rPr>
          <w:i/>
          <w:sz w:val="20"/>
          <w:szCs w:val="20"/>
        </w:rPr>
        <w:t>Attorney General of Canada</w:t>
      </w:r>
      <w:r w:rsidRPr="001D6E58">
        <w:rPr>
          <w:sz w:val="20"/>
          <w:szCs w:val="20"/>
        </w:rPr>
        <w:t xml:space="preserve"> (F</w:t>
      </w:r>
      <w:r>
        <w:rPr>
          <w:sz w:val="20"/>
          <w:szCs w:val="20"/>
        </w:rPr>
        <w:t>.</w:t>
      </w:r>
      <w:r w:rsidRPr="001D6E58">
        <w:rPr>
          <w:sz w:val="20"/>
          <w:szCs w:val="20"/>
        </w:rPr>
        <w:t>C</w:t>
      </w:r>
      <w:r>
        <w:rPr>
          <w:sz w:val="20"/>
          <w:szCs w:val="20"/>
        </w:rPr>
        <w:t>.</w:t>
      </w:r>
      <w:r w:rsidRPr="001D6E58">
        <w:rPr>
          <w:sz w:val="20"/>
          <w:szCs w:val="20"/>
        </w:rPr>
        <w:t>) (Civil) (By Leave) (34502)</w:t>
      </w:r>
    </w:p>
    <w:p w:rsidR="001D6E58" w:rsidRPr="001D6E58" w:rsidRDefault="001D6E58" w:rsidP="001D6E58">
      <w:pPr>
        <w:ind w:left="720" w:hanging="720"/>
        <w:rPr>
          <w:sz w:val="20"/>
          <w:szCs w:val="20"/>
        </w:rPr>
      </w:pPr>
    </w:p>
    <w:p w:rsidR="001D6E58" w:rsidRPr="001D6E58" w:rsidRDefault="00444BCF" w:rsidP="001D6E58">
      <w:pPr>
        <w:pStyle w:val="ListParagraph"/>
        <w:numPr>
          <w:ilvl w:val="0"/>
          <w:numId w:val="5"/>
        </w:numPr>
        <w:ind w:hanging="720"/>
        <w:rPr>
          <w:sz w:val="20"/>
          <w:szCs w:val="20"/>
        </w:rPr>
      </w:pPr>
      <w:r w:rsidRPr="001D6E58">
        <w:rPr>
          <w:i/>
          <w:sz w:val="20"/>
          <w:szCs w:val="20"/>
        </w:rPr>
        <w:t>Antrim Truck Centre Ltd.</w:t>
      </w:r>
      <w:r>
        <w:rPr>
          <w:i/>
          <w:sz w:val="20"/>
          <w:szCs w:val="20"/>
        </w:rPr>
        <w:t xml:space="preserve"> v. </w:t>
      </w:r>
      <w:r w:rsidR="001D6E58" w:rsidRPr="001D6E58">
        <w:rPr>
          <w:i/>
          <w:sz w:val="20"/>
          <w:szCs w:val="20"/>
        </w:rPr>
        <w:t xml:space="preserve">Her Majesty the Queen in Right of the Province of Ontario, as represented by the Minister of Transportation </w:t>
      </w:r>
      <w:r w:rsidR="001D6E58" w:rsidRPr="001D6E58">
        <w:rPr>
          <w:sz w:val="20"/>
          <w:szCs w:val="20"/>
        </w:rPr>
        <w:t>(Ont.) (Civil) (By Leave) (34413)</w:t>
      </w:r>
    </w:p>
    <w:p w:rsidR="002A2BF4" w:rsidRPr="001D6E58" w:rsidRDefault="002A2BF4" w:rsidP="001D6E58">
      <w:pPr>
        <w:ind w:left="720" w:hanging="720"/>
        <w:rPr>
          <w:sz w:val="20"/>
          <w:szCs w:val="20"/>
        </w:rPr>
      </w:pPr>
    </w:p>
    <w:p w:rsidR="001D6E58" w:rsidRDefault="001D6E58" w:rsidP="001D6E58">
      <w:pPr>
        <w:pStyle w:val="SCCAppellantInfoAppellantInfo"/>
        <w:numPr>
          <w:ilvl w:val="0"/>
          <w:numId w:val="5"/>
        </w:numPr>
        <w:ind w:hanging="720"/>
        <w:rPr>
          <w:sz w:val="20"/>
          <w:szCs w:val="20"/>
        </w:rPr>
      </w:pPr>
      <w:r w:rsidRPr="001D6E58">
        <w:rPr>
          <w:i/>
          <w:sz w:val="20"/>
          <w:szCs w:val="20"/>
        </w:rPr>
        <w:t>J.J v. Canadian Union of Public Employees, Local 561 et al.</w:t>
      </w:r>
      <w:r w:rsidRPr="001D6E58">
        <w:rPr>
          <w:sz w:val="20"/>
          <w:szCs w:val="20"/>
        </w:rPr>
        <w:t xml:space="preserve"> (B.C.) (Civil) (By Leave) (34465)</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B7F60" w:rsidRDefault="004B7F60" w:rsidP="004B7F60">
      <w:pPr>
        <w:widowControl w:val="0"/>
        <w:jc w:val="both"/>
        <w:rPr>
          <w:sz w:val="20"/>
          <w:szCs w:val="20"/>
          <w:lang w:val="fr-CA"/>
        </w:rPr>
      </w:pPr>
    </w:p>
    <w:p w:rsidR="00B01981" w:rsidRPr="007835F0" w:rsidRDefault="00B01981" w:rsidP="007835F0">
      <w:pPr>
        <w:pStyle w:val="ListParagraph"/>
        <w:numPr>
          <w:ilvl w:val="0"/>
          <w:numId w:val="5"/>
        </w:numPr>
        <w:ind w:hanging="720"/>
        <w:rPr>
          <w:sz w:val="20"/>
          <w:szCs w:val="20"/>
          <w:lang w:val="fr-CA"/>
        </w:rPr>
      </w:pPr>
      <w:r w:rsidRPr="007835F0">
        <w:rPr>
          <w:i/>
          <w:sz w:val="20"/>
          <w:szCs w:val="20"/>
        </w:rPr>
        <w:t>Donald LeBlanc</w:t>
      </w:r>
      <w:r w:rsidR="007835F0" w:rsidRPr="007835F0">
        <w:rPr>
          <w:i/>
          <w:sz w:val="20"/>
          <w:szCs w:val="20"/>
        </w:rPr>
        <w:t xml:space="preserve"> </w:t>
      </w:r>
      <w:r w:rsidRPr="007835F0">
        <w:rPr>
          <w:i/>
          <w:sz w:val="20"/>
          <w:szCs w:val="20"/>
        </w:rPr>
        <w:t>v.</w:t>
      </w:r>
      <w:r w:rsidR="007835F0" w:rsidRPr="007835F0">
        <w:rPr>
          <w:i/>
          <w:sz w:val="20"/>
          <w:szCs w:val="20"/>
        </w:rPr>
        <w:t xml:space="preserve"> </w:t>
      </w:r>
      <w:r w:rsidRPr="007835F0">
        <w:rPr>
          <w:i/>
          <w:sz w:val="20"/>
          <w:szCs w:val="20"/>
        </w:rPr>
        <w:t>Her Majesty the Queen</w:t>
      </w:r>
      <w:r w:rsidR="007835F0" w:rsidRPr="007835F0">
        <w:rPr>
          <w:sz w:val="20"/>
          <w:szCs w:val="20"/>
        </w:rPr>
        <w:t xml:space="preserve"> (</w:t>
      </w:r>
      <w:r w:rsidRPr="007835F0">
        <w:rPr>
          <w:sz w:val="20"/>
          <w:szCs w:val="20"/>
        </w:rPr>
        <w:t>N.B.) (Crim</w:t>
      </w:r>
      <w:r w:rsidR="00731A11">
        <w:rPr>
          <w:sz w:val="20"/>
          <w:szCs w:val="20"/>
        </w:rPr>
        <w:t>.</w:t>
      </w:r>
      <w:r w:rsidRPr="007835F0">
        <w:rPr>
          <w:sz w:val="20"/>
          <w:szCs w:val="20"/>
        </w:rPr>
        <w:t>) (By Leave)</w:t>
      </w:r>
      <w:r w:rsidR="007835F0" w:rsidRPr="007835F0">
        <w:rPr>
          <w:sz w:val="20"/>
          <w:szCs w:val="20"/>
        </w:rPr>
        <w:t xml:space="preserve"> (</w:t>
      </w:r>
      <w:r w:rsidRPr="007835F0">
        <w:rPr>
          <w:sz w:val="20"/>
          <w:szCs w:val="20"/>
          <w:lang w:val="fr-CA"/>
        </w:rPr>
        <w:t>34442</w:t>
      </w:r>
      <w:r w:rsidR="007835F0" w:rsidRPr="007835F0">
        <w:rPr>
          <w:sz w:val="20"/>
          <w:szCs w:val="20"/>
          <w:lang w:val="fr-CA"/>
        </w:rPr>
        <w:t>)</w:t>
      </w:r>
    </w:p>
    <w:p w:rsidR="007835F0" w:rsidRPr="007835F0" w:rsidRDefault="007835F0" w:rsidP="007835F0">
      <w:pPr>
        <w:pStyle w:val="SCCAppellantInfoAppellantInfo"/>
        <w:ind w:left="720" w:hanging="720"/>
        <w:rPr>
          <w:sz w:val="20"/>
          <w:szCs w:val="20"/>
          <w:lang w:val="fr-CA"/>
        </w:rPr>
      </w:pPr>
    </w:p>
    <w:p w:rsidR="00B01981" w:rsidRPr="007835F0" w:rsidRDefault="00B01981" w:rsidP="007835F0">
      <w:pPr>
        <w:pStyle w:val="SCCAppellantInfoAppellantInfo"/>
        <w:numPr>
          <w:ilvl w:val="0"/>
          <w:numId w:val="5"/>
        </w:numPr>
        <w:ind w:hanging="720"/>
        <w:rPr>
          <w:sz w:val="20"/>
          <w:szCs w:val="20"/>
          <w:lang w:val="fr-CA"/>
        </w:rPr>
      </w:pPr>
      <w:r w:rsidRPr="007835F0">
        <w:rPr>
          <w:i/>
          <w:sz w:val="20"/>
          <w:szCs w:val="20"/>
          <w:lang w:val="fr-CA"/>
        </w:rPr>
        <w:t>Acadia Subaru et al.</w:t>
      </w:r>
      <w:r w:rsidR="007835F0" w:rsidRPr="007835F0">
        <w:rPr>
          <w:i/>
          <w:sz w:val="20"/>
          <w:szCs w:val="20"/>
          <w:lang w:val="fr-CA"/>
        </w:rPr>
        <w:t xml:space="preserve"> </w:t>
      </w:r>
      <w:r w:rsidRPr="007835F0">
        <w:rPr>
          <w:i/>
          <w:sz w:val="20"/>
          <w:szCs w:val="20"/>
          <w:lang w:val="fr-CA"/>
        </w:rPr>
        <w:t>c.</w:t>
      </w:r>
      <w:r w:rsidR="007835F0" w:rsidRPr="007835F0">
        <w:rPr>
          <w:i/>
          <w:sz w:val="20"/>
          <w:szCs w:val="20"/>
          <w:lang w:val="fr-CA"/>
        </w:rPr>
        <w:t xml:space="preserve"> </w:t>
      </w:r>
      <w:r w:rsidRPr="007835F0">
        <w:rPr>
          <w:i/>
          <w:sz w:val="20"/>
          <w:szCs w:val="20"/>
          <w:lang w:val="fr-CA"/>
        </w:rPr>
        <w:t>Pierre Michaud</w:t>
      </w:r>
      <w:r w:rsidR="007835F0" w:rsidRPr="007835F0">
        <w:rPr>
          <w:sz w:val="20"/>
          <w:szCs w:val="20"/>
          <w:lang w:val="fr-CA"/>
        </w:rPr>
        <w:t xml:space="preserve"> </w:t>
      </w:r>
      <w:r w:rsidRPr="007835F0">
        <w:rPr>
          <w:sz w:val="20"/>
          <w:szCs w:val="20"/>
          <w:lang w:val="fr-CA"/>
        </w:rPr>
        <w:t>(Qc) (Civile) (Autorisation)</w:t>
      </w:r>
      <w:r w:rsidR="007835F0" w:rsidRPr="007835F0">
        <w:rPr>
          <w:sz w:val="20"/>
          <w:szCs w:val="20"/>
          <w:lang w:val="fr-CA"/>
        </w:rPr>
        <w:t xml:space="preserve"> (</w:t>
      </w:r>
      <w:r w:rsidRPr="007835F0">
        <w:rPr>
          <w:sz w:val="20"/>
          <w:szCs w:val="20"/>
          <w:lang w:val="fr-CA"/>
        </w:rPr>
        <w:t>34383</w:t>
      </w:r>
      <w:r w:rsidR="007835F0" w:rsidRPr="007835F0">
        <w:rPr>
          <w:sz w:val="20"/>
          <w:szCs w:val="20"/>
          <w:lang w:val="fr-CA"/>
        </w:rPr>
        <w:t>)</w:t>
      </w:r>
    </w:p>
    <w:p w:rsidR="007835F0" w:rsidRPr="007835F0" w:rsidRDefault="007835F0" w:rsidP="007835F0">
      <w:pPr>
        <w:ind w:left="720" w:hanging="720"/>
        <w:rPr>
          <w:sz w:val="20"/>
          <w:szCs w:val="20"/>
          <w:lang w:val="fr-CA"/>
        </w:rPr>
      </w:pPr>
    </w:p>
    <w:p w:rsidR="007835F0" w:rsidRPr="007835F0" w:rsidRDefault="007835F0" w:rsidP="007835F0">
      <w:pPr>
        <w:pStyle w:val="SCCAppellantInfoAppellantInfo"/>
        <w:numPr>
          <w:ilvl w:val="0"/>
          <w:numId w:val="5"/>
        </w:numPr>
        <w:ind w:hanging="720"/>
        <w:rPr>
          <w:sz w:val="20"/>
          <w:szCs w:val="20"/>
        </w:rPr>
      </w:pPr>
      <w:r w:rsidRPr="007835F0">
        <w:rPr>
          <w:i/>
          <w:sz w:val="20"/>
          <w:szCs w:val="20"/>
        </w:rPr>
        <w:t>Maxine Collins v. Elizabeth Heneghan</w:t>
      </w:r>
      <w:r w:rsidRPr="007835F0">
        <w:rPr>
          <w:sz w:val="20"/>
          <w:szCs w:val="20"/>
        </w:rPr>
        <w:t xml:space="preserve"> (Ont.) (Civil) (By Leave) (34492)</w:t>
      </w:r>
    </w:p>
    <w:p w:rsidR="007835F0" w:rsidRPr="007835F0" w:rsidRDefault="007835F0" w:rsidP="007835F0">
      <w:pPr>
        <w:ind w:left="720" w:hanging="720"/>
        <w:rPr>
          <w:sz w:val="20"/>
          <w:szCs w:val="20"/>
        </w:rPr>
      </w:pPr>
    </w:p>
    <w:p w:rsidR="007835F0" w:rsidRPr="00731A11" w:rsidRDefault="007835F0" w:rsidP="007835F0">
      <w:pPr>
        <w:pStyle w:val="SCCAppellantInfoAppellantInfo"/>
        <w:numPr>
          <w:ilvl w:val="0"/>
          <w:numId w:val="5"/>
        </w:numPr>
        <w:ind w:hanging="720"/>
        <w:rPr>
          <w:sz w:val="20"/>
          <w:szCs w:val="20"/>
          <w:lang w:val="fr-CA"/>
        </w:rPr>
      </w:pPr>
      <w:r w:rsidRPr="007835F0">
        <w:rPr>
          <w:i/>
          <w:sz w:val="20"/>
          <w:szCs w:val="20"/>
          <w:lang w:val="fr-CA"/>
        </w:rPr>
        <w:t>Gilles Patenaude c. Ville de Longueui</w:t>
      </w:r>
      <w:r w:rsidR="00731A11">
        <w:rPr>
          <w:i/>
          <w:sz w:val="20"/>
          <w:szCs w:val="20"/>
          <w:lang w:val="fr-CA"/>
        </w:rPr>
        <w:t>l</w:t>
      </w:r>
      <w:r w:rsidRPr="007835F0">
        <w:rPr>
          <w:i/>
          <w:sz w:val="20"/>
          <w:szCs w:val="20"/>
          <w:lang w:val="fr-CA"/>
        </w:rPr>
        <w:t xml:space="preserve"> et a</w:t>
      </w:r>
      <w:r w:rsidR="00444BCF">
        <w:rPr>
          <w:i/>
          <w:sz w:val="20"/>
          <w:szCs w:val="20"/>
          <w:lang w:val="fr-CA"/>
        </w:rPr>
        <w:t>utre</w:t>
      </w:r>
      <w:r w:rsidRPr="007835F0">
        <w:rPr>
          <w:sz w:val="20"/>
          <w:szCs w:val="20"/>
          <w:lang w:val="fr-CA"/>
        </w:rPr>
        <w:t xml:space="preserve"> (Qc) (Civile) (Autorisation) (</w:t>
      </w:r>
      <w:r w:rsidRPr="00731A11">
        <w:rPr>
          <w:sz w:val="20"/>
          <w:szCs w:val="20"/>
          <w:lang w:val="fr-CA"/>
        </w:rPr>
        <w:t>34390)</w:t>
      </w:r>
    </w:p>
    <w:p w:rsidR="007835F0" w:rsidRPr="00731A11" w:rsidRDefault="007835F0" w:rsidP="007835F0">
      <w:pPr>
        <w:ind w:left="720" w:hanging="72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4B7F60" w:rsidRDefault="004B7F60" w:rsidP="004B7F60">
      <w:pPr>
        <w:widowControl w:val="0"/>
        <w:rPr>
          <w:sz w:val="20"/>
          <w:szCs w:val="20"/>
          <w:lang w:val="fr-CA"/>
        </w:rPr>
      </w:pPr>
    </w:p>
    <w:p w:rsidR="002775D1" w:rsidRPr="002775D1" w:rsidRDefault="002775D1" w:rsidP="002775D1">
      <w:pPr>
        <w:pStyle w:val="ListParagraph"/>
        <w:numPr>
          <w:ilvl w:val="0"/>
          <w:numId w:val="5"/>
        </w:numPr>
        <w:ind w:hanging="720"/>
        <w:rPr>
          <w:sz w:val="20"/>
          <w:szCs w:val="20"/>
        </w:rPr>
      </w:pPr>
      <w:r w:rsidRPr="00503170">
        <w:rPr>
          <w:i/>
          <w:sz w:val="20"/>
          <w:szCs w:val="20"/>
        </w:rPr>
        <w:t xml:space="preserve">Jason Shand v. Her Majesty the Queen </w:t>
      </w:r>
      <w:r w:rsidRPr="002775D1">
        <w:rPr>
          <w:sz w:val="20"/>
          <w:szCs w:val="20"/>
        </w:rPr>
        <w:t>(Ont.) (Crim.) (By Leave) (34319)</w:t>
      </w:r>
    </w:p>
    <w:p w:rsidR="002775D1" w:rsidRPr="002775D1" w:rsidRDefault="002775D1" w:rsidP="002775D1">
      <w:pPr>
        <w:pStyle w:val="SCCAppellantInfoAppellantInfo"/>
        <w:ind w:left="720" w:hanging="720"/>
        <w:rPr>
          <w:sz w:val="20"/>
          <w:szCs w:val="20"/>
        </w:rPr>
      </w:pPr>
    </w:p>
    <w:p w:rsidR="002775D1" w:rsidRPr="002775D1" w:rsidRDefault="002775D1" w:rsidP="002775D1">
      <w:pPr>
        <w:pStyle w:val="SCCAppellantInfoAppellantInfo"/>
        <w:numPr>
          <w:ilvl w:val="0"/>
          <w:numId w:val="5"/>
        </w:numPr>
        <w:ind w:hanging="720"/>
        <w:rPr>
          <w:sz w:val="20"/>
          <w:szCs w:val="20"/>
          <w:lang w:val="en-US"/>
        </w:rPr>
      </w:pPr>
      <w:r w:rsidRPr="00503170">
        <w:rPr>
          <w:i/>
          <w:sz w:val="20"/>
          <w:szCs w:val="20"/>
        </w:rPr>
        <w:t xml:space="preserve">Elva Bottineau v. Her Majesty the Queen </w:t>
      </w:r>
      <w:r w:rsidRPr="002775D1">
        <w:rPr>
          <w:sz w:val="20"/>
          <w:szCs w:val="20"/>
        </w:rPr>
        <w:t>(Ont.) (Crim.) (By Leave) (</w:t>
      </w:r>
      <w:r w:rsidRPr="002775D1">
        <w:rPr>
          <w:sz w:val="20"/>
          <w:szCs w:val="20"/>
          <w:lang w:val="en-US"/>
        </w:rPr>
        <w:t>34491)</w:t>
      </w:r>
    </w:p>
    <w:p w:rsidR="002775D1" w:rsidRPr="002775D1" w:rsidRDefault="002775D1" w:rsidP="002775D1">
      <w:pPr>
        <w:ind w:left="720" w:hanging="720"/>
        <w:rPr>
          <w:sz w:val="20"/>
          <w:szCs w:val="20"/>
          <w:lang w:val="en-US"/>
        </w:rPr>
      </w:pPr>
    </w:p>
    <w:p w:rsidR="002775D1" w:rsidRPr="002775D1" w:rsidRDefault="002775D1" w:rsidP="002775D1">
      <w:pPr>
        <w:pStyle w:val="ListParagraph"/>
        <w:numPr>
          <w:ilvl w:val="0"/>
          <w:numId w:val="5"/>
        </w:numPr>
        <w:ind w:hanging="720"/>
        <w:rPr>
          <w:sz w:val="20"/>
          <w:szCs w:val="20"/>
        </w:rPr>
      </w:pPr>
      <w:r w:rsidRPr="00473523">
        <w:rPr>
          <w:i/>
          <w:sz w:val="20"/>
          <w:szCs w:val="20"/>
          <w:lang w:val="fr-CA"/>
        </w:rPr>
        <w:t xml:space="preserve">S.P. v. Administrative Tribunal of Quebec et al. </w:t>
      </w:r>
      <w:r w:rsidRPr="00473523">
        <w:rPr>
          <w:sz w:val="20"/>
          <w:szCs w:val="20"/>
          <w:lang w:val="fr-CA"/>
        </w:rPr>
        <w:t xml:space="preserve">(Que.) (Crim.) </w:t>
      </w:r>
      <w:r w:rsidRPr="002775D1">
        <w:rPr>
          <w:sz w:val="20"/>
          <w:szCs w:val="20"/>
        </w:rPr>
        <w:t>(By Leave) (34462)</w:t>
      </w:r>
    </w:p>
    <w:p w:rsidR="002775D1" w:rsidRPr="002775D1" w:rsidRDefault="002775D1" w:rsidP="002775D1">
      <w:pPr>
        <w:ind w:left="720" w:hanging="720"/>
        <w:rPr>
          <w:sz w:val="20"/>
          <w:szCs w:val="20"/>
        </w:rPr>
      </w:pPr>
    </w:p>
    <w:p w:rsidR="002775D1" w:rsidRDefault="002775D1" w:rsidP="002775D1">
      <w:pPr>
        <w:pStyle w:val="SCCAppellantInfoAppellantInfo"/>
        <w:numPr>
          <w:ilvl w:val="0"/>
          <w:numId w:val="5"/>
        </w:numPr>
        <w:ind w:hanging="720"/>
        <w:rPr>
          <w:sz w:val="20"/>
          <w:szCs w:val="20"/>
        </w:rPr>
      </w:pPr>
      <w:r w:rsidRPr="00503170">
        <w:rPr>
          <w:i/>
          <w:sz w:val="20"/>
          <w:szCs w:val="20"/>
          <w:lang w:val="fr-CA"/>
        </w:rPr>
        <w:t xml:space="preserve">S.P. v. Jean-Talon Hospital et al. </w:t>
      </w:r>
      <w:r w:rsidRPr="00503170">
        <w:rPr>
          <w:sz w:val="20"/>
          <w:szCs w:val="20"/>
        </w:rPr>
        <w:t>(Que.) (Civil) (By Leave) (34461)</w:t>
      </w:r>
    </w:p>
    <w:p w:rsidR="00503170" w:rsidRPr="00503170" w:rsidRDefault="00503170" w:rsidP="00503170"/>
    <w:p w:rsidR="002E2327" w:rsidRPr="00C50A5C" w:rsidRDefault="008A6550" w:rsidP="002E2327">
      <w:pPr>
        <w:widowControl w:val="0"/>
        <w:rPr>
          <w:sz w:val="20"/>
          <w:szCs w:val="20"/>
        </w:rPr>
      </w:pPr>
      <w:r w:rsidRPr="008A6550">
        <w:rPr>
          <w:sz w:val="20"/>
          <w:szCs w:val="20"/>
        </w:rPr>
        <w:pict>
          <v:rect id="_x0000_i103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C04C40"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367400" w:rsidRDefault="001D3C7A" w:rsidP="008D292F">
      <w:pPr>
        <w:rPr>
          <w:rFonts w:cs="Times New Roman"/>
          <w:b/>
          <w:sz w:val="20"/>
          <w:szCs w:val="20"/>
        </w:rPr>
      </w:pPr>
      <w:r w:rsidRPr="00367400">
        <w:rPr>
          <w:rFonts w:cs="Times New Roman"/>
          <w:b/>
          <w:sz w:val="20"/>
          <w:szCs w:val="20"/>
        </w:rPr>
        <w:t>DECEMBER 8</w:t>
      </w:r>
      <w:r w:rsidR="008D292F" w:rsidRPr="00367400">
        <w:rPr>
          <w:rFonts w:cs="Times New Roman"/>
          <w:b/>
          <w:sz w:val="20"/>
          <w:szCs w:val="20"/>
        </w:rPr>
        <w:t>, 201</w:t>
      </w:r>
      <w:r w:rsidRPr="00367400">
        <w:rPr>
          <w:rFonts w:cs="Times New Roman"/>
          <w:b/>
          <w:sz w:val="20"/>
          <w:szCs w:val="20"/>
        </w:rPr>
        <w:t>1</w:t>
      </w:r>
      <w:r w:rsidR="008D292F" w:rsidRPr="00367400">
        <w:rPr>
          <w:rFonts w:cs="Times New Roman"/>
          <w:b/>
          <w:sz w:val="20"/>
          <w:szCs w:val="20"/>
        </w:rPr>
        <w:t xml:space="preserve"> / LE </w:t>
      </w:r>
      <w:r w:rsidRPr="00367400">
        <w:rPr>
          <w:rFonts w:cs="Times New Roman"/>
          <w:b/>
          <w:sz w:val="20"/>
          <w:szCs w:val="20"/>
        </w:rPr>
        <w:t>8</w:t>
      </w:r>
      <w:r w:rsidR="008D292F" w:rsidRPr="00367400">
        <w:rPr>
          <w:rFonts w:cs="Times New Roman"/>
          <w:b/>
          <w:sz w:val="20"/>
          <w:szCs w:val="20"/>
        </w:rPr>
        <w:t xml:space="preserve"> </w:t>
      </w:r>
      <w:r w:rsidRPr="00367400">
        <w:rPr>
          <w:rFonts w:cs="Times New Roman"/>
          <w:b/>
          <w:sz w:val="20"/>
          <w:szCs w:val="20"/>
        </w:rPr>
        <w:t>DÉCEMBRE</w:t>
      </w:r>
      <w:r w:rsidR="008D292F" w:rsidRPr="00367400">
        <w:rPr>
          <w:rFonts w:cs="Times New Roman"/>
          <w:b/>
          <w:sz w:val="20"/>
          <w:szCs w:val="20"/>
        </w:rPr>
        <w:t xml:space="preserve"> 201</w:t>
      </w:r>
      <w:r w:rsidRPr="00367400">
        <w:rPr>
          <w:rFonts w:cs="Times New Roman"/>
          <w:b/>
          <w:sz w:val="20"/>
          <w:szCs w:val="20"/>
        </w:rPr>
        <w:t>1</w:t>
      </w:r>
    </w:p>
    <w:p w:rsidR="008D292F" w:rsidRPr="005D0703" w:rsidRDefault="008D292F" w:rsidP="008D292F">
      <w:pPr>
        <w:rPr>
          <w:rFonts w:cs="Times New Roman"/>
          <w:b/>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82D81" w:rsidRPr="005D0703" w:rsidTr="00D82D81">
        <w:trPr>
          <w:cantSplit/>
        </w:trPr>
        <w:tc>
          <w:tcPr>
            <w:tcW w:w="1458" w:type="dxa"/>
          </w:tcPr>
          <w:p w:rsidR="00D82D81" w:rsidRPr="005D0703" w:rsidRDefault="00D82D81" w:rsidP="00D82D81">
            <w:pPr>
              <w:rPr>
                <w:rFonts w:cs="Times New Roman"/>
                <w:sz w:val="20"/>
                <w:szCs w:val="20"/>
              </w:rPr>
            </w:pPr>
            <w:r w:rsidRPr="005D0703">
              <w:rPr>
                <w:rStyle w:val="SCCFileNumberChar"/>
                <w:sz w:val="20"/>
                <w:szCs w:val="20"/>
              </w:rPr>
              <w:t>33619</w:t>
            </w:r>
          </w:p>
          <w:p w:rsidR="00D82D81" w:rsidRPr="005D0703" w:rsidRDefault="00D82D81" w:rsidP="00D82D81">
            <w:pPr>
              <w:rPr>
                <w:rFonts w:cs="Times New Roman"/>
                <w:b/>
                <w:sz w:val="20"/>
                <w:szCs w:val="20"/>
                <w:lang w:val="fr-CA"/>
              </w:rPr>
            </w:pPr>
          </w:p>
        </w:tc>
        <w:tc>
          <w:tcPr>
            <w:tcW w:w="8118" w:type="dxa"/>
          </w:tcPr>
          <w:p w:rsidR="00D82D81" w:rsidRPr="005D0703" w:rsidRDefault="00D82D81" w:rsidP="00A50209">
            <w:pPr>
              <w:jc w:val="both"/>
              <w:rPr>
                <w:rFonts w:cs="Times New Roman"/>
                <w:sz w:val="20"/>
                <w:szCs w:val="20"/>
              </w:rPr>
            </w:pPr>
            <w:r w:rsidRPr="005D0703">
              <w:rPr>
                <w:rStyle w:val="SCCLsocChar"/>
                <w:rFonts w:cs="Times New Roman"/>
                <w:sz w:val="20"/>
                <w:szCs w:val="20"/>
                <w:lang w:val="en-US"/>
              </w:rPr>
              <w:t>Toshiba of Canada Limited v. Commissioner of Competition AND BETWEEN Toshiba of Canada Limited v. Commissioner of Competition</w:t>
            </w:r>
            <w:r w:rsidRPr="005D0703">
              <w:rPr>
                <w:rFonts w:cs="Times New Roman"/>
                <w:sz w:val="20"/>
                <w:szCs w:val="20"/>
              </w:rPr>
              <w:t xml:space="preserve"> (Ont.) (Civil) (By Leave)</w:t>
            </w:r>
          </w:p>
          <w:p w:rsidR="00D82D81" w:rsidRPr="005D0703" w:rsidRDefault="00D82D81" w:rsidP="00D82D81">
            <w:pPr>
              <w:rPr>
                <w:rFonts w:cs="Times New Roman"/>
                <w:sz w:val="20"/>
                <w:szCs w:val="20"/>
              </w:rPr>
            </w:pPr>
          </w:p>
        </w:tc>
      </w:tr>
      <w:tr w:rsidR="00D82D81" w:rsidRPr="005D0703" w:rsidTr="00D82D81">
        <w:trPr>
          <w:cantSplit/>
        </w:trPr>
        <w:tc>
          <w:tcPr>
            <w:tcW w:w="1458" w:type="dxa"/>
          </w:tcPr>
          <w:p w:rsidR="00D82D81" w:rsidRPr="005D0703" w:rsidRDefault="00D82D81" w:rsidP="00D82D81">
            <w:pPr>
              <w:rPr>
                <w:rFonts w:cs="Times New Roman"/>
                <w:sz w:val="20"/>
                <w:szCs w:val="20"/>
              </w:rPr>
            </w:pPr>
            <w:r w:rsidRPr="005D0703">
              <w:rPr>
                <w:rFonts w:cs="Times New Roman"/>
                <w:sz w:val="20"/>
                <w:szCs w:val="20"/>
              </w:rPr>
              <w:t>Coram :</w:t>
            </w:r>
          </w:p>
        </w:tc>
        <w:tc>
          <w:tcPr>
            <w:tcW w:w="8118" w:type="dxa"/>
          </w:tcPr>
          <w:p w:rsidR="00D82D81" w:rsidRPr="005D0703" w:rsidRDefault="00D82D81" w:rsidP="00D82D81">
            <w:pPr>
              <w:rPr>
                <w:rFonts w:cs="Times New Roman"/>
                <w:sz w:val="20"/>
                <w:szCs w:val="20"/>
              </w:rPr>
            </w:pPr>
            <w:r w:rsidRPr="005D0703">
              <w:rPr>
                <w:rStyle w:val="SCCCoramChar"/>
                <w:rFonts w:cs="Times New Roman"/>
                <w:sz w:val="20"/>
                <w:szCs w:val="20"/>
                <w:lang w:val="en-US"/>
              </w:rPr>
              <w:t>McLachlin C.J. and Deschamps and Fish JJ.</w:t>
            </w:r>
          </w:p>
          <w:p w:rsidR="00D82D81" w:rsidRPr="005D0703" w:rsidRDefault="00D82D81" w:rsidP="00D82D81">
            <w:pPr>
              <w:rPr>
                <w:rFonts w:cs="Times New Roman"/>
                <w:sz w:val="20"/>
                <w:szCs w:val="20"/>
                <w:u w:val="single"/>
              </w:rPr>
            </w:pPr>
          </w:p>
        </w:tc>
      </w:tr>
      <w:tr w:rsidR="00D82D81" w:rsidRPr="00C04C40" w:rsidTr="00D82D81">
        <w:trPr>
          <w:cantSplit/>
        </w:trPr>
        <w:tc>
          <w:tcPr>
            <w:tcW w:w="9576" w:type="dxa"/>
            <w:gridSpan w:val="2"/>
          </w:tcPr>
          <w:p w:rsidR="00D82D81" w:rsidRPr="005D0703" w:rsidRDefault="00D82D81" w:rsidP="00D82D81">
            <w:pPr>
              <w:pStyle w:val="SCCShortJudgment"/>
              <w:rPr>
                <w:rFonts w:cs="Times New Roman"/>
                <w:szCs w:val="20"/>
              </w:rPr>
            </w:pPr>
            <w:r w:rsidRPr="005D0703">
              <w:rPr>
                <w:rFonts w:cs="Times New Roman"/>
                <w:szCs w:val="20"/>
              </w:rPr>
              <w:t>The application for leave to appeal from the judgment of the Ontario Superior Court of Justice, Number M-163-07, 2010 ONSC 659, dated January 27, 2010, is dismissed without costs.  The application for leave to appeal from the judgment of the Ontario Superior Court of Justice, Number 93/10, 2011 ONSC 949, dated April 12, 2011, is dismissed with costs.</w:t>
            </w:r>
          </w:p>
          <w:p w:rsidR="00D82D81" w:rsidRPr="005D0703" w:rsidRDefault="00D82D81" w:rsidP="00D82D81">
            <w:pPr>
              <w:pStyle w:val="SCCShortJudgment"/>
              <w:ind w:firstLine="0"/>
              <w:rPr>
                <w:rFonts w:cs="Times New Roman"/>
                <w:szCs w:val="20"/>
              </w:rPr>
            </w:pPr>
          </w:p>
          <w:p w:rsidR="00D82D81" w:rsidRPr="005D0703" w:rsidRDefault="00D82D81" w:rsidP="00D82D81">
            <w:pPr>
              <w:pStyle w:val="SCCShortJudgment"/>
              <w:rPr>
                <w:rFonts w:cs="Times New Roman"/>
                <w:szCs w:val="20"/>
                <w:lang w:val="fr-CA"/>
              </w:rPr>
            </w:pPr>
            <w:r w:rsidRPr="005D0703">
              <w:rPr>
                <w:rFonts w:cs="Times New Roman"/>
                <w:szCs w:val="20"/>
                <w:lang w:val="fr-CA"/>
              </w:rPr>
              <w:t>La demande d’autorisation d’appel du jugement de la Cour supérieure de justice de l’Ontario, numéro M-163-07, 2010 ONSC 659, daté du 27 janvier 2010, est rejetée sans dépens. La demande d’autorisation d’appel du jugement de la Cour supérieure de justice de l’Ontario, numéro 93/10, 2011 ONSC 949, daté du 12  avril 2011, est rejetée avec dépens.</w:t>
            </w:r>
          </w:p>
        </w:tc>
      </w:tr>
    </w:tbl>
    <w:p w:rsidR="008D292F" w:rsidRPr="005D0703" w:rsidRDefault="008D292F" w:rsidP="008D292F">
      <w:pPr>
        <w:rPr>
          <w:rFonts w:cs="Times New Roman"/>
          <w:b/>
          <w:sz w:val="20"/>
          <w:szCs w:val="20"/>
          <w:lang w:val="fr-CA"/>
        </w:rPr>
      </w:pPr>
    </w:p>
    <w:p w:rsidR="004B7F60" w:rsidRPr="005D0703" w:rsidRDefault="004B7F60" w:rsidP="008D292F">
      <w:pPr>
        <w:rPr>
          <w:rFonts w:cs="Times New Roman"/>
          <w:sz w:val="20"/>
          <w:szCs w:val="20"/>
          <w:u w:val="single"/>
        </w:rPr>
      </w:pPr>
      <w:r w:rsidRPr="005D0703">
        <w:rPr>
          <w:rFonts w:cs="Times New Roman"/>
          <w:sz w:val="20"/>
          <w:szCs w:val="20"/>
          <w:u w:val="single"/>
        </w:rPr>
        <w:t>CASE SUMMARY</w:t>
      </w:r>
    </w:p>
    <w:p w:rsidR="00BC716D" w:rsidRPr="005D0703" w:rsidRDefault="00BC716D" w:rsidP="008D292F">
      <w:pPr>
        <w:rPr>
          <w:rFonts w:cs="Times New Roman"/>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692BC9" w:rsidRPr="005D0703" w:rsidTr="00692BC9">
        <w:tc>
          <w:tcPr>
            <w:tcW w:w="5000" w:type="pct"/>
            <w:gridSpan w:val="3"/>
          </w:tcPr>
          <w:p w:rsidR="00692BC9" w:rsidRPr="005D0703" w:rsidRDefault="00692BC9" w:rsidP="00692BC9">
            <w:pPr>
              <w:jc w:val="both"/>
              <w:rPr>
                <w:rFonts w:eastAsia="Calibri" w:cs="Times New Roman"/>
                <w:b/>
                <w:sz w:val="20"/>
                <w:szCs w:val="20"/>
              </w:rPr>
            </w:pPr>
            <w:r w:rsidRPr="005D0703">
              <w:rPr>
                <w:rFonts w:eastAsia="Calibri" w:cs="Times New Roman"/>
                <w:b/>
                <w:sz w:val="20"/>
                <w:szCs w:val="20"/>
              </w:rPr>
              <w:t>First application</w:t>
            </w:r>
          </w:p>
          <w:p w:rsidR="00692BC9" w:rsidRPr="005D0703" w:rsidRDefault="00692BC9" w:rsidP="00692BC9">
            <w:pPr>
              <w:jc w:val="both"/>
              <w:rPr>
                <w:rFonts w:eastAsia="Calibri" w:cs="Times New Roman"/>
                <w:i/>
                <w:sz w:val="20"/>
                <w:szCs w:val="20"/>
              </w:rPr>
            </w:pPr>
          </w:p>
          <w:p w:rsidR="00692BC9" w:rsidRPr="005D0703" w:rsidRDefault="00692BC9" w:rsidP="00692BC9">
            <w:pPr>
              <w:jc w:val="both"/>
              <w:rPr>
                <w:rFonts w:eastAsia="Calibri" w:cs="Times New Roman"/>
                <w:sz w:val="20"/>
                <w:szCs w:val="20"/>
              </w:rPr>
            </w:pPr>
            <w:r w:rsidRPr="005D0703">
              <w:rPr>
                <w:rFonts w:eastAsia="Calibri" w:cs="Times New Roman"/>
                <w:i/>
                <w:sz w:val="20"/>
                <w:szCs w:val="20"/>
              </w:rPr>
              <w:t>Charter of Rights</w:t>
            </w:r>
            <w:r w:rsidRPr="005D0703">
              <w:rPr>
                <w:rFonts w:eastAsia="Calibri" w:cs="Times New Roman"/>
                <w:sz w:val="20"/>
                <w:szCs w:val="20"/>
              </w:rPr>
              <w:t xml:space="preserve"> — Civil procedure — Discovery — Production of documents — Cross</w:t>
            </w:r>
            <w:r w:rsidRPr="005D0703">
              <w:rPr>
                <w:rFonts w:eastAsia="Calibri" w:cs="Times New Roman"/>
                <w:sz w:val="20"/>
                <w:szCs w:val="20"/>
              </w:rPr>
              <w:noBreakHyphen/>
              <w:t xml:space="preserve">examination — Applicant bringing interlocutory motion to require Respondent to produce documents and to submit affiant in </w:t>
            </w:r>
            <w:r w:rsidRPr="005D0703">
              <w:rPr>
                <w:rFonts w:eastAsia="Calibri" w:cs="Times New Roman"/>
                <w:i/>
                <w:sz w:val="20"/>
                <w:szCs w:val="20"/>
              </w:rPr>
              <w:t>ex parte</w:t>
            </w:r>
            <w:r w:rsidRPr="005D0703">
              <w:rPr>
                <w:rFonts w:eastAsia="Calibri" w:cs="Times New Roman"/>
                <w:sz w:val="20"/>
                <w:szCs w:val="20"/>
              </w:rPr>
              <w:t xml:space="preserve"> proceeding to cross</w:t>
            </w:r>
            <w:r w:rsidRPr="005D0703">
              <w:rPr>
                <w:rFonts w:eastAsia="Calibri" w:cs="Times New Roman"/>
                <w:sz w:val="20"/>
                <w:szCs w:val="20"/>
              </w:rPr>
              <w:noBreakHyphen/>
              <w:t xml:space="preserve">examination — Whether Applicant entitled to production of certain documents to “make its case” to quash or vary an </w:t>
            </w:r>
            <w:r w:rsidRPr="005D0703">
              <w:rPr>
                <w:rFonts w:eastAsia="Calibri" w:cs="Times New Roman"/>
                <w:i/>
                <w:sz w:val="20"/>
                <w:szCs w:val="20"/>
              </w:rPr>
              <w:t>ex parte</w:t>
            </w:r>
            <w:r w:rsidRPr="005D0703">
              <w:rPr>
                <w:rFonts w:eastAsia="Calibri" w:cs="Times New Roman"/>
                <w:sz w:val="20"/>
                <w:szCs w:val="20"/>
              </w:rPr>
              <w:t xml:space="preserve"> section 11 order on the grounds that its rights under the </w:t>
            </w:r>
            <w:r w:rsidRPr="005D0703">
              <w:rPr>
                <w:rFonts w:eastAsia="Calibri" w:cs="Times New Roman"/>
                <w:i/>
                <w:sz w:val="20"/>
                <w:szCs w:val="20"/>
              </w:rPr>
              <w:t>Charter</w:t>
            </w:r>
            <w:r w:rsidRPr="005D0703">
              <w:rPr>
                <w:rFonts w:eastAsia="Calibri" w:cs="Times New Roman"/>
                <w:sz w:val="20"/>
                <w:szCs w:val="20"/>
              </w:rPr>
              <w:t xml:space="preserve"> have been violated — Whether Applicant entitled to cross</w:t>
            </w:r>
            <w:r w:rsidRPr="005D0703">
              <w:rPr>
                <w:rFonts w:eastAsia="Calibri" w:cs="Times New Roman"/>
                <w:sz w:val="20"/>
                <w:szCs w:val="20"/>
              </w:rPr>
              <w:noBreakHyphen/>
              <w:t xml:space="preserve">examine affiant on </w:t>
            </w:r>
            <w:r w:rsidRPr="005D0703">
              <w:rPr>
                <w:rFonts w:eastAsia="Calibri" w:cs="Times New Roman"/>
                <w:i/>
                <w:sz w:val="20"/>
                <w:szCs w:val="20"/>
              </w:rPr>
              <w:t>ex parte</w:t>
            </w:r>
            <w:r w:rsidRPr="005D0703">
              <w:rPr>
                <w:rFonts w:eastAsia="Calibri" w:cs="Times New Roman"/>
                <w:sz w:val="20"/>
                <w:szCs w:val="20"/>
              </w:rPr>
              <w:t xml:space="preserve"> application on grounds that its rights under the </w:t>
            </w:r>
            <w:r w:rsidRPr="005D0703">
              <w:rPr>
                <w:rFonts w:eastAsia="Calibri" w:cs="Times New Roman"/>
                <w:i/>
                <w:sz w:val="20"/>
                <w:szCs w:val="20"/>
              </w:rPr>
              <w:t>Charter</w:t>
            </w:r>
            <w:r w:rsidRPr="005D0703">
              <w:rPr>
                <w:rFonts w:eastAsia="Calibri" w:cs="Times New Roman"/>
                <w:sz w:val="20"/>
                <w:szCs w:val="20"/>
              </w:rPr>
              <w:t xml:space="preserve"> have been violated or on grounds that Commissioner’s disclosure at the </w:t>
            </w:r>
            <w:r w:rsidRPr="005D0703">
              <w:rPr>
                <w:rFonts w:eastAsia="Calibri" w:cs="Times New Roman"/>
                <w:i/>
                <w:sz w:val="20"/>
                <w:szCs w:val="20"/>
              </w:rPr>
              <w:t>ex parte</w:t>
            </w:r>
            <w:r w:rsidRPr="005D0703">
              <w:rPr>
                <w:rFonts w:eastAsia="Calibri" w:cs="Times New Roman"/>
                <w:sz w:val="20"/>
                <w:szCs w:val="20"/>
              </w:rPr>
              <w:t xml:space="preserve"> application was inadequate and misleading</w:t>
            </w:r>
          </w:p>
          <w:p w:rsidR="00692BC9" w:rsidRPr="005D0703" w:rsidRDefault="00692BC9" w:rsidP="00692BC9">
            <w:pPr>
              <w:jc w:val="both"/>
              <w:rPr>
                <w:rFonts w:eastAsia="Calibri" w:cs="Times New Roman"/>
                <w:b/>
                <w:sz w:val="20"/>
                <w:szCs w:val="20"/>
              </w:rPr>
            </w:pPr>
          </w:p>
          <w:p w:rsidR="00692BC9" w:rsidRPr="005D0703" w:rsidRDefault="00692BC9" w:rsidP="00692BC9">
            <w:pPr>
              <w:jc w:val="both"/>
              <w:rPr>
                <w:rFonts w:eastAsia="Calibri" w:cs="Times New Roman"/>
                <w:b/>
                <w:sz w:val="20"/>
                <w:szCs w:val="20"/>
              </w:rPr>
            </w:pPr>
            <w:r w:rsidRPr="005D0703">
              <w:rPr>
                <w:rFonts w:eastAsia="Calibri" w:cs="Times New Roman"/>
                <w:b/>
                <w:sz w:val="20"/>
                <w:szCs w:val="20"/>
              </w:rPr>
              <w:t>Second application</w:t>
            </w:r>
          </w:p>
          <w:p w:rsidR="00692BC9" w:rsidRPr="005D0703" w:rsidRDefault="00692BC9" w:rsidP="00692BC9">
            <w:pPr>
              <w:jc w:val="both"/>
              <w:rPr>
                <w:rFonts w:eastAsia="Calibri" w:cs="Times New Roman"/>
                <w:sz w:val="20"/>
                <w:szCs w:val="20"/>
              </w:rPr>
            </w:pPr>
          </w:p>
          <w:p w:rsidR="00692BC9" w:rsidRPr="005D0703" w:rsidRDefault="00692BC9" w:rsidP="00692BC9">
            <w:pPr>
              <w:spacing w:line="276" w:lineRule="auto"/>
              <w:jc w:val="both"/>
              <w:rPr>
                <w:rFonts w:eastAsia="Calibri" w:cs="Times New Roman"/>
                <w:sz w:val="20"/>
                <w:szCs w:val="20"/>
              </w:rPr>
            </w:pPr>
            <w:r w:rsidRPr="005D0703">
              <w:rPr>
                <w:rFonts w:eastAsia="Calibri" w:cs="Times New Roman"/>
                <w:sz w:val="20"/>
                <w:szCs w:val="20"/>
              </w:rPr>
              <w:t xml:space="preserve">Appeals — Procedure — Jurisdiction — When a Superior Court judge engages in a constitutional review of his/her own </w:t>
            </w:r>
            <w:r w:rsidRPr="005D0703">
              <w:rPr>
                <w:rFonts w:eastAsia="Calibri" w:cs="Times New Roman"/>
                <w:i/>
                <w:sz w:val="20"/>
                <w:szCs w:val="20"/>
              </w:rPr>
              <w:t>ex parte</w:t>
            </w:r>
            <w:r w:rsidRPr="005D0703">
              <w:rPr>
                <w:rFonts w:eastAsia="Calibri" w:cs="Times New Roman"/>
                <w:sz w:val="20"/>
                <w:szCs w:val="20"/>
              </w:rPr>
              <w:t xml:space="preserve"> order or the order of another Superior Court judge, do provincial rules of procedure apply to the constitutional aspects of the matter in so far as there is no conflict with federal rules of procedure? </w:t>
            </w:r>
          </w:p>
          <w:p w:rsidR="00692BC9" w:rsidRPr="005D0703" w:rsidRDefault="00692BC9" w:rsidP="00692BC9">
            <w:pPr>
              <w:jc w:val="both"/>
              <w:rPr>
                <w:rFonts w:eastAsia="Calibri" w:cs="Times New Roman"/>
                <w:sz w:val="20"/>
                <w:szCs w:val="20"/>
              </w:rPr>
            </w:pPr>
          </w:p>
        </w:tc>
      </w:tr>
      <w:tr w:rsidR="00692BC9" w:rsidRPr="005D0703" w:rsidTr="00692BC9">
        <w:tc>
          <w:tcPr>
            <w:tcW w:w="5000" w:type="pct"/>
            <w:gridSpan w:val="3"/>
          </w:tcPr>
          <w:p w:rsidR="00692BC9" w:rsidRPr="005D0703" w:rsidRDefault="00692BC9" w:rsidP="00692BC9">
            <w:pPr>
              <w:ind w:right="144"/>
              <w:jc w:val="both"/>
              <w:rPr>
                <w:rFonts w:cs="Times New Roman"/>
                <w:b/>
                <w:sz w:val="20"/>
                <w:szCs w:val="20"/>
              </w:rPr>
            </w:pPr>
            <w:r w:rsidRPr="005D0703">
              <w:rPr>
                <w:rFonts w:cs="Times New Roman"/>
                <w:b/>
                <w:sz w:val="20"/>
                <w:szCs w:val="20"/>
              </w:rPr>
              <w:t>First application</w:t>
            </w:r>
          </w:p>
          <w:p w:rsidR="00692BC9" w:rsidRPr="005D0703" w:rsidRDefault="00692BC9" w:rsidP="00692BC9">
            <w:pPr>
              <w:spacing w:before="137" w:after="240"/>
              <w:ind w:right="144"/>
              <w:jc w:val="both"/>
              <w:rPr>
                <w:rFonts w:cs="Times New Roman"/>
                <w:sz w:val="20"/>
                <w:szCs w:val="20"/>
              </w:rPr>
            </w:pPr>
            <w:r w:rsidRPr="005D0703">
              <w:rPr>
                <w:rFonts w:cs="Times New Roman"/>
                <w:sz w:val="20"/>
                <w:szCs w:val="20"/>
              </w:rPr>
              <w:t xml:space="preserve">In 2007, the Commissioner of Competition (“Commissioner”) launched an inquiry to determine whether a number of companies had engaged in a cartel to unduly lessen competition in respect of the manufacture, supply and sale of cathode ray tubes for television sets and computer monitors between 1994 and 2007.  Toshiba Japan, of which Toshiba Canada is a subsidiary, was one of the foreign companies identified by the Commissioner. The Commissioner obtained an </w:t>
            </w:r>
            <w:r w:rsidRPr="005D0703">
              <w:rPr>
                <w:rFonts w:cs="Times New Roman"/>
                <w:i/>
                <w:sz w:val="20"/>
                <w:szCs w:val="20"/>
              </w:rPr>
              <w:t>ex parte</w:t>
            </w:r>
            <w:r w:rsidRPr="005D0703">
              <w:rPr>
                <w:rFonts w:cs="Times New Roman"/>
                <w:sz w:val="20"/>
                <w:szCs w:val="20"/>
              </w:rPr>
              <w:t xml:space="preserve"> order requiring Toshiba Canada to supply documents and information in its possession or in the possession Toshiba Japan pursuant to s. 11 of the </w:t>
            </w:r>
            <w:r w:rsidRPr="005D0703">
              <w:rPr>
                <w:rFonts w:cs="Times New Roman"/>
                <w:i/>
                <w:sz w:val="20"/>
                <w:szCs w:val="20"/>
              </w:rPr>
              <w:t>Competition Act</w:t>
            </w:r>
            <w:r w:rsidRPr="005D0703">
              <w:rPr>
                <w:rFonts w:cs="Times New Roman"/>
                <w:sz w:val="20"/>
                <w:szCs w:val="20"/>
              </w:rPr>
              <w:t>, R.S.C. 1985, c. c</w:t>
            </w:r>
            <w:r w:rsidRPr="005D0703">
              <w:rPr>
                <w:rFonts w:cs="Times New Roman"/>
                <w:sz w:val="20"/>
                <w:szCs w:val="20"/>
              </w:rPr>
              <w:noBreakHyphen/>
              <w:t xml:space="preserve">34 (the “Act”).  The application was supported by an affidavit of a senior competition law officer.  Toshiba Canada, in its “Main Motion”, sought an order to set aside the </w:t>
            </w:r>
            <w:r w:rsidRPr="005D0703">
              <w:rPr>
                <w:rFonts w:cs="Times New Roman"/>
                <w:i/>
                <w:sz w:val="20"/>
                <w:szCs w:val="20"/>
              </w:rPr>
              <w:t>ex parte</w:t>
            </w:r>
            <w:r w:rsidRPr="005D0703">
              <w:rPr>
                <w:rFonts w:cs="Times New Roman"/>
                <w:sz w:val="20"/>
                <w:szCs w:val="20"/>
              </w:rPr>
              <w:t xml:space="preserve"> order on the basis that it was obtained on the basis of inadequate and misleading information, because the operation of s.11 was unconstitutional, and because there was a violation of its </w:t>
            </w:r>
            <w:r w:rsidRPr="005D0703">
              <w:rPr>
                <w:rFonts w:cs="Times New Roman"/>
                <w:i/>
                <w:sz w:val="20"/>
                <w:szCs w:val="20"/>
              </w:rPr>
              <w:t>Charter</w:t>
            </w:r>
            <w:r w:rsidRPr="005D0703">
              <w:rPr>
                <w:rFonts w:cs="Times New Roman"/>
                <w:sz w:val="20"/>
                <w:szCs w:val="20"/>
              </w:rPr>
              <w:t xml:space="preserve"> rights.  In support of that motion, Toshiba Canada also brought an interlocutory motion for production of records in the possession of the Commissioner, including the Inquiry Commencement Memorandum (“ICM”) and an order to cross</w:t>
            </w:r>
            <w:r w:rsidRPr="005D0703">
              <w:rPr>
                <w:rFonts w:cs="Times New Roman"/>
                <w:sz w:val="20"/>
                <w:szCs w:val="20"/>
              </w:rPr>
              <w:noBreakHyphen/>
              <w:t xml:space="preserve">examine the affiant of the affidavit filed in support of the </w:t>
            </w:r>
            <w:r w:rsidRPr="005D0703">
              <w:rPr>
                <w:rFonts w:cs="Times New Roman"/>
                <w:i/>
                <w:sz w:val="20"/>
                <w:szCs w:val="20"/>
              </w:rPr>
              <w:t>ex parte</w:t>
            </w:r>
            <w:r w:rsidRPr="005D0703">
              <w:rPr>
                <w:rFonts w:cs="Times New Roman"/>
                <w:sz w:val="20"/>
                <w:szCs w:val="20"/>
              </w:rPr>
              <w:t xml:space="preserve"> order. </w:t>
            </w:r>
          </w:p>
          <w:p w:rsidR="00692BC9" w:rsidRPr="005D0703" w:rsidRDefault="00692BC9" w:rsidP="00692BC9">
            <w:pPr>
              <w:spacing w:before="137" w:after="240"/>
              <w:ind w:right="144"/>
              <w:jc w:val="both"/>
              <w:rPr>
                <w:rFonts w:cs="Times New Roman"/>
                <w:b/>
                <w:sz w:val="20"/>
                <w:szCs w:val="20"/>
              </w:rPr>
            </w:pPr>
            <w:r w:rsidRPr="005D0703">
              <w:rPr>
                <w:rFonts w:cs="Times New Roman"/>
                <w:b/>
                <w:sz w:val="20"/>
                <w:szCs w:val="20"/>
              </w:rPr>
              <w:t>Second Application</w:t>
            </w:r>
          </w:p>
          <w:p w:rsidR="00692BC9" w:rsidRPr="005D0703" w:rsidRDefault="00692BC9" w:rsidP="00692BC9">
            <w:pPr>
              <w:spacing w:before="137"/>
              <w:ind w:right="147"/>
              <w:jc w:val="both"/>
              <w:rPr>
                <w:rFonts w:cs="Times New Roman"/>
                <w:sz w:val="20"/>
                <w:szCs w:val="20"/>
              </w:rPr>
            </w:pPr>
            <w:r w:rsidRPr="005D0703">
              <w:rPr>
                <w:rFonts w:cs="Times New Roman"/>
                <w:sz w:val="20"/>
                <w:szCs w:val="20"/>
              </w:rPr>
              <w:t>Toshiba Canada sought leave to appeal the dismissal of its interlocutory motion for production and cross</w:t>
            </w:r>
            <w:r w:rsidRPr="005D0703">
              <w:rPr>
                <w:rFonts w:cs="Times New Roman"/>
                <w:sz w:val="20"/>
                <w:szCs w:val="20"/>
              </w:rPr>
              <w:noBreakHyphen/>
              <w:t xml:space="preserve">examination to the Divisional Court.  The Commissioner’s position was that Toshiba Canada was not entitled to appeal the decision as the investigation was a criminal proceeding to which the </w:t>
            </w:r>
            <w:r w:rsidRPr="005D0703">
              <w:rPr>
                <w:rFonts w:cs="Times New Roman"/>
                <w:i/>
                <w:sz w:val="20"/>
                <w:szCs w:val="20"/>
              </w:rPr>
              <w:t>Criminal Proceedings Rules</w:t>
            </w:r>
            <w:r w:rsidRPr="005D0703">
              <w:rPr>
                <w:rFonts w:cs="Times New Roman"/>
                <w:sz w:val="20"/>
                <w:szCs w:val="20"/>
              </w:rPr>
              <w:t xml:space="preserve"> applied.  Those rules did not provide for a right to appeal a decision of an interlocutory order.  Toshiba Canada’s position was that the </w:t>
            </w:r>
            <w:r w:rsidRPr="005D0703">
              <w:rPr>
                <w:rFonts w:cs="Times New Roman"/>
                <w:i/>
                <w:sz w:val="20"/>
                <w:szCs w:val="20"/>
              </w:rPr>
              <w:t xml:space="preserve">Rules of Civil Procedure </w:t>
            </w:r>
            <w:r w:rsidRPr="005D0703">
              <w:rPr>
                <w:rFonts w:cs="Times New Roman"/>
                <w:sz w:val="20"/>
                <w:szCs w:val="20"/>
              </w:rPr>
              <w:t>applied because it was a third party to the criminal investigation of Toshiba Japan.</w:t>
            </w:r>
          </w:p>
          <w:p w:rsidR="00692BC9" w:rsidRPr="005D0703" w:rsidRDefault="00692BC9" w:rsidP="00692BC9">
            <w:pPr>
              <w:jc w:val="both"/>
              <w:rPr>
                <w:rFonts w:eastAsia="Calibri" w:cs="Times New Roman"/>
                <w:sz w:val="20"/>
                <w:szCs w:val="20"/>
              </w:rPr>
            </w:pP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January 27, 2010</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Ontario Superior Court of Justice</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(Croll J.)</w:t>
            </w:r>
          </w:p>
          <w:p w:rsidR="00692BC9" w:rsidRPr="005D0703" w:rsidRDefault="00692BC9" w:rsidP="00692BC9">
            <w:pPr>
              <w:jc w:val="both"/>
              <w:rPr>
                <w:rFonts w:eastAsia="Calibri" w:cs="Times New Roman"/>
                <w:sz w:val="20"/>
                <w:szCs w:val="20"/>
              </w:rPr>
            </w:pP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Applicant’s interlocutory motion for production of documents and right to cross</w:t>
            </w:r>
            <w:r w:rsidRPr="005D0703">
              <w:rPr>
                <w:rFonts w:eastAsia="Calibri" w:cs="Times New Roman"/>
                <w:sz w:val="20"/>
                <w:szCs w:val="20"/>
              </w:rPr>
              <w:noBreakHyphen/>
              <w:t xml:space="preserve">examine affiant of affidavit supporting </w:t>
            </w:r>
            <w:r w:rsidRPr="005D0703">
              <w:rPr>
                <w:rFonts w:eastAsia="Calibri" w:cs="Times New Roman"/>
                <w:i/>
                <w:sz w:val="20"/>
                <w:szCs w:val="20"/>
              </w:rPr>
              <w:t>ex parte</w:t>
            </w:r>
            <w:r w:rsidRPr="005D0703">
              <w:rPr>
                <w:rFonts w:eastAsia="Calibri" w:cs="Times New Roman"/>
                <w:sz w:val="20"/>
                <w:szCs w:val="20"/>
              </w:rPr>
              <w:t xml:space="preserve"> order dismissed.</w:t>
            </w:r>
          </w:p>
          <w:p w:rsidR="00692BC9" w:rsidRPr="005D0703" w:rsidRDefault="00692BC9" w:rsidP="00692BC9">
            <w:pPr>
              <w:jc w:val="both"/>
              <w:rPr>
                <w:rFonts w:eastAsia="Calibri" w:cs="Times New Roman"/>
                <w:sz w:val="20"/>
                <w:szCs w:val="20"/>
              </w:rPr>
            </w:pP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April 12, 2011</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Ontario Superior Court of Justice</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(Wilton</w:t>
            </w:r>
            <w:r w:rsidRPr="005D0703">
              <w:rPr>
                <w:rFonts w:eastAsia="Calibri" w:cs="Times New Roman"/>
                <w:sz w:val="20"/>
                <w:szCs w:val="20"/>
              </w:rPr>
              <w:noBreakHyphen/>
              <w:t>Siegel J.)</w:t>
            </w:r>
          </w:p>
          <w:p w:rsidR="00692BC9" w:rsidRPr="005D0703" w:rsidRDefault="00692BC9" w:rsidP="00692BC9">
            <w:pPr>
              <w:jc w:val="both"/>
              <w:rPr>
                <w:rFonts w:eastAsia="Calibri" w:cs="Times New Roman"/>
                <w:sz w:val="20"/>
                <w:szCs w:val="20"/>
              </w:rPr>
            </w:pP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Applicant’s motion for leave to appeal order on interlocutory motion dismissed.</w:t>
            </w:r>
          </w:p>
          <w:p w:rsidR="00692BC9" w:rsidRPr="005D0703" w:rsidRDefault="00692BC9" w:rsidP="00692BC9">
            <w:pPr>
              <w:jc w:val="both"/>
              <w:rPr>
                <w:rFonts w:eastAsia="Calibri" w:cs="Times New Roman"/>
                <w:sz w:val="20"/>
                <w:szCs w:val="20"/>
              </w:rPr>
            </w:pP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March 26, 2010</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Supreme Court of Canada</w:t>
            </w:r>
          </w:p>
          <w:p w:rsidR="00692BC9" w:rsidRPr="005D0703" w:rsidRDefault="00692BC9" w:rsidP="00692BC9">
            <w:pPr>
              <w:jc w:val="both"/>
              <w:rPr>
                <w:rFonts w:eastAsia="Calibri" w:cs="Times New Roman"/>
                <w:sz w:val="20"/>
                <w:szCs w:val="20"/>
              </w:rPr>
            </w:pP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Application for leave to appeal filed</w:t>
            </w:r>
          </w:p>
          <w:p w:rsidR="00692BC9" w:rsidRPr="005D0703" w:rsidRDefault="00692BC9" w:rsidP="00692BC9">
            <w:pPr>
              <w:jc w:val="both"/>
              <w:rPr>
                <w:rFonts w:eastAsia="Calibri" w:cs="Times New Roman"/>
                <w:sz w:val="20"/>
                <w:szCs w:val="20"/>
              </w:rPr>
            </w:pP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June 13, 2011</w:t>
            </w:r>
          </w:p>
          <w:p w:rsidR="00692BC9" w:rsidRPr="005D0703" w:rsidRDefault="00692BC9" w:rsidP="005D0703">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Second application for leave to appeal filed</w:t>
            </w:r>
          </w:p>
          <w:p w:rsidR="00692BC9" w:rsidRPr="005D0703" w:rsidRDefault="00692BC9" w:rsidP="00692BC9">
            <w:pPr>
              <w:jc w:val="both"/>
              <w:rPr>
                <w:rFonts w:eastAsia="Calibri" w:cs="Times New Roman"/>
                <w:sz w:val="20"/>
                <w:szCs w:val="20"/>
              </w:rPr>
            </w:pPr>
          </w:p>
        </w:tc>
      </w:tr>
    </w:tbl>
    <w:p w:rsidR="008D292F" w:rsidRPr="005D0703" w:rsidRDefault="008D292F" w:rsidP="008D292F">
      <w:pPr>
        <w:rPr>
          <w:rFonts w:cs="Times New Roman"/>
          <w:sz w:val="20"/>
          <w:szCs w:val="20"/>
        </w:rPr>
      </w:pPr>
    </w:p>
    <w:p w:rsidR="008D292F" w:rsidRPr="005D0703" w:rsidRDefault="008A6550" w:rsidP="008D292F">
      <w:pPr>
        <w:rPr>
          <w:rFonts w:cs="Times New Roman"/>
          <w:sz w:val="20"/>
          <w:szCs w:val="20"/>
        </w:rPr>
      </w:pPr>
      <w:r w:rsidRPr="008A6550">
        <w:rPr>
          <w:rFonts w:cs="Times New Roman"/>
          <w:sz w:val="20"/>
          <w:szCs w:val="20"/>
          <w:lang w:val="fr-CA"/>
        </w:rPr>
        <w:pict>
          <v:rect id="_x0000_i1040" style="width:2in;height:1pt" o:hrpct="0" o:hralign="center" o:hrstd="t" o:hrnoshade="t" o:hr="t" fillcolor="black [3213]" stroked="f"/>
        </w:pict>
      </w:r>
    </w:p>
    <w:p w:rsidR="008D292F" w:rsidRPr="005D0703" w:rsidRDefault="008D292F" w:rsidP="008D292F">
      <w:pPr>
        <w:rPr>
          <w:rFonts w:cs="Times New Roman"/>
          <w:sz w:val="20"/>
          <w:szCs w:val="20"/>
        </w:rPr>
      </w:pPr>
    </w:p>
    <w:p w:rsidR="004B7F60" w:rsidRPr="005D0703" w:rsidRDefault="004B7F60" w:rsidP="008D292F">
      <w:pPr>
        <w:rPr>
          <w:rFonts w:cs="Times New Roman"/>
          <w:sz w:val="20"/>
          <w:szCs w:val="20"/>
          <w:u w:val="single"/>
          <w:lang w:val="fr-CA"/>
        </w:rPr>
      </w:pPr>
      <w:r w:rsidRPr="005D0703">
        <w:rPr>
          <w:rFonts w:cs="Times New Roman"/>
          <w:sz w:val="20"/>
          <w:szCs w:val="20"/>
          <w:u w:val="single"/>
          <w:lang w:val="fr-CA"/>
        </w:rPr>
        <w:t>RÉSUMÉ DE L’AFFAIRE</w:t>
      </w:r>
    </w:p>
    <w:p w:rsidR="008D292F" w:rsidRPr="005D0703" w:rsidRDefault="008D292F" w:rsidP="008D292F">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692BC9" w:rsidRPr="00C04C40" w:rsidTr="00692BC9">
        <w:tc>
          <w:tcPr>
            <w:tcW w:w="5000" w:type="pct"/>
            <w:gridSpan w:val="3"/>
          </w:tcPr>
          <w:p w:rsidR="00692BC9" w:rsidRPr="005D0703" w:rsidRDefault="00692BC9" w:rsidP="00692BC9">
            <w:pPr>
              <w:jc w:val="both"/>
              <w:rPr>
                <w:rFonts w:eastAsia="Calibri" w:cs="Times New Roman"/>
                <w:b/>
                <w:sz w:val="20"/>
                <w:szCs w:val="20"/>
                <w:lang w:val="fr-CA"/>
              </w:rPr>
            </w:pPr>
            <w:r w:rsidRPr="005D0703">
              <w:rPr>
                <w:rFonts w:eastAsia="Calibri" w:cs="Times New Roman"/>
                <w:b/>
                <w:sz w:val="20"/>
                <w:szCs w:val="20"/>
                <w:lang w:val="fr-CA"/>
              </w:rPr>
              <w:t>Première demande</w:t>
            </w:r>
          </w:p>
          <w:p w:rsidR="00692BC9" w:rsidRPr="005D0703" w:rsidRDefault="00692BC9" w:rsidP="00692BC9">
            <w:pPr>
              <w:jc w:val="both"/>
              <w:rPr>
                <w:rFonts w:eastAsia="Calibri" w:cs="Times New Roman"/>
                <w:i/>
                <w:sz w:val="20"/>
                <w:szCs w:val="20"/>
                <w:lang w:val="fr-CA"/>
              </w:rPr>
            </w:pPr>
          </w:p>
          <w:p w:rsidR="00692BC9" w:rsidRPr="005D0703" w:rsidRDefault="00692BC9" w:rsidP="00692BC9">
            <w:pPr>
              <w:jc w:val="both"/>
              <w:rPr>
                <w:rFonts w:eastAsia="Calibri" w:cs="Times New Roman"/>
                <w:sz w:val="20"/>
                <w:szCs w:val="20"/>
                <w:lang w:val="fr-CA"/>
              </w:rPr>
            </w:pPr>
            <w:r w:rsidRPr="005D0703">
              <w:rPr>
                <w:rFonts w:eastAsia="Calibri" w:cs="Times New Roman"/>
                <w:i/>
                <w:sz w:val="20"/>
                <w:szCs w:val="20"/>
                <w:lang w:val="fr-CA"/>
              </w:rPr>
              <w:t xml:space="preserve">Charte des droits </w:t>
            </w:r>
            <w:r w:rsidRPr="005D0703">
              <w:rPr>
                <w:rFonts w:eastAsia="Calibri" w:cs="Times New Roman"/>
                <w:sz w:val="20"/>
                <w:szCs w:val="20"/>
                <w:lang w:val="fr-CA"/>
              </w:rPr>
              <w:t>— Procédure civile — Enquête préalable — Production de documents — Contre</w:t>
            </w:r>
            <w:r w:rsidRPr="005D0703">
              <w:rPr>
                <w:rFonts w:eastAsia="Calibri" w:cs="Times New Roman"/>
                <w:sz w:val="20"/>
                <w:szCs w:val="20"/>
                <w:lang w:val="fr-CA"/>
              </w:rPr>
              <w:noBreakHyphen/>
              <w:t>interrogatoire — La demanderesse a présenté une motion interlocutoire pour obliger l’intimé à produire des documents et contre</w:t>
            </w:r>
            <w:r w:rsidRPr="005D0703">
              <w:rPr>
                <w:rFonts w:eastAsia="Calibri" w:cs="Times New Roman"/>
                <w:sz w:val="20"/>
                <w:szCs w:val="20"/>
                <w:lang w:val="fr-CA"/>
              </w:rPr>
              <w:noBreakHyphen/>
              <w:t xml:space="preserve">interroger l'auteur d'un affidavit dans une instance </w:t>
            </w:r>
            <w:r w:rsidRPr="005D0703">
              <w:rPr>
                <w:rFonts w:eastAsia="Calibri" w:cs="Times New Roman"/>
                <w:i/>
                <w:sz w:val="20"/>
                <w:szCs w:val="20"/>
                <w:lang w:val="fr-CA"/>
              </w:rPr>
              <w:t>ex parte</w:t>
            </w:r>
            <w:r w:rsidRPr="005D0703">
              <w:rPr>
                <w:rFonts w:eastAsia="Calibri" w:cs="Times New Roman"/>
                <w:sz w:val="20"/>
                <w:szCs w:val="20"/>
                <w:lang w:val="fr-CA"/>
              </w:rPr>
              <w:t xml:space="preserve"> — La demanderesse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le droit de faire produire certains documents afin d'établir le bien</w:t>
            </w:r>
            <w:r w:rsidRPr="005D0703">
              <w:rPr>
                <w:rFonts w:eastAsia="Calibri" w:cs="Times New Roman"/>
                <w:sz w:val="20"/>
                <w:szCs w:val="20"/>
                <w:lang w:val="fr-CA"/>
              </w:rPr>
              <w:noBreakHyphen/>
              <w:t xml:space="preserve">fondé de sa cause pour faire annuler ou modifier une ordonnance </w:t>
            </w:r>
            <w:r w:rsidRPr="005D0703">
              <w:rPr>
                <w:rFonts w:eastAsia="Calibri" w:cs="Times New Roman"/>
                <w:i/>
                <w:sz w:val="20"/>
                <w:szCs w:val="20"/>
                <w:lang w:val="fr-CA"/>
              </w:rPr>
              <w:t>ex parte</w:t>
            </w:r>
            <w:r w:rsidRPr="005D0703">
              <w:rPr>
                <w:rFonts w:eastAsia="Calibri" w:cs="Times New Roman"/>
                <w:sz w:val="20"/>
                <w:szCs w:val="20"/>
                <w:lang w:val="fr-CA"/>
              </w:rPr>
              <w:t xml:space="preserve"> rendue en vertu de l'article 11 au motif que ses droits garantis par la </w:t>
            </w:r>
            <w:r w:rsidRPr="005D0703">
              <w:rPr>
                <w:rFonts w:eastAsia="Calibri" w:cs="Times New Roman"/>
                <w:i/>
                <w:sz w:val="20"/>
                <w:szCs w:val="20"/>
                <w:lang w:val="fr-CA"/>
              </w:rPr>
              <w:t>Charte</w:t>
            </w:r>
            <w:r w:rsidRPr="005D0703">
              <w:rPr>
                <w:rFonts w:eastAsia="Calibri" w:cs="Times New Roman"/>
                <w:sz w:val="20"/>
                <w:szCs w:val="20"/>
                <w:lang w:val="fr-CA"/>
              </w:rPr>
              <w:t xml:space="preserve"> ont été violés? — La demanderesse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le droit de contre</w:t>
            </w:r>
            <w:r w:rsidRPr="005D0703">
              <w:rPr>
                <w:rFonts w:eastAsia="Calibri" w:cs="Times New Roman"/>
                <w:sz w:val="20"/>
                <w:szCs w:val="20"/>
                <w:lang w:val="fr-CA"/>
              </w:rPr>
              <w:noBreakHyphen/>
              <w:t xml:space="preserve">interroger l'auteur d'un affidavit dans une demande </w:t>
            </w:r>
            <w:r w:rsidRPr="005D0703">
              <w:rPr>
                <w:rFonts w:eastAsia="Calibri" w:cs="Times New Roman"/>
                <w:i/>
                <w:sz w:val="20"/>
                <w:szCs w:val="20"/>
                <w:lang w:val="fr-CA"/>
              </w:rPr>
              <w:t>ex parte</w:t>
            </w:r>
            <w:r w:rsidRPr="005D0703">
              <w:rPr>
                <w:rFonts w:eastAsia="Calibri" w:cs="Times New Roman"/>
                <w:sz w:val="20"/>
                <w:szCs w:val="20"/>
                <w:lang w:val="fr-CA"/>
              </w:rPr>
              <w:t xml:space="preserve"> au motif que ses droits garantis par la </w:t>
            </w:r>
            <w:r w:rsidRPr="005D0703">
              <w:rPr>
                <w:rFonts w:eastAsia="Calibri" w:cs="Times New Roman"/>
                <w:i/>
                <w:sz w:val="20"/>
                <w:szCs w:val="20"/>
                <w:lang w:val="fr-CA"/>
              </w:rPr>
              <w:t>Charte</w:t>
            </w:r>
            <w:r w:rsidRPr="005D0703">
              <w:rPr>
                <w:rFonts w:eastAsia="Calibri" w:cs="Times New Roman"/>
                <w:sz w:val="20"/>
                <w:szCs w:val="20"/>
                <w:lang w:val="fr-CA"/>
              </w:rPr>
              <w:t xml:space="preserve"> ont été violés ou au motif que la communication de la preuve par le Commissaire à l'instruction de la demande </w:t>
            </w:r>
            <w:r w:rsidRPr="005D0703">
              <w:rPr>
                <w:rFonts w:eastAsia="Calibri" w:cs="Times New Roman"/>
                <w:i/>
                <w:sz w:val="20"/>
                <w:szCs w:val="20"/>
                <w:lang w:val="fr-CA"/>
              </w:rPr>
              <w:t>ex parte</w:t>
            </w:r>
            <w:r w:rsidRPr="005D0703">
              <w:rPr>
                <w:rFonts w:eastAsia="Calibri" w:cs="Times New Roman"/>
                <w:sz w:val="20"/>
                <w:szCs w:val="20"/>
                <w:lang w:val="fr-CA"/>
              </w:rPr>
              <w:t xml:space="preserve"> était inadéquate et trompeuse? </w:t>
            </w:r>
          </w:p>
          <w:p w:rsidR="00692BC9" w:rsidRPr="005D0703" w:rsidRDefault="00692BC9" w:rsidP="00692BC9">
            <w:pPr>
              <w:jc w:val="both"/>
              <w:rPr>
                <w:rFonts w:eastAsia="Calibri" w:cs="Times New Roman"/>
                <w:b/>
                <w:sz w:val="20"/>
                <w:szCs w:val="20"/>
                <w:lang w:val="fr-CA"/>
              </w:rPr>
            </w:pPr>
          </w:p>
          <w:p w:rsidR="00692BC9" w:rsidRPr="005D0703" w:rsidRDefault="00692BC9" w:rsidP="00692BC9">
            <w:pPr>
              <w:jc w:val="both"/>
              <w:rPr>
                <w:rFonts w:eastAsia="Calibri" w:cs="Times New Roman"/>
                <w:b/>
                <w:sz w:val="20"/>
                <w:szCs w:val="20"/>
                <w:lang w:val="fr-CA"/>
              </w:rPr>
            </w:pPr>
            <w:r w:rsidRPr="005D0703">
              <w:rPr>
                <w:rFonts w:eastAsia="Calibri" w:cs="Times New Roman"/>
                <w:b/>
                <w:sz w:val="20"/>
                <w:szCs w:val="20"/>
                <w:lang w:val="fr-CA"/>
              </w:rPr>
              <w:t>Deuxième demande</w:t>
            </w:r>
          </w:p>
          <w:p w:rsidR="00692BC9" w:rsidRPr="005D0703" w:rsidRDefault="00692BC9" w:rsidP="00692BC9">
            <w:pPr>
              <w:jc w:val="both"/>
              <w:rPr>
                <w:rFonts w:eastAsia="Calibri" w:cs="Times New Roman"/>
                <w:sz w:val="20"/>
                <w:szCs w:val="20"/>
                <w:lang w:val="fr-CA"/>
              </w:rPr>
            </w:pP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 xml:space="preserve">Appels — Procédure — Compétence — Lorsqu'un juge de la Cour supérieure procède à l'examen constitutionnel de sa propre ordonnance </w:t>
            </w:r>
            <w:r w:rsidRPr="005D0703">
              <w:rPr>
                <w:rFonts w:eastAsia="Calibri" w:cs="Times New Roman"/>
                <w:i/>
                <w:sz w:val="20"/>
                <w:szCs w:val="20"/>
                <w:lang w:val="fr-CA"/>
              </w:rPr>
              <w:t>ex parte</w:t>
            </w:r>
            <w:r w:rsidRPr="005D0703">
              <w:rPr>
                <w:rFonts w:eastAsia="Calibri" w:cs="Times New Roman"/>
                <w:sz w:val="20"/>
                <w:szCs w:val="20"/>
                <w:lang w:val="fr-CA"/>
              </w:rPr>
              <w:t xml:space="preserve"> ou de l'ordonnance d'un autre juge de la Cour supérieure, les règles de procédure provinciales s'appliquent</w:t>
            </w:r>
            <w:r w:rsidRPr="005D0703">
              <w:rPr>
                <w:rFonts w:eastAsia="Calibri" w:cs="Times New Roman"/>
                <w:sz w:val="20"/>
                <w:szCs w:val="20"/>
                <w:lang w:val="fr-CA"/>
              </w:rPr>
              <w:noBreakHyphen/>
              <w:t xml:space="preserve">elles aux aspects constitutionnels de la question dans la mesure où il n'y a aucun conflit avec les règles de procédure fédérales? </w:t>
            </w:r>
          </w:p>
          <w:p w:rsidR="00692BC9" w:rsidRPr="005D0703" w:rsidRDefault="00692BC9" w:rsidP="00692BC9">
            <w:pPr>
              <w:jc w:val="both"/>
              <w:rPr>
                <w:rFonts w:eastAsia="Calibri" w:cs="Times New Roman"/>
                <w:sz w:val="20"/>
                <w:szCs w:val="20"/>
                <w:lang w:val="fr-CA"/>
              </w:rPr>
            </w:pPr>
          </w:p>
        </w:tc>
      </w:tr>
      <w:tr w:rsidR="00692BC9" w:rsidRPr="00C04C40" w:rsidTr="00692BC9">
        <w:tc>
          <w:tcPr>
            <w:tcW w:w="5000" w:type="pct"/>
            <w:gridSpan w:val="3"/>
          </w:tcPr>
          <w:p w:rsidR="00692BC9" w:rsidRPr="005D0703" w:rsidRDefault="00692BC9" w:rsidP="00692BC9">
            <w:pPr>
              <w:jc w:val="both"/>
              <w:rPr>
                <w:rFonts w:cs="Times New Roman"/>
                <w:b/>
                <w:sz w:val="20"/>
                <w:szCs w:val="20"/>
                <w:lang w:val="fr-CA"/>
              </w:rPr>
            </w:pPr>
            <w:r w:rsidRPr="005D0703">
              <w:rPr>
                <w:rFonts w:cs="Times New Roman"/>
                <w:b/>
                <w:sz w:val="20"/>
                <w:szCs w:val="20"/>
                <w:lang w:val="fr-CA"/>
              </w:rPr>
              <w:t xml:space="preserve">Première demande </w:t>
            </w:r>
          </w:p>
          <w:p w:rsidR="00692BC9" w:rsidRPr="005D0703" w:rsidRDefault="00692BC9" w:rsidP="00692BC9">
            <w:pPr>
              <w:spacing w:before="137"/>
              <w:ind w:right="147"/>
              <w:jc w:val="both"/>
              <w:rPr>
                <w:rFonts w:cs="Times New Roman"/>
                <w:sz w:val="20"/>
                <w:szCs w:val="20"/>
                <w:lang w:val="fr-CA"/>
              </w:rPr>
            </w:pPr>
            <w:r w:rsidRPr="005D0703">
              <w:rPr>
                <w:rFonts w:cs="Times New Roman"/>
                <w:sz w:val="20"/>
                <w:szCs w:val="20"/>
                <w:lang w:val="fr-CA"/>
              </w:rPr>
              <w:t xml:space="preserve">En 2007, le Commissaire à la concurrence (« le Commissaire ») a entrepris une enquête pour déterminer si certaines compagnies s'étaient engagées dans un cartel pour réduire indûment la concurrence relativement à la fabrication, à l'approvisionnement et à la vente de tubes à rayons cathodiques pour les téléviseurs et les écrans d’ordinateurs entre 1994 et 2007.  Toshiba Japon, dont Toshiba Canada est une filiale, était une des compagnies étrangères identifiées par le Commissaire. Le Commissaire a obtenu une ordonnance </w:t>
            </w:r>
            <w:r w:rsidRPr="005D0703">
              <w:rPr>
                <w:rFonts w:cs="Times New Roman"/>
                <w:i/>
                <w:sz w:val="20"/>
                <w:szCs w:val="20"/>
                <w:lang w:val="fr-CA"/>
              </w:rPr>
              <w:t>ex parte</w:t>
            </w:r>
            <w:r w:rsidRPr="005D0703">
              <w:rPr>
                <w:rFonts w:cs="Times New Roman"/>
                <w:sz w:val="20"/>
                <w:szCs w:val="20"/>
                <w:lang w:val="fr-CA"/>
              </w:rPr>
              <w:t xml:space="preserve"> pour obliger Toshiba Canada à fournir des documents et des renseignements en sa possession ou en la possession de Toshiba Japon en application de l'art. 11 de la</w:t>
            </w:r>
            <w:r w:rsidRPr="005D0703">
              <w:rPr>
                <w:rFonts w:cs="Times New Roman"/>
                <w:i/>
                <w:sz w:val="20"/>
                <w:szCs w:val="20"/>
                <w:lang w:val="fr-CA"/>
              </w:rPr>
              <w:t xml:space="preserve"> Loi sur la concurrence</w:t>
            </w:r>
            <w:r w:rsidRPr="005D0703">
              <w:rPr>
                <w:rFonts w:cs="Times New Roman"/>
                <w:sz w:val="20"/>
                <w:szCs w:val="20"/>
                <w:lang w:val="fr-CA"/>
              </w:rPr>
              <w:t>, L.R.C. 1985, ch. c</w:t>
            </w:r>
            <w:r w:rsidRPr="005D0703">
              <w:rPr>
                <w:rFonts w:cs="Times New Roman"/>
                <w:sz w:val="20"/>
                <w:szCs w:val="20"/>
                <w:lang w:val="fr-CA"/>
              </w:rPr>
              <w:noBreakHyphen/>
              <w:t xml:space="preserve">34 (la « Loi »).  La demande était appuyée par l'affidavit d’un agent principal du droit de la concurrence.  Toshiba Canada, dans sa « motion principale » a sollicité une ordonnance en annulation de l'ordonnance </w:t>
            </w:r>
            <w:r w:rsidRPr="005D0703">
              <w:rPr>
                <w:rFonts w:cs="Times New Roman"/>
                <w:i/>
                <w:sz w:val="20"/>
                <w:szCs w:val="20"/>
                <w:lang w:val="fr-CA"/>
              </w:rPr>
              <w:t>ex parte</w:t>
            </w:r>
            <w:r w:rsidRPr="005D0703">
              <w:rPr>
                <w:rFonts w:cs="Times New Roman"/>
                <w:sz w:val="20"/>
                <w:szCs w:val="20"/>
                <w:lang w:val="fr-CA"/>
              </w:rPr>
              <w:t xml:space="preserve"> au motif qu'elle avait été obtenue sur le fondement de renseignements inadéquats et trompeurs, que l'application de l'art. 11 était inconstitutionnelle et parce qu'il y avait eu violation de ses droits garantis par la </w:t>
            </w:r>
            <w:r w:rsidRPr="005D0703">
              <w:rPr>
                <w:rFonts w:cs="Times New Roman"/>
                <w:i/>
                <w:sz w:val="20"/>
                <w:szCs w:val="20"/>
                <w:lang w:val="fr-CA"/>
              </w:rPr>
              <w:t>Charte</w:t>
            </w:r>
            <w:r w:rsidRPr="005D0703">
              <w:rPr>
                <w:rFonts w:cs="Times New Roman"/>
                <w:sz w:val="20"/>
                <w:szCs w:val="20"/>
                <w:lang w:val="fr-CA"/>
              </w:rPr>
              <w:t>.  Au soutien de cette motion, Toshiba Canada a également présenté une motion interlocutoire pour la production de documents en la possession du Commissaire, y compris le mémoire introductif d'enquête (« </w:t>
            </w:r>
            <w:r w:rsidRPr="005D0703">
              <w:rPr>
                <w:rFonts w:cs="Times New Roman"/>
                <w:i/>
                <w:sz w:val="20"/>
                <w:szCs w:val="20"/>
                <w:lang w:val="fr-CA"/>
              </w:rPr>
              <w:t>Inquiry Commencement Memorandum</w:t>
            </w:r>
            <w:r w:rsidRPr="005D0703">
              <w:rPr>
                <w:rFonts w:cs="Times New Roman"/>
                <w:sz w:val="20"/>
                <w:szCs w:val="20"/>
                <w:lang w:val="fr-CA"/>
              </w:rPr>
              <w:t> ») et une ordonnance de contre</w:t>
            </w:r>
            <w:r w:rsidRPr="005D0703">
              <w:rPr>
                <w:rFonts w:cs="Times New Roman"/>
                <w:sz w:val="20"/>
                <w:szCs w:val="20"/>
                <w:lang w:val="fr-CA"/>
              </w:rPr>
              <w:noBreakHyphen/>
              <w:t xml:space="preserve">interrogatoire de l'auteur de l'affidavit déposé au soutien de l'ordonnance </w:t>
            </w:r>
            <w:r w:rsidRPr="005D0703">
              <w:rPr>
                <w:rFonts w:cs="Times New Roman"/>
                <w:i/>
                <w:sz w:val="20"/>
                <w:szCs w:val="20"/>
                <w:lang w:val="fr-CA"/>
              </w:rPr>
              <w:t>ex parte</w:t>
            </w:r>
            <w:r w:rsidRPr="005D0703">
              <w:rPr>
                <w:rFonts w:cs="Times New Roman"/>
                <w:sz w:val="20"/>
                <w:szCs w:val="20"/>
                <w:lang w:val="fr-CA"/>
              </w:rPr>
              <w:t xml:space="preserve">. </w:t>
            </w:r>
          </w:p>
          <w:p w:rsidR="00692BC9" w:rsidRPr="005D0703" w:rsidRDefault="00692BC9" w:rsidP="00692BC9">
            <w:pPr>
              <w:spacing w:before="137"/>
              <w:ind w:right="147"/>
              <w:jc w:val="both"/>
              <w:rPr>
                <w:rFonts w:cs="Times New Roman"/>
                <w:sz w:val="20"/>
                <w:szCs w:val="20"/>
                <w:lang w:val="fr-CA"/>
              </w:rPr>
            </w:pPr>
          </w:p>
          <w:p w:rsidR="00692BC9" w:rsidRPr="005D0703" w:rsidRDefault="00692BC9" w:rsidP="00692BC9">
            <w:pPr>
              <w:spacing w:before="137"/>
              <w:ind w:right="147"/>
              <w:jc w:val="both"/>
              <w:rPr>
                <w:rFonts w:cs="Times New Roman"/>
                <w:b/>
                <w:sz w:val="20"/>
                <w:szCs w:val="20"/>
                <w:lang w:val="fr-CA"/>
              </w:rPr>
            </w:pPr>
            <w:r w:rsidRPr="005D0703">
              <w:rPr>
                <w:rFonts w:cs="Times New Roman"/>
                <w:b/>
                <w:sz w:val="20"/>
                <w:szCs w:val="20"/>
                <w:lang w:val="fr-CA"/>
              </w:rPr>
              <w:t xml:space="preserve">Deuxième demande </w:t>
            </w:r>
          </w:p>
          <w:p w:rsidR="00692BC9" w:rsidRPr="005D0703" w:rsidRDefault="00692BC9" w:rsidP="00692BC9">
            <w:pPr>
              <w:spacing w:before="137"/>
              <w:ind w:right="147"/>
              <w:jc w:val="both"/>
              <w:rPr>
                <w:rFonts w:cs="Times New Roman"/>
                <w:sz w:val="20"/>
                <w:szCs w:val="20"/>
                <w:lang w:val="fr-CA"/>
              </w:rPr>
            </w:pPr>
            <w:r w:rsidRPr="005D0703">
              <w:rPr>
                <w:rFonts w:cs="Times New Roman"/>
                <w:sz w:val="20"/>
                <w:szCs w:val="20"/>
                <w:lang w:val="fr-CA"/>
              </w:rPr>
              <w:t>Toshiba Canada a demandé l'autorisation d'appel du rejet de sa motion interlocutoire en production et en contre</w:t>
            </w:r>
            <w:r w:rsidRPr="005D0703">
              <w:rPr>
                <w:rFonts w:cs="Times New Roman"/>
                <w:sz w:val="20"/>
                <w:szCs w:val="20"/>
                <w:lang w:val="fr-CA"/>
              </w:rPr>
              <w:noBreakHyphen/>
              <w:t>interrogatoire à la Cour divisionnaire.  Le Commissaire a plaidé que Toshiba Canada n'avait pas le droit d'interjeter appel de la décision, puisque l'enquête n'était pas une procédure en matière criminelle à laquelle les</w:t>
            </w:r>
            <w:r w:rsidRPr="005D0703">
              <w:rPr>
                <w:rFonts w:cs="Times New Roman"/>
                <w:i/>
                <w:sz w:val="20"/>
                <w:szCs w:val="20"/>
                <w:lang w:val="fr-CA"/>
              </w:rPr>
              <w:t xml:space="preserve"> Règles de procédure en matière criminelle </w:t>
            </w:r>
            <w:r w:rsidRPr="005D0703">
              <w:rPr>
                <w:rFonts w:cs="Times New Roman"/>
                <w:sz w:val="20"/>
                <w:szCs w:val="20"/>
                <w:lang w:val="fr-CA"/>
              </w:rPr>
              <w:t>s'appliquaient.  Ces règles ne prévoyaient aucun droit d'appel d'une décision d'une ordonnance interlocutoire.  Toshiba Canada a fait valoir que les</w:t>
            </w:r>
            <w:r w:rsidRPr="005D0703">
              <w:rPr>
                <w:rFonts w:cs="Times New Roman"/>
                <w:i/>
                <w:sz w:val="20"/>
                <w:szCs w:val="20"/>
                <w:lang w:val="fr-CA"/>
              </w:rPr>
              <w:t xml:space="preserve"> Règles de procédure civile</w:t>
            </w:r>
            <w:r w:rsidRPr="005D0703">
              <w:rPr>
                <w:rFonts w:cs="Times New Roman"/>
                <w:sz w:val="20"/>
                <w:szCs w:val="20"/>
                <w:lang w:val="fr-CA"/>
              </w:rPr>
              <w:t xml:space="preserve"> s'appliquaient, puisqu'elle était un tiers par rapport à l'enquête criminelle portant sur Toshiba Japon.</w:t>
            </w:r>
          </w:p>
          <w:p w:rsidR="00692BC9" w:rsidRPr="005D0703" w:rsidRDefault="00692BC9" w:rsidP="00692BC9">
            <w:pPr>
              <w:jc w:val="both"/>
              <w:rPr>
                <w:rFonts w:eastAsia="Calibri" w:cs="Times New Roman"/>
                <w:sz w:val="20"/>
                <w:szCs w:val="20"/>
                <w:lang w:val="fr-CA"/>
              </w:rPr>
            </w:pPr>
          </w:p>
        </w:tc>
      </w:tr>
      <w:tr w:rsidR="00692BC9" w:rsidRPr="00C04C40"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27 janvier 2010</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(Juge Croll)</w:t>
            </w:r>
          </w:p>
          <w:p w:rsidR="00692BC9" w:rsidRPr="005D0703" w:rsidRDefault="00692BC9" w:rsidP="00692BC9">
            <w:pPr>
              <w:jc w:val="both"/>
              <w:rPr>
                <w:rFonts w:eastAsia="Calibri" w:cs="Times New Roman"/>
                <w:sz w:val="20"/>
                <w:szCs w:val="20"/>
                <w:lang w:val="fr-CA"/>
              </w:rPr>
            </w:pP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Motion interlocutoire de la demanderesse pour la production de documents et le droit de contre</w:t>
            </w:r>
            <w:r w:rsidRPr="005D0703">
              <w:rPr>
                <w:rFonts w:eastAsia="Calibri" w:cs="Times New Roman"/>
                <w:sz w:val="20"/>
                <w:szCs w:val="20"/>
                <w:lang w:val="fr-CA"/>
              </w:rPr>
              <w:noBreakHyphen/>
              <w:t xml:space="preserve">interroger l'auteur d'un affidavit au soutien de l'ordonnance </w:t>
            </w:r>
            <w:r w:rsidRPr="005D0703">
              <w:rPr>
                <w:rFonts w:eastAsia="Calibri" w:cs="Times New Roman"/>
                <w:i/>
                <w:sz w:val="20"/>
                <w:szCs w:val="20"/>
                <w:lang w:val="fr-CA"/>
              </w:rPr>
              <w:t>ex parte</w:t>
            </w:r>
            <w:r w:rsidRPr="005D0703">
              <w:rPr>
                <w:rFonts w:eastAsia="Calibri" w:cs="Times New Roman"/>
                <w:sz w:val="20"/>
                <w:szCs w:val="20"/>
                <w:lang w:val="fr-CA"/>
              </w:rPr>
              <w:t>, rejetée.</w:t>
            </w:r>
          </w:p>
          <w:p w:rsidR="00692BC9" w:rsidRPr="005D0703" w:rsidRDefault="00692BC9" w:rsidP="00692BC9">
            <w:pPr>
              <w:jc w:val="both"/>
              <w:rPr>
                <w:rFonts w:eastAsia="Calibri" w:cs="Times New Roman"/>
                <w:sz w:val="20"/>
                <w:szCs w:val="20"/>
                <w:lang w:val="fr-CA"/>
              </w:rPr>
            </w:pPr>
          </w:p>
        </w:tc>
      </w:tr>
      <w:tr w:rsidR="00692BC9" w:rsidRPr="00C04C40"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12 avril 2011</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(Juge Wilton</w:t>
            </w:r>
            <w:r w:rsidRPr="005D0703">
              <w:rPr>
                <w:rFonts w:eastAsia="Calibri" w:cs="Times New Roman"/>
                <w:sz w:val="20"/>
                <w:szCs w:val="20"/>
                <w:lang w:val="fr-CA"/>
              </w:rPr>
              <w:noBreakHyphen/>
              <w:t>Siegel)</w:t>
            </w:r>
          </w:p>
          <w:p w:rsidR="00692BC9" w:rsidRPr="005D0703" w:rsidRDefault="00692BC9" w:rsidP="00692BC9">
            <w:pPr>
              <w:jc w:val="both"/>
              <w:rPr>
                <w:rFonts w:eastAsia="Calibri" w:cs="Times New Roman"/>
                <w:sz w:val="20"/>
                <w:szCs w:val="20"/>
                <w:lang w:val="fr-CA"/>
              </w:rPr>
            </w:pP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Motion de la demanderesse en autorisation d'appel de l'ordonnance sur la motion interlocutoire, rejetée.</w:t>
            </w:r>
          </w:p>
          <w:p w:rsidR="00692BC9" w:rsidRPr="005D0703" w:rsidRDefault="00692BC9" w:rsidP="00692BC9">
            <w:pPr>
              <w:jc w:val="both"/>
              <w:rPr>
                <w:rFonts w:eastAsia="Calibri" w:cs="Times New Roman"/>
                <w:sz w:val="20"/>
                <w:szCs w:val="20"/>
                <w:lang w:val="fr-CA"/>
              </w:rPr>
            </w:pPr>
          </w:p>
        </w:tc>
      </w:tr>
      <w:tr w:rsidR="00692BC9" w:rsidRPr="005D0703"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26 mars 2010</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Cour suprême du Canada</w:t>
            </w:r>
          </w:p>
          <w:p w:rsidR="00692BC9" w:rsidRPr="005D0703" w:rsidRDefault="00692BC9" w:rsidP="00692BC9">
            <w:pPr>
              <w:jc w:val="both"/>
              <w:rPr>
                <w:rFonts w:eastAsia="Calibri" w:cs="Times New Roman"/>
                <w:sz w:val="20"/>
                <w:szCs w:val="20"/>
                <w:lang w:val="fr-CA"/>
              </w:rPr>
            </w:pP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692BC9" w:rsidRPr="005D0703" w:rsidRDefault="00692BC9" w:rsidP="00692BC9">
            <w:pPr>
              <w:jc w:val="both"/>
              <w:rPr>
                <w:rFonts w:eastAsia="Calibri" w:cs="Times New Roman"/>
                <w:sz w:val="20"/>
                <w:szCs w:val="20"/>
                <w:lang w:val="fr-CA"/>
              </w:rPr>
            </w:pPr>
          </w:p>
        </w:tc>
      </w:tr>
      <w:tr w:rsidR="00692BC9" w:rsidRPr="005D0703"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13 juin 2011</w:t>
            </w:r>
          </w:p>
          <w:p w:rsidR="00692BC9" w:rsidRPr="005D0703" w:rsidRDefault="00692BC9" w:rsidP="005D0703">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Deuxième demande d'autorisation d'appel, déposée</w:t>
            </w:r>
          </w:p>
          <w:p w:rsidR="00692BC9" w:rsidRPr="005D0703" w:rsidRDefault="00692BC9" w:rsidP="00692BC9">
            <w:pPr>
              <w:jc w:val="both"/>
              <w:rPr>
                <w:rFonts w:eastAsia="Calibri" w:cs="Times New Roman"/>
                <w:sz w:val="20"/>
                <w:szCs w:val="20"/>
                <w:lang w:val="fr-CA"/>
              </w:rPr>
            </w:pPr>
          </w:p>
        </w:tc>
      </w:tr>
    </w:tbl>
    <w:p w:rsidR="008D292F" w:rsidRPr="005D0703" w:rsidRDefault="008D292F" w:rsidP="008D292F">
      <w:pPr>
        <w:rPr>
          <w:rFonts w:cs="Times New Roman"/>
          <w:sz w:val="20"/>
          <w:szCs w:val="20"/>
          <w:lang w:val="fr-CA"/>
        </w:rPr>
      </w:pPr>
    </w:p>
    <w:p w:rsidR="008D292F" w:rsidRPr="005D0703" w:rsidRDefault="008A6550" w:rsidP="008D292F">
      <w:pPr>
        <w:rPr>
          <w:rFonts w:cs="Times New Roman"/>
          <w:sz w:val="20"/>
          <w:szCs w:val="20"/>
          <w:lang w:val="fr-CA"/>
        </w:rPr>
      </w:pPr>
      <w:r w:rsidRPr="008A6550">
        <w:rPr>
          <w:rFonts w:cs="Times New Roman"/>
          <w:sz w:val="20"/>
          <w:szCs w:val="20"/>
          <w:lang w:val="fr-CA"/>
        </w:rPr>
        <w:pict>
          <v:rect id="_x0000_i1041" style="width:2in;height:1pt" o:hrpct="0" o:hralign="center" o:hrstd="t" o:hrnoshade="t" o:hr="t" fillcolor="black [3213]" stroked="f"/>
        </w:pict>
      </w:r>
    </w:p>
    <w:p w:rsidR="00D82D81" w:rsidRPr="005D0703" w:rsidRDefault="00D82D81" w:rsidP="008D292F">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82D81" w:rsidRPr="00C04C40" w:rsidTr="00D82D81">
        <w:trPr>
          <w:cantSplit/>
        </w:trPr>
        <w:tc>
          <w:tcPr>
            <w:tcW w:w="1458" w:type="dxa"/>
          </w:tcPr>
          <w:p w:rsidR="00D82D81" w:rsidRPr="005D0703" w:rsidRDefault="00D82D81" w:rsidP="00D82D81">
            <w:pPr>
              <w:rPr>
                <w:rFonts w:cs="Times New Roman"/>
                <w:sz w:val="20"/>
                <w:szCs w:val="20"/>
              </w:rPr>
            </w:pPr>
            <w:r w:rsidRPr="005D0703">
              <w:rPr>
                <w:rStyle w:val="SCCFileNumberChar"/>
                <w:sz w:val="20"/>
                <w:szCs w:val="20"/>
              </w:rPr>
              <w:t>34238</w:t>
            </w:r>
          </w:p>
          <w:p w:rsidR="00D82D81" w:rsidRPr="005D0703" w:rsidRDefault="00D82D81" w:rsidP="00D82D81">
            <w:pPr>
              <w:rPr>
                <w:rFonts w:cs="Times New Roman"/>
                <w:b/>
                <w:sz w:val="20"/>
                <w:szCs w:val="20"/>
                <w:lang w:val="fr-CA"/>
              </w:rPr>
            </w:pPr>
          </w:p>
        </w:tc>
        <w:tc>
          <w:tcPr>
            <w:tcW w:w="8118" w:type="dxa"/>
          </w:tcPr>
          <w:p w:rsidR="00D82D81" w:rsidRPr="005D0703" w:rsidRDefault="00D82D81" w:rsidP="00A50209">
            <w:pPr>
              <w:jc w:val="both"/>
              <w:rPr>
                <w:rFonts w:cs="Times New Roman"/>
                <w:sz w:val="20"/>
                <w:szCs w:val="20"/>
                <w:lang w:val="fr-CA"/>
              </w:rPr>
            </w:pPr>
            <w:r w:rsidRPr="005D0703">
              <w:rPr>
                <w:rStyle w:val="SCCLsocChar"/>
                <w:rFonts w:cs="Times New Roman"/>
                <w:sz w:val="20"/>
                <w:szCs w:val="20"/>
              </w:rPr>
              <w:t>Léo Fuoco c. Ville de Montréal</w:t>
            </w:r>
            <w:r w:rsidRPr="005D0703">
              <w:rPr>
                <w:rFonts w:cs="Times New Roman"/>
                <w:sz w:val="20"/>
                <w:szCs w:val="20"/>
                <w:lang w:val="fr-CA"/>
              </w:rPr>
              <w:t xml:space="preserve"> (Qc) (Civile) (Autorisation)</w:t>
            </w:r>
          </w:p>
          <w:p w:rsidR="00D82D81" w:rsidRPr="005D0703" w:rsidRDefault="00D82D81" w:rsidP="00D82D81">
            <w:pPr>
              <w:rPr>
                <w:rFonts w:cs="Times New Roman"/>
                <w:sz w:val="20"/>
                <w:szCs w:val="20"/>
                <w:lang w:val="fr-CA"/>
              </w:rPr>
            </w:pPr>
          </w:p>
        </w:tc>
      </w:tr>
      <w:tr w:rsidR="00D82D81" w:rsidRPr="00C04C40" w:rsidTr="00D82D81">
        <w:trPr>
          <w:cantSplit/>
        </w:trPr>
        <w:tc>
          <w:tcPr>
            <w:tcW w:w="1458" w:type="dxa"/>
          </w:tcPr>
          <w:p w:rsidR="00D82D81" w:rsidRPr="005D0703" w:rsidRDefault="00D82D81" w:rsidP="00D82D81">
            <w:pPr>
              <w:rPr>
                <w:rFonts w:cs="Times New Roman"/>
                <w:sz w:val="20"/>
                <w:szCs w:val="20"/>
              </w:rPr>
            </w:pPr>
            <w:r w:rsidRPr="005D0703">
              <w:rPr>
                <w:rFonts w:cs="Times New Roman"/>
                <w:sz w:val="20"/>
                <w:szCs w:val="20"/>
              </w:rPr>
              <w:t>Coram :</w:t>
            </w:r>
          </w:p>
        </w:tc>
        <w:tc>
          <w:tcPr>
            <w:tcW w:w="8118" w:type="dxa"/>
          </w:tcPr>
          <w:p w:rsidR="00D82D81" w:rsidRPr="005D0703" w:rsidRDefault="00D82D81" w:rsidP="00D82D81">
            <w:pPr>
              <w:rPr>
                <w:rFonts w:cs="Times New Roman"/>
                <w:sz w:val="20"/>
                <w:szCs w:val="20"/>
                <w:lang w:val="fr-CA"/>
              </w:rPr>
            </w:pPr>
            <w:r w:rsidRPr="005D0703">
              <w:rPr>
                <w:rStyle w:val="SCCCoramChar"/>
                <w:rFonts w:cs="Times New Roman"/>
                <w:sz w:val="20"/>
                <w:szCs w:val="20"/>
              </w:rPr>
              <w:t>Les juges LeBel, Abella et Cromwell</w:t>
            </w:r>
          </w:p>
          <w:p w:rsidR="00D82D81" w:rsidRPr="005D0703" w:rsidRDefault="00D82D81" w:rsidP="00D82D81">
            <w:pPr>
              <w:rPr>
                <w:rFonts w:cs="Times New Roman"/>
                <w:sz w:val="20"/>
                <w:szCs w:val="20"/>
                <w:u w:val="single"/>
                <w:lang w:val="fr-CA"/>
              </w:rPr>
            </w:pPr>
          </w:p>
        </w:tc>
      </w:tr>
      <w:tr w:rsidR="00D82D81" w:rsidRPr="005D0703" w:rsidTr="00D82D81">
        <w:trPr>
          <w:cantSplit/>
        </w:trPr>
        <w:tc>
          <w:tcPr>
            <w:tcW w:w="9576" w:type="dxa"/>
            <w:gridSpan w:val="2"/>
          </w:tcPr>
          <w:p w:rsidR="00D82D81" w:rsidRPr="005D0703" w:rsidRDefault="00D82D81" w:rsidP="00D82D81">
            <w:pPr>
              <w:pStyle w:val="SCCShortJudgment"/>
              <w:rPr>
                <w:rFonts w:cs="Times New Roman"/>
                <w:szCs w:val="20"/>
                <w:lang w:val="fr-CA"/>
              </w:rPr>
            </w:pPr>
            <w:r w:rsidRPr="005D0703">
              <w:rPr>
                <w:rFonts w:cs="Times New Roman"/>
                <w:szCs w:val="20"/>
                <w:lang w:val="fr-CA"/>
              </w:rPr>
              <w:t>La requête en prorogation du délai de signification et de dépôt de la demande d’autorisation d’appel est accordée. La demande d’autorisation d’appel des arrêts de la Cour d’appel du Québec (Montréal), numéro 500-09-019725-092, 2011 QCCA 131, datés du 26 janvier 2011 et du 14 avril 2011, est rejetée avec dépens.</w:t>
            </w:r>
          </w:p>
          <w:p w:rsidR="00D82D81" w:rsidRPr="005D0703" w:rsidRDefault="00D82D81" w:rsidP="00D82D81">
            <w:pPr>
              <w:pStyle w:val="SCCShortJudgment"/>
              <w:ind w:firstLine="0"/>
              <w:rPr>
                <w:rFonts w:cs="Times New Roman"/>
                <w:szCs w:val="20"/>
                <w:lang w:val="fr-CA"/>
              </w:rPr>
            </w:pPr>
          </w:p>
          <w:p w:rsidR="00D82D81" w:rsidRPr="005D0703" w:rsidRDefault="00D82D81" w:rsidP="00D82D81">
            <w:pPr>
              <w:pStyle w:val="SCCShortJudgment"/>
              <w:rPr>
                <w:rFonts w:cs="Times New Roman"/>
                <w:szCs w:val="20"/>
              </w:rPr>
            </w:pPr>
            <w:r w:rsidRPr="005D0703">
              <w:rPr>
                <w:rFonts w:cs="Times New Roman"/>
                <w:szCs w:val="20"/>
              </w:rPr>
              <w:t>The motion for an extension of time to serve and file the application for leave to appeal is granted. The application for leave to appeal from the judgments of the Court of Appeal of Quebec (Montréal), Number 500-09-019725-092, 2011 QCCA 131, dated January 26, 2011, and April 14, 2011, is dismissed with costs.</w:t>
            </w:r>
          </w:p>
        </w:tc>
      </w:tr>
    </w:tbl>
    <w:p w:rsidR="00D82D81" w:rsidRPr="005D0703" w:rsidRDefault="00D82D81" w:rsidP="00692BC9">
      <w:pPr>
        <w:rPr>
          <w:rFonts w:cs="Times New Roman"/>
          <w:sz w:val="20"/>
          <w:szCs w:val="20"/>
          <w:u w:val="single"/>
        </w:rPr>
      </w:pPr>
    </w:p>
    <w:p w:rsidR="00692BC9" w:rsidRPr="005D0703" w:rsidRDefault="00692BC9" w:rsidP="00692BC9">
      <w:pPr>
        <w:rPr>
          <w:rFonts w:cs="Times New Roman"/>
          <w:sz w:val="20"/>
          <w:szCs w:val="20"/>
          <w:u w:val="single"/>
        </w:rPr>
      </w:pPr>
      <w:r w:rsidRPr="005D0703">
        <w:rPr>
          <w:rFonts w:cs="Times New Roman"/>
          <w:sz w:val="20"/>
          <w:szCs w:val="20"/>
          <w:u w:val="single"/>
        </w:rPr>
        <w:t>CASE SUMMARY</w:t>
      </w:r>
    </w:p>
    <w:p w:rsidR="00692BC9" w:rsidRPr="005D0703" w:rsidRDefault="00692BC9" w:rsidP="00692BC9">
      <w:pPr>
        <w:rPr>
          <w:rFonts w:cs="Times New Roman"/>
          <w:sz w:val="20"/>
          <w:szCs w:val="20"/>
          <w:u w:val="single"/>
        </w:rPr>
      </w:pPr>
    </w:p>
    <w:tbl>
      <w:tblPr>
        <w:tblW w:w="4952" w:type="pct"/>
        <w:tblLayout w:type="fixed"/>
        <w:tblCellMar>
          <w:left w:w="0" w:type="dxa"/>
          <w:bottom w:w="99" w:type="dxa"/>
          <w:right w:w="0" w:type="dxa"/>
        </w:tblCellMar>
        <w:tblLook w:val="04A0"/>
      </w:tblPr>
      <w:tblGrid>
        <w:gridCol w:w="4624"/>
        <w:gridCol w:w="463"/>
        <w:gridCol w:w="4440"/>
      </w:tblGrid>
      <w:tr w:rsidR="00692BC9" w:rsidRPr="005D0703" w:rsidTr="00692BC9">
        <w:tc>
          <w:tcPr>
            <w:tcW w:w="5000" w:type="pct"/>
            <w:gridSpan w:val="3"/>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This was a claim for damages as compensation for not obtaining a subsidy from the City of Montréal in connection with a construction project.</w:t>
            </w:r>
          </w:p>
          <w:p w:rsidR="00692BC9" w:rsidRPr="005D0703" w:rsidRDefault="00692BC9" w:rsidP="00692BC9">
            <w:pPr>
              <w:jc w:val="both"/>
              <w:rPr>
                <w:rFonts w:eastAsia="Calibri" w:cs="Times New Roman"/>
                <w:sz w:val="20"/>
                <w:szCs w:val="20"/>
              </w:rPr>
            </w:pPr>
          </w:p>
          <w:p w:rsidR="00692BC9" w:rsidRPr="005D0703" w:rsidRDefault="00692BC9" w:rsidP="00692BC9">
            <w:pPr>
              <w:jc w:val="both"/>
              <w:rPr>
                <w:rFonts w:eastAsia="Calibri" w:cs="Times New Roman"/>
                <w:sz w:val="20"/>
                <w:szCs w:val="20"/>
              </w:rPr>
            </w:pPr>
            <w:r w:rsidRPr="005D0703">
              <w:rPr>
                <w:rFonts w:eastAsia="Calibri" w:cs="Times New Roman"/>
                <w:sz w:val="20"/>
                <w:szCs w:val="20"/>
              </w:rPr>
              <w:t>After Gilda Gallo, the mother of the applicant Leo Fuoco, purchased land and filed a subsidy application with the City for a construction project, the City approved the project by resolution.  A building permit was applied for and then issued a few months later.  Ms. Gallo reminded the respondent City of Montréal that it required compliance with the clause stating that, at the time the deed of sale was signed, she had to have obtained confirmation from the City of Montréal that she would receive the subsidy for which she had applied.  She informed the City of Montréal that she intended to sign the latest draft deed of sale without any changes, and she claimed $140,000 in damages from the City as compensation for the lost subsidy.  An attorney for the City of Montréal sent Ms. Gallo a letter stating that [</w:t>
            </w:r>
            <w:r w:rsidRPr="005D0703">
              <w:rPr>
                <w:rFonts w:eastAsia="Calibri" w:cs="Times New Roman"/>
                <w:smallCaps/>
                <w:sz w:val="20"/>
                <w:szCs w:val="20"/>
              </w:rPr>
              <w:t>translation</w:t>
            </w:r>
            <w:r w:rsidRPr="005D0703">
              <w:rPr>
                <w:rFonts w:eastAsia="Calibri" w:cs="Times New Roman"/>
                <w:sz w:val="20"/>
                <w:szCs w:val="20"/>
              </w:rPr>
              <w:t>] “the signing by the City of Montréal of deeds of sale for land is an undertaking only to sell its land”.  The City of Montréal approved the sale of the land to Ms. Gallo by resolution.</w:t>
            </w:r>
          </w:p>
          <w:p w:rsidR="00692BC9" w:rsidRPr="005D0703" w:rsidRDefault="00692BC9" w:rsidP="00692BC9">
            <w:pPr>
              <w:jc w:val="both"/>
              <w:rPr>
                <w:rFonts w:eastAsia="Calibri" w:cs="Times New Roman"/>
                <w:sz w:val="20"/>
                <w:szCs w:val="20"/>
              </w:rPr>
            </w:pP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May 5, 2009</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Quebec Superior Court</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(Buffoni J.)</w:t>
            </w:r>
          </w:p>
          <w:p w:rsidR="00692BC9" w:rsidRPr="005D0703" w:rsidRDefault="00692BC9" w:rsidP="00692BC9">
            <w:pPr>
              <w:jc w:val="both"/>
              <w:rPr>
                <w:rFonts w:eastAsia="Calibri" w:cs="Times New Roman"/>
                <w:sz w:val="20"/>
                <w:szCs w:val="20"/>
              </w:rPr>
            </w:pP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Applicant’s claim for $140,000 in damages to be paid by respondent dismissed</w:t>
            </w: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January 28, 2011</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Quebec Court of Appeal (Montréal)</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(Brossard, Léger and Cournoyer [ad hoc] JJ.A.)</w:t>
            </w:r>
          </w:p>
          <w:p w:rsidR="00692BC9" w:rsidRPr="005D0703" w:rsidRDefault="00692BC9" w:rsidP="00692BC9">
            <w:pPr>
              <w:jc w:val="both"/>
              <w:rPr>
                <w:rFonts w:eastAsia="Calibri" w:cs="Times New Roman"/>
                <w:sz w:val="20"/>
                <w:szCs w:val="20"/>
              </w:rPr>
            </w:pP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Appeal dismissed</w:t>
            </w: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April 14, 2011</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Quebec Court of Appeal (Montréal)</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(Brossard, Léger and Cournoyer [ad hoc] JJ.A.)</w:t>
            </w:r>
          </w:p>
          <w:p w:rsidR="00692BC9" w:rsidRPr="005D0703" w:rsidRDefault="00692BC9" w:rsidP="00692BC9">
            <w:pPr>
              <w:jc w:val="both"/>
              <w:rPr>
                <w:rFonts w:eastAsia="Calibri" w:cs="Times New Roman"/>
                <w:sz w:val="20"/>
                <w:szCs w:val="20"/>
              </w:rPr>
            </w:pP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Rectificatory judgment issued</w:t>
            </w: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April 13, 2011</w:t>
            </w:r>
          </w:p>
          <w:p w:rsidR="00692BC9" w:rsidRPr="005D0703" w:rsidRDefault="00692BC9" w:rsidP="00692BC9">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Motion to extend time to serve and file application for leave to appeal filed</w:t>
            </w:r>
          </w:p>
          <w:p w:rsidR="00692BC9" w:rsidRPr="005D0703" w:rsidRDefault="00692BC9" w:rsidP="00692BC9">
            <w:pPr>
              <w:jc w:val="both"/>
              <w:rPr>
                <w:rFonts w:eastAsia="Calibri" w:cs="Times New Roman"/>
                <w:sz w:val="20"/>
                <w:szCs w:val="20"/>
              </w:rPr>
            </w:pPr>
          </w:p>
        </w:tc>
      </w:tr>
      <w:tr w:rsidR="00692BC9" w:rsidRPr="005D0703" w:rsidTr="00692BC9">
        <w:tc>
          <w:tcPr>
            <w:tcW w:w="2427"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August 8, 2011</w:t>
            </w:r>
          </w:p>
          <w:p w:rsidR="00692BC9" w:rsidRPr="005D0703" w:rsidRDefault="00692BC9" w:rsidP="005D0703">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692BC9" w:rsidRPr="005D0703" w:rsidRDefault="00692BC9" w:rsidP="00692BC9">
            <w:pPr>
              <w:jc w:val="both"/>
              <w:rPr>
                <w:rFonts w:eastAsia="Calibri" w:cs="Times New Roman"/>
                <w:sz w:val="20"/>
                <w:szCs w:val="20"/>
              </w:rPr>
            </w:pPr>
          </w:p>
        </w:tc>
        <w:tc>
          <w:tcPr>
            <w:tcW w:w="2330" w:type="pct"/>
          </w:tcPr>
          <w:p w:rsidR="00692BC9" w:rsidRPr="005D0703" w:rsidRDefault="00692BC9" w:rsidP="00692BC9">
            <w:pPr>
              <w:jc w:val="both"/>
              <w:rPr>
                <w:rFonts w:eastAsia="Calibri" w:cs="Times New Roman"/>
                <w:sz w:val="20"/>
                <w:szCs w:val="20"/>
              </w:rPr>
            </w:pPr>
            <w:r w:rsidRPr="005D0703">
              <w:rPr>
                <w:rFonts w:eastAsia="Calibri" w:cs="Times New Roman"/>
                <w:sz w:val="20"/>
                <w:szCs w:val="20"/>
              </w:rPr>
              <w:t>Application for leave to appeal filed</w:t>
            </w:r>
          </w:p>
          <w:p w:rsidR="00692BC9" w:rsidRPr="005D0703" w:rsidRDefault="00692BC9" w:rsidP="00692BC9">
            <w:pPr>
              <w:jc w:val="both"/>
              <w:rPr>
                <w:rFonts w:eastAsia="Calibri" w:cs="Times New Roman"/>
                <w:sz w:val="20"/>
                <w:szCs w:val="20"/>
              </w:rPr>
            </w:pPr>
          </w:p>
        </w:tc>
      </w:tr>
    </w:tbl>
    <w:p w:rsidR="00692BC9" w:rsidRPr="005D0703" w:rsidRDefault="00692BC9" w:rsidP="00692BC9">
      <w:pPr>
        <w:rPr>
          <w:rFonts w:cs="Times New Roman"/>
          <w:sz w:val="20"/>
          <w:szCs w:val="20"/>
        </w:rPr>
      </w:pPr>
    </w:p>
    <w:p w:rsidR="00692BC9" w:rsidRPr="005D0703" w:rsidRDefault="008A6550" w:rsidP="00692BC9">
      <w:pPr>
        <w:rPr>
          <w:rFonts w:cs="Times New Roman"/>
          <w:sz w:val="20"/>
          <w:szCs w:val="20"/>
        </w:rPr>
      </w:pPr>
      <w:r w:rsidRPr="008A6550">
        <w:rPr>
          <w:rFonts w:cs="Times New Roman"/>
          <w:sz w:val="20"/>
          <w:szCs w:val="20"/>
          <w:lang w:val="fr-CA"/>
        </w:rPr>
        <w:pict>
          <v:rect id="_x0000_i1042" style="width:2in;height:1pt" o:hrpct="0" o:hralign="center" o:hrstd="t" o:hrnoshade="t" o:hr="t" fillcolor="black [3213]" stroked="f"/>
        </w:pict>
      </w:r>
    </w:p>
    <w:p w:rsidR="00692BC9" w:rsidRPr="005D0703" w:rsidRDefault="00692BC9" w:rsidP="00692BC9">
      <w:pPr>
        <w:rPr>
          <w:rFonts w:cs="Times New Roman"/>
          <w:sz w:val="20"/>
          <w:szCs w:val="20"/>
        </w:rPr>
      </w:pPr>
    </w:p>
    <w:p w:rsidR="00692BC9" w:rsidRPr="005D0703" w:rsidRDefault="00692BC9" w:rsidP="00692BC9">
      <w:pPr>
        <w:rPr>
          <w:rFonts w:cs="Times New Roman"/>
          <w:sz w:val="20"/>
          <w:szCs w:val="20"/>
          <w:u w:val="single"/>
          <w:lang w:val="fr-CA"/>
        </w:rPr>
      </w:pPr>
      <w:r w:rsidRPr="005D0703">
        <w:rPr>
          <w:rFonts w:cs="Times New Roman"/>
          <w:sz w:val="20"/>
          <w:szCs w:val="20"/>
          <w:u w:val="single"/>
          <w:lang w:val="fr-CA"/>
        </w:rPr>
        <w:t>RÉSUMÉ DE L’AFFAIRE</w:t>
      </w:r>
    </w:p>
    <w:p w:rsidR="00692BC9" w:rsidRPr="005D0703" w:rsidRDefault="00692BC9" w:rsidP="00692BC9">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92BC9" w:rsidRPr="00C04C40" w:rsidTr="00692BC9">
        <w:tc>
          <w:tcPr>
            <w:tcW w:w="5000" w:type="pct"/>
            <w:gridSpan w:val="3"/>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Il s’agit d’une réclamation en dommages</w:t>
            </w:r>
            <w:r w:rsidRPr="005D0703">
              <w:rPr>
                <w:rFonts w:eastAsia="Calibri" w:cs="Times New Roman"/>
                <w:sz w:val="20"/>
                <w:szCs w:val="20"/>
                <w:lang w:val="fr-CA"/>
              </w:rPr>
              <w:noBreakHyphen/>
              <w:t>intérêts visant à compenser la non</w:t>
            </w:r>
            <w:r w:rsidRPr="005D0703">
              <w:rPr>
                <w:rFonts w:eastAsia="Calibri" w:cs="Times New Roman"/>
                <w:sz w:val="20"/>
                <w:szCs w:val="20"/>
                <w:lang w:val="fr-CA"/>
              </w:rPr>
              <w:noBreakHyphen/>
              <w:t>obtention d’une subvention, dans le cadre d’un projet de construction, de la Ville de Montréal. </w:t>
            </w:r>
          </w:p>
          <w:p w:rsidR="00692BC9" w:rsidRPr="005D0703" w:rsidRDefault="00692BC9" w:rsidP="00692BC9">
            <w:pPr>
              <w:jc w:val="both"/>
              <w:rPr>
                <w:rFonts w:eastAsia="Calibri" w:cs="Times New Roman"/>
                <w:sz w:val="20"/>
                <w:szCs w:val="20"/>
                <w:lang w:val="fr-CA"/>
              </w:rPr>
            </w:pP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Suite à l’acquisition d’un terrain par madame Gilda Gallo, mère du demandeur, M. Leo Fuoco, et suite au dépôt d’une demande de subvention auprès de la Ville pour un projet de construction, une résolution de la Ville accepte le projet de construction.  Une demande de permis de construction est déposée à cet effet.  Quelques mois plus tard, le permis de construction est émis.  Madame Gallo rappelle à l’intimée, Ville de Montréal, son exigence voulant que soit respectée la clause selon laquelle elle devra avoir obtenu, au moment de la signature de l’acte de vente, une confirmation de la Ville de Montréal qu’elle recevra la subvention demandée.  Elle informe la Ville de Montréal qu’elle a l’intention de signer, sans modification, le dernier projet d’acte de vente et lui réclame 140 000$ à titre de dommages</w:t>
            </w:r>
            <w:r w:rsidRPr="005D0703">
              <w:rPr>
                <w:rFonts w:eastAsia="Calibri" w:cs="Times New Roman"/>
                <w:sz w:val="20"/>
                <w:szCs w:val="20"/>
                <w:lang w:val="fr-CA"/>
              </w:rPr>
              <w:noBreakHyphen/>
              <w:t>intérêts pour compenser la subvention perdue.  Une avocate de la Ville de Montréal envoie une lettre à madame Gallo qui affirme que « la signature par la Ville de Montréal des actes de vente des terrains ne constitue aucun autre engagement que celui de la vente de ses terrains ».  La Ville de Montréal approuve par résolution la vente du terrain à madame Gallo.</w:t>
            </w:r>
          </w:p>
          <w:p w:rsidR="00692BC9" w:rsidRPr="005D0703" w:rsidRDefault="00692BC9" w:rsidP="00692BC9">
            <w:pPr>
              <w:jc w:val="both"/>
              <w:rPr>
                <w:rFonts w:eastAsia="Calibri" w:cs="Times New Roman"/>
                <w:sz w:val="20"/>
                <w:szCs w:val="20"/>
                <w:lang w:val="fr-CA"/>
              </w:rPr>
            </w:pPr>
          </w:p>
        </w:tc>
      </w:tr>
      <w:tr w:rsidR="00692BC9" w:rsidRPr="00C04C40"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Le 5 mai 2009</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Cour supérieure du Québec</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(Le juge Buffoni)</w:t>
            </w: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Réclamation par le demandeur du paiement de la somme de 140 000$ à titre de dommages</w:t>
            </w:r>
            <w:r w:rsidRPr="005D0703">
              <w:rPr>
                <w:rFonts w:eastAsia="Calibri" w:cs="Times New Roman"/>
                <w:sz w:val="20"/>
                <w:szCs w:val="20"/>
                <w:lang w:val="fr-CA"/>
              </w:rPr>
              <w:noBreakHyphen/>
              <w:t>intérêts à être payée par l’intimée rejetée.</w:t>
            </w:r>
          </w:p>
          <w:p w:rsidR="00692BC9" w:rsidRPr="005D0703" w:rsidRDefault="00692BC9" w:rsidP="00692BC9">
            <w:pPr>
              <w:jc w:val="both"/>
              <w:rPr>
                <w:rFonts w:eastAsia="Calibri" w:cs="Times New Roman"/>
                <w:sz w:val="20"/>
                <w:szCs w:val="20"/>
                <w:lang w:val="fr-CA"/>
              </w:rPr>
            </w:pPr>
          </w:p>
        </w:tc>
      </w:tr>
      <w:tr w:rsidR="00692BC9" w:rsidRPr="005D0703"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Le 28 janvier 2011</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Cour d’appel du Québec (Montréal)</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(Les juges Brossard, Léger et Cournoyer [ad hoc])</w:t>
            </w:r>
          </w:p>
          <w:p w:rsidR="00692BC9" w:rsidRPr="005D0703" w:rsidRDefault="00692BC9" w:rsidP="00692BC9">
            <w:pPr>
              <w:jc w:val="both"/>
              <w:rPr>
                <w:rFonts w:eastAsia="Calibri" w:cs="Times New Roman"/>
                <w:sz w:val="20"/>
                <w:szCs w:val="20"/>
                <w:lang w:val="fr-CA"/>
              </w:rPr>
            </w:pP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Appel rejeté.</w:t>
            </w:r>
          </w:p>
        </w:tc>
      </w:tr>
      <w:tr w:rsidR="00692BC9" w:rsidRPr="005D0703"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Le 14 avril 2011</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Cour d’appel du Québec (Montréal)</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(Les juges Brossard, Léger et Cournoyer [ad hoc])</w:t>
            </w:r>
          </w:p>
          <w:p w:rsidR="00692BC9" w:rsidRPr="005D0703" w:rsidRDefault="00692BC9" w:rsidP="00692BC9">
            <w:pPr>
              <w:jc w:val="both"/>
              <w:rPr>
                <w:rFonts w:eastAsia="Calibri" w:cs="Times New Roman"/>
                <w:sz w:val="20"/>
                <w:szCs w:val="20"/>
                <w:lang w:val="fr-CA"/>
              </w:rPr>
            </w:pP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Arrêt rectificatif.</w:t>
            </w:r>
          </w:p>
        </w:tc>
      </w:tr>
      <w:tr w:rsidR="00692BC9" w:rsidRPr="00C04C40"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Le 13 avril 2011</w:t>
            </w:r>
          </w:p>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Requête en prorogation du délai de signification et de dépôt d’une demande d’autorisation d’appel déposée.</w:t>
            </w:r>
          </w:p>
          <w:p w:rsidR="00692BC9" w:rsidRPr="005D0703" w:rsidRDefault="00692BC9" w:rsidP="00692BC9">
            <w:pPr>
              <w:jc w:val="both"/>
              <w:rPr>
                <w:rFonts w:eastAsia="Calibri" w:cs="Times New Roman"/>
                <w:sz w:val="20"/>
                <w:szCs w:val="20"/>
                <w:lang w:val="fr-CA"/>
              </w:rPr>
            </w:pPr>
          </w:p>
        </w:tc>
      </w:tr>
      <w:tr w:rsidR="00692BC9" w:rsidRPr="005D0703" w:rsidTr="00692BC9">
        <w:tc>
          <w:tcPr>
            <w:tcW w:w="2427"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Le 8 août 2011</w:t>
            </w:r>
          </w:p>
          <w:p w:rsidR="00692BC9" w:rsidRPr="005D0703" w:rsidRDefault="00692BC9" w:rsidP="005D0703">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692BC9" w:rsidRPr="005D0703" w:rsidRDefault="00692BC9" w:rsidP="00692BC9">
            <w:pPr>
              <w:jc w:val="both"/>
              <w:rPr>
                <w:rFonts w:eastAsia="Calibri" w:cs="Times New Roman"/>
                <w:sz w:val="20"/>
                <w:szCs w:val="20"/>
                <w:lang w:val="fr-CA"/>
              </w:rPr>
            </w:pPr>
          </w:p>
        </w:tc>
        <w:tc>
          <w:tcPr>
            <w:tcW w:w="2330" w:type="pct"/>
          </w:tcPr>
          <w:p w:rsidR="00692BC9" w:rsidRPr="005D0703" w:rsidRDefault="00692BC9" w:rsidP="00692BC9">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692BC9" w:rsidRPr="005D0703" w:rsidRDefault="00692BC9" w:rsidP="00692BC9">
            <w:pPr>
              <w:jc w:val="both"/>
              <w:rPr>
                <w:rFonts w:eastAsia="Calibri" w:cs="Times New Roman"/>
                <w:sz w:val="20"/>
                <w:szCs w:val="20"/>
                <w:lang w:val="fr-CA"/>
              </w:rPr>
            </w:pPr>
          </w:p>
        </w:tc>
      </w:tr>
    </w:tbl>
    <w:p w:rsidR="00692BC9" w:rsidRPr="005D0703" w:rsidRDefault="00692BC9" w:rsidP="00692BC9">
      <w:pPr>
        <w:rPr>
          <w:rFonts w:cs="Times New Roman"/>
          <w:sz w:val="20"/>
          <w:szCs w:val="20"/>
          <w:lang w:val="fr-CA"/>
        </w:rPr>
      </w:pPr>
    </w:p>
    <w:p w:rsidR="00692BC9" w:rsidRPr="005D0703" w:rsidRDefault="008A6550" w:rsidP="00692BC9">
      <w:pPr>
        <w:rPr>
          <w:rFonts w:cs="Times New Roman"/>
          <w:sz w:val="20"/>
          <w:szCs w:val="20"/>
          <w:lang w:val="fr-CA"/>
        </w:rPr>
      </w:pPr>
      <w:r w:rsidRPr="008A6550">
        <w:rPr>
          <w:rFonts w:cs="Times New Roman"/>
          <w:sz w:val="20"/>
          <w:szCs w:val="20"/>
          <w:lang w:val="fr-CA"/>
        </w:rPr>
        <w:pict>
          <v:rect id="_x0000_i1043" style="width:2in;height:1pt" o:hrpct="0" o:hralign="center" o:hrstd="t" o:hrnoshade="t" o:hr="t" fillcolor="black [3213]" stroked="f"/>
        </w:pict>
      </w:r>
    </w:p>
    <w:p w:rsidR="00AE75EC" w:rsidRPr="005D0703" w:rsidRDefault="00AE75EC" w:rsidP="00692BC9">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B32C1" w:rsidRPr="005D0703" w:rsidTr="008B32C1">
        <w:trPr>
          <w:cantSplit/>
        </w:trPr>
        <w:tc>
          <w:tcPr>
            <w:tcW w:w="1458" w:type="dxa"/>
          </w:tcPr>
          <w:p w:rsidR="008B32C1" w:rsidRPr="005D0703" w:rsidRDefault="008B32C1" w:rsidP="008B32C1">
            <w:pPr>
              <w:rPr>
                <w:rFonts w:cs="Times New Roman"/>
                <w:sz w:val="20"/>
                <w:szCs w:val="20"/>
              </w:rPr>
            </w:pPr>
            <w:r w:rsidRPr="005D0703">
              <w:rPr>
                <w:rStyle w:val="SCCFileNumberChar"/>
                <w:sz w:val="20"/>
                <w:szCs w:val="20"/>
              </w:rPr>
              <w:t>34258</w:t>
            </w:r>
          </w:p>
          <w:p w:rsidR="008B32C1" w:rsidRPr="005D0703" w:rsidRDefault="008B32C1" w:rsidP="008B32C1">
            <w:pPr>
              <w:rPr>
                <w:rFonts w:cs="Times New Roman"/>
                <w:b/>
                <w:sz w:val="20"/>
                <w:szCs w:val="20"/>
                <w:lang w:val="fr-CA"/>
              </w:rPr>
            </w:pPr>
          </w:p>
        </w:tc>
        <w:tc>
          <w:tcPr>
            <w:tcW w:w="8118" w:type="dxa"/>
          </w:tcPr>
          <w:p w:rsidR="008B32C1" w:rsidRPr="005D0703" w:rsidRDefault="008B32C1" w:rsidP="00A50209">
            <w:pPr>
              <w:jc w:val="both"/>
              <w:rPr>
                <w:rFonts w:cs="Times New Roman"/>
                <w:sz w:val="20"/>
                <w:szCs w:val="20"/>
              </w:rPr>
            </w:pPr>
            <w:r w:rsidRPr="005D0703">
              <w:rPr>
                <w:rStyle w:val="SCCLsocChar"/>
                <w:rFonts w:cs="Times New Roman"/>
                <w:sz w:val="20"/>
                <w:szCs w:val="20"/>
                <w:lang w:val="en-US"/>
              </w:rPr>
              <w:t>Muhsen Ahemed Ramadan Agraira v. Minister of Public Safety and Emergency Preparedness</w:t>
            </w:r>
            <w:r w:rsidRPr="005D0703">
              <w:rPr>
                <w:rFonts w:cs="Times New Roman"/>
                <w:sz w:val="20"/>
                <w:szCs w:val="20"/>
              </w:rPr>
              <w:t xml:space="preserve"> (FC) (Civil) (By Leave)</w:t>
            </w:r>
          </w:p>
          <w:p w:rsidR="008B32C1" w:rsidRPr="005D0703" w:rsidRDefault="008B32C1" w:rsidP="008B32C1">
            <w:pPr>
              <w:rPr>
                <w:rFonts w:cs="Times New Roman"/>
                <w:sz w:val="20"/>
                <w:szCs w:val="20"/>
              </w:rPr>
            </w:pPr>
          </w:p>
        </w:tc>
      </w:tr>
      <w:tr w:rsidR="008B32C1" w:rsidRPr="005D0703" w:rsidTr="008B32C1">
        <w:trPr>
          <w:cantSplit/>
        </w:trPr>
        <w:tc>
          <w:tcPr>
            <w:tcW w:w="1458" w:type="dxa"/>
          </w:tcPr>
          <w:p w:rsidR="008B32C1" w:rsidRPr="005D0703" w:rsidRDefault="008B32C1" w:rsidP="008B32C1">
            <w:pPr>
              <w:rPr>
                <w:rFonts w:cs="Times New Roman"/>
                <w:sz w:val="20"/>
                <w:szCs w:val="20"/>
              </w:rPr>
            </w:pPr>
            <w:r w:rsidRPr="005D0703">
              <w:rPr>
                <w:rFonts w:cs="Times New Roman"/>
                <w:sz w:val="20"/>
                <w:szCs w:val="20"/>
              </w:rPr>
              <w:t>Coram :</w:t>
            </w:r>
          </w:p>
        </w:tc>
        <w:tc>
          <w:tcPr>
            <w:tcW w:w="8118" w:type="dxa"/>
          </w:tcPr>
          <w:p w:rsidR="008B32C1" w:rsidRPr="005D0703" w:rsidRDefault="008B32C1" w:rsidP="008B32C1">
            <w:pPr>
              <w:rPr>
                <w:rFonts w:cs="Times New Roman"/>
                <w:sz w:val="20"/>
                <w:szCs w:val="20"/>
              </w:rPr>
            </w:pPr>
            <w:r w:rsidRPr="005D0703">
              <w:rPr>
                <w:rStyle w:val="SCCCoramChar"/>
                <w:rFonts w:cs="Times New Roman"/>
                <w:sz w:val="20"/>
                <w:szCs w:val="20"/>
                <w:lang w:val="en-US"/>
              </w:rPr>
              <w:t>McLachlin C.J. and LeBel and Deschamps JJ.</w:t>
            </w:r>
          </w:p>
          <w:p w:rsidR="008B32C1" w:rsidRPr="005D0703" w:rsidRDefault="008B32C1" w:rsidP="008B32C1">
            <w:pPr>
              <w:rPr>
                <w:rFonts w:cs="Times New Roman"/>
                <w:sz w:val="20"/>
                <w:szCs w:val="20"/>
                <w:u w:val="single"/>
              </w:rPr>
            </w:pPr>
          </w:p>
        </w:tc>
      </w:tr>
      <w:tr w:rsidR="008B32C1" w:rsidRPr="00C04C40" w:rsidTr="008B32C1">
        <w:trPr>
          <w:cantSplit/>
        </w:trPr>
        <w:tc>
          <w:tcPr>
            <w:tcW w:w="9576" w:type="dxa"/>
            <w:gridSpan w:val="2"/>
          </w:tcPr>
          <w:p w:rsidR="008B32C1" w:rsidRPr="005D0703" w:rsidRDefault="008B32C1" w:rsidP="008B32C1">
            <w:pPr>
              <w:pStyle w:val="SCCShortJudgment"/>
              <w:rPr>
                <w:rFonts w:cs="Times New Roman"/>
                <w:szCs w:val="20"/>
              </w:rPr>
            </w:pPr>
            <w:r w:rsidRPr="005D0703">
              <w:rPr>
                <w:rFonts w:cs="Times New Roman"/>
                <w:szCs w:val="20"/>
              </w:rPr>
              <w:t>The application for leave to appeal from the judgment of the Federal Court of Appeal, Number A-31-10, 2011 FCA 103, dated March 17, 2011 is granted with costs in the cause.</w:t>
            </w:r>
          </w:p>
          <w:p w:rsidR="008B32C1" w:rsidRPr="005D0703" w:rsidRDefault="008B32C1" w:rsidP="008B32C1">
            <w:pPr>
              <w:pStyle w:val="SCCShortJudgment"/>
              <w:ind w:firstLine="0"/>
              <w:rPr>
                <w:rFonts w:cs="Times New Roman"/>
                <w:szCs w:val="20"/>
              </w:rPr>
            </w:pPr>
          </w:p>
          <w:p w:rsidR="008B32C1" w:rsidRPr="005D0703" w:rsidRDefault="008B32C1" w:rsidP="008B32C1">
            <w:pPr>
              <w:pStyle w:val="SCCShortJudgment"/>
              <w:rPr>
                <w:rFonts w:cs="Times New Roman"/>
                <w:szCs w:val="20"/>
                <w:lang w:val="fr-CA"/>
              </w:rPr>
            </w:pPr>
            <w:r w:rsidRPr="005D0703">
              <w:rPr>
                <w:rFonts w:cs="Times New Roman"/>
                <w:szCs w:val="20"/>
                <w:lang w:val="fr-CA"/>
              </w:rPr>
              <w:t>La demande d’autorisation d’appel de l’arrêt de la Cour d’appel fédérale, numéro A-31-10, 2011 CAF 103, daté du 17 mars 2011, est accordée avec dépens suivant l’issue de la cause.</w:t>
            </w:r>
          </w:p>
        </w:tc>
      </w:tr>
    </w:tbl>
    <w:p w:rsidR="00AE75EC" w:rsidRPr="005D0703" w:rsidRDefault="00AE75EC" w:rsidP="00AE75EC">
      <w:pPr>
        <w:rPr>
          <w:rFonts w:cs="Times New Roman"/>
          <w:b/>
          <w:sz w:val="20"/>
          <w:szCs w:val="20"/>
          <w:lang w:val="fr-CA"/>
        </w:rPr>
      </w:pPr>
    </w:p>
    <w:p w:rsidR="00AE75EC" w:rsidRPr="005D0703" w:rsidRDefault="00AE75EC" w:rsidP="00AE75EC">
      <w:pPr>
        <w:rPr>
          <w:rFonts w:cs="Times New Roman"/>
          <w:sz w:val="20"/>
          <w:szCs w:val="20"/>
          <w:u w:val="single"/>
        </w:rPr>
      </w:pPr>
      <w:r w:rsidRPr="005D0703">
        <w:rPr>
          <w:rFonts w:cs="Times New Roman"/>
          <w:sz w:val="20"/>
          <w:szCs w:val="20"/>
          <w:u w:val="single"/>
        </w:rPr>
        <w:t>CASE SUMMARY</w:t>
      </w:r>
    </w:p>
    <w:p w:rsidR="00AE75EC" w:rsidRPr="005D0703" w:rsidRDefault="00AE75EC" w:rsidP="00692BC9">
      <w:pPr>
        <w:rPr>
          <w:rFonts w:cs="Times New Roman"/>
          <w:sz w:val="20"/>
          <w:szCs w:val="20"/>
          <w:lang w:val="fr-CA"/>
        </w:rPr>
      </w:pPr>
    </w:p>
    <w:tbl>
      <w:tblPr>
        <w:tblW w:w="4952" w:type="pct"/>
        <w:tblLayout w:type="fixed"/>
        <w:tblCellMar>
          <w:left w:w="0" w:type="dxa"/>
          <w:right w:w="0" w:type="dxa"/>
        </w:tblCellMar>
        <w:tblLook w:val="04A0"/>
      </w:tblPr>
      <w:tblGrid>
        <w:gridCol w:w="4624"/>
        <w:gridCol w:w="463"/>
        <w:gridCol w:w="4440"/>
      </w:tblGrid>
      <w:tr w:rsidR="00AE75EC" w:rsidRPr="005D0703" w:rsidTr="006613D6">
        <w:trPr>
          <w:trHeight w:val="20"/>
        </w:trPr>
        <w:tc>
          <w:tcPr>
            <w:tcW w:w="5000" w:type="pct"/>
            <w:gridSpan w:val="3"/>
          </w:tcPr>
          <w:p w:rsidR="005C6D04" w:rsidRDefault="00AE75EC" w:rsidP="00B101FC">
            <w:pPr>
              <w:jc w:val="both"/>
              <w:rPr>
                <w:rFonts w:eastAsia="Calibri" w:cs="Times New Roman"/>
                <w:sz w:val="20"/>
                <w:szCs w:val="20"/>
              </w:rPr>
            </w:pPr>
            <w:r w:rsidRPr="005D0703">
              <w:rPr>
                <w:rFonts w:eastAsia="Calibri" w:cs="Times New Roman"/>
                <w:sz w:val="20"/>
                <w:szCs w:val="20"/>
              </w:rPr>
              <w:t xml:space="preserve">Immigration law ― Judicial review ― Inadmissibility and removal ― Applicant granted leave to seek judicial review of the Minister’s determination under s. 34(2) of the </w:t>
            </w:r>
            <w:r w:rsidRPr="005D0703">
              <w:rPr>
                <w:rFonts w:eastAsia="Calibri" w:cs="Times New Roman"/>
                <w:i/>
                <w:sz w:val="20"/>
                <w:szCs w:val="20"/>
              </w:rPr>
              <w:t xml:space="preserve">Immigration and Refugee Protection </w:t>
            </w:r>
            <w:r w:rsidRPr="005D0703">
              <w:rPr>
                <w:rFonts w:eastAsia="Calibri" w:cs="Times New Roman"/>
                <w:sz w:val="20"/>
                <w:szCs w:val="20"/>
              </w:rPr>
              <w:t>Act, S.C. 2001, c. 27 that his continued stay in Canada was detrimental to Canada’s national interest ― Federal Court of Appeal allowed appeal, set aside Federal Court decision and dismissed application for judicial review ― Whether the Federal Court of Appeal erred in its finding that a transfer in Ministerial responsibility was the determinative factor when delineating the appropriate statutory interpretation of s. 34(2) of</w:t>
            </w:r>
            <w:r w:rsidRPr="005D0703">
              <w:rPr>
                <w:rFonts w:eastAsia="Calibri" w:cs="Times New Roman"/>
                <w:i/>
                <w:sz w:val="20"/>
                <w:szCs w:val="20"/>
              </w:rPr>
              <w:t xml:space="preserve"> IRPA</w:t>
            </w:r>
            <w:r w:rsidRPr="005D0703">
              <w:rPr>
                <w:rFonts w:eastAsia="Calibri" w:cs="Times New Roman"/>
                <w:sz w:val="20"/>
                <w:szCs w:val="20"/>
              </w:rPr>
              <w:t xml:space="preserve"> ― The scope and applicability of the principles outlined in </w:t>
            </w:r>
            <w:r w:rsidRPr="005D0703">
              <w:rPr>
                <w:rFonts w:eastAsia="Calibri" w:cs="Times New Roman"/>
                <w:i/>
                <w:sz w:val="20"/>
                <w:szCs w:val="20"/>
              </w:rPr>
              <w:t>Baker v. Canada (Minister of Citizenship and Immigration)</w:t>
            </w:r>
            <w:r w:rsidRPr="005D0703">
              <w:rPr>
                <w:rFonts w:eastAsia="Calibri" w:cs="Times New Roman"/>
                <w:sz w:val="20"/>
                <w:szCs w:val="20"/>
              </w:rPr>
              <w:t xml:space="preserve">, [1999] 2 S.C.R. 817:  whether a person has a legitimate expectation that publically available ministerial guidelines will continue to be followed when there has been a transfer in ministerial responsibility ― Whether the Federal Court of Appeal unlawfully fettered the discretion of the Minister of Public Safety and Emergency Preparedness by limiting the interpretation of “national interest” to issues of national security and public </w:t>
            </w:r>
            <w:r w:rsidRPr="005D0703">
              <w:rPr>
                <w:rFonts w:cs="Times New Roman"/>
                <w:sz w:val="20"/>
                <w:szCs w:val="20"/>
              </w:rPr>
              <w:t>danger</w:t>
            </w:r>
            <w:r w:rsidRPr="005D0703">
              <w:rPr>
                <w:rFonts w:eastAsia="Calibri" w:cs="Times New Roman"/>
                <w:sz w:val="20"/>
                <w:szCs w:val="20"/>
              </w:rPr>
              <w:t>.</w:t>
            </w:r>
          </w:p>
          <w:p w:rsidR="00B101FC" w:rsidRPr="005D0703" w:rsidRDefault="00B101FC" w:rsidP="00B101FC">
            <w:pPr>
              <w:jc w:val="both"/>
              <w:rPr>
                <w:rFonts w:eastAsia="Calibri" w:cs="Times New Roman"/>
                <w:sz w:val="20"/>
                <w:szCs w:val="20"/>
              </w:rPr>
            </w:pPr>
          </w:p>
        </w:tc>
      </w:tr>
      <w:tr w:rsidR="00AE75EC" w:rsidRPr="005D0703" w:rsidTr="006613D6">
        <w:tc>
          <w:tcPr>
            <w:tcW w:w="5000" w:type="pct"/>
            <w:gridSpan w:val="3"/>
          </w:tcPr>
          <w:p w:rsidR="00AE75EC" w:rsidRPr="005D0703" w:rsidRDefault="00AE75EC" w:rsidP="00AE75EC">
            <w:pPr>
              <w:jc w:val="both"/>
              <w:rPr>
                <w:rFonts w:eastAsia="Calibri" w:cs="Times New Roman"/>
                <w:sz w:val="20"/>
                <w:szCs w:val="20"/>
              </w:rPr>
            </w:pPr>
            <w:r w:rsidRPr="005D0703">
              <w:rPr>
                <w:rFonts w:eastAsia="Calibri" w:cs="Times New Roman"/>
                <w:sz w:val="20"/>
                <w:szCs w:val="20"/>
              </w:rPr>
              <w:t>The applicant, Mr. Agraira is a citizen of Libya who, in 1996, left his homeland for Germany where he made a claim for Convention Refugee status on the basis of his membership in the Libyan National Salvation Front (LNSF).  His application was unsuccessful.  In March 1997, Mr. Agraira entered Canada using an Italian passport, illegally purchased in Germany.  He applied for Convention Refugee status, once again on the basis of his involvement with the LNSF.  On October 24, 1998, his claim for Convention Refugee status was refused on the basis of his lack of credibility.</w:t>
            </w:r>
          </w:p>
          <w:p w:rsidR="00AE75EC" w:rsidRPr="005D0703" w:rsidRDefault="00AE75EC" w:rsidP="00AE75EC">
            <w:pPr>
              <w:ind w:right="300"/>
              <w:jc w:val="both"/>
              <w:rPr>
                <w:rFonts w:eastAsia="Calibri" w:cs="Times New Roman"/>
                <w:sz w:val="20"/>
                <w:szCs w:val="20"/>
              </w:rPr>
            </w:pPr>
          </w:p>
          <w:p w:rsidR="00AE75EC" w:rsidRPr="005D0703" w:rsidRDefault="00AE75EC" w:rsidP="00AE75EC">
            <w:pPr>
              <w:jc w:val="both"/>
              <w:rPr>
                <w:rFonts w:eastAsia="Calibri" w:cs="Times New Roman"/>
                <w:sz w:val="20"/>
                <w:szCs w:val="20"/>
              </w:rPr>
            </w:pPr>
            <w:r w:rsidRPr="005D0703">
              <w:rPr>
                <w:rFonts w:eastAsia="Calibri" w:cs="Times New Roman"/>
                <w:sz w:val="20"/>
                <w:szCs w:val="20"/>
              </w:rPr>
              <w:t xml:space="preserve">Mr. Agraira married a Canadian woman and his wife sponsored his application for permanent residence in August 1999.  He was found to be inadmissible to Canada on security grounds. He attempted to avoid this finding of inadmissibility through an application for ministerial relief under the relevant legislation.  The legislative landscape changed significantly during the life of Mr. Agraira's application changing the minister responsible for such decisions from the Minister of Immigration and Citizenship to the Minister of Public Safety and Emergency Preparedness. </w:t>
            </w:r>
          </w:p>
          <w:p w:rsidR="00AE75EC" w:rsidRPr="005D0703" w:rsidRDefault="00AE75EC" w:rsidP="00AE75EC">
            <w:pPr>
              <w:tabs>
                <w:tab w:val="left" w:pos="9270"/>
              </w:tabs>
              <w:spacing w:before="210"/>
              <w:jc w:val="both"/>
              <w:rPr>
                <w:rFonts w:cs="Times New Roman"/>
                <w:sz w:val="20"/>
                <w:szCs w:val="20"/>
              </w:rPr>
            </w:pPr>
            <w:r w:rsidRPr="005D0703">
              <w:rPr>
                <w:rFonts w:cs="Times New Roman"/>
                <w:sz w:val="20"/>
                <w:szCs w:val="20"/>
              </w:rPr>
              <w:t xml:space="preserve">The Minister refused to grant relief.  Mr. Agraira applied for, but was denied, leave to have the decision under s. 34(1) of the </w:t>
            </w:r>
            <w:r w:rsidRPr="005D0703">
              <w:rPr>
                <w:rFonts w:cs="Times New Roman"/>
                <w:i/>
                <w:sz w:val="20"/>
                <w:szCs w:val="20"/>
              </w:rPr>
              <w:t>IRPA</w:t>
            </w:r>
            <w:r w:rsidRPr="005D0703">
              <w:rPr>
                <w:rFonts w:cs="Times New Roman"/>
                <w:sz w:val="20"/>
                <w:szCs w:val="20"/>
              </w:rPr>
              <w:t xml:space="preserve"> that he was inadmissible, judicially reviewed.  However, he was granted leave to seek judicial review of the Minister’s determination under s. 34(2) that his continued stay in Canada was detrimental to Canada’s national interest.  </w:t>
            </w:r>
          </w:p>
          <w:p w:rsidR="00AE75EC" w:rsidRPr="005D0703" w:rsidRDefault="00AE75EC" w:rsidP="00AE75EC">
            <w:pPr>
              <w:jc w:val="both"/>
              <w:rPr>
                <w:rFonts w:cs="Times New Roman"/>
                <w:sz w:val="20"/>
                <w:szCs w:val="20"/>
              </w:rPr>
            </w:pPr>
            <w:r w:rsidRPr="005D0703">
              <w:rPr>
                <w:rFonts w:cs="Times New Roman"/>
                <w:sz w:val="20"/>
                <w:szCs w:val="20"/>
              </w:rPr>
              <w:t xml:space="preserve">Mr. Agraira’s application to the Federal Court for judicial review of that decision was successful.  However, the Federal Court of Appeal allowed the appeal, set aside the decision of the Federal Court and dismissed the application for judicial review.  </w:t>
            </w:r>
          </w:p>
          <w:p w:rsidR="00AE75EC" w:rsidRPr="005D0703" w:rsidRDefault="00AE75EC" w:rsidP="00AE75EC">
            <w:pPr>
              <w:jc w:val="both"/>
              <w:rPr>
                <w:rFonts w:cs="Times New Roman"/>
                <w:sz w:val="20"/>
                <w:szCs w:val="20"/>
              </w:rPr>
            </w:pPr>
          </w:p>
        </w:tc>
      </w:tr>
      <w:tr w:rsidR="00AE75EC" w:rsidRPr="005D0703" w:rsidTr="006613D6">
        <w:tc>
          <w:tcPr>
            <w:tcW w:w="2427" w:type="pct"/>
          </w:tcPr>
          <w:p w:rsidR="00AE75EC" w:rsidRPr="005D0703" w:rsidRDefault="00AE75EC" w:rsidP="00AE75EC">
            <w:pPr>
              <w:jc w:val="both"/>
              <w:rPr>
                <w:rFonts w:eastAsia="Calibri" w:cs="Times New Roman"/>
                <w:sz w:val="20"/>
                <w:szCs w:val="20"/>
              </w:rPr>
            </w:pPr>
            <w:r w:rsidRPr="005D0703">
              <w:rPr>
                <w:rFonts w:eastAsia="Calibri" w:cs="Times New Roman"/>
                <w:sz w:val="20"/>
                <w:szCs w:val="20"/>
              </w:rPr>
              <w:t>December 31, 2009</w:t>
            </w:r>
          </w:p>
          <w:p w:rsidR="00AE75EC" w:rsidRPr="005D0703" w:rsidRDefault="00AE75EC" w:rsidP="00AE75EC">
            <w:pPr>
              <w:jc w:val="both"/>
              <w:rPr>
                <w:rFonts w:eastAsia="Calibri" w:cs="Times New Roman"/>
                <w:sz w:val="20"/>
                <w:szCs w:val="20"/>
              </w:rPr>
            </w:pPr>
            <w:r w:rsidRPr="005D0703">
              <w:rPr>
                <w:rFonts w:eastAsia="Calibri" w:cs="Times New Roman"/>
                <w:sz w:val="20"/>
                <w:szCs w:val="20"/>
              </w:rPr>
              <w:t>Federal Court</w:t>
            </w:r>
          </w:p>
          <w:p w:rsidR="00AE75EC" w:rsidRPr="005D0703" w:rsidRDefault="00AE75EC" w:rsidP="00AE75EC">
            <w:pPr>
              <w:jc w:val="both"/>
              <w:rPr>
                <w:rFonts w:eastAsia="Calibri" w:cs="Times New Roman"/>
                <w:sz w:val="20"/>
                <w:szCs w:val="20"/>
              </w:rPr>
            </w:pPr>
            <w:r w:rsidRPr="005D0703">
              <w:rPr>
                <w:rFonts w:eastAsia="Calibri" w:cs="Times New Roman"/>
                <w:sz w:val="20"/>
                <w:szCs w:val="20"/>
              </w:rPr>
              <w:t>(Mosley J.)</w:t>
            </w:r>
          </w:p>
          <w:p w:rsidR="00AE75EC" w:rsidRPr="005D0703" w:rsidRDefault="00AE75EC" w:rsidP="00AE75EC">
            <w:pPr>
              <w:jc w:val="both"/>
              <w:rPr>
                <w:rFonts w:eastAsia="Calibri" w:cs="Times New Roman"/>
                <w:sz w:val="20"/>
                <w:szCs w:val="20"/>
              </w:rPr>
            </w:pPr>
            <w:r w:rsidRPr="005D0703">
              <w:rPr>
                <w:rFonts w:eastAsia="Calibri" w:cs="Times New Roman"/>
                <w:sz w:val="20"/>
                <w:szCs w:val="20"/>
              </w:rPr>
              <w:t>2009 FC 1302</w:t>
            </w:r>
          </w:p>
          <w:p w:rsidR="00AE75EC" w:rsidRPr="005D0703" w:rsidRDefault="00AE75EC" w:rsidP="00AE75EC">
            <w:pPr>
              <w:jc w:val="both"/>
              <w:rPr>
                <w:rFonts w:eastAsia="Calibri" w:cs="Times New Roman"/>
                <w:sz w:val="20"/>
                <w:szCs w:val="20"/>
              </w:rPr>
            </w:pPr>
          </w:p>
        </w:tc>
        <w:tc>
          <w:tcPr>
            <w:tcW w:w="243" w:type="pct"/>
          </w:tcPr>
          <w:p w:rsidR="00AE75EC" w:rsidRPr="005D0703" w:rsidRDefault="00AE75EC" w:rsidP="00AE75EC">
            <w:pPr>
              <w:jc w:val="both"/>
              <w:rPr>
                <w:rFonts w:eastAsia="Calibri" w:cs="Times New Roman"/>
                <w:sz w:val="20"/>
                <w:szCs w:val="20"/>
              </w:rPr>
            </w:pPr>
          </w:p>
        </w:tc>
        <w:tc>
          <w:tcPr>
            <w:tcW w:w="2330" w:type="pct"/>
          </w:tcPr>
          <w:p w:rsidR="00AE75EC" w:rsidRPr="005D0703" w:rsidRDefault="00AE75EC" w:rsidP="00AE75EC">
            <w:pPr>
              <w:jc w:val="both"/>
              <w:rPr>
                <w:rFonts w:eastAsia="Calibri" w:cs="Times New Roman"/>
                <w:sz w:val="20"/>
                <w:szCs w:val="20"/>
              </w:rPr>
            </w:pPr>
            <w:r w:rsidRPr="005D0703">
              <w:rPr>
                <w:rFonts w:eastAsia="Calibri" w:cs="Times New Roman"/>
                <w:sz w:val="20"/>
                <w:szCs w:val="20"/>
              </w:rPr>
              <w:t xml:space="preserve">Applicant’s application for judicial review granted; respondent’s proposed question certified as per s. 74(d) of the </w:t>
            </w:r>
            <w:r w:rsidRPr="005D0703">
              <w:rPr>
                <w:rFonts w:eastAsia="Calibri" w:cs="Times New Roman"/>
                <w:i/>
                <w:sz w:val="20"/>
                <w:szCs w:val="20"/>
              </w:rPr>
              <w:t>IRPA</w:t>
            </w:r>
          </w:p>
          <w:p w:rsidR="00AE75EC" w:rsidRPr="005D0703" w:rsidRDefault="00AE75EC" w:rsidP="00AE75EC">
            <w:pPr>
              <w:jc w:val="both"/>
              <w:rPr>
                <w:rFonts w:eastAsia="Calibri" w:cs="Times New Roman"/>
                <w:sz w:val="20"/>
                <w:szCs w:val="20"/>
              </w:rPr>
            </w:pPr>
          </w:p>
        </w:tc>
      </w:tr>
      <w:tr w:rsidR="00AE75EC" w:rsidRPr="005D0703" w:rsidTr="006613D6">
        <w:tc>
          <w:tcPr>
            <w:tcW w:w="2427" w:type="pct"/>
          </w:tcPr>
          <w:p w:rsidR="00AE75EC" w:rsidRPr="005D0703" w:rsidRDefault="00AE75EC" w:rsidP="00AE75EC">
            <w:pPr>
              <w:jc w:val="both"/>
              <w:rPr>
                <w:rFonts w:eastAsia="Calibri" w:cs="Times New Roman"/>
                <w:sz w:val="20"/>
                <w:szCs w:val="20"/>
              </w:rPr>
            </w:pPr>
            <w:r w:rsidRPr="005D0703">
              <w:rPr>
                <w:rFonts w:eastAsia="Calibri" w:cs="Times New Roman"/>
                <w:sz w:val="20"/>
                <w:szCs w:val="20"/>
              </w:rPr>
              <w:t>March 17, 2011</w:t>
            </w:r>
          </w:p>
          <w:p w:rsidR="00AE75EC" w:rsidRPr="005D0703" w:rsidRDefault="00AE75EC" w:rsidP="00AE75EC">
            <w:pPr>
              <w:jc w:val="both"/>
              <w:rPr>
                <w:rFonts w:eastAsia="Calibri" w:cs="Times New Roman"/>
                <w:sz w:val="20"/>
                <w:szCs w:val="20"/>
              </w:rPr>
            </w:pPr>
            <w:r w:rsidRPr="005D0703">
              <w:rPr>
                <w:rFonts w:eastAsia="Calibri" w:cs="Times New Roman"/>
                <w:sz w:val="20"/>
                <w:szCs w:val="20"/>
              </w:rPr>
              <w:t>Federal Court of Appeal</w:t>
            </w:r>
          </w:p>
          <w:p w:rsidR="00AE75EC" w:rsidRPr="005D0703" w:rsidRDefault="00AE75EC" w:rsidP="00AE75EC">
            <w:pPr>
              <w:jc w:val="both"/>
              <w:rPr>
                <w:rFonts w:eastAsia="Calibri" w:cs="Times New Roman"/>
                <w:sz w:val="20"/>
                <w:szCs w:val="20"/>
              </w:rPr>
            </w:pPr>
            <w:r w:rsidRPr="005D0703">
              <w:rPr>
                <w:rFonts w:eastAsia="Calibri" w:cs="Times New Roman"/>
                <w:sz w:val="20"/>
                <w:szCs w:val="20"/>
              </w:rPr>
              <w:t>(Blais C.J. and Noël and Pelletier JJ.A.)</w:t>
            </w:r>
          </w:p>
          <w:p w:rsidR="00AE75EC" w:rsidRPr="005D0703" w:rsidRDefault="00AE75EC" w:rsidP="00AE75EC">
            <w:pPr>
              <w:jc w:val="both"/>
              <w:rPr>
                <w:rFonts w:eastAsia="Calibri" w:cs="Times New Roman"/>
                <w:sz w:val="20"/>
                <w:szCs w:val="20"/>
              </w:rPr>
            </w:pPr>
            <w:r w:rsidRPr="005D0703">
              <w:rPr>
                <w:rFonts w:eastAsia="Calibri" w:cs="Times New Roman"/>
                <w:sz w:val="20"/>
                <w:szCs w:val="20"/>
              </w:rPr>
              <w:t>2011 FCA 103</w:t>
            </w:r>
          </w:p>
          <w:p w:rsidR="00AE75EC" w:rsidRPr="005D0703" w:rsidRDefault="00AE75EC" w:rsidP="00AE75EC">
            <w:pPr>
              <w:jc w:val="both"/>
              <w:rPr>
                <w:rFonts w:eastAsia="Calibri" w:cs="Times New Roman"/>
                <w:sz w:val="20"/>
                <w:szCs w:val="20"/>
              </w:rPr>
            </w:pPr>
          </w:p>
        </w:tc>
        <w:tc>
          <w:tcPr>
            <w:tcW w:w="243" w:type="pct"/>
          </w:tcPr>
          <w:p w:rsidR="00AE75EC" w:rsidRPr="005D0703" w:rsidRDefault="00AE75EC" w:rsidP="00AE75EC">
            <w:pPr>
              <w:jc w:val="both"/>
              <w:rPr>
                <w:rFonts w:eastAsia="Calibri" w:cs="Times New Roman"/>
                <w:sz w:val="20"/>
                <w:szCs w:val="20"/>
              </w:rPr>
            </w:pPr>
          </w:p>
        </w:tc>
        <w:tc>
          <w:tcPr>
            <w:tcW w:w="2330" w:type="pct"/>
          </w:tcPr>
          <w:p w:rsidR="00AE75EC" w:rsidRPr="005D0703" w:rsidRDefault="00AE75EC" w:rsidP="00AE75EC">
            <w:pPr>
              <w:jc w:val="both"/>
              <w:rPr>
                <w:rFonts w:eastAsia="Calibri" w:cs="Times New Roman"/>
                <w:sz w:val="20"/>
                <w:szCs w:val="20"/>
              </w:rPr>
            </w:pPr>
            <w:r w:rsidRPr="005D0703">
              <w:rPr>
                <w:rFonts w:eastAsia="Calibri" w:cs="Times New Roman"/>
                <w:sz w:val="20"/>
                <w:szCs w:val="20"/>
              </w:rPr>
              <w:t>Appeal allowed, judgment of the Federal Court set aside and applicant’s application for judicial review dismissed</w:t>
            </w:r>
          </w:p>
          <w:p w:rsidR="00AE75EC" w:rsidRPr="005D0703" w:rsidRDefault="00AE75EC" w:rsidP="00AE75EC">
            <w:pPr>
              <w:jc w:val="both"/>
              <w:rPr>
                <w:rFonts w:eastAsia="Calibri" w:cs="Times New Roman"/>
                <w:sz w:val="20"/>
                <w:szCs w:val="20"/>
              </w:rPr>
            </w:pPr>
          </w:p>
        </w:tc>
      </w:tr>
      <w:tr w:rsidR="00AE75EC" w:rsidRPr="005D0703" w:rsidTr="006613D6">
        <w:tc>
          <w:tcPr>
            <w:tcW w:w="2427" w:type="pct"/>
          </w:tcPr>
          <w:p w:rsidR="00AE75EC" w:rsidRPr="005D0703" w:rsidRDefault="00AE75EC" w:rsidP="00AE75EC">
            <w:pPr>
              <w:jc w:val="both"/>
              <w:rPr>
                <w:rFonts w:eastAsia="Calibri" w:cs="Times New Roman"/>
                <w:sz w:val="20"/>
                <w:szCs w:val="20"/>
              </w:rPr>
            </w:pPr>
            <w:r w:rsidRPr="005D0703">
              <w:rPr>
                <w:rFonts w:eastAsia="Calibri" w:cs="Times New Roman"/>
                <w:sz w:val="20"/>
                <w:szCs w:val="20"/>
              </w:rPr>
              <w:t>May 16, 2011</w:t>
            </w:r>
          </w:p>
          <w:p w:rsidR="00AE75EC" w:rsidRPr="005D0703" w:rsidRDefault="00AE75EC" w:rsidP="005D0703">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AE75EC" w:rsidRPr="005D0703" w:rsidRDefault="00AE75EC" w:rsidP="00AE75EC">
            <w:pPr>
              <w:jc w:val="both"/>
              <w:rPr>
                <w:rFonts w:eastAsia="Calibri" w:cs="Times New Roman"/>
                <w:sz w:val="20"/>
                <w:szCs w:val="20"/>
              </w:rPr>
            </w:pPr>
          </w:p>
        </w:tc>
        <w:tc>
          <w:tcPr>
            <w:tcW w:w="2330" w:type="pct"/>
          </w:tcPr>
          <w:p w:rsidR="00AE75EC" w:rsidRPr="005D0703" w:rsidRDefault="00AE75EC" w:rsidP="00AE75EC">
            <w:pPr>
              <w:jc w:val="both"/>
              <w:rPr>
                <w:rFonts w:eastAsia="Calibri" w:cs="Times New Roman"/>
                <w:sz w:val="20"/>
                <w:szCs w:val="20"/>
              </w:rPr>
            </w:pPr>
            <w:r w:rsidRPr="005D0703">
              <w:rPr>
                <w:rFonts w:eastAsia="Calibri" w:cs="Times New Roman"/>
                <w:sz w:val="20"/>
                <w:szCs w:val="20"/>
              </w:rPr>
              <w:t>Application for leave to appeal filed</w:t>
            </w:r>
          </w:p>
        </w:tc>
      </w:tr>
    </w:tbl>
    <w:p w:rsidR="00AE75EC" w:rsidRPr="005D0703" w:rsidRDefault="00AE75EC" w:rsidP="00AE75EC">
      <w:pPr>
        <w:rPr>
          <w:rFonts w:cs="Times New Roman"/>
          <w:sz w:val="20"/>
          <w:szCs w:val="20"/>
        </w:rPr>
      </w:pPr>
    </w:p>
    <w:p w:rsidR="00AE75EC" w:rsidRPr="005D0703" w:rsidRDefault="008A6550" w:rsidP="00AE75EC">
      <w:pPr>
        <w:rPr>
          <w:rFonts w:cs="Times New Roman"/>
          <w:sz w:val="20"/>
          <w:szCs w:val="20"/>
        </w:rPr>
      </w:pPr>
      <w:r w:rsidRPr="008A6550">
        <w:rPr>
          <w:rFonts w:cs="Times New Roman"/>
          <w:sz w:val="20"/>
          <w:szCs w:val="20"/>
          <w:lang w:val="fr-CA"/>
        </w:rPr>
        <w:pict>
          <v:rect id="_x0000_i1044" style="width:2in;height:1pt" o:hrpct="0" o:hralign="center" o:hrstd="t" o:hrnoshade="t" o:hr="t" fillcolor="black [3213]" stroked="f"/>
        </w:pict>
      </w:r>
    </w:p>
    <w:p w:rsidR="00AE75EC" w:rsidRPr="005D0703" w:rsidRDefault="00AE75EC" w:rsidP="00AE75EC">
      <w:pPr>
        <w:rPr>
          <w:rFonts w:cs="Times New Roman"/>
          <w:sz w:val="20"/>
          <w:szCs w:val="20"/>
        </w:rPr>
      </w:pPr>
    </w:p>
    <w:p w:rsidR="00AE75EC" w:rsidRPr="005D0703" w:rsidRDefault="00AE75EC" w:rsidP="00AE75EC">
      <w:pPr>
        <w:rPr>
          <w:rFonts w:cs="Times New Roman"/>
          <w:sz w:val="20"/>
          <w:szCs w:val="20"/>
          <w:u w:val="single"/>
          <w:lang w:val="fr-CA"/>
        </w:rPr>
      </w:pPr>
      <w:r w:rsidRPr="005D0703">
        <w:rPr>
          <w:rFonts w:cs="Times New Roman"/>
          <w:sz w:val="20"/>
          <w:szCs w:val="20"/>
          <w:u w:val="single"/>
          <w:lang w:val="fr-CA"/>
        </w:rPr>
        <w:t>RÉSUMÉ DE L’AFFAIRE</w:t>
      </w:r>
    </w:p>
    <w:p w:rsidR="00AE75EC" w:rsidRPr="005D0703" w:rsidRDefault="00AE75EC" w:rsidP="00AE75EC">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E75EC" w:rsidRPr="0032335B" w:rsidTr="00AE75EC">
        <w:tc>
          <w:tcPr>
            <w:tcW w:w="5000" w:type="pct"/>
            <w:gridSpan w:val="3"/>
          </w:tcPr>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 xml:space="preserve">Droit de l’immigration ― Contrôle judiciaire ― Interdiction de territoire et renvoi ― Le demandeur a obtenu l’autorisation de solliciter le contrôle judiciaire de la décision, prise par le ministre en vertu du par. 34(2) de la </w:t>
            </w:r>
            <w:r w:rsidRPr="005D0703">
              <w:rPr>
                <w:rFonts w:eastAsia="Calibri" w:cs="Times New Roman"/>
                <w:i/>
                <w:sz w:val="20"/>
                <w:szCs w:val="20"/>
                <w:lang w:val="fr-FR"/>
              </w:rPr>
              <w:t>Loi sur l’immigration et la protection des réfugiés</w:t>
            </w:r>
            <w:r w:rsidRPr="005D0703">
              <w:rPr>
                <w:rFonts w:eastAsia="Calibri" w:cs="Times New Roman"/>
                <w:sz w:val="20"/>
                <w:szCs w:val="20"/>
                <w:lang w:val="fr-FR"/>
              </w:rPr>
              <w:t>, L.C. 2001, ch. 27, suivant laquelle sa présence au Canada était préjudiciable à l’intérêt national. ― La Cour d’appel fédérale a accueilli l’appel, annulé la décision de la Cour fédérale et rejeté la demande de contrôle judiciaire ― La Cour d’appel fédérale a</w:t>
            </w:r>
            <w:r w:rsidRPr="005D0703">
              <w:rPr>
                <w:rFonts w:eastAsia="Calibri" w:cs="Times New Roman"/>
                <w:sz w:val="20"/>
                <w:szCs w:val="20"/>
                <w:lang w:val="fr-FR"/>
              </w:rPr>
              <w:noBreakHyphen/>
              <w:t>t</w:t>
            </w:r>
            <w:r w:rsidRPr="005D0703">
              <w:rPr>
                <w:rFonts w:eastAsia="Calibri" w:cs="Times New Roman"/>
                <w:sz w:val="20"/>
                <w:szCs w:val="20"/>
                <w:lang w:val="fr-FR"/>
              </w:rPr>
              <w:noBreakHyphen/>
              <w:t xml:space="preserve">elle conclu à tort que le transfert à un autre ministre de la responsabilité de prendre la décision prévue au par. 34(2) de la </w:t>
            </w:r>
            <w:r w:rsidRPr="005D0703">
              <w:rPr>
                <w:rFonts w:eastAsia="Calibri" w:cs="Times New Roman"/>
                <w:i/>
                <w:sz w:val="20"/>
                <w:szCs w:val="20"/>
                <w:lang w:val="fr-FR"/>
              </w:rPr>
              <w:t>LIPR</w:t>
            </w:r>
            <w:r w:rsidRPr="005D0703">
              <w:rPr>
                <w:rFonts w:eastAsia="Calibri" w:cs="Times New Roman"/>
                <w:sz w:val="20"/>
                <w:szCs w:val="20"/>
                <w:lang w:val="fr-FR"/>
              </w:rPr>
              <w:t xml:space="preserve"> était le facteur déterminant dans l’établissement de l’interprétation qu’il convient de donner à ce paragraphe? ― La portée et l’application des principes exposés dans </w:t>
            </w:r>
            <w:r w:rsidRPr="005D0703">
              <w:rPr>
                <w:rFonts w:eastAsia="Calibri" w:cs="Times New Roman"/>
                <w:i/>
                <w:sz w:val="20"/>
                <w:szCs w:val="20"/>
                <w:lang w:val="fr-FR"/>
              </w:rPr>
              <w:t>Baker c. Canada (Ministre de la Citoyenneté et de l’Immigration)</w:t>
            </w:r>
            <w:r w:rsidRPr="005D0703">
              <w:rPr>
                <w:rFonts w:eastAsia="Calibri" w:cs="Times New Roman"/>
                <w:sz w:val="20"/>
                <w:szCs w:val="20"/>
                <w:lang w:val="fr-FR"/>
              </w:rPr>
              <w:t>,</w:t>
            </w:r>
            <w:r w:rsidRPr="005D0703">
              <w:rPr>
                <w:rFonts w:eastAsia="Calibri" w:cs="Times New Roman"/>
                <w:i/>
                <w:sz w:val="20"/>
                <w:szCs w:val="20"/>
                <w:lang w:val="fr-FR"/>
              </w:rPr>
              <w:t xml:space="preserve"> </w:t>
            </w:r>
            <w:r w:rsidRPr="005D0703">
              <w:rPr>
                <w:rFonts w:eastAsia="Calibri" w:cs="Times New Roman"/>
                <w:sz w:val="20"/>
                <w:szCs w:val="20"/>
                <w:lang w:val="fr-FR"/>
              </w:rPr>
              <w:t>[1999] 2 R.C.S. 817 : peut</w:t>
            </w:r>
            <w:r w:rsidRPr="005D0703">
              <w:rPr>
                <w:rFonts w:eastAsia="Calibri" w:cs="Times New Roman"/>
                <w:sz w:val="20"/>
                <w:szCs w:val="20"/>
                <w:lang w:val="fr-FR"/>
              </w:rPr>
              <w:noBreakHyphen/>
              <w:t xml:space="preserve">on s’attendre légitimement à ce que des lignes directrices ministérielles auxquelles le public a accès continuent de s’appliquer lorsqu’une responsabilité passe d’un ministre à un autre? ― La Cour d’appel </w:t>
            </w:r>
            <w:proofErr w:type="gramStart"/>
            <w:r w:rsidRPr="005D0703">
              <w:rPr>
                <w:rFonts w:eastAsia="Calibri" w:cs="Times New Roman"/>
                <w:sz w:val="20"/>
                <w:szCs w:val="20"/>
                <w:lang w:val="fr-FR"/>
              </w:rPr>
              <w:t>fédérale</w:t>
            </w:r>
            <w:proofErr w:type="gramEnd"/>
            <w:r w:rsidRPr="005D0703">
              <w:rPr>
                <w:rFonts w:eastAsia="Calibri" w:cs="Times New Roman"/>
                <w:sz w:val="20"/>
                <w:szCs w:val="20"/>
                <w:lang w:val="fr-FR"/>
              </w:rPr>
              <w:t xml:space="preserve"> a</w:t>
            </w:r>
            <w:r w:rsidRPr="005D0703">
              <w:rPr>
                <w:rFonts w:eastAsia="Calibri" w:cs="Times New Roman"/>
                <w:sz w:val="20"/>
                <w:szCs w:val="20"/>
                <w:lang w:val="fr-FR"/>
              </w:rPr>
              <w:noBreakHyphen/>
              <w:t>t</w:t>
            </w:r>
            <w:r w:rsidRPr="005D0703">
              <w:rPr>
                <w:rFonts w:eastAsia="Calibri" w:cs="Times New Roman"/>
                <w:sz w:val="20"/>
                <w:szCs w:val="20"/>
                <w:lang w:val="fr-FR"/>
              </w:rPr>
              <w:noBreakHyphen/>
              <w:t xml:space="preserve">elle entravé illégalement le pouvoir discrétionnaire du ministre de la Sécurité publique et de la Protection civile en affirmant que le terme « intérêt national » vise uniquement la sécurité nationale et le danger pour le public. </w:t>
            </w:r>
          </w:p>
          <w:p w:rsidR="00AE75EC" w:rsidRPr="005D0703" w:rsidRDefault="00AE75EC" w:rsidP="00AE75EC">
            <w:pPr>
              <w:jc w:val="both"/>
              <w:rPr>
                <w:rFonts w:eastAsia="Calibri" w:cs="Times New Roman"/>
                <w:sz w:val="20"/>
                <w:szCs w:val="20"/>
                <w:lang w:val="fr-FR"/>
              </w:rPr>
            </w:pPr>
          </w:p>
        </w:tc>
      </w:tr>
      <w:tr w:rsidR="00AE75EC" w:rsidRPr="00C04C40" w:rsidTr="00AE75EC">
        <w:tc>
          <w:tcPr>
            <w:tcW w:w="5000" w:type="pct"/>
            <w:gridSpan w:val="3"/>
          </w:tcPr>
          <w:p w:rsidR="00AE75EC" w:rsidRPr="005D0703" w:rsidRDefault="00AE75EC" w:rsidP="00AE75EC">
            <w:pPr>
              <w:jc w:val="both"/>
              <w:rPr>
                <w:rFonts w:eastAsia="Calibri" w:cs="Times New Roman"/>
                <w:sz w:val="20"/>
                <w:szCs w:val="20"/>
                <w:lang w:val="fr-CA"/>
              </w:rPr>
            </w:pPr>
            <w:r w:rsidRPr="005D0703">
              <w:rPr>
                <w:rFonts w:eastAsia="Calibri" w:cs="Times New Roman"/>
                <w:sz w:val="20"/>
                <w:szCs w:val="20"/>
                <w:lang w:val="fr-FR"/>
              </w:rPr>
              <w:t xml:space="preserve">Le demandeur, M. Agraira, est un citoyen libyen qui, en 1996, a quitté son pays natal en direction de l’Allemagne, où il a revendiqué le statut de réfugié au sens de la Convention du fait de son appartenance au Front du salut national libyen (FSNL). </w:t>
            </w:r>
            <w:r w:rsidRPr="005D0703">
              <w:rPr>
                <w:rFonts w:eastAsia="Calibri" w:cs="Times New Roman"/>
                <w:sz w:val="20"/>
                <w:szCs w:val="20"/>
                <w:lang w:val="fr-CA"/>
              </w:rPr>
              <w:t xml:space="preserve">Sa demande a été rejetée.  </w:t>
            </w:r>
            <w:r w:rsidRPr="005D0703">
              <w:rPr>
                <w:rFonts w:eastAsia="Calibri" w:cs="Times New Roman"/>
                <w:sz w:val="20"/>
                <w:szCs w:val="20"/>
                <w:lang w:val="fr-FR"/>
              </w:rPr>
              <w:t xml:space="preserve">En mars 1997, M. Agraira est entré au Canada muni d’un passeport italien qu’il s’était procuré illégalement en Allemagne.  Il a revendiqué le statut de réfugié au sens de la Convention, encore une fois en raison de sa participation au FSNL.  Sa revendication a été rejetée le 24 octobre 1998 pour manque de crédibilité. </w:t>
            </w:r>
          </w:p>
          <w:p w:rsidR="00AE75EC" w:rsidRPr="005D0703" w:rsidRDefault="00AE75EC" w:rsidP="00AE75EC">
            <w:pPr>
              <w:jc w:val="both"/>
              <w:rPr>
                <w:rFonts w:eastAsia="Calibri" w:cs="Times New Roman"/>
                <w:sz w:val="20"/>
                <w:szCs w:val="20"/>
                <w:lang w:val="fr-CA"/>
              </w:rPr>
            </w:pPr>
          </w:p>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 xml:space="preserve">M. Agraira a épousé une Canadienne, qui a parrainé sa demande de résidence permanente en août 1999. Il a été jugé interdit de territoire au Canada pour des raisons de sécurité. Il a tenté de se soustraire à cette interdiction de territoire en demandant une dispense ministérielle en vertu des dispositions législatives applicables.  Le paysage législatif a changé considérablement depuis que M. Agraira a présenté sa demande, et la responsabilité de prendre les décisions de cette nature est passée du ministre de la Citoyenneté et de l’Immigration au ministre de la Sécurité publique et de la Protection civile.  </w:t>
            </w:r>
          </w:p>
          <w:p w:rsidR="00AE75EC" w:rsidRPr="005D0703" w:rsidRDefault="00AE75EC" w:rsidP="00AE75EC">
            <w:pPr>
              <w:jc w:val="both"/>
              <w:rPr>
                <w:rFonts w:cs="Times New Roman"/>
                <w:sz w:val="20"/>
                <w:szCs w:val="20"/>
                <w:lang w:val="fr-FR"/>
              </w:rPr>
            </w:pPr>
            <w:r w:rsidRPr="005D0703">
              <w:rPr>
                <w:rFonts w:cs="Times New Roman"/>
                <w:sz w:val="20"/>
                <w:szCs w:val="20"/>
                <w:lang w:val="fr-FR"/>
              </w:rPr>
              <w:t xml:space="preserve">Le ministre a refusé d’accorder une dispense ministérielle.  M. Agraira a demandé sans succès l’autorisation de présenter une demande de contrôle judiciaire de la décision, prise en vertu du par. 34(1) de la </w:t>
            </w:r>
            <w:r w:rsidRPr="005D0703">
              <w:rPr>
                <w:rFonts w:cs="Times New Roman"/>
                <w:i/>
                <w:sz w:val="20"/>
                <w:szCs w:val="20"/>
                <w:lang w:val="fr-FR"/>
              </w:rPr>
              <w:t>LIPR</w:t>
            </w:r>
            <w:r w:rsidRPr="005D0703">
              <w:rPr>
                <w:rFonts w:cs="Times New Roman"/>
                <w:sz w:val="20"/>
                <w:szCs w:val="20"/>
                <w:lang w:val="fr-FR"/>
              </w:rPr>
              <w:t xml:space="preserve">, qu’il était interdit de territoire.  Il a toutefois obtenu l’autorisation de demander le contrôle judiciaire de la décision, prise par le ministre au titre du par. 34(2), suivant laquelle sa présence au Canada était préjudiciable à l’intérêt national.  </w:t>
            </w:r>
          </w:p>
          <w:p w:rsidR="00AE75EC" w:rsidRPr="005D0703" w:rsidRDefault="00AE75EC" w:rsidP="00AE75EC">
            <w:pPr>
              <w:jc w:val="both"/>
              <w:rPr>
                <w:rFonts w:cs="Times New Roman"/>
                <w:sz w:val="20"/>
                <w:szCs w:val="20"/>
                <w:lang w:val="fr-FR"/>
              </w:rPr>
            </w:pPr>
            <w:r w:rsidRPr="005D0703">
              <w:rPr>
                <w:rFonts w:cs="Times New Roman"/>
                <w:sz w:val="20"/>
                <w:szCs w:val="20"/>
                <w:lang w:val="fr-FR"/>
              </w:rPr>
              <w:t>La demande de contrôle judiciaire de cette décision, que M. Agraira a introduite devant la Cour fédérale, a été accueillie.  La Cour d’appel fédérale a toutefois accueilli l’appel, annulé la décision de la Cour fédérale et rejeté la demande de contrôle judiciaire.</w:t>
            </w:r>
          </w:p>
          <w:p w:rsidR="00AE75EC" w:rsidRPr="005D0703" w:rsidRDefault="00AE75EC" w:rsidP="00AE75EC">
            <w:pPr>
              <w:jc w:val="both"/>
              <w:rPr>
                <w:rFonts w:cs="Times New Roman"/>
                <w:sz w:val="20"/>
                <w:szCs w:val="20"/>
                <w:lang w:val="fr-FR"/>
              </w:rPr>
            </w:pPr>
          </w:p>
        </w:tc>
      </w:tr>
      <w:tr w:rsidR="00AE75EC" w:rsidRPr="00C04C40" w:rsidTr="00AE75EC">
        <w:tc>
          <w:tcPr>
            <w:tcW w:w="2427" w:type="pct"/>
          </w:tcPr>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31 décembre 2009</w:t>
            </w:r>
          </w:p>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Cour fédérale</w:t>
            </w:r>
          </w:p>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(Juge Mosley)</w:t>
            </w:r>
          </w:p>
          <w:p w:rsidR="00AE75EC" w:rsidRPr="005D0703" w:rsidRDefault="00AE75EC" w:rsidP="00AE75EC">
            <w:pPr>
              <w:jc w:val="both"/>
              <w:rPr>
                <w:rFonts w:eastAsia="Calibri" w:cs="Times New Roman"/>
                <w:sz w:val="20"/>
                <w:szCs w:val="20"/>
              </w:rPr>
            </w:pPr>
            <w:r w:rsidRPr="005D0703">
              <w:rPr>
                <w:rFonts w:eastAsia="Calibri" w:cs="Times New Roman"/>
                <w:sz w:val="20"/>
                <w:szCs w:val="20"/>
              </w:rPr>
              <w:t>2009 CF 1302</w:t>
            </w:r>
          </w:p>
        </w:tc>
        <w:tc>
          <w:tcPr>
            <w:tcW w:w="243" w:type="pct"/>
          </w:tcPr>
          <w:p w:rsidR="00AE75EC" w:rsidRPr="005D0703" w:rsidRDefault="00AE75EC" w:rsidP="00AE75EC">
            <w:pPr>
              <w:jc w:val="both"/>
              <w:rPr>
                <w:rFonts w:eastAsia="Calibri" w:cs="Times New Roman"/>
                <w:sz w:val="20"/>
                <w:szCs w:val="20"/>
              </w:rPr>
            </w:pPr>
          </w:p>
        </w:tc>
        <w:tc>
          <w:tcPr>
            <w:tcW w:w="2330" w:type="pct"/>
          </w:tcPr>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Demande de contrôle judiciaire du demandeur accueillie; question proposée par le défendeur certifiée conformément à l’al. 74</w:t>
            </w:r>
            <w:r w:rsidRPr="005D0703">
              <w:rPr>
                <w:rFonts w:eastAsia="Calibri" w:cs="Times New Roman"/>
                <w:i/>
                <w:sz w:val="20"/>
                <w:szCs w:val="20"/>
                <w:lang w:val="fr-FR"/>
              </w:rPr>
              <w:t>d</w:t>
            </w:r>
            <w:r w:rsidRPr="005D0703">
              <w:rPr>
                <w:rFonts w:eastAsia="Calibri" w:cs="Times New Roman"/>
                <w:sz w:val="20"/>
                <w:szCs w:val="20"/>
                <w:lang w:val="fr-FR"/>
              </w:rPr>
              <w:t xml:space="preserve">) de la </w:t>
            </w:r>
            <w:r w:rsidRPr="005D0703">
              <w:rPr>
                <w:rFonts w:eastAsia="Calibri" w:cs="Times New Roman"/>
                <w:i/>
                <w:sz w:val="20"/>
                <w:szCs w:val="20"/>
                <w:lang w:val="fr-FR"/>
              </w:rPr>
              <w:t>LIPR</w:t>
            </w:r>
          </w:p>
          <w:p w:rsidR="00AE75EC" w:rsidRPr="005D0703" w:rsidRDefault="00AE75EC" w:rsidP="00AE75EC">
            <w:pPr>
              <w:jc w:val="both"/>
              <w:rPr>
                <w:rFonts w:eastAsia="Calibri" w:cs="Times New Roman"/>
                <w:sz w:val="20"/>
                <w:szCs w:val="20"/>
                <w:lang w:val="fr-FR"/>
              </w:rPr>
            </w:pPr>
          </w:p>
        </w:tc>
      </w:tr>
      <w:tr w:rsidR="00AE75EC" w:rsidRPr="00C04C40" w:rsidTr="00AE75EC">
        <w:tc>
          <w:tcPr>
            <w:tcW w:w="2427" w:type="pct"/>
          </w:tcPr>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17 mars 2011</w:t>
            </w:r>
          </w:p>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Cour d’appel fédérale</w:t>
            </w:r>
          </w:p>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(Juge en chef Blais et juges Noël et Pelletier)</w:t>
            </w:r>
          </w:p>
          <w:p w:rsidR="00AE75EC" w:rsidRPr="005D0703" w:rsidRDefault="00AE75EC" w:rsidP="00AE75EC">
            <w:pPr>
              <w:jc w:val="both"/>
              <w:rPr>
                <w:rFonts w:eastAsia="Calibri" w:cs="Times New Roman"/>
                <w:sz w:val="20"/>
                <w:szCs w:val="20"/>
              </w:rPr>
            </w:pPr>
            <w:r w:rsidRPr="005D0703">
              <w:rPr>
                <w:rFonts w:eastAsia="Calibri" w:cs="Times New Roman"/>
                <w:sz w:val="20"/>
                <w:szCs w:val="20"/>
              </w:rPr>
              <w:t>2011 CAF 103</w:t>
            </w:r>
          </w:p>
          <w:p w:rsidR="00AE75EC" w:rsidRPr="005D0703" w:rsidRDefault="00AE75EC" w:rsidP="00AE75EC">
            <w:pPr>
              <w:jc w:val="both"/>
              <w:rPr>
                <w:rFonts w:eastAsia="Calibri" w:cs="Times New Roman"/>
                <w:sz w:val="20"/>
                <w:szCs w:val="20"/>
              </w:rPr>
            </w:pPr>
          </w:p>
        </w:tc>
        <w:tc>
          <w:tcPr>
            <w:tcW w:w="243" w:type="pct"/>
          </w:tcPr>
          <w:p w:rsidR="00AE75EC" w:rsidRPr="005D0703" w:rsidRDefault="00AE75EC" w:rsidP="00AE75EC">
            <w:pPr>
              <w:jc w:val="both"/>
              <w:rPr>
                <w:rFonts w:eastAsia="Calibri" w:cs="Times New Roman"/>
                <w:sz w:val="20"/>
                <w:szCs w:val="20"/>
              </w:rPr>
            </w:pPr>
          </w:p>
        </w:tc>
        <w:tc>
          <w:tcPr>
            <w:tcW w:w="2330" w:type="pct"/>
          </w:tcPr>
          <w:p w:rsidR="00AE75EC" w:rsidRPr="005D0703" w:rsidRDefault="00AE75EC" w:rsidP="00AE75EC">
            <w:pPr>
              <w:jc w:val="both"/>
              <w:rPr>
                <w:rFonts w:eastAsia="Calibri" w:cs="Times New Roman"/>
                <w:sz w:val="20"/>
                <w:szCs w:val="20"/>
                <w:lang w:val="fr-FR"/>
              </w:rPr>
            </w:pPr>
            <w:r w:rsidRPr="005D0703">
              <w:rPr>
                <w:rFonts w:eastAsia="Calibri" w:cs="Times New Roman"/>
                <w:sz w:val="20"/>
                <w:szCs w:val="20"/>
                <w:lang w:val="fr-FR"/>
              </w:rPr>
              <w:t xml:space="preserve">Appel accueilli, jugement de la Cour fédérale annulé et demande de contrôle judiciaire du demandeur rejetée </w:t>
            </w:r>
          </w:p>
          <w:p w:rsidR="00AE75EC" w:rsidRPr="005D0703" w:rsidRDefault="00AE75EC" w:rsidP="00AE75EC">
            <w:pPr>
              <w:jc w:val="both"/>
              <w:rPr>
                <w:rFonts w:eastAsia="Calibri" w:cs="Times New Roman"/>
                <w:sz w:val="20"/>
                <w:szCs w:val="20"/>
                <w:lang w:val="fr-FR"/>
              </w:rPr>
            </w:pPr>
          </w:p>
        </w:tc>
      </w:tr>
      <w:tr w:rsidR="00AE75EC" w:rsidRPr="005D0703" w:rsidTr="00AE75EC">
        <w:tc>
          <w:tcPr>
            <w:tcW w:w="2427" w:type="pct"/>
          </w:tcPr>
          <w:p w:rsidR="00AE75EC" w:rsidRPr="00473523" w:rsidRDefault="00AE75EC" w:rsidP="00AE75EC">
            <w:pPr>
              <w:jc w:val="both"/>
              <w:rPr>
                <w:rFonts w:eastAsia="Calibri" w:cs="Times New Roman"/>
                <w:sz w:val="20"/>
                <w:szCs w:val="20"/>
                <w:lang w:val="fr-CA"/>
              </w:rPr>
            </w:pPr>
            <w:r w:rsidRPr="00473523">
              <w:rPr>
                <w:rFonts w:eastAsia="Calibri" w:cs="Times New Roman"/>
                <w:sz w:val="20"/>
                <w:szCs w:val="20"/>
                <w:lang w:val="fr-CA"/>
              </w:rPr>
              <w:t>16 mai 2011</w:t>
            </w:r>
          </w:p>
          <w:p w:rsidR="00AE75EC" w:rsidRPr="00473523" w:rsidRDefault="00AE75EC" w:rsidP="005D0703">
            <w:pPr>
              <w:jc w:val="both"/>
              <w:rPr>
                <w:rFonts w:eastAsia="Calibri" w:cs="Times New Roman"/>
                <w:sz w:val="20"/>
                <w:szCs w:val="20"/>
                <w:lang w:val="fr-CA"/>
              </w:rPr>
            </w:pPr>
            <w:r w:rsidRPr="00473523">
              <w:rPr>
                <w:rFonts w:eastAsia="Calibri" w:cs="Times New Roman"/>
                <w:sz w:val="20"/>
                <w:szCs w:val="20"/>
                <w:lang w:val="fr-CA"/>
              </w:rPr>
              <w:t>Cour suprême du Canada</w:t>
            </w:r>
          </w:p>
        </w:tc>
        <w:tc>
          <w:tcPr>
            <w:tcW w:w="243" w:type="pct"/>
          </w:tcPr>
          <w:p w:rsidR="00AE75EC" w:rsidRPr="00473523" w:rsidRDefault="00AE75EC" w:rsidP="00AE75EC">
            <w:pPr>
              <w:jc w:val="both"/>
              <w:rPr>
                <w:rFonts w:eastAsia="Calibri" w:cs="Times New Roman"/>
                <w:sz w:val="20"/>
                <w:szCs w:val="20"/>
                <w:lang w:val="fr-CA"/>
              </w:rPr>
            </w:pPr>
          </w:p>
        </w:tc>
        <w:tc>
          <w:tcPr>
            <w:tcW w:w="2330" w:type="pct"/>
          </w:tcPr>
          <w:p w:rsidR="00AE75EC" w:rsidRPr="005D0703" w:rsidRDefault="00AE75EC" w:rsidP="00AE75EC">
            <w:pPr>
              <w:jc w:val="both"/>
              <w:rPr>
                <w:rFonts w:eastAsia="Calibri" w:cs="Times New Roman"/>
                <w:sz w:val="20"/>
                <w:szCs w:val="20"/>
              </w:rPr>
            </w:pPr>
            <w:r w:rsidRPr="005D0703">
              <w:rPr>
                <w:rFonts w:eastAsia="Calibri" w:cs="Times New Roman"/>
                <w:sz w:val="20"/>
                <w:szCs w:val="20"/>
              </w:rPr>
              <w:t>Demande d’autorisation d’appel déposée</w:t>
            </w:r>
          </w:p>
        </w:tc>
      </w:tr>
    </w:tbl>
    <w:p w:rsidR="00AE75EC" w:rsidRPr="005D0703" w:rsidRDefault="00AE75EC" w:rsidP="00AE75EC">
      <w:pPr>
        <w:rPr>
          <w:rFonts w:cs="Times New Roman"/>
          <w:sz w:val="20"/>
          <w:szCs w:val="20"/>
        </w:rPr>
      </w:pPr>
    </w:p>
    <w:p w:rsidR="00AE75EC" w:rsidRPr="005D0703" w:rsidRDefault="008A6550" w:rsidP="00AE75EC">
      <w:pPr>
        <w:rPr>
          <w:rFonts w:cs="Times New Roman"/>
          <w:sz w:val="20"/>
          <w:szCs w:val="20"/>
        </w:rPr>
      </w:pPr>
      <w:r w:rsidRPr="008A6550">
        <w:rPr>
          <w:rFonts w:cs="Times New Roman"/>
          <w:sz w:val="20"/>
          <w:szCs w:val="20"/>
          <w:lang w:val="fr-CA"/>
        </w:rPr>
        <w:pict>
          <v:rect id="_x0000_i1045" style="width:2in;height:1pt" o:hrpct="0" o:hralign="center" o:hrstd="t" o:hrnoshade="t" o:hr="t" fillcolor="black [3213]" stroked="f"/>
        </w:pict>
      </w:r>
    </w:p>
    <w:p w:rsidR="00AE75EC" w:rsidRPr="005D0703" w:rsidRDefault="00AE75EC" w:rsidP="00AE75EC">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B32C1" w:rsidRPr="005D0703" w:rsidTr="008B32C1">
        <w:trPr>
          <w:cantSplit/>
        </w:trPr>
        <w:tc>
          <w:tcPr>
            <w:tcW w:w="1458" w:type="dxa"/>
          </w:tcPr>
          <w:p w:rsidR="008B32C1" w:rsidRPr="005D0703" w:rsidRDefault="008B32C1" w:rsidP="008B32C1">
            <w:pPr>
              <w:rPr>
                <w:rFonts w:cs="Times New Roman"/>
                <w:sz w:val="20"/>
                <w:szCs w:val="20"/>
              </w:rPr>
            </w:pPr>
            <w:r w:rsidRPr="005D0703">
              <w:rPr>
                <w:rStyle w:val="SCCFileNumberChar"/>
                <w:sz w:val="20"/>
                <w:szCs w:val="20"/>
              </w:rPr>
              <w:t>34326</w:t>
            </w:r>
          </w:p>
          <w:p w:rsidR="008B32C1" w:rsidRPr="005D0703" w:rsidRDefault="008B32C1" w:rsidP="008B32C1">
            <w:pPr>
              <w:rPr>
                <w:rFonts w:cs="Times New Roman"/>
                <w:b/>
                <w:sz w:val="20"/>
                <w:szCs w:val="20"/>
                <w:lang w:val="fr-CA"/>
              </w:rPr>
            </w:pPr>
          </w:p>
        </w:tc>
        <w:tc>
          <w:tcPr>
            <w:tcW w:w="8118" w:type="dxa"/>
          </w:tcPr>
          <w:p w:rsidR="008B32C1" w:rsidRPr="005D0703" w:rsidRDefault="008B32C1" w:rsidP="00533176">
            <w:pPr>
              <w:jc w:val="both"/>
              <w:rPr>
                <w:rFonts w:cs="Times New Roman"/>
                <w:sz w:val="20"/>
                <w:szCs w:val="20"/>
              </w:rPr>
            </w:pPr>
            <w:r w:rsidRPr="005D0703">
              <w:rPr>
                <w:rStyle w:val="SCCLsocChar"/>
                <w:rFonts w:cs="Times New Roman"/>
                <w:sz w:val="20"/>
                <w:szCs w:val="20"/>
                <w:lang w:val="en-US"/>
              </w:rPr>
              <w:t>Ivan Valovic, Ivan's Electric Limited v. Her Majesty the Queen</w:t>
            </w:r>
            <w:r w:rsidRPr="005D0703">
              <w:rPr>
                <w:rFonts w:cs="Times New Roman"/>
                <w:sz w:val="20"/>
                <w:szCs w:val="20"/>
              </w:rPr>
              <w:t xml:space="preserve"> (Ont.) (Civil) (By Leave)</w:t>
            </w:r>
          </w:p>
          <w:p w:rsidR="008B32C1" w:rsidRPr="005D0703" w:rsidRDefault="008B32C1" w:rsidP="008B32C1">
            <w:pPr>
              <w:rPr>
                <w:rFonts w:cs="Times New Roman"/>
                <w:sz w:val="20"/>
                <w:szCs w:val="20"/>
              </w:rPr>
            </w:pPr>
          </w:p>
        </w:tc>
      </w:tr>
      <w:tr w:rsidR="008B32C1" w:rsidRPr="005D0703" w:rsidTr="008B32C1">
        <w:trPr>
          <w:cantSplit/>
        </w:trPr>
        <w:tc>
          <w:tcPr>
            <w:tcW w:w="1458" w:type="dxa"/>
          </w:tcPr>
          <w:p w:rsidR="008B32C1" w:rsidRPr="005D0703" w:rsidRDefault="008B32C1" w:rsidP="008B32C1">
            <w:pPr>
              <w:rPr>
                <w:rFonts w:cs="Times New Roman"/>
                <w:sz w:val="20"/>
                <w:szCs w:val="20"/>
              </w:rPr>
            </w:pPr>
            <w:r w:rsidRPr="005D0703">
              <w:rPr>
                <w:rFonts w:cs="Times New Roman"/>
                <w:sz w:val="20"/>
                <w:szCs w:val="20"/>
              </w:rPr>
              <w:t>Coram :</w:t>
            </w:r>
          </w:p>
        </w:tc>
        <w:tc>
          <w:tcPr>
            <w:tcW w:w="8118" w:type="dxa"/>
          </w:tcPr>
          <w:p w:rsidR="008B32C1" w:rsidRPr="005D0703" w:rsidRDefault="008B32C1" w:rsidP="008B32C1">
            <w:pPr>
              <w:rPr>
                <w:rFonts w:cs="Times New Roman"/>
                <w:sz w:val="20"/>
                <w:szCs w:val="20"/>
              </w:rPr>
            </w:pPr>
            <w:r w:rsidRPr="005D0703">
              <w:rPr>
                <w:rStyle w:val="SCCCoramChar"/>
                <w:rFonts w:cs="Times New Roman"/>
                <w:sz w:val="20"/>
                <w:szCs w:val="20"/>
                <w:lang w:val="en-US"/>
              </w:rPr>
              <w:t>McLachlin C.J. and Rothstein and Moldaver JJ.</w:t>
            </w:r>
          </w:p>
          <w:p w:rsidR="008B32C1" w:rsidRPr="005D0703" w:rsidRDefault="008B32C1" w:rsidP="008B32C1">
            <w:pPr>
              <w:rPr>
                <w:rFonts w:cs="Times New Roman"/>
                <w:sz w:val="20"/>
                <w:szCs w:val="20"/>
                <w:u w:val="single"/>
              </w:rPr>
            </w:pPr>
          </w:p>
        </w:tc>
      </w:tr>
      <w:tr w:rsidR="008B32C1" w:rsidRPr="00C04C40" w:rsidTr="008B32C1">
        <w:trPr>
          <w:cantSplit/>
        </w:trPr>
        <w:tc>
          <w:tcPr>
            <w:tcW w:w="9576" w:type="dxa"/>
            <w:gridSpan w:val="2"/>
          </w:tcPr>
          <w:p w:rsidR="008B32C1" w:rsidRPr="005D0703" w:rsidRDefault="008B32C1" w:rsidP="008B32C1">
            <w:pPr>
              <w:pStyle w:val="SCCShortJudgment"/>
              <w:rPr>
                <w:rFonts w:cs="Times New Roman"/>
                <w:szCs w:val="20"/>
              </w:rPr>
            </w:pPr>
            <w:r w:rsidRPr="005D0703">
              <w:rPr>
                <w:rFonts w:cs="Times New Roman"/>
                <w:szCs w:val="20"/>
              </w:rPr>
              <w:t>The application for leave to appeal from the judgment of the Court of Appeal for Ontario, Number C50618, 2011 ONCA 320, dated April 21, 2011, is dismissed without costs.</w:t>
            </w:r>
          </w:p>
          <w:p w:rsidR="008B32C1" w:rsidRPr="005D0703" w:rsidRDefault="008B32C1" w:rsidP="008B32C1">
            <w:pPr>
              <w:pStyle w:val="SCCShortJudgment"/>
              <w:ind w:firstLine="0"/>
              <w:rPr>
                <w:rFonts w:cs="Times New Roman"/>
                <w:szCs w:val="20"/>
              </w:rPr>
            </w:pPr>
          </w:p>
          <w:p w:rsidR="008B32C1" w:rsidRPr="005D0703" w:rsidRDefault="008B32C1" w:rsidP="008B32C1">
            <w:pPr>
              <w:pStyle w:val="SCCShortJudgment"/>
              <w:rPr>
                <w:rFonts w:cs="Times New Roman"/>
                <w:szCs w:val="20"/>
                <w:lang w:val="fr-CA"/>
              </w:rPr>
            </w:pPr>
            <w:r w:rsidRPr="005D0703">
              <w:rPr>
                <w:rFonts w:cs="Times New Roman"/>
                <w:szCs w:val="20"/>
                <w:lang w:val="fr-CA"/>
              </w:rPr>
              <w:t>La demande d’autorisation d’appel de l’arrêt de la Cour d’appel de l’Ontario, numéro C50618, 2011 ONCA 320, daté du 21 avril 2011, est rejetée sans dépens.</w:t>
            </w:r>
          </w:p>
        </w:tc>
      </w:tr>
    </w:tbl>
    <w:p w:rsidR="00684B83" w:rsidRPr="005D0703" w:rsidRDefault="00684B83" w:rsidP="00AE75EC">
      <w:pPr>
        <w:rPr>
          <w:rFonts w:cs="Times New Roman"/>
          <w:sz w:val="20"/>
          <w:szCs w:val="20"/>
          <w:lang w:val="fr-CA"/>
        </w:rPr>
      </w:pPr>
    </w:p>
    <w:p w:rsidR="00AE75EC" w:rsidRPr="005D0703" w:rsidRDefault="00AE75EC" w:rsidP="00AE75EC">
      <w:pPr>
        <w:rPr>
          <w:rFonts w:cs="Times New Roman"/>
          <w:sz w:val="20"/>
          <w:szCs w:val="20"/>
          <w:u w:val="single"/>
        </w:rPr>
      </w:pPr>
      <w:r w:rsidRPr="005D0703">
        <w:rPr>
          <w:rFonts w:cs="Times New Roman"/>
          <w:sz w:val="20"/>
          <w:szCs w:val="20"/>
          <w:u w:val="single"/>
        </w:rPr>
        <w:t>CASE SUMMARY</w:t>
      </w:r>
    </w:p>
    <w:p w:rsidR="00AE75EC" w:rsidRPr="005D0703" w:rsidRDefault="00AE75EC" w:rsidP="00AE75EC">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84B83" w:rsidRPr="005D0703" w:rsidTr="00684B83">
        <w:tc>
          <w:tcPr>
            <w:tcW w:w="5000" w:type="pct"/>
            <w:gridSpan w:val="3"/>
          </w:tcPr>
          <w:p w:rsidR="00684B83" w:rsidRPr="005D0703" w:rsidRDefault="00684B83" w:rsidP="00684B83">
            <w:pPr>
              <w:jc w:val="both"/>
              <w:rPr>
                <w:rFonts w:eastAsia="Calibri" w:cs="Times New Roman"/>
                <w:sz w:val="20"/>
                <w:szCs w:val="20"/>
              </w:rPr>
            </w:pPr>
            <w:r w:rsidRPr="005D0703">
              <w:rPr>
                <w:rFonts w:eastAsia="Calibri" w:cs="Times New Roman"/>
                <w:i/>
                <w:sz w:val="20"/>
                <w:szCs w:val="20"/>
              </w:rPr>
              <w:t xml:space="preserve">Canadian Charter of Rights and Freedoms </w:t>
            </w:r>
            <w:r w:rsidRPr="005D0703">
              <w:rPr>
                <w:rFonts w:eastAsia="Calibri" w:cs="Times New Roman"/>
                <w:sz w:val="20"/>
                <w:szCs w:val="20"/>
              </w:rPr>
              <w:t xml:space="preserve">― Right to a fair hearing ― Taxation ― Tax evasion ― Applicants convicted summarily of multiple counts of GST and income tax evasion and filing false tax returns contrary to s. 239(1) of the </w:t>
            </w:r>
            <w:r w:rsidRPr="005D0703">
              <w:rPr>
                <w:rFonts w:eastAsia="Calibri" w:cs="Times New Roman"/>
                <w:i/>
                <w:sz w:val="20"/>
                <w:szCs w:val="20"/>
              </w:rPr>
              <w:t>Income Tax Act</w:t>
            </w:r>
            <w:r w:rsidRPr="005D0703">
              <w:rPr>
                <w:rFonts w:eastAsia="Calibri" w:cs="Times New Roman"/>
                <w:sz w:val="20"/>
                <w:szCs w:val="20"/>
              </w:rPr>
              <w:t>, R.S.C. 1985, c. 1 (5</w:t>
            </w:r>
            <w:r w:rsidRPr="005D0703">
              <w:rPr>
                <w:rFonts w:eastAsia="Calibri" w:cs="Times New Roman"/>
                <w:sz w:val="20"/>
                <w:szCs w:val="20"/>
                <w:vertAlign w:val="superscript"/>
              </w:rPr>
              <w:t>th</w:t>
            </w:r>
            <w:r w:rsidRPr="005D0703">
              <w:rPr>
                <w:rFonts w:eastAsia="Calibri" w:cs="Times New Roman"/>
                <w:sz w:val="20"/>
                <w:szCs w:val="20"/>
              </w:rPr>
              <w:t xml:space="preserve"> Supp.) and s. 327(1) of the </w:t>
            </w:r>
            <w:r w:rsidRPr="005D0703">
              <w:rPr>
                <w:rFonts w:eastAsia="Calibri" w:cs="Times New Roman"/>
                <w:i/>
                <w:sz w:val="20"/>
                <w:szCs w:val="20"/>
              </w:rPr>
              <w:t>Excise Tax Act</w:t>
            </w:r>
            <w:r w:rsidRPr="005D0703">
              <w:rPr>
                <w:rFonts w:eastAsia="Calibri" w:cs="Times New Roman"/>
                <w:sz w:val="20"/>
                <w:szCs w:val="20"/>
              </w:rPr>
              <w:t>, R.S.C. 1985, c. E</w:t>
            </w:r>
            <w:r w:rsidRPr="005D0703">
              <w:rPr>
                <w:rFonts w:eastAsia="Calibri" w:cs="Times New Roman"/>
                <w:sz w:val="20"/>
                <w:szCs w:val="20"/>
              </w:rPr>
              <w:noBreakHyphen/>
              <w:t>15 ― Can evidence establishing a discrepancy between a taxpayer’s reported income and the increase in his or her financial worth over time, standing alone, support a criminal conviction for tax evasion ― Whether the Court of Appeal’s approach is inconsistent with the general principles governing proof on circumstantial evidence in criminal cases ― Whether the Court of Appeal’s decision is also consistent with that of the United States Supreme Court and by trial</w:t>
            </w:r>
            <w:r w:rsidRPr="005D0703">
              <w:rPr>
                <w:rFonts w:eastAsia="Calibri" w:cs="Times New Roman"/>
                <w:sz w:val="20"/>
                <w:szCs w:val="20"/>
              </w:rPr>
              <w:noBreakHyphen/>
              <w:t xml:space="preserve">level courts in Canada ― Whether the Court of Appeal decision raises </w:t>
            </w:r>
            <w:r w:rsidRPr="005D0703">
              <w:rPr>
                <w:rFonts w:eastAsia="Calibri" w:cs="Times New Roman"/>
                <w:i/>
                <w:sz w:val="20"/>
                <w:szCs w:val="20"/>
              </w:rPr>
              <w:t>Charter</w:t>
            </w:r>
            <w:r w:rsidRPr="005D0703">
              <w:rPr>
                <w:rFonts w:eastAsia="Calibri" w:cs="Times New Roman"/>
                <w:sz w:val="20"/>
                <w:szCs w:val="20"/>
              </w:rPr>
              <w:t xml:space="preserve"> issues.</w:t>
            </w:r>
          </w:p>
          <w:p w:rsidR="00684B83" w:rsidRPr="005D0703" w:rsidRDefault="00684B83" w:rsidP="00684B83">
            <w:pPr>
              <w:jc w:val="both"/>
              <w:rPr>
                <w:rFonts w:eastAsia="Calibri" w:cs="Times New Roman"/>
                <w:sz w:val="20"/>
                <w:szCs w:val="20"/>
              </w:rPr>
            </w:pPr>
          </w:p>
        </w:tc>
      </w:tr>
      <w:tr w:rsidR="00684B83" w:rsidRPr="005D0703" w:rsidTr="00684B83">
        <w:tc>
          <w:tcPr>
            <w:tcW w:w="5000" w:type="pct"/>
            <w:gridSpan w:val="3"/>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The applicant, Ivan Valovic, his wife Dagmar (not a party in this Court) and the applicant co</w:t>
            </w:r>
            <w:r w:rsidRPr="005D0703">
              <w:rPr>
                <w:rFonts w:eastAsia="Calibri" w:cs="Times New Roman"/>
                <w:sz w:val="20"/>
                <w:szCs w:val="20"/>
              </w:rPr>
              <w:noBreakHyphen/>
              <w:t xml:space="preserve">owned company, Ivan’s Electric Ltd. were convicted summarily of multiple counts of GST and income tax evasion and filing false tax returns contrary to s. 239(1) of the </w:t>
            </w:r>
            <w:r w:rsidRPr="005D0703">
              <w:rPr>
                <w:rFonts w:eastAsia="Calibri" w:cs="Times New Roman"/>
                <w:i/>
                <w:sz w:val="20"/>
                <w:szCs w:val="20"/>
              </w:rPr>
              <w:t>Income Tax Act</w:t>
            </w:r>
            <w:r w:rsidRPr="005D0703">
              <w:rPr>
                <w:rFonts w:eastAsia="Calibri" w:cs="Times New Roman"/>
                <w:sz w:val="20"/>
                <w:szCs w:val="20"/>
              </w:rPr>
              <w:t>, R.S.C. 1985, c. 1 (5</w:t>
            </w:r>
            <w:r w:rsidRPr="005D0703">
              <w:rPr>
                <w:rFonts w:eastAsia="Calibri" w:cs="Times New Roman"/>
                <w:sz w:val="20"/>
                <w:szCs w:val="20"/>
                <w:vertAlign w:val="superscript"/>
              </w:rPr>
              <w:t>th</w:t>
            </w:r>
            <w:r w:rsidRPr="005D0703">
              <w:rPr>
                <w:rFonts w:eastAsia="Calibri" w:cs="Times New Roman"/>
                <w:sz w:val="20"/>
                <w:szCs w:val="20"/>
              </w:rPr>
              <w:t xml:space="preserve"> Supp.) and s. 327(1) of the </w:t>
            </w:r>
            <w:r w:rsidRPr="005D0703">
              <w:rPr>
                <w:rFonts w:eastAsia="Calibri" w:cs="Times New Roman"/>
                <w:i/>
                <w:sz w:val="20"/>
                <w:szCs w:val="20"/>
              </w:rPr>
              <w:t>Excise Tax Act</w:t>
            </w:r>
            <w:r w:rsidRPr="005D0703">
              <w:rPr>
                <w:rFonts w:eastAsia="Calibri" w:cs="Times New Roman"/>
                <w:sz w:val="20"/>
                <w:szCs w:val="20"/>
              </w:rPr>
              <w:t>, R.S.C. 1985, c. E</w:t>
            </w:r>
            <w:r w:rsidRPr="005D0703">
              <w:rPr>
                <w:rFonts w:eastAsia="Calibri" w:cs="Times New Roman"/>
                <w:sz w:val="20"/>
                <w:szCs w:val="20"/>
              </w:rPr>
              <w:noBreakHyphen/>
              <w:t xml:space="preserve">15.  </w:t>
            </w:r>
          </w:p>
          <w:p w:rsidR="00684B83" w:rsidRPr="005D0703" w:rsidRDefault="00684B83" w:rsidP="00684B83">
            <w:pPr>
              <w:jc w:val="both"/>
              <w:rPr>
                <w:rFonts w:eastAsia="Calibri" w:cs="Times New Roman"/>
                <w:sz w:val="20"/>
                <w:szCs w:val="20"/>
              </w:rPr>
            </w:pPr>
          </w:p>
          <w:p w:rsidR="00684B83" w:rsidRPr="005D0703" w:rsidRDefault="00684B83" w:rsidP="00684B83">
            <w:pPr>
              <w:jc w:val="both"/>
              <w:rPr>
                <w:rFonts w:eastAsia="Calibri" w:cs="Times New Roman"/>
                <w:sz w:val="20"/>
                <w:szCs w:val="20"/>
              </w:rPr>
            </w:pPr>
            <w:r w:rsidRPr="005D0703">
              <w:rPr>
                <w:rFonts w:eastAsia="Calibri" w:cs="Times New Roman"/>
                <w:sz w:val="20"/>
                <w:szCs w:val="20"/>
              </w:rPr>
              <w:t>The summary conviction was upheld on appeal to the Superior Court of Justice although the sentence was varied to vacate the custodial portion of the sentence.  The applicants sought leave to appeal the summary conviction appeal decision; however, the Court of Appeal denied leave to appeal.</w:t>
            </w:r>
          </w:p>
          <w:p w:rsidR="00684B83" w:rsidRPr="005D0703" w:rsidRDefault="00684B83" w:rsidP="00684B83">
            <w:pPr>
              <w:jc w:val="both"/>
              <w:rPr>
                <w:rFonts w:eastAsia="Calibri" w:cs="Times New Roman"/>
                <w:sz w:val="20"/>
                <w:szCs w:val="20"/>
              </w:rPr>
            </w:pPr>
          </w:p>
        </w:tc>
      </w:tr>
      <w:tr w:rsidR="00684B83" w:rsidRPr="005D0703" w:rsidTr="00684B83">
        <w:tc>
          <w:tcPr>
            <w:tcW w:w="2427"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October 19, 2006</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 xml:space="preserve">Ontario Court of Justice </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(Allen J.)</w:t>
            </w:r>
          </w:p>
          <w:p w:rsidR="00684B83" w:rsidRPr="005D0703" w:rsidRDefault="00684B83" w:rsidP="00684B83">
            <w:pPr>
              <w:jc w:val="both"/>
              <w:rPr>
                <w:rFonts w:eastAsia="Calibri" w:cs="Times New Roman"/>
                <w:sz w:val="20"/>
                <w:szCs w:val="20"/>
              </w:rPr>
            </w:pPr>
          </w:p>
        </w:tc>
        <w:tc>
          <w:tcPr>
            <w:tcW w:w="243" w:type="pct"/>
          </w:tcPr>
          <w:p w:rsidR="00684B83" w:rsidRPr="005D0703" w:rsidRDefault="00684B83" w:rsidP="00684B83">
            <w:pPr>
              <w:jc w:val="both"/>
              <w:rPr>
                <w:rFonts w:eastAsia="Calibri" w:cs="Times New Roman"/>
                <w:sz w:val="20"/>
                <w:szCs w:val="20"/>
              </w:rPr>
            </w:pPr>
          </w:p>
        </w:tc>
        <w:tc>
          <w:tcPr>
            <w:tcW w:w="2330"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Applicants found guilty of tax evasion</w:t>
            </w:r>
          </w:p>
          <w:p w:rsidR="00684B83" w:rsidRPr="005D0703" w:rsidRDefault="00684B83" w:rsidP="00684B83">
            <w:pPr>
              <w:jc w:val="both"/>
              <w:rPr>
                <w:rFonts w:eastAsia="Calibri" w:cs="Times New Roman"/>
                <w:sz w:val="20"/>
                <w:szCs w:val="20"/>
              </w:rPr>
            </w:pPr>
          </w:p>
        </w:tc>
      </w:tr>
      <w:tr w:rsidR="00684B83" w:rsidRPr="005D0703" w:rsidTr="00684B83">
        <w:tc>
          <w:tcPr>
            <w:tcW w:w="2427"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May 22, 2009</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Ontario Superior Court of Justice</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(Belleghem J.)</w:t>
            </w:r>
          </w:p>
          <w:p w:rsidR="00684B83" w:rsidRPr="005D0703" w:rsidRDefault="00684B83" w:rsidP="00684B83">
            <w:pPr>
              <w:jc w:val="both"/>
              <w:rPr>
                <w:rFonts w:eastAsia="Calibri" w:cs="Times New Roman"/>
                <w:sz w:val="20"/>
                <w:szCs w:val="20"/>
              </w:rPr>
            </w:pPr>
          </w:p>
        </w:tc>
        <w:tc>
          <w:tcPr>
            <w:tcW w:w="243" w:type="pct"/>
          </w:tcPr>
          <w:p w:rsidR="00684B83" w:rsidRPr="005D0703" w:rsidRDefault="00684B83" w:rsidP="00684B83">
            <w:pPr>
              <w:jc w:val="both"/>
              <w:rPr>
                <w:rFonts w:eastAsia="Calibri" w:cs="Times New Roman"/>
                <w:sz w:val="20"/>
                <w:szCs w:val="20"/>
              </w:rPr>
            </w:pPr>
          </w:p>
        </w:tc>
        <w:tc>
          <w:tcPr>
            <w:tcW w:w="2330"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 xml:space="preserve">Appeal against conviction dismissed; appeal against sentence allowed in part and sentence varied to strike out term of imprisonment </w:t>
            </w:r>
          </w:p>
          <w:p w:rsidR="00684B83" w:rsidRPr="005D0703" w:rsidRDefault="00684B83" w:rsidP="00684B83">
            <w:pPr>
              <w:jc w:val="both"/>
              <w:rPr>
                <w:rFonts w:eastAsia="Calibri" w:cs="Times New Roman"/>
                <w:sz w:val="20"/>
                <w:szCs w:val="20"/>
              </w:rPr>
            </w:pPr>
          </w:p>
        </w:tc>
      </w:tr>
      <w:tr w:rsidR="00684B83" w:rsidRPr="005D0703" w:rsidTr="00684B83">
        <w:tc>
          <w:tcPr>
            <w:tcW w:w="2427"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April 21, 2011</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Court of Appeal for Ontario</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 xml:space="preserve">(Simmons, Rouleau and </w:t>
            </w:r>
            <w:proofErr w:type="gramStart"/>
            <w:r w:rsidRPr="005D0703">
              <w:rPr>
                <w:rFonts w:eastAsia="Calibri" w:cs="Times New Roman"/>
                <w:sz w:val="20"/>
                <w:szCs w:val="20"/>
              </w:rPr>
              <w:t>Karakatsanis  JJ.A</w:t>
            </w:r>
            <w:proofErr w:type="gramEnd"/>
            <w:r w:rsidRPr="005D0703">
              <w:rPr>
                <w:rFonts w:eastAsia="Calibri" w:cs="Times New Roman"/>
                <w:sz w:val="20"/>
                <w:szCs w:val="20"/>
              </w:rPr>
              <w:t>.)</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2011 ONCA 320</w:t>
            </w:r>
          </w:p>
          <w:p w:rsidR="00684B83" w:rsidRPr="005D0703" w:rsidRDefault="00684B83" w:rsidP="00684B83">
            <w:pPr>
              <w:jc w:val="both"/>
              <w:rPr>
                <w:rFonts w:eastAsia="Calibri" w:cs="Times New Roman"/>
                <w:sz w:val="20"/>
                <w:szCs w:val="20"/>
              </w:rPr>
            </w:pPr>
          </w:p>
        </w:tc>
        <w:tc>
          <w:tcPr>
            <w:tcW w:w="243" w:type="pct"/>
          </w:tcPr>
          <w:p w:rsidR="00684B83" w:rsidRPr="005D0703" w:rsidRDefault="00684B83" w:rsidP="00684B83">
            <w:pPr>
              <w:jc w:val="both"/>
              <w:rPr>
                <w:rFonts w:eastAsia="Calibri" w:cs="Times New Roman"/>
                <w:sz w:val="20"/>
                <w:szCs w:val="20"/>
              </w:rPr>
            </w:pPr>
          </w:p>
        </w:tc>
        <w:tc>
          <w:tcPr>
            <w:tcW w:w="2330"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Leave to appeal denied</w:t>
            </w:r>
          </w:p>
          <w:p w:rsidR="00684B83" w:rsidRPr="005D0703" w:rsidRDefault="00684B83" w:rsidP="00684B83">
            <w:pPr>
              <w:jc w:val="both"/>
              <w:rPr>
                <w:rFonts w:eastAsia="Calibri" w:cs="Times New Roman"/>
                <w:sz w:val="20"/>
                <w:szCs w:val="20"/>
              </w:rPr>
            </w:pPr>
          </w:p>
        </w:tc>
      </w:tr>
      <w:tr w:rsidR="00684B83" w:rsidRPr="005D0703" w:rsidTr="00684B83">
        <w:tc>
          <w:tcPr>
            <w:tcW w:w="2427"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June 20, 2011</w:t>
            </w:r>
          </w:p>
          <w:p w:rsidR="00684B83" w:rsidRPr="005D0703" w:rsidRDefault="00684B83" w:rsidP="00587178">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684B83" w:rsidRPr="005D0703" w:rsidRDefault="00684B83" w:rsidP="00684B83">
            <w:pPr>
              <w:jc w:val="both"/>
              <w:rPr>
                <w:rFonts w:eastAsia="Calibri" w:cs="Times New Roman"/>
                <w:sz w:val="20"/>
                <w:szCs w:val="20"/>
              </w:rPr>
            </w:pPr>
          </w:p>
        </w:tc>
        <w:tc>
          <w:tcPr>
            <w:tcW w:w="2330"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Application for leave to appeal filed</w:t>
            </w:r>
          </w:p>
          <w:p w:rsidR="00684B83" w:rsidRPr="005D0703" w:rsidRDefault="00684B83" w:rsidP="00684B83">
            <w:pPr>
              <w:jc w:val="both"/>
              <w:rPr>
                <w:rFonts w:eastAsia="Calibri" w:cs="Times New Roman"/>
                <w:sz w:val="20"/>
                <w:szCs w:val="20"/>
              </w:rPr>
            </w:pPr>
          </w:p>
        </w:tc>
      </w:tr>
    </w:tbl>
    <w:p w:rsidR="00AE75EC" w:rsidRPr="005D0703" w:rsidRDefault="00AE75EC" w:rsidP="00AE75EC">
      <w:pPr>
        <w:rPr>
          <w:rFonts w:cs="Times New Roman"/>
          <w:sz w:val="20"/>
          <w:szCs w:val="20"/>
        </w:rPr>
      </w:pPr>
    </w:p>
    <w:p w:rsidR="00AE75EC" w:rsidRPr="005D0703" w:rsidRDefault="008A6550" w:rsidP="00AE75EC">
      <w:pPr>
        <w:rPr>
          <w:rFonts w:cs="Times New Roman"/>
          <w:sz w:val="20"/>
          <w:szCs w:val="20"/>
        </w:rPr>
      </w:pPr>
      <w:r w:rsidRPr="008A6550">
        <w:rPr>
          <w:rFonts w:cs="Times New Roman"/>
          <w:sz w:val="20"/>
          <w:szCs w:val="20"/>
          <w:lang w:val="fr-CA"/>
        </w:rPr>
        <w:pict>
          <v:rect id="_x0000_i1046" style="width:2in;height:1pt" o:hrpct="0" o:hralign="center" o:hrstd="t" o:hrnoshade="t" o:hr="t" fillcolor="black [3213]" stroked="f"/>
        </w:pict>
      </w:r>
    </w:p>
    <w:p w:rsidR="00AE75EC" w:rsidRPr="005D0703" w:rsidRDefault="00AE75EC" w:rsidP="00AE75EC">
      <w:pPr>
        <w:rPr>
          <w:rFonts w:cs="Times New Roman"/>
          <w:sz w:val="20"/>
          <w:szCs w:val="20"/>
        </w:rPr>
      </w:pPr>
    </w:p>
    <w:p w:rsidR="00AE75EC" w:rsidRPr="005D0703" w:rsidRDefault="00AE75EC" w:rsidP="00AE75EC">
      <w:pPr>
        <w:rPr>
          <w:rFonts w:cs="Times New Roman"/>
          <w:sz w:val="20"/>
          <w:szCs w:val="20"/>
          <w:u w:val="single"/>
          <w:lang w:val="fr-CA"/>
        </w:rPr>
      </w:pPr>
      <w:r w:rsidRPr="005D0703">
        <w:rPr>
          <w:rFonts w:cs="Times New Roman"/>
          <w:sz w:val="20"/>
          <w:szCs w:val="20"/>
          <w:u w:val="single"/>
          <w:lang w:val="fr-CA"/>
        </w:rPr>
        <w:t>RÉSUMÉ DE L’AFFAIRE</w:t>
      </w:r>
    </w:p>
    <w:p w:rsidR="00AE75EC" w:rsidRPr="005D0703" w:rsidRDefault="00AE75EC" w:rsidP="00AE75EC">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84B83" w:rsidRPr="00C04C40" w:rsidTr="00684B83">
        <w:tc>
          <w:tcPr>
            <w:tcW w:w="5000" w:type="pct"/>
            <w:gridSpan w:val="3"/>
          </w:tcPr>
          <w:p w:rsidR="00684B83" w:rsidRPr="005D0703" w:rsidRDefault="00684B83" w:rsidP="00684B83">
            <w:pPr>
              <w:jc w:val="both"/>
              <w:rPr>
                <w:rFonts w:eastAsia="Calibri" w:cs="Times New Roman"/>
                <w:sz w:val="20"/>
                <w:szCs w:val="20"/>
                <w:lang w:val="fr-CA"/>
              </w:rPr>
            </w:pPr>
            <w:r w:rsidRPr="005D0703">
              <w:rPr>
                <w:rFonts w:eastAsia="Calibri" w:cs="Times New Roman"/>
                <w:i/>
                <w:sz w:val="20"/>
                <w:szCs w:val="20"/>
                <w:lang w:val="fr-CA"/>
              </w:rPr>
              <w:t xml:space="preserve">Charte canadienne des droits et libertés </w:t>
            </w:r>
            <w:r w:rsidRPr="005D0703">
              <w:rPr>
                <w:rFonts w:eastAsia="Calibri" w:cs="Times New Roman"/>
                <w:sz w:val="20"/>
                <w:szCs w:val="20"/>
                <w:lang w:val="fr-CA"/>
              </w:rPr>
              <w:t xml:space="preserve">― Procès équitable ― Fiscalité ― Fraude fiscale ― Demandeurs déclarés coupables, par procédure sommaire, de multiples chefs d’accusation leur reprochant d’avoir éludé le paiement de la TPS et de l’impôt sur le revenu et d’avoir produit de fausses déclarations de revenus, en contravention du par. 239(1) de la </w:t>
            </w:r>
            <w:r w:rsidRPr="005D0703">
              <w:rPr>
                <w:rFonts w:eastAsia="Calibri" w:cs="Times New Roman"/>
                <w:i/>
                <w:sz w:val="20"/>
                <w:szCs w:val="20"/>
                <w:lang w:val="fr-CA"/>
              </w:rPr>
              <w:t>Loi de l’impôt sur le revenu</w:t>
            </w:r>
            <w:r w:rsidRPr="005D0703">
              <w:rPr>
                <w:rFonts w:eastAsia="Calibri" w:cs="Times New Roman"/>
                <w:sz w:val="20"/>
                <w:szCs w:val="20"/>
                <w:lang w:val="fr-CA"/>
              </w:rPr>
              <w:t xml:space="preserve">, L.R.C. 1985, ch. 1 (5e suppl.) et du par. 327(1) de la </w:t>
            </w:r>
            <w:r w:rsidRPr="005D0703">
              <w:rPr>
                <w:rFonts w:eastAsia="Calibri" w:cs="Times New Roman"/>
                <w:i/>
                <w:sz w:val="20"/>
                <w:szCs w:val="20"/>
                <w:lang w:val="fr-CA"/>
              </w:rPr>
              <w:t>Loi sur la taxe d’accise</w:t>
            </w:r>
            <w:r w:rsidRPr="005D0703">
              <w:rPr>
                <w:rFonts w:eastAsia="Calibri" w:cs="Times New Roman"/>
                <w:sz w:val="20"/>
                <w:szCs w:val="20"/>
                <w:lang w:val="fr-CA"/>
              </w:rPr>
              <w:t>, L.R.C. 1985, ch. E</w:t>
            </w:r>
            <w:r w:rsidRPr="005D0703">
              <w:rPr>
                <w:rFonts w:eastAsia="Calibri" w:cs="Times New Roman"/>
                <w:sz w:val="20"/>
                <w:szCs w:val="20"/>
                <w:lang w:val="fr-CA"/>
              </w:rPr>
              <w:noBreakHyphen/>
              <w:t>15 ― Une preuve établissant une divergence entre le revenu déclaré d’un contribuable et l’augmentation de la valeur de son patrimoine au fil du temps peut</w:t>
            </w:r>
            <w:r w:rsidRPr="005D0703">
              <w:rPr>
                <w:rFonts w:eastAsia="Calibri" w:cs="Times New Roman"/>
                <w:sz w:val="20"/>
                <w:szCs w:val="20"/>
                <w:lang w:val="fr-CA"/>
              </w:rPr>
              <w:noBreakHyphen/>
              <w:t>elle, à elle seule, étayer une déclaration de culpabilité pour fraude fiscale? ― La démarche suivie par la Cour d’appel est</w:t>
            </w:r>
            <w:r w:rsidRPr="005D0703">
              <w:rPr>
                <w:rFonts w:eastAsia="Calibri" w:cs="Times New Roman"/>
                <w:sz w:val="20"/>
                <w:szCs w:val="20"/>
                <w:lang w:val="fr-CA"/>
              </w:rPr>
              <w:noBreakHyphen/>
              <w:t>elle incompatible avec les principes généraux régissant la preuve circonstancielle dans des affaires pénales? ― La décision de la Cour d’appel est</w:t>
            </w:r>
            <w:r w:rsidRPr="005D0703">
              <w:rPr>
                <w:rFonts w:eastAsia="Calibri" w:cs="Times New Roman"/>
                <w:sz w:val="20"/>
                <w:szCs w:val="20"/>
                <w:lang w:val="fr-CA"/>
              </w:rPr>
              <w:noBreakHyphen/>
              <w:t>elle compatible avec celle rendue par la Cour suprême des États</w:t>
            </w:r>
            <w:r w:rsidRPr="005D0703">
              <w:rPr>
                <w:rFonts w:eastAsia="Calibri" w:cs="Times New Roman"/>
                <w:sz w:val="20"/>
                <w:szCs w:val="20"/>
                <w:lang w:val="fr-CA"/>
              </w:rPr>
              <w:noBreakHyphen/>
              <w:t>Unis et celles rendues par les tribunaux de première instance au Canada? ― La décision de la Cour d’appel soulève</w:t>
            </w:r>
            <w:r w:rsidRPr="005D0703">
              <w:rPr>
                <w:rFonts w:eastAsia="Calibri" w:cs="Times New Roman"/>
                <w:sz w:val="20"/>
                <w:szCs w:val="20"/>
                <w:lang w:val="fr-CA"/>
              </w:rPr>
              <w:noBreakHyphen/>
              <w:t>t</w:t>
            </w:r>
            <w:r w:rsidRPr="005D0703">
              <w:rPr>
                <w:rFonts w:eastAsia="Calibri" w:cs="Times New Roman"/>
                <w:sz w:val="20"/>
                <w:szCs w:val="20"/>
                <w:lang w:val="fr-CA"/>
              </w:rPr>
              <w:noBreakHyphen/>
              <w:t xml:space="preserve">elle des questions touchant la </w:t>
            </w:r>
            <w:r w:rsidRPr="005D0703">
              <w:rPr>
                <w:rFonts w:eastAsia="Calibri" w:cs="Times New Roman"/>
                <w:i/>
                <w:sz w:val="20"/>
                <w:szCs w:val="20"/>
                <w:lang w:val="fr-CA"/>
              </w:rPr>
              <w:t>Charte</w:t>
            </w:r>
            <w:r w:rsidRPr="005D0703">
              <w:rPr>
                <w:rFonts w:eastAsia="Calibri" w:cs="Times New Roman"/>
                <w:sz w:val="20"/>
                <w:szCs w:val="20"/>
                <w:lang w:val="fr-CA"/>
              </w:rPr>
              <w:t>?</w:t>
            </w:r>
          </w:p>
          <w:p w:rsidR="00684B83" w:rsidRPr="005D0703" w:rsidRDefault="00684B83" w:rsidP="00684B83">
            <w:pPr>
              <w:jc w:val="both"/>
              <w:rPr>
                <w:rFonts w:eastAsia="Calibri" w:cs="Times New Roman"/>
                <w:sz w:val="20"/>
                <w:szCs w:val="20"/>
                <w:lang w:val="fr-CA"/>
              </w:rPr>
            </w:pPr>
          </w:p>
        </w:tc>
      </w:tr>
      <w:tr w:rsidR="00684B83" w:rsidRPr="00C04C40" w:rsidTr="00684B83">
        <w:tc>
          <w:tcPr>
            <w:tcW w:w="5000" w:type="pct"/>
            <w:gridSpan w:val="3"/>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 xml:space="preserve">Le demandeur, Ivan Valovic, son épouse Dagmar (qui n’est pas partie devant la Cour) et la société demanderesse détenue conjointement, Ivan’s Electric Ltd., ont été déclarés coupables par procédure sommaire, de multiples chefs d’accusation leur reprochant d’avoir éludé le paiement de la TPS et de l’impôt sur le revenu et d’avoir produit de fausses déclarations de revenus, en contravention du par. 239(1) de la </w:t>
            </w:r>
            <w:r w:rsidRPr="005D0703">
              <w:rPr>
                <w:rFonts w:eastAsia="Calibri" w:cs="Times New Roman"/>
                <w:i/>
                <w:sz w:val="20"/>
                <w:szCs w:val="20"/>
                <w:lang w:val="fr-CA"/>
              </w:rPr>
              <w:t>Loi de l’impôt sur le revenu</w:t>
            </w:r>
            <w:r w:rsidRPr="005D0703">
              <w:rPr>
                <w:rFonts w:eastAsia="Calibri" w:cs="Times New Roman"/>
                <w:sz w:val="20"/>
                <w:szCs w:val="20"/>
                <w:lang w:val="fr-CA"/>
              </w:rPr>
              <w:t xml:space="preserve">, L.R.C. 1985, ch. 1 (5e suppl.) et du par. 327(1) de la </w:t>
            </w:r>
            <w:r w:rsidRPr="005D0703">
              <w:rPr>
                <w:rFonts w:eastAsia="Calibri" w:cs="Times New Roman"/>
                <w:i/>
                <w:sz w:val="20"/>
                <w:szCs w:val="20"/>
                <w:lang w:val="fr-CA"/>
              </w:rPr>
              <w:t>Loi sur la taxe d’accise</w:t>
            </w:r>
            <w:r w:rsidRPr="005D0703">
              <w:rPr>
                <w:rFonts w:eastAsia="Calibri" w:cs="Times New Roman"/>
                <w:sz w:val="20"/>
                <w:szCs w:val="20"/>
                <w:lang w:val="fr-CA"/>
              </w:rPr>
              <w:t>, L.R.C. 1985, ch. E</w:t>
            </w:r>
            <w:r w:rsidRPr="005D0703">
              <w:rPr>
                <w:rFonts w:eastAsia="Calibri" w:cs="Times New Roman"/>
                <w:sz w:val="20"/>
                <w:szCs w:val="20"/>
                <w:lang w:val="fr-CA"/>
              </w:rPr>
              <w:noBreakHyphen/>
              <w:t xml:space="preserve">15.  </w:t>
            </w:r>
          </w:p>
          <w:p w:rsidR="00684B83" w:rsidRPr="005D0703" w:rsidRDefault="00684B83" w:rsidP="00684B83">
            <w:pPr>
              <w:jc w:val="both"/>
              <w:rPr>
                <w:rFonts w:eastAsia="Calibri" w:cs="Times New Roman"/>
                <w:sz w:val="20"/>
                <w:szCs w:val="20"/>
                <w:lang w:val="fr-CA"/>
              </w:rPr>
            </w:pPr>
          </w:p>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 xml:space="preserve">La déclaration de culpabilité par procédure sommaire a été confirmée en appel par la Cour supérieure de justice mais la sentence a été modifiée afin d’écarter la portion de la peine constituée de l’emprisonnement.  Les demandeurs ont sollicité l’autorisation d’appeler de la décision rendue en appel quant à la déclaration de culpabilité par procédure sommaire; la Cour d’appel a toutefois rejeté la demande d’autorisation d’appel.  </w:t>
            </w:r>
          </w:p>
          <w:p w:rsidR="00684B83" w:rsidRPr="005D0703" w:rsidRDefault="00684B83" w:rsidP="00684B83">
            <w:pPr>
              <w:jc w:val="both"/>
              <w:rPr>
                <w:rFonts w:eastAsia="Calibri" w:cs="Times New Roman"/>
                <w:sz w:val="20"/>
                <w:szCs w:val="20"/>
                <w:lang w:val="fr-CA"/>
              </w:rPr>
            </w:pPr>
          </w:p>
        </w:tc>
      </w:tr>
      <w:tr w:rsidR="00684B83" w:rsidRPr="00C04C40" w:rsidTr="00684B83">
        <w:tc>
          <w:tcPr>
            <w:tcW w:w="2427" w:type="pct"/>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19 octobre 2006</w:t>
            </w:r>
          </w:p>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Cour de justice de l’Ontario</w:t>
            </w:r>
          </w:p>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(Juge Allen)</w:t>
            </w:r>
          </w:p>
          <w:p w:rsidR="00684B83" w:rsidRPr="005D0703" w:rsidRDefault="00684B83" w:rsidP="00684B83">
            <w:pPr>
              <w:jc w:val="both"/>
              <w:rPr>
                <w:rFonts w:eastAsia="Calibri" w:cs="Times New Roman"/>
                <w:sz w:val="20"/>
                <w:szCs w:val="20"/>
                <w:lang w:val="fr-CA"/>
              </w:rPr>
            </w:pPr>
          </w:p>
        </w:tc>
        <w:tc>
          <w:tcPr>
            <w:tcW w:w="243" w:type="pct"/>
          </w:tcPr>
          <w:p w:rsidR="00684B83" w:rsidRPr="005D0703" w:rsidRDefault="00684B83" w:rsidP="00684B83">
            <w:pPr>
              <w:jc w:val="both"/>
              <w:rPr>
                <w:rFonts w:eastAsia="Calibri" w:cs="Times New Roman"/>
                <w:sz w:val="20"/>
                <w:szCs w:val="20"/>
                <w:lang w:val="fr-CA"/>
              </w:rPr>
            </w:pPr>
          </w:p>
        </w:tc>
        <w:tc>
          <w:tcPr>
            <w:tcW w:w="2330" w:type="pct"/>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Demandeurs déclarés coupables de fraude fiscale</w:t>
            </w:r>
          </w:p>
          <w:p w:rsidR="00684B83" w:rsidRPr="005D0703" w:rsidRDefault="00684B83" w:rsidP="00684B83">
            <w:pPr>
              <w:jc w:val="both"/>
              <w:rPr>
                <w:rFonts w:eastAsia="Calibri" w:cs="Times New Roman"/>
                <w:sz w:val="20"/>
                <w:szCs w:val="20"/>
                <w:lang w:val="fr-CA"/>
              </w:rPr>
            </w:pPr>
          </w:p>
        </w:tc>
      </w:tr>
      <w:tr w:rsidR="00684B83" w:rsidRPr="00C04C40" w:rsidTr="00684B83">
        <w:tc>
          <w:tcPr>
            <w:tcW w:w="2427" w:type="pct"/>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22 mai 2009</w:t>
            </w:r>
          </w:p>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Cour supérieure de justice de l’Ontario</w:t>
            </w:r>
          </w:p>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(Juge Belleghem)</w:t>
            </w:r>
          </w:p>
          <w:p w:rsidR="00684B83" w:rsidRPr="005D0703" w:rsidRDefault="00684B83" w:rsidP="00684B83">
            <w:pPr>
              <w:jc w:val="both"/>
              <w:rPr>
                <w:rFonts w:eastAsia="Calibri" w:cs="Times New Roman"/>
                <w:sz w:val="20"/>
                <w:szCs w:val="20"/>
                <w:lang w:val="fr-CA"/>
              </w:rPr>
            </w:pPr>
          </w:p>
        </w:tc>
        <w:tc>
          <w:tcPr>
            <w:tcW w:w="243" w:type="pct"/>
          </w:tcPr>
          <w:p w:rsidR="00684B83" w:rsidRPr="005D0703" w:rsidRDefault="00684B83" w:rsidP="00684B83">
            <w:pPr>
              <w:jc w:val="both"/>
              <w:rPr>
                <w:rFonts w:eastAsia="Calibri" w:cs="Times New Roman"/>
                <w:sz w:val="20"/>
                <w:szCs w:val="20"/>
                <w:lang w:val="fr-CA"/>
              </w:rPr>
            </w:pPr>
          </w:p>
        </w:tc>
        <w:tc>
          <w:tcPr>
            <w:tcW w:w="2330" w:type="pct"/>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 xml:space="preserve">Appel interjeté à l’encontre de la déclaration de culpabilité rejeté; appel interjeté contre la peine accueilli en partie et sentence modifiée afin d’annuler la peine d’emprisonnement </w:t>
            </w:r>
          </w:p>
        </w:tc>
      </w:tr>
      <w:tr w:rsidR="00684B83" w:rsidRPr="005D0703" w:rsidTr="00684B83">
        <w:tc>
          <w:tcPr>
            <w:tcW w:w="2427" w:type="pct"/>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21 avril 2011</w:t>
            </w:r>
          </w:p>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Cour d’appel de l’Ontario</w:t>
            </w:r>
          </w:p>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(Juges Simmons, Rouleau et Karakatsanis)</w:t>
            </w:r>
          </w:p>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2011 ONCA 320</w:t>
            </w:r>
          </w:p>
          <w:p w:rsidR="00684B83" w:rsidRPr="005D0703" w:rsidRDefault="00684B83" w:rsidP="00684B83">
            <w:pPr>
              <w:jc w:val="both"/>
              <w:rPr>
                <w:rFonts w:eastAsia="Calibri" w:cs="Times New Roman"/>
                <w:sz w:val="20"/>
                <w:szCs w:val="20"/>
                <w:lang w:val="fr-CA"/>
              </w:rPr>
            </w:pPr>
          </w:p>
        </w:tc>
        <w:tc>
          <w:tcPr>
            <w:tcW w:w="243" w:type="pct"/>
          </w:tcPr>
          <w:p w:rsidR="00684B83" w:rsidRPr="005D0703" w:rsidRDefault="00684B83" w:rsidP="00684B83">
            <w:pPr>
              <w:jc w:val="both"/>
              <w:rPr>
                <w:rFonts w:eastAsia="Calibri" w:cs="Times New Roman"/>
                <w:sz w:val="20"/>
                <w:szCs w:val="20"/>
                <w:lang w:val="fr-CA"/>
              </w:rPr>
            </w:pPr>
          </w:p>
        </w:tc>
        <w:tc>
          <w:tcPr>
            <w:tcW w:w="2330" w:type="pct"/>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Autorisation d’appel rejetée</w:t>
            </w:r>
          </w:p>
          <w:p w:rsidR="00684B83" w:rsidRPr="005D0703" w:rsidRDefault="00684B83" w:rsidP="00684B83">
            <w:pPr>
              <w:jc w:val="both"/>
              <w:rPr>
                <w:rFonts w:eastAsia="Calibri" w:cs="Times New Roman"/>
                <w:sz w:val="20"/>
                <w:szCs w:val="20"/>
                <w:lang w:val="fr-CA"/>
              </w:rPr>
            </w:pPr>
          </w:p>
        </w:tc>
      </w:tr>
      <w:tr w:rsidR="00684B83" w:rsidRPr="005D0703" w:rsidTr="00684B83">
        <w:tc>
          <w:tcPr>
            <w:tcW w:w="2427" w:type="pct"/>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20 juin 2011</w:t>
            </w:r>
          </w:p>
          <w:p w:rsidR="00684B83" w:rsidRPr="005D0703" w:rsidRDefault="00684B83" w:rsidP="00587178">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684B83" w:rsidRPr="005D0703" w:rsidRDefault="00684B83" w:rsidP="00684B83">
            <w:pPr>
              <w:jc w:val="both"/>
              <w:rPr>
                <w:rFonts w:eastAsia="Calibri" w:cs="Times New Roman"/>
                <w:sz w:val="20"/>
                <w:szCs w:val="20"/>
                <w:lang w:val="fr-CA"/>
              </w:rPr>
            </w:pPr>
          </w:p>
        </w:tc>
        <w:tc>
          <w:tcPr>
            <w:tcW w:w="2330" w:type="pct"/>
          </w:tcPr>
          <w:p w:rsidR="00684B83" w:rsidRPr="005D0703" w:rsidRDefault="00684B83" w:rsidP="00684B83">
            <w:pPr>
              <w:jc w:val="both"/>
              <w:rPr>
                <w:rFonts w:eastAsia="Calibri" w:cs="Times New Roman"/>
                <w:sz w:val="20"/>
                <w:szCs w:val="20"/>
                <w:lang w:val="fr-CA"/>
              </w:rPr>
            </w:pPr>
            <w:r w:rsidRPr="005D0703">
              <w:rPr>
                <w:rFonts w:eastAsia="Calibri" w:cs="Times New Roman"/>
                <w:sz w:val="20"/>
                <w:szCs w:val="20"/>
                <w:lang w:val="fr-CA"/>
              </w:rPr>
              <w:t>Demande d’autorisation de pourvoi déposée</w:t>
            </w:r>
          </w:p>
          <w:p w:rsidR="00684B83" w:rsidRPr="005D0703" w:rsidRDefault="00684B83" w:rsidP="00684B83">
            <w:pPr>
              <w:jc w:val="both"/>
              <w:rPr>
                <w:rFonts w:eastAsia="Calibri" w:cs="Times New Roman"/>
                <w:sz w:val="20"/>
                <w:szCs w:val="20"/>
                <w:lang w:val="fr-CA"/>
              </w:rPr>
            </w:pPr>
          </w:p>
        </w:tc>
      </w:tr>
    </w:tbl>
    <w:p w:rsidR="00AE75EC" w:rsidRPr="005D0703" w:rsidRDefault="00AE75EC" w:rsidP="00AE75EC">
      <w:pPr>
        <w:rPr>
          <w:rFonts w:cs="Times New Roman"/>
          <w:sz w:val="20"/>
          <w:szCs w:val="20"/>
          <w:lang w:val="fr-CA"/>
        </w:rPr>
      </w:pPr>
    </w:p>
    <w:p w:rsidR="00684B83" w:rsidRPr="005D0703" w:rsidRDefault="008A6550" w:rsidP="00684B83">
      <w:pPr>
        <w:rPr>
          <w:rFonts w:cs="Times New Roman"/>
          <w:sz w:val="20"/>
          <w:szCs w:val="20"/>
        </w:rPr>
      </w:pPr>
      <w:r w:rsidRPr="008A6550">
        <w:rPr>
          <w:rFonts w:cs="Times New Roman"/>
          <w:sz w:val="20"/>
          <w:szCs w:val="20"/>
          <w:lang w:val="fr-CA"/>
        </w:rPr>
        <w:pict>
          <v:rect id="_x0000_i1047" style="width:2in;height:1pt" o:hrpct="0" o:hralign="center" o:hrstd="t" o:hrnoshade="t" o:hr="t" fillcolor="black [3213]" stroked="f"/>
        </w:pict>
      </w:r>
    </w:p>
    <w:p w:rsidR="00684B83" w:rsidRPr="005D0703" w:rsidRDefault="00684B83" w:rsidP="00684B83">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B32C1" w:rsidRPr="005D0703" w:rsidTr="008B32C1">
        <w:trPr>
          <w:cantSplit/>
        </w:trPr>
        <w:tc>
          <w:tcPr>
            <w:tcW w:w="1458" w:type="dxa"/>
          </w:tcPr>
          <w:p w:rsidR="008B32C1" w:rsidRPr="005D0703" w:rsidRDefault="008B32C1" w:rsidP="008B32C1">
            <w:pPr>
              <w:rPr>
                <w:rFonts w:cs="Times New Roman"/>
                <w:sz w:val="20"/>
                <w:szCs w:val="20"/>
              </w:rPr>
            </w:pPr>
            <w:r w:rsidRPr="005D0703">
              <w:rPr>
                <w:rStyle w:val="SCCFileNumberChar"/>
                <w:sz w:val="20"/>
                <w:szCs w:val="20"/>
              </w:rPr>
              <w:t>34351</w:t>
            </w:r>
          </w:p>
          <w:p w:rsidR="008B32C1" w:rsidRPr="005D0703" w:rsidRDefault="008B32C1" w:rsidP="008B32C1">
            <w:pPr>
              <w:rPr>
                <w:rFonts w:cs="Times New Roman"/>
                <w:b/>
                <w:sz w:val="20"/>
                <w:szCs w:val="20"/>
                <w:lang w:val="fr-CA"/>
              </w:rPr>
            </w:pPr>
          </w:p>
        </w:tc>
        <w:tc>
          <w:tcPr>
            <w:tcW w:w="8118" w:type="dxa"/>
          </w:tcPr>
          <w:p w:rsidR="008B32C1" w:rsidRPr="005D0703" w:rsidRDefault="008B32C1" w:rsidP="00533176">
            <w:pPr>
              <w:jc w:val="both"/>
              <w:rPr>
                <w:rFonts w:cs="Times New Roman"/>
                <w:sz w:val="20"/>
                <w:szCs w:val="20"/>
              </w:rPr>
            </w:pPr>
            <w:r w:rsidRPr="005D0703">
              <w:rPr>
                <w:rStyle w:val="SCCLsocChar"/>
                <w:rFonts w:cs="Times New Roman"/>
                <w:sz w:val="20"/>
                <w:szCs w:val="20"/>
                <w:lang w:val="en-US"/>
              </w:rPr>
              <w:t>Donald Earhart v. Her Majesty the Queen</w:t>
            </w:r>
            <w:r w:rsidRPr="005D0703">
              <w:rPr>
                <w:rFonts w:cs="Times New Roman"/>
                <w:sz w:val="20"/>
                <w:szCs w:val="20"/>
              </w:rPr>
              <w:t xml:space="preserve"> (Ont.) (Criminal) (By Leave)</w:t>
            </w:r>
          </w:p>
          <w:p w:rsidR="008B32C1" w:rsidRPr="005D0703" w:rsidRDefault="008B32C1" w:rsidP="008B32C1">
            <w:pPr>
              <w:rPr>
                <w:rFonts w:cs="Times New Roman"/>
                <w:sz w:val="20"/>
                <w:szCs w:val="20"/>
              </w:rPr>
            </w:pPr>
          </w:p>
        </w:tc>
      </w:tr>
      <w:tr w:rsidR="008B32C1" w:rsidRPr="005D0703" w:rsidTr="008B32C1">
        <w:trPr>
          <w:cantSplit/>
        </w:trPr>
        <w:tc>
          <w:tcPr>
            <w:tcW w:w="1458" w:type="dxa"/>
          </w:tcPr>
          <w:p w:rsidR="008B32C1" w:rsidRPr="005D0703" w:rsidRDefault="008B32C1" w:rsidP="008B32C1">
            <w:pPr>
              <w:rPr>
                <w:rFonts w:cs="Times New Roman"/>
                <w:sz w:val="20"/>
                <w:szCs w:val="20"/>
              </w:rPr>
            </w:pPr>
            <w:r w:rsidRPr="005D0703">
              <w:rPr>
                <w:rFonts w:cs="Times New Roman"/>
                <w:sz w:val="20"/>
                <w:szCs w:val="20"/>
              </w:rPr>
              <w:t>Coram :</w:t>
            </w:r>
          </w:p>
        </w:tc>
        <w:tc>
          <w:tcPr>
            <w:tcW w:w="8118" w:type="dxa"/>
          </w:tcPr>
          <w:p w:rsidR="008B32C1" w:rsidRPr="005D0703" w:rsidRDefault="008B32C1" w:rsidP="008B32C1">
            <w:pPr>
              <w:rPr>
                <w:rFonts w:cs="Times New Roman"/>
                <w:sz w:val="20"/>
                <w:szCs w:val="20"/>
              </w:rPr>
            </w:pPr>
            <w:r w:rsidRPr="005D0703">
              <w:rPr>
                <w:rStyle w:val="SCCCoramChar"/>
                <w:rFonts w:cs="Times New Roman"/>
                <w:sz w:val="20"/>
                <w:szCs w:val="20"/>
                <w:lang w:val="en-US"/>
              </w:rPr>
              <w:t>McLachlin C.J. and Deschamps and Fish JJ.</w:t>
            </w:r>
          </w:p>
          <w:p w:rsidR="008B32C1" w:rsidRPr="005D0703" w:rsidRDefault="008B32C1" w:rsidP="008B32C1">
            <w:pPr>
              <w:rPr>
                <w:rFonts w:cs="Times New Roman"/>
                <w:sz w:val="20"/>
                <w:szCs w:val="20"/>
                <w:u w:val="single"/>
              </w:rPr>
            </w:pPr>
          </w:p>
        </w:tc>
      </w:tr>
      <w:tr w:rsidR="008B32C1" w:rsidRPr="00C04C40" w:rsidTr="008B32C1">
        <w:trPr>
          <w:cantSplit/>
        </w:trPr>
        <w:tc>
          <w:tcPr>
            <w:tcW w:w="9576" w:type="dxa"/>
            <w:gridSpan w:val="2"/>
          </w:tcPr>
          <w:p w:rsidR="008B32C1" w:rsidRPr="005D0703" w:rsidRDefault="008B32C1" w:rsidP="008B32C1">
            <w:pPr>
              <w:pStyle w:val="SCCShortJudgment"/>
              <w:rPr>
                <w:rFonts w:cs="Times New Roman"/>
                <w:szCs w:val="20"/>
              </w:rPr>
            </w:pPr>
            <w:r w:rsidRPr="005D0703">
              <w:rPr>
                <w:rFonts w:cs="Times New Roman"/>
                <w:szCs w:val="20"/>
              </w:rPr>
              <w:t>The motion for an extension of time to serve and file the application for leave to appeal is granted.  The motion to appoint counsel and all other ancillary motions are dismissed.  The application for leave to appeal from the judgment of the Court of Appeal for Ontario, Number C48684, 2010 ONCA 874, dated December 20, 2010, is dismissed without costs.</w:t>
            </w:r>
          </w:p>
          <w:p w:rsidR="008B32C1" w:rsidRPr="005D0703" w:rsidRDefault="008B32C1" w:rsidP="008B32C1">
            <w:pPr>
              <w:pStyle w:val="SCCShortJudgment"/>
              <w:ind w:firstLine="0"/>
              <w:rPr>
                <w:rFonts w:cs="Times New Roman"/>
                <w:szCs w:val="20"/>
              </w:rPr>
            </w:pPr>
          </w:p>
          <w:p w:rsidR="008B32C1" w:rsidRPr="005D0703" w:rsidRDefault="008B32C1" w:rsidP="008B32C1">
            <w:pPr>
              <w:pStyle w:val="SCCShortJudgment"/>
              <w:rPr>
                <w:rFonts w:cs="Times New Roman"/>
                <w:szCs w:val="20"/>
                <w:lang w:val="fr-CA"/>
              </w:rPr>
            </w:pPr>
            <w:r w:rsidRPr="005D0703">
              <w:rPr>
                <w:rFonts w:cs="Times New Roman"/>
                <w:szCs w:val="20"/>
                <w:lang w:val="fr-CA"/>
              </w:rPr>
              <w:t>La requête en prorogation du délai de signification de dépôt de la demande d’autorisation d’appel est accordée.  La requête demandant la nomination d’un avocat et toutes autres requêtes accessoires sont rejetées.  La demande d’autorisation d’appel de l’arrêt de la Cour d’appel de l’Ontario, numéro C48684, 2010 ONCA 874, daté du 20 décembre 2010, est rejetée sans dépens.</w:t>
            </w:r>
          </w:p>
        </w:tc>
      </w:tr>
    </w:tbl>
    <w:p w:rsidR="00032F73" w:rsidRPr="005D0703" w:rsidRDefault="00032F73">
      <w:pPr>
        <w:rPr>
          <w:rFonts w:cs="Times New Roman"/>
          <w:sz w:val="20"/>
          <w:szCs w:val="20"/>
          <w:lang w:val="fr-CA"/>
        </w:rPr>
      </w:pPr>
    </w:p>
    <w:p w:rsidR="00684B83" w:rsidRPr="005D0703" w:rsidRDefault="00684B83" w:rsidP="00684B83">
      <w:pPr>
        <w:rPr>
          <w:rFonts w:cs="Times New Roman"/>
          <w:sz w:val="20"/>
          <w:szCs w:val="20"/>
          <w:u w:val="single"/>
        </w:rPr>
      </w:pPr>
      <w:r w:rsidRPr="005D0703">
        <w:rPr>
          <w:rFonts w:cs="Times New Roman"/>
          <w:sz w:val="20"/>
          <w:szCs w:val="20"/>
          <w:u w:val="single"/>
        </w:rPr>
        <w:t>CASE SUMMARY</w:t>
      </w:r>
    </w:p>
    <w:p w:rsidR="00AE75EC" w:rsidRPr="005D0703" w:rsidRDefault="00AE75EC" w:rsidP="00692BC9">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684B83" w:rsidRPr="005D0703" w:rsidTr="00684B83">
        <w:tc>
          <w:tcPr>
            <w:tcW w:w="5000" w:type="pct"/>
            <w:gridSpan w:val="3"/>
          </w:tcPr>
          <w:p w:rsidR="00684B83" w:rsidRPr="005D0703" w:rsidRDefault="00684B83" w:rsidP="00684B83">
            <w:pPr>
              <w:jc w:val="both"/>
              <w:rPr>
                <w:rFonts w:eastAsia="Calibri" w:cs="Times New Roman"/>
                <w:smallCaps/>
                <w:sz w:val="20"/>
                <w:szCs w:val="20"/>
              </w:rPr>
            </w:pPr>
            <w:r w:rsidRPr="005D0703">
              <w:rPr>
                <w:rFonts w:eastAsia="Calibri" w:cs="Times New Roman"/>
                <w:smallCaps/>
                <w:sz w:val="20"/>
                <w:szCs w:val="20"/>
              </w:rPr>
              <w:t>(Publication ban in case)</w:t>
            </w:r>
          </w:p>
          <w:p w:rsidR="00684B83" w:rsidRPr="005D0703" w:rsidRDefault="00684B83" w:rsidP="00684B83">
            <w:pPr>
              <w:jc w:val="both"/>
              <w:rPr>
                <w:rFonts w:eastAsia="Calibri" w:cs="Times New Roman"/>
                <w:sz w:val="20"/>
                <w:szCs w:val="20"/>
              </w:rPr>
            </w:pPr>
          </w:p>
          <w:p w:rsidR="00684B83" w:rsidRPr="005D0703" w:rsidRDefault="00684B83" w:rsidP="00684B83">
            <w:pPr>
              <w:jc w:val="both"/>
              <w:rPr>
                <w:rFonts w:eastAsia="Calibri" w:cs="Times New Roman"/>
                <w:sz w:val="20"/>
                <w:szCs w:val="20"/>
              </w:rPr>
            </w:pPr>
            <w:r w:rsidRPr="005D0703">
              <w:rPr>
                <w:rFonts w:eastAsia="Calibri" w:cs="Times New Roman"/>
                <w:sz w:val="20"/>
                <w:szCs w:val="20"/>
              </w:rPr>
              <w:t xml:space="preserve">Criminal law — Charge to jury — Evidence — Admissibility — Whether the Court of Appeal erred in concluding that evidence of bad character was properly admitted at trial — Whether the Court of Appeal erred in concluding that bad character evidence was properly dealt with in the charge to the jury — Whether the Court of Appeal erred in its application of the curative </w:t>
            </w:r>
            <w:r w:rsidRPr="005D0703">
              <w:rPr>
                <w:rFonts w:eastAsia="Calibri" w:cs="Times New Roman"/>
                <w:i/>
                <w:sz w:val="20"/>
                <w:szCs w:val="20"/>
              </w:rPr>
              <w:t>proviso</w:t>
            </w:r>
            <w:r w:rsidRPr="005D0703">
              <w:rPr>
                <w:rFonts w:eastAsia="Calibri" w:cs="Times New Roman"/>
                <w:sz w:val="20"/>
                <w:szCs w:val="20"/>
              </w:rPr>
              <w:t xml:space="preserve"> pursuant to s. 686(1</w:t>
            </w:r>
            <w:proofErr w:type="gramStart"/>
            <w:r w:rsidRPr="005D0703">
              <w:rPr>
                <w:rFonts w:eastAsia="Calibri" w:cs="Times New Roman"/>
                <w:sz w:val="20"/>
                <w:szCs w:val="20"/>
              </w:rPr>
              <w:t>)(</w:t>
            </w:r>
            <w:proofErr w:type="gramEnd"/>
            <w:r w:rsidRPr="005D0703">
              <w:rPr>
                <w:rFonts w:eastAsia="Calibri" w:cs="Times New Roman"/>
                <w:sz w:val="20"/>
                <w:szCs w:val="20"/>
              </w:rPr>
              <w:t xml:space="preserve">b)(iii) of the </w:t>
            </w:r>
            <w:r w:rsidRPr="005D0703">
              <w:rPr>
                <w:rFonts w:eastAsia="Calibri" w:cs="Times New Roman"/>
                <w:i/>
                <w:sz w:val="20"/>
                <w:szCs w:val="20"/>
              </w:rPr>
              <w:t>Criminal Code</w:t>
            </w:r>
            <w:r w:rsidRPr="005D0703">
              <w:rPr>
                <w:rFonts w:eastAsia="Calibri" w:cs="Times New Roman"/>
                <w:sz w:val="20"/>
                <w:szCs w:val="20"/>
              </w:rPr>
              <w:t xml:space="preserve"> — Whether there are any issues of public importance raised.</w:t>
            </w:r>
          </w:p>
        </w:tc>
      </w:tr>
      <w:tr w:rsidR="00684B83" w:rsidRPr="005D0703" w:rsidTr="00684B83">
        <w:tc>
          <w:tcPr>
            <w:tcW w:w="5000" w:type="pct"/>
            <w:gridSpan w:val="3"/>
          </w:tcPr>
          <w:p w:rsidR="00684B83" w:rsidRPr="005D0703" w:rsidRDefault="00684B83" w:rsidP="00684B83">
            <w:pPr>
              <w:jc w:val="both"/>
              <w:rPr>
                <w:rFonts w:eastAsia="Calibri" w:cs="Times New Roman"/>
                <w:sz w:val="20"/>
                <w:szCs w:val="20"/>
              </w:rPr>
            </w:pPr>
          </w:p>
        </w:tc>
      </w:tr>
      <w:tr w:rsidR="00684B83" w:rsidRPr="005D0703" w:rsidTr="00684B83">
        <w:tc>
          <w:tcPr>
            <w:tcW w:w="5000" w:type="pct"/>
            <w:gridSpan w:val="3"/>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One evening, applicant was with Mr. Kirk and others driving around.  The applicant called Mr. Sullivan and arranged to meet him.  The applicant became increasingly angry at Mr. Sullivan about some allegedly adulterated crack he had sold him, and the fact that Mr. Sullivan had brought other men to this meeting.  The applicant thought that Mr. Sullivan had tried to “set him up”.  During the evening, the applicant violently assaulted Mr. Sullivan.  Eventually the applicant drove off with Messrs. Kirk and Sullivan.  Mr. Kirk testified that the applicant acted alone in the killing of Mr. Sullivan by slitting his throat and stabbing him.  The applicant was convicted of first degree murder of Mr. Sullivan after a trial by judge and jury.</w:t>
            </w:r>
          </w:p>
          <w:p w:rsidR="00684B83" w:rsidRPr="005D0703" w:rsidRDefault="00684B83" w:rsidP="00684B83">
            <w:pPr>
              <w:jc w:val="both"/>
              <w:rPr>
                <w:rFonts w:eastAsia="Calibri" w:cs="Times New Roman"/>
                <w:sz w:val="20"/>
                <w:szCs w:val="20"/>
              </w:rPr>
            </w:pPr>
          </w:p>
        </w:tc>
      </w:tr>
      <w:tr w:rsidR="00684B83" w:rsidRPr="005D0703" w:rsidTr="00684B83">
        <w:tc>
          <w:tcPr>
            <w:tcW w:w="2427"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March 18, 2009</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Ontario Superior Court of Justice</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(Hockin J.)</w:t>
            </w:r>
          </w:p>
          <w:p w:rsidR="00684B83" w:rsidRPr="005D0703" w:rsidRDefault="00684B83" w:rsidP="00684B83">
            <w:pPr>
              <w:jc w:val="both"/>
              <w:rPr>
                <w:rFonts w:eastAsia="Calibri" w:cs="Times New Roman"/>
                <w:sz w:val="20"/>
                <w:szCs w:val="20"/>
              </w:rPr>
            </w:pPr>
          </w:p>
        </w:tc>
        <w:tc>
          <w:tcPr>
            <w:tcW w:w="243" w:type="pct"/>
          </w:tcPr>
          <w:p w:rsidR="00684B83" w:rsidRPr="005D0703" w:rsidRDefault="00684B83" w:rsidP="00684B83">
            <w:pPr>
              <w:jc w:val="both"/>
              <w:rPr>
                <w:rFonts w:eastAsia="Calibri" w:cs="Times New Roman"/>
                <w:sz w:val="20"/>
                <w:szCs w:val="20"/>
              </w:rPr>
            </w:pPr>
          </w:p>
        </w:tc>
        <w:tc>
          <w:tcPr>
            <w:tcW w:w="2330"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Conviction: first degree murder</w:t>
            </w:r>
          </w:p>
          <w:p w:rsidR="00684B83" w:rsidRPr="005D0703" w:rsidRDefault="00684B83" w:rsidP="00684B83">
            <w:pPr>
              <w:jc w:val="both"/>
              <w:rPr>
                <w:rFonts w:eastAsia="Calibri" w:cs="Times New Roman"/>
                <w:sz w:val="20"/>
                <w:szCs w:val="20"/>
              </w:rPr>
            </w:pPr>
          </w:p>
        </w:tc>
      </w:tr>
      <w:tr w:rsidR="00684B83" w:rsidRPr="005D0703" w:rsidTr="00684B83">
        <w:tc>
          <w:tcPr>
            <w:tcW w:w="2427"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December 20, 2010</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Court of Appeal for Ontario</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 xml:space="preserve">(Feldman, Simmons, </w:t>
            </w:r>
            <w:proofErr w:type="gramStart"/>
            <w:r w:rsidRPr="005D0703">
              <w:rPr>
                <w:rFonts w:eastAsia="Calibri" w:cs="Times New Roman"/>
                <w:sz w:val="20"/>
                <w:szCs w:val="20"/>
              </w:rPr>
              <w:t>Epstein  JJ.A</w:t>
            </w:r>
            <w:proofErr w:type="gramEnd"/>
            <w:r w:rsidRPr="005D0703">
              <w:rPr>
                <w:rFonts w:eastAsia="Calibri" w:cs="Times New Roman"/>
                <w:sz w:val="20"/>
                <w:szCs w:val="20"/>
              </w:rPr>
              <w:t>.)</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2010 ONCA 874</w:t>
            </w:r>
          </w:p>
          <w:p w:rsidR="00684B83" w:rsidRPr="005D0703" w:rsidRDefault="00684B83" w:rsidP="00684B83">
            <w:pPr>
              <w:jc w:val="both"/>
              <w:rPr>
                <w:rFonts w:eastAsia="Calibri" w:cs="Times New Roman"/>
                <w:sz w:val="20"/>
                <w:szCs w:val="20"/>
              </w:rPr>
            </w:pPr>
          </w:p>
        </w:tc>
        <w:tc>
          <w:tcPr>
            <w:tcW w:w="243" w:type="pct"/>
          </w:tcPr>
          <w:p w:rsidR="00684B83" w:rsidRPr="005D0703" w:rsidRDefault="00684B83" w:rsidP="00684B83">
            <w:pPr>
              <w:jc w:val="both"/>
              <w:rPr>
                <w:rFonts w:eastAsia="Calibri" w:cs="Times New Roman"/>
                <w:sz w:val="20"/>
                <w:szCs w:val="20"/>
              </w:rPr>
            </w:pPr>
          </w:p>
        </w:tc>
        <w:tc>
          <w:tcPr>
            <w:tcW w:w="2330"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Appeal from conviction dismissed</w:t>
            </w:r>
          </w:p>
          <w:p w:rsidR="00684B83" w:rsidRPr="005D0703" w:rsidRDefault="00684B83" w:rsidP="00684B83">
            <w:pPr>
              <w:jc w:val="both"/>
              <w:rPr>
                <w:rFonts w:eastAsia="Calibri" w:cs="Times New Roman"/>
                <w:sz w:val="20"/>
                <w:szCs w:val="20"/>
              </w:rPr>
            </w:pPr>
          </w:p>
        </w:tc>
      </w:tr>
      <w:tr w:rsidR="00684B83" w:rsidRPr="005D0703" w:rsidTr="00684B83">
        <w:trPr>
          <w:trHeight w:val="1008"/>
        </w:trPr>
        <w:tc>
          <w:tcPr>
            <w:tcW w:w="2427"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June 8, 2011</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Supreme Court of Canada</w:t>
            </w:r>
          </w:p>
          <w:p w:rsidR="00684B83" w:rsidRPr="005D0703" w:rsidRDefault="00684B83" w:rsidP="00684B83">
            <w:pPr>
              <w:jc w:val="both"/>
              <w:rPr>
                <w:rFonts w:eastAsia="Calibri" w:cs="Times New Roman"/>
                <w:sz w:val="20"/>
                <w:szCs w:val="20"/>
              </w:rPr>
            </w:pPr>
          </w:p>
        </w:tc>
        <w:tc>
          <w:tcPr>
            <w:tcW w:w="243" w:type="pct"/>
          </w:tcPr>
          <w:p w:rsidR="00684B83" w:rsidRPr="005D0703" w:rsidRDefault="00684B83" w:rsidP="00684B83">
            <w:pPr>
              <w:jc w:val="both"/>
              <w:rPr>
                <w:rFonts w:eastAsia="Calibri" w:cs="Times New Roman"/>
                <w:sz w:val="20"/>
                <w:szCs w:val="20"/>
              </w:rPr>
            </w:pPr>
          </w:p>
        </w:tc>
        <w:tc>
          <w:tcPr>
            <w:tcW w:w="2330"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 xml:space="preserve">Motion to extend time to serve and file application for leave to appeal and application for leave to appeal filed by the applicant </w:t>
            </w:r>
          </w:p>
          <w:p w:rsidR="00684B83" w:rsidRPr="005D0703" w:rsidRDefault="00684B83" w:rsidP="00684B83">
            <w:pPr>
              <w:jc w:val="both"/>
              <w:rPr>
                <w:rFonts w:eastAsia="Calibri" w:cs="Times New Roman"/>
                <w:sz w:val="20"/>
                <w:szCs w:val="20"/>
              </w:rPr>
            </w:pPr>
          </w:p>
        </w:tc>
      </w:tr>
      <w:tr w:rsidR="00684B83" w:rsidRPr="005D0703" w:rsidTr="00587178">
        <w:trPr>
          <w:trHeight w:val="20"/>
        </w:trPr>
        <w:tc>
          <w:tcPr>
            <w:tcW w:w="2427" w:type="pct"/>
          </w:tcPr>
          <w:p w:rsidR="00684B83" w:rsidRPr="005D0703" w:rsidRDefault="00684B83" w:rsidP="00684B83">
            <w:pPr>
              <w:jc w:val="both"/>
              <w:rPr>
                <w:rFonts w:eastAsia="Calibri" w:cs="Times New Roman"/>
                <w:sz w:val="20"/>
                <w:szCs w:val="20"/>
              </w:rPr>
            </w:pPr>
            <w:r w:rsidRPr="005D0703">
              <w:rPr>
                <w:rFonts w:eastAsia="Calibri" w:cs="Times New Roman"/>
                <w:sz w:val="20"/>
                <w:szCs w:val="20"/>
              </w:rPr>
              <w:t>September 22, 2011</w:t>
            </w:r>
          </w:p>
          <w:p w:rsidR="00684B83" w:rsidRPr="005D0703" w:rsidRDefault="00684B83" w:rsidP="00684B83">
            <w:pPr>
              <w:jc w:val="both"/>
              <w:rPr>
                <w:rFonts w:eastAsia="Calibri" w:cs="Times New Roman"/>
                <w:sz w:val="20"/>
                <w:szCs w:val="20"/>
              </w:rPr>
            </w:pPr>
            <w:r w:rsidRPr="005D0703">
              <w:rPr>
                <w:rFonts w:eastAsia="Calibri" w:cs="Times New Roman"/>
                <w:sz w:val="20"/>
                <w:szCs w:val="20"/>
              </w:rPr>
              <w:t>Supreme Court of Canada</w:t>
            </w:r>
          </w:p>
          <w:p w:rsidR="00684B83" w:rsidRPr="005D0703" w:rsidRDefault="00684B83" w:rsidP="00684B83">
            <w:pPr>
              <w:jc w:val="both"/>
              <w:rPr>
                <w:rFonts w:eastAsia="Calibri" w:cs="Times New Roman"/>
                <w:sz w:val="20"/>
                <w:szCs w:val="20"/>
              </w:rPr>
            </w:pPr>
          </w:p>
        </w:tc>
        <w:tc>
          <w:tcPr>
            <w:tcW w:w="243" w:type="pct"/>
          </w:tcPr>
          <w:p w:rsidR="00684B83" w:rsidRPr="005D0703" w:rsidRDefault="00684B83" w:rsidP="00684B83">
            <w:pPr>
              <w:jc w:val="both"/>
              <w:rPr>
                <w:rFonts w:eastAsia="Calibri" w:cs="Times New Roman"/>
                <w:sz w:val="20"/>
                <w:szCs w:val="20"/>
              </w:rPr>
            </w:pPr>
          </w:p>
        </w:tc>
        <w:tc>
          <w:tcPr>
            <w:tcW w:w="2330" w:type="pct"/>
          </w:tcPr>
          <w:p w:rsidR="00684B83" w:rsidRPr="005D0703" w:rsidRDefault="00684B83" w:rsidP="00587178">
            <w:pPr>
              <w:jc w:val="both"/>
              <w:rPr>
                <w:rFonts w:eastAsia="Calibri" w:cs="Times New Roman"/>
                <w:sz w:val="20"/>
                <w:szCs w:val="20"/>
              </w:rPr>
            </w:pPr>
            <w:r w:rsidRPr="005D0703">
              <w:rPr>
                <w:rFonts w:eastAsia="Calibri" w:cs="Times New Roman"/>
                <w:sz w:val="20"/>
                <w:szCs w:val="20"/>
              </w:rPr>
              <w:t>Motion to appoint counsel, motion to serve and file amended application for leave to appeal and motion to extend time to serve and file amended application for leave to appeal filed by counsel</w:t>
            </w:r>
          </w:p>
        </w:tc>
      </w:tr>
    </w:tbl>
    <w:p w:rsidR="00AE75EC" w:rsidRPr="005D0703" w:rsidRDefault="00AE75EC" w:rsidP="00692BC9">
      <w:pPr>
        <w:rPr>
          <w:rFonts w:cs="Times New Roman"/>
          <w:sz w:val="20"/>
          <w:szCs w:val="20"/>
        </w:rPr>
      </w:pPr>
    </w:p>
    <w:p w:rsidR="00032F73" w:rsidRPr="005D0703" w:rsidRDefault="008A6550" w:rsidP="00032F73">
      <w:pPr>
        <w:rPr>
          <w:rFonts w:cs="Times New Roman"/>
          <w:sz w:val="20"/>
          <w:szCs w:val="20"/>
        </w:rPr>
      </w:pPr>
      <w:r w:rsidRPr="008A6550">
        <w:rPr>
          <w:rFonts w:cs="Times New Roman"/>
          <w:sz w:val="20"/>
          <w:szCs w:val="20"/>
          <w:lang w:val="fr-CA"/>
        </w:rPr>
        <w:pict>
          <v:rect id="_x0000_i1048" style="width:2in;height:1pt" o:hrpct="0" o:hralign="center" o:hrstd="t" o:hrnoshade="t" o:hr="t" fillcolor="black [3213]" stroked="f"/>
        </w:pict>
      </w:r>
    </w:p>
    <w:p w:rsidR="00032F73" w:rsidRPr="005D0703" w:rsidRDefault="00032F73" w:rsidP="00032F73">
      <w:pPr>
        <w:rPr>
          <w:rFonts w:cs="Times New Roman"/>
          <w:sz w:val="20"/>
          <w:szCs w:val="20"/>
        </w:rPr>
      </w:pPr>
    </w:p>
    <w:p w:rsidR="00032F73" w:rsidRPr="005D0703" w:rsidRDefault="00032F73" w:rsidP="00032F73">
      <w:pPr>
        <w:rPr>
          <w:rFonts w:cs="Times New Roman"/>
          <w:sz w:val="20"/>
          <w:szCs w:val="20"/>
          <w:u w:val="single"/>
          <w:lang w:val="fr-CA"/>
        </w:rPr>
      </w:pPr>
      <w:r w:rsidRPr="005D0703">
        <w:rPr>
          <w:rFonts w:cs="Times New Roman"/>
          <w:sz w:val="20"/>
          <w:szCs w:val="20"/>
          <w:u w:val="single"/>
          <w:lang w:val="fr-CA"/>
        </w:rPr>
        <w:t>RÉSUMÉ DE L’AFFAIRE</w:t>
      </w:r>
    </w:p>
    <w:p w:rsidR="00032F73" w:rsidRPr="005D0703" w:rsidRDefault="00032F73" w:rsidP="00032F73">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032F73" w:rsidRPr="0032335B" w:rsidTr="00032F73">
        <w:tc>
          <w:tcPr>
            <w:tcW w:w="5000" w:type="pct"/>
            <w:gridSpan w:val="3"/>
          </w:tcPr>
          <w:p w:rsidR="00032F73" w:rsidRPr="005D0703" w:rsidRDefault="00032F73" w:rsidP="00032F73">
            <w:pPr>
              <w:jc w:val="both"/>
              <w:rPr>
                <w:rFonts w:eastAsia="Calibri" w:cs="Times New Roman"/>
                <w:smallCaps/>
                <w:sz w:val="20"/>
                <w:szCs w:val="20"/>
                <w:lang w:val="fr-CA"/>
              </w:rPr>
            </w:pPr>
            <w:r w:rsidRPr="005D0703">
              <w:rPr>
                <w:rFonts w:eastAsia="Calibri" w:cs="Times New Roman"/>
                <w:smallCaps/>
                <w:sz w:val="20"/>
                <w:szCs w:val="20"/>
                <w:lang w:val="fr-CA"/>
              </w:rPr>
              <w:t>(Ordonnance de non</w:t>
            </w:r>
            <w:r w:rsidRPr="005D0703">
              <w:rPr>
                <w:rFonts w:eastAsia="Calibri" w:cs="Times New Roman"/>
                <w:smallCaps/>
                <w:sz w:val="20"/>
                <w:szCs w:val="20"/>
                <w:lang w:val="fr-CA"/>
              </w:rPr>
              <w:noBreakHyphen/>
              <w:t>publication dans le dossier)</w:t>
            </w:r>
          </w:p>
          <w:p w:rsidR="00032F73" w:rsidRPr="005D0703" w:rsidRDefault="00032F73" w:rsidP="00032F73">
            <w:pPr>
              <w:jc w:val="both"/>
              <w:rPr>
                <w:rFonts w:eastAsia="Calibri" w:cs="Times New Roman"/>
                <w:sz w:val="20"/>
                <w:szCs w:val="20"/>
                <w:lang w:val="fr-CA"/>
              </w:rPr>
            </w:pPr>
          </w:p>
          <w:p w:rsidR="00032F73" w:rsidRDefault="00032F73" w:rsidP="00032F73">
            <w:pPr>
              <w:jc w:val="both"/>
              <w:rPr>
                <w:rFonts w:eastAsia="Calibri" w:cs="Times New Roman"/>
                <w:sz w:val="20"/>
                <w:szCs w:val="20"/>
                <w:lang w:val="fr-CA"/>
              </w:rPr>
            </w:pPr>
            <w:r w:rsidRPr="005D0703">
              <w:rPr>
                <w:rFonts w:eastAsia="Calibri" w:cs="Times New Roman"/>
                <w:sz w:val="20"/>
                <w:szCs w:val="20"/>
                <w:lang w:val="fr-CA"/>
              </w:rPr>
              <w:t>Droit criminel — Exposé au jury — Preuve — Admissibilité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eu tort de conclure que la preuve de mauvaise moralité avait été admise à bon droit au procès?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eu tort de conclure que la preuve de mauvaise moralité avait été traitée à bon droit dans l'exposé au jury?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commis une erreur dans son application de la disposition réparatrice du sous</w:t>
            </w:r>
            <w:r w:rsidRPr="005D0703">
              <w:rPr>
                <w:rFonts w:eastAsia="Calibri" w:cs="Times New Roman"/>
                <w:sz w:val="20"/>
                <w:szCs w:val="20"/>
                <w:lang w:val="fr-CA"/>
              </w:rPr>
              <w:noBreakHyphen/>
              <w:t>al. 686(1)</w:t>
            </w:r>
            <w:r w:rsidRPr="005D0703">
              <w:rPr>
                <w:rFonts w:eastAsia="Calibri" w:cs="Times New Roman"/>
                <w:i/>
                <w:sz w:val="20"/>
                <w:szCs w:val="20"/>
                <w:lang w:val="fr-CA"/>
              </w:rPr>
              <w:t>b</w:t>
            </w:r>
            <w:proofErr w:type="gramStart"/>
            <w:r w:rsidRPr="005D0703">
              <w:rPr>
                <w:rFonts w:eastAsia="Calibri" w:cs="Times New Roman"/>
                <w:sz w:val="20"/>
                <w:szCs w:val="20"/>
                <w:lang w:val="fr-CA"/>
              </w:rPr>
              <w:t>)(</w:t>
            </w:r>
            <w:proofErr w:type="gramEnd"/>
            <w:r w:rsidRPr="005D0703">
              <w:rPr>
                <w:rFonts w:eastAsia="Calibri" w:cs="Times New Roman"/>
                <w:sz w:val="20"/>
                <w:szCs w:val="20"/>
                <w:lang w:val="fr-CA"/>
              </w:rPr>
              <w:t>iii) du</w:t>
            </w:r>
            <w:r w:rsidRPr="005D0703">
              <w:rPr>
                <w:rFonts w:eastAsia="Calibri" w:cs="Times New Roman"/>
                <w:i/>
                <w:sz w:val="20"/>
                <w:szCs w:val="20"/>
                <w:lang w:val="fr-CA"/>
              </w:rPr>
              <w:t xml:space="preserve"> Code criminel</w:t>
            </w:r>
            <w:r w:rsidRPr="005D0703">
              <w:rPr>
                <w:rFonts w:eastAsia="Calibri" w:cs="Times New Roman"/>
                <w:sz w:val="20"/>
                <w:szCs w:val="20"/>
                <w:lang w:val="fr-CA"/>
              </w:rPr>
              <w:t>?</w:t>
            </w:r>
            <w:r w:rsidRPr="005D0703">
              <w:rPr>
                <w:rFonts w:eastAsia="Calibri" w:cs="Times New Roman"/>
                <w:i/>
                <w:sz w:val="20"/>
                <w:szCs w:val="20"/>
                <w:lang w:val="fr-CA"/>
              </w:rPr>
              <w:t xml:space="preserve"> </w:t>
            </w:r>
            <w:r w:rsidRPr="005D0703">
              <w:rPr>
                <w:rFonts w:eastAsia="Calibri" w:cs="Times New Roman"/>
                <w:sz w:val="20"/>
                <w:szCs w:val="20"/>
                <w:lang w:val="fr-CA"/>
              </w:rPr>
              <w:t>— L'affaire soulève</w:t>
            </w:r>
            <w:r w:rsidRPr="005D0703">
              <w:rPr>
                <w:rFonts w:eastAsia="Calibri" w:cs="Times New Roman"/>
                <w:sz w:val="20"/>
                <w:szCs w:val="20"/>
                <w:lang w:val="fr-CA"/>
              </w:rPr>
              <w:noBreakHyphen/>
              <w:t>t</w:t>
            </w:r>
            <w:r w:rsidRPr="005D0703">
              <w:rPr>
                <w:rFonts w:eastAsia="Calibri" w:cs="Times New Roman"/>
                <w:sz w:val="20"/>
                <w:szCs w:val="20"/>
                <w:lang w:val="fr-CA"/>
              </w:rPr>
              <w:noBreakHyphen/>
              <w:t>elle des questions d'importance pour le public?</w:t>
            </w:r>
          </w:p>
          <w:p w:rsidR="00587178" w:rsidRPr="005D0703" w:rsidRDefault="00587178" w:rsidP="00032F73">
            <w:pPr>
              <w:jc w:val="both"/>
              <w:rPr>
                <w:rFonts w:eastAsia="Calibri" w:cs="Times New Roman"/>
                <w:sz w:val="20"/>
                <w:szCs w:val="20"/>
                <w:lang w:val="fr-CA"/>
              </w:rPr>
            </w:pPr>
          </w:p>
        </w:tc>
      </w:tr>
      <w:tr w:rsidR="00032F73" w:rsidRPr="00C04C40" w:rsidTr="00032F73">
        <w:tc>
          <w:tcPr>
            <w:tcW w:w="5000" w:type="pct"/>
            <w:gridSpan w:val="3"/>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Un soir, le demandeur se promenait en voiture avec M. Kirk et d'autres personnes.  Le demandeur a appelé M. Sullivan et a pris rendez</w:t>
            </w:r>
            <w:r w:rsidRPr="005D0703">
              <w:rPr>
                <w:rFonts w:eastAsia="Calibri" w:cs="Times New Roman"/>
                <w:sz w:val="20"/>
                <w:szCs w:val="20"/>
                <w:lang w:val="fr-CA"/>
              </w:rPr>
              <w:noBreakHyphen/>
              <w:t>vous avec lui.  Le demandeur est devenu de plus en plus fâché contre M. Sullivan au sujet de cocaïne épurée qui aurait censément été altérée et parce que M. Sullivan avait amené d'autres hommes à la réunion.  Le demandeur croyait que M. Sullivan avait tenté de lui tendre un piège.  Au cours de la soirée, le demandeur a violemment agressé M. Sullivan.  Le demandeur a fini par quitter les lieux en voiture avec MM. Kirk et Sullivan.  Dans son témoignage, M. Kirk a affirmé que le demandeur avait agi seul en tuant M. Sullivan en lui tranchant la gorge et en le poignardant.  Le demandeur a été déclaré coupable du meurtre au premier degré de M. Sullivan au terme d'un procès devant juge et jury.</w:t>
            </w:r>
          </w:p>
          <w:p w:rsidR="00032F73" w:rsidRPr="005D0703" w:rsidRDefault="00032F73" w:rsidP="00032F73">
            <w:pPr>
              <w:jc w:val="both"/>
              <w:rPr>
                <w:rFonts w:eastAsia="Calibri" w:cs="Times New Roman"/>
                <w:sz w:val="20"/>
                <w:szCs w:val="20"/>
                <w:lang w:val="fr-CA"/>
              </w:rPr>
            </w:pPr>
          </w:p>
        </w:tc>
      </w:tr>
      <w:tr w:rsidR="00032F73" w:rsidRPr="00C04C40" w:rsidTr="00032F73">
        <w:tc>
          <w:tcPr>
            <w:tcW w:w="2427"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18 mars 2009</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(Juge Hockin)</w:t>
            </w:r>
          </w:p>
          <w:p w:rsidR="00032F73" w:rsidRPr="005D0703" w:rsidRDefault="00032F73" w:rsidP="00032F73">
            <w:pPr>
              <w:jc w:val="both"/>
              <w:rPr>
                <w:rFonts w:eastAsia="Calibri" w:cs="Times New Roman"/>
                <w:sz w:val="20"/>
                <w:szCs w:val="20"/>
                <w:lang w:val="fr-CA"/>
              </w:rPr>
            </w:pPr>
          </w:p>
        </w:tc>
        <w:tc>
          <w:tcPr>
            <w:tcW w:w="243" w:type="pct"/>
          </w:tcPr>
          <w:p w:rsidR="00032F73" w:rsidRPr="005D0703" w:rsidRDefault="00032F73" w:rsidP="00032F73">
            <w:pPr>
              <w:jc w:val="both"/>
              <w:rPr>
                <w:rFonts w:eastAsia="Calibri" w:cs="Times New Roman"/>
                <w:sz w:val="20"/>
                <w:szCs w:val="20"/>
                <w:lang w:val="fr-CA"/>
              </w:rPr>
            </w:pPr>
          </w:p>
        </w:tc>
        <w:tc>
          <w:tcPr>
            <w:tcW w:w="2330"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Déclaration de culpabilité : meurtre au premier degré</w:t>
            </w:r>
          </w:p>
          <w:p w:rsidR="00032F73" w:rsidRPr="005D0703" w:rsidRDefault="00032F73" w:rsidP="00032F73">
            <w:pPr>
              <w:jc w:val="both"/>
              <w:rPr>
                <w:rFonts w:eastAsia="Calibri" w:cs="Times New Roman"/>
                <w:sz w:val="20"/>
                <w:szCs w:val="20"/>
                <w:lang w:val="fr-CA"/>
              </w:rPr>
            </w:pPr>
          </w:p>
        </w:tc>
      </w:tr>
      <w:tr w:rsidR="00032F73" w:rsidRPr="00C04C40" w:rsidTr="00032F73">
        <w:tc>
          <w:tcPr>
            <w:tcW w:w="2427"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20 décembre 2010</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 xml:space="preserve">Cour d'appel de l'Ontario </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(Juges Feldman, Simmons et Epstein)</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2010 ONCA 874</w:t>
            </w:r>
          </w:p>
          <w:p w:rsidR="00032F73" w:rsidRPr="005D0703" w:rsidRDefault="00032F73" w:rsidP="00032F73">
            <w:pPr>
              <w:jc w:val="both"/>
              <w:rPr>
                <w:rFonts w:eastAsia="Calibri" w:cs="Times New Roman"/>
                <w:sz w:val="20"/>
                <w:szCs w:val="20"/>
                <w:lang w:val="fr-CA"/>
              </w:rPr>
            </w:pPr>
          </w:p>
        </w:tc>
        <w:tc>
          <w:tcPr>
            <w:tcW w:w="243" w:type="pct"/>
          </w:tcPr>
          <w:p w:rsidR="00032F73" w:rsidRPr="005D0703" w:rsidRDefault="00032F73" w:rsidP="00032F73">
            <w:pPr>
              <w:jc w:val="both"/>
              <w:rPr>
                <w:rFonts w:eastAsia="Calibri" w:cs="Times New Roman"/>
                <w:sz w:val="20"/>
                <w:szCs w:val="20"/>
                <w:lang w:val="fr-CA"/>
              </w:rPr>
            </w:pPr>
          </w:p>
        </w:tc>
        <w:tc>
          <w:tcPr>
            <w:tcW w:w="2330"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Appel de la déclaration de culpabilité, rejeté</w:t>
            </w:r>
          </w:p>
          <w:p w:rsidR="00032F73" w:rsidRPr="005D0703" w:rsidRDefault="00032F73" w:rsidP="00032F73">
            <w:pPr>
              <w:jc w:val="both"/>
              <w:rPr>
                <w:rFonts w:eastAsia="Calibri" w:cs="Times New Roman"/>
                <w:sz w:val="20"/>
                <w:szCs w:val="20"/>
                <w:lang w:val="fr-CA"/>
              </w:rPr>
            </w:pPr>
          </w:p>
        </w:tc>
      </w:tr>
      <w:tr w:rsidR="00032F73" w:rsidRPr="00C04C40" w:rsidTr="00587178">
        <w:trPr>
          <w:trHeight w:val="20"/>
        </w:trPr>
        <w:tc>
          <w:tcPr>
            <w:tcW w:w="2427"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8 juin 2011</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Cour suprême du Canada</w:t>
            </w:r>
          </w:p>
          <w:p w:rsidR="00032F73" w:rsidRPr="005D0703" w:rsidRDefault="00032F73" w:rsidP="00032F73">
            <w:pPr>
              <w:jc w:val="both"/>
              <w:rPr>
                <w:rFonts w:eastAsia="Calibri" w:cs="Times New Roman"/>
                <w:sz w:val="20"/>
                <w:szCs w:val="20"/>
                <w:lang w:val="fr-CA"/>
              </w:rPr>
            </w:pPr>
          </w:p>
        </w:tc>
        <w:tc>
          <w:tcPr>
            <w:tcW w:w="243" w:type="pct"/>
          </w:tcPr>
          <w:p w:rsidR="00032F73" w:rsidRPr="005D0703" w:rsidRDefault="00032F73" w:rsidP="00032F73">
            <w:pPr>
              <w:jc w:val="both"/>
              <w:rPr>
                <w:rFonts w:eastAsia="Calibri" w:cs="Times New Roman"/>
                <w:sz w:val="20"/>
                <w:szCs w:val="20"/>
                <w:lang w:val="fr-CA"/>
              </w:rPr>
            </w:pPr>
          </w:p>
          <w:p w:rsidR="00032F73" w:rsidRPr="005D0703" w:rsidRDefault="00032F73" w:rsidP="00032F73">
            <w:pPr>
              <w:jc w:val="both"/>
              <w:rPr>
                <w:rFonts w:eastAsia="Calibri" w:cs="Times New Roman"/>
                <w:sz w:val="20"/>
                <w:szCs w:val="20"/>
                <w:lang w:val="fr-CA"/>
              </w:rPr>
            </w:pPr>
          </w:p>
          <w:p w:rsidR="00032F73" w:rsidRPr="005D0703" w:rsidRDefault="00032F73" w:rsidP="00032F73">
            <w:pPr>
              <w:jc w:val="both"/>
              <w:rPr>
                <w:rFonts w:eastAsia="Calibri" w:cs="Times New Roman"/>
                <w:sz w:val="20"/>
                <w:szCs w:val="20"/>
                <w:lang w:val="fr-CA"/>
              </w:rPr>
            </w:pPr>
          </w:p>
        </w:tc>
        <w:tc>
          <w:tcPr>
            <w:tcW w:w="2330"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Requête en prorogation du délai de signification et de dépôt de la demande d'autorisation d'appel et demande d'autorisation d'appel, déposées par le demandeur</w:t>
            </w:r>
          </w:p>
          <w:p w:rsidR="00032F73" w:rsidRPr="005D0703" w:rsidRDefault="00032F73" w:rsidP="00032F73">
            <w:pPr>
              <w:jc w:val="both"/>
              <w:rPr>
                <w:rFonts w:eastAsia="Calibri" w:cs="Times New Roman"/>
                <w:sz w:val="20"/>
                <w:szCs w:val="20"/>
                <w:lang w:val="fr-CA"/>
              </w:rPr>
            </w:pPr>
          </w:p>
        </w:tc>
      </w:tr>
      <w:tr w:rsidR="00032F73" w:rsidRPr="00C04C40" w:rsidTr="00587178">
        <w:trPr>
          <w:trHeight w:val="20"/>
        </w:trPr>
        <w:tc>
          <w:tcPr>
            <w:tcW w:w="2427"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22 septembre 2011</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032F73" w:rsidRPr="005D0703" w:rsidRDefault="00032F73" w:rsidP="00032F73">
            <w:pPr>
              <w:jc w:val="both"/>
              <w:rPr>
                <w:rFonts w:eastAsia="Calibri" w:cs="Times New Roman"/>
                <w:sz w:val="20"/>
                <w:szCs w:val="20"/>
                <w:lang w:val="fr-CA"/>
              </w:rPr>
            </w:pPr>
          </w:p>
        </w:tc>
        <w:tc>
          <w:tcPr>
            <w:tcW w:w="2330"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Requête en nomination d’un procureur, requête en signification et en dépôt d’une demande d'autorisation d'appel modifiée et requête en prorogation du délai de signification et de dépôt de la demande d'autorisation d'appel modifiée, déposées par l'avocat du demandeur</w:t>
            </w:r>
          </w:p>
          <w:p w:rsidR="00032F73" w:rsidRPr="005D0703" w:rsidRDefault="00032F73" w:rsidP="00032F73">
            <w:pPr>
              <w:jc w:val="both"/>
              <w:rPr>
                <w:rFonts w:eastAsia="Calibri" w:cs="Times New Roman"/>
                <w:sz w:val="20"/>
                <w:szCs w:val="20"/>
                <w:lang w:val="fr-CA"/>
              </w:rPr>
            </w:pPr>
          </w:p>
        </w:tc>
      </w:tr>
    </w:tbl>
    <w:p w:rsidR="00AE75EC" w:rsidRPr="005D0703" w:rsidRDefault="00AE75EC" w:rsidP="00692BC9">
      <w:pPr>
        <w:rPr>
          <w:rFonts w:cs="Times New Roman"/>
          <w:sz w:val="20"/>
          <w:szCs w:val="20"/>
          <w:lang w:val="fr-CA"/>
        </w:rPr>
      </w:pPr>
    </w:p>
    <w:p w:rsidR="00032F73" w:rsidRPr="005D0703" w:rsidRDefault="008A6550" w:rsidP="00032F73">
      <w:pPr>
        <w:rPr>
          <w:rFonts w:cs="Times New Roman"/>
          <w:sz w:val="20"/>
          <w:szCs w:val="20"/>
        </w:rPr>
      </w:pPr>
      <w:r w:rsidRPr="008A6550">
        <w:rPr>
          <w:rFonts w:cs="Times New Roman"/>
          <w:sz w:val="20"/>
          <w:szCs w:val="20"/>
          <w:lang w:val="fr-CA"/>
        </w:rPr>
        <w:pict>
          <v:rect id="_x0000_i1049" style="width:2in;height:1pt" o:hrpct="0" o:hralign="center" o:hrstd="t" o:hrnoshade="t" o:hr="t" fillcolor="black [3213]" stroked="f"/>
        </w:pict>
      </w:r>
    </w:p>
    <w:p w:rsidR="00032F73" w:rsidRPr="005D0703" w:rsidRDefault="00032F73" w:rsidP="00032F73">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33176" w:rsidRPr="005D0703" w:rsidTr="00533176">
        <w:trPr>
          <w:cantSplit/>
        </w:trPr>
        <w:tc>
          <w:tcPr>
            <w:tcW w:w="1458" w:type="dxa"/>
          </w:tcPr>
          <w:p w:rsidR="00533176" w:rsidRPr="005D0703" w:rsidRDefault="00533176" w:rsidP="00533176">
            <w:pPr>
              <w:rPr>
                <w:rFonts w:cs="Times New Roman"/>
                <w:sz w:val="20"/>
                <w:szCs w:val="20"/>
              </w:rPr>
            </w:pPr>
            <w:r w:rsidRPr="005D0703">
              <w:rPr>
                <w:rStyle w:val="SCCFileNumberChar"/>
                <w:sz w:val="20"/>
                <w:szCs w:val="20"/>
              </w:rPr>
              <w:t>34354</w:t>
            </w:r>
          </w:p>
          <w:p w:rsidR="00533176" w:rsidRPr="005D0703" w:rsidRDefault="00533176" w:rsidP="00533176">
            <w:pPr>
              <w:rPr>
                <w:rFonts w:cs="Times New Roman"/>
                <w:b/>
                <w:sz w:val="20"/>
                <w:szCs w:val="20"/>
                <w:lang w:val="fr-CA"/>
              </w:rPr>
            </w:pPr>
          </w:p>
        </w:tc>
        <w:tc>
          <w:tcPr>
            <w:tcW w:w="8118" w:type="dxa"/>
          </w:tcPr>
          <w:p w:rsidR="00533176" w:rsidRPr="005D0703" w:rsidRDefault="00533176" w:rsidP="00533176">
            <w:pPr>
              <w:jc w:val="both"/>
              <w:rPr>
                <w:rFonts w:cs="Times New Roman"/>
                <w:sz w:val="20"/>
                <w:szCs w:val="20"/>
              </w:rPr>
            </w:pPr>
            <w:r w:rsidRPr="005D0703">
              <w:rPr>
                <w:rStyle w:val="SCCLsocChar"/>
                <w:rFonts w:cs="Times New Roman"/>
                <w:sz w:val="20"/>
                <w:szCs w:val="20"/>
              </w:rPr>
              <w:t>Erwin Gordon c. Pierre Mailloux, Société Radio-Canada, Guy-A. Lepage, Avanti Ciné Vidéo inc., Le Gars de la télé inc.</w:t>
            </w:r>
            <w:r w:rsidRPr="005D0703">
              <w:rPr>
                <w:rFonts w:cs="Times New Roman"/>
                <w:sz w:val="20"/>
                <w:szCs w:val="20"/>
                <w:lang w:val="fr-CA"/>
              </w:rPr>
              <w:t xml:space="preserve"> </w:t>
            </w:r>
            <w:r w:rsidRPr="005D0703">
              <w:rPr>
                <w:rFonts w:cs="Times New Roman"/>
                <w:sz w:val="20"/>
                <w:szCs w:val="20"/>
              </w:rPr>
              <w:t>(Qc) (Civile) (Autorisation)</w:t>
            </w:r>
          </w:p>
          <w:p w:rsidR="00533176" w:rsidRPr="005D0703" w:rsidRDefault="00533176" w:rsidP="00533176">
            <w:pPr>
              <w:rPr>
                <w:rFonts w:cs="Times New Roman"/>
                <w:sz w:val="20"/>
                <w:szCs w:val="20"/>
              </w:rPr>
            </w:pPr>
          </w:p>
        </w:tc>
      </w:tr>
      <w:tr w:rsidR="00533176" w:rsidRPr="00C04C40" w:rsidTr="00533176">
        <w:trPr>
          <w:cantSplit/>
        </w:trPr>
        <w:tc>
          <w:tcPr>
            <w:tcW w:w="1458" w:type="dxa"/>
          </w:tcPr>
          <w:p w:rsidR="00533176" w:rsidRPr="005D0703" w:rsidRDefault="00533176" w:rsidP="00533176">
            <w:pPr>
              <w:rPr>
                <w:rFonts w:cs="Times New Roman"/>
                <w:sz w:val="20"/>
                <w:szCs w:val="20"/>
              </w:rPr>
            </w:pPr>
            <w:r w:rsidRPr="005D0703">
              <w:rPr>
                <w:rFonts w:cs="Times New Roman"/>
                <w:sz w:val="20"/>
                <w:szCs w:val="20"/>
              </w:rPr>
              <w:t>Coram :</w:t>
            </w:r>
          </w:p>
        </w:tc>
        <w:tc>
          <w:tcPr>
            <w:tcW w:w="8118" w:type="dxa"/>
          </w:tcPr>
          <w:p w:rsidR="00533176" w:rsidRPr="005D0703" w:rsidRDefault="00533176" w:rsidP="00533176">
            <w:pPr>
              <w:rPr>
                <w:rFonts w:cs="Times New Roman"/>
                <w:sz w:val="20"/>
                <w:szCs w:val="20"/>
                <w:lang w:val="fr-CA"/>
              </w:rPr>
            </w:pPr>
            <w:r w:rsidRPr="005D0703">
              <w:rPr>
                <w:rStyle w:val="SCCCoramChar"/>
                <w:rFonts w:cs="Times New Roman"/>
                <w:sz w:val="20"/>
                <w:szCs w:val="20"/>
              </w:rPr>
              <w:t>Les juges LeBel, Abella et Cromwell</w:t>
            </w:r>
          </w:p>
          <w:p w:rsidR="00533176" w:rsidRPr="005D0703" w:rsidRDefault="00533176" w:rsidP="00533176">
            <w:pPr>
              <w:rPr>
                <w:rFonts w:cs="Times New Roman"/>
                <w:sz w:val="20"/>
                <w:szCs w:val="20"/>
                <w:u w:val="single"/>
                <w:lang w:val="fr-CA"/>
              </w:rPr>
            </w:pPr>
          </w:p>
        </w:tc>
      </w:tr>
      <w:tr w:rsidR="00533176" w:rsidRPr="00C04C40" w:rsidTr="00533176">
        <w:trPr>
          <w:cantSplit/>
        </w:trPr>
        <w:tc>
          <w:tcPr>
            <w:tcW w:w="9576" w:type="dxa"/>
            <w:gridSpan w:val="2"/>
          </w:tcPr>
          <w:p w:rsidR="00533176" w:rsidRPr="005D0703" w:rsidRDefault="00533176" w:rsidP="00533176">
            <w:pPr>
              <w:pStyle w:val="SCCShortJudgment"/>
              <w:rPr>
                <w:rFonts w:cs="Times New Roman"/>
                <w:szCs w:val="20"/>
                <w:lang w:val="fr-CA"/>
              </w:rPr>
            </w:pPr>
            <w:r w:rsidRPr="005D0703">
              <w:rPr>
                <w:rFonts w:cs="Times New Roman"/>
                <w:szCs w:val="20"/>
                <w:lang w:val="fr-CA"/>
              </w:rPr>
              <w:t>La requête en prorogation du délai de signification de la demande d’autorisation d’appel est accordée. La demande d’autorisation d’appel de l’arrêt de la Cour d’appel du Québec (Montréal), numéro 500-09-020077-095, 2011 QCCA 992, daté du 30 mai 2011, est rejetée avec dépens en faveur des intimés Société Radio-Canada, Guy-A. Lepage, Avanti ciné vidéo inc. et Le Gars de la télé inc.</w:t>
            </w:r>
          </w:p>
          <w:p w:rsidR="00533176" w:rsidRPr="005D0703" w:rsidRDefault="00533176" w:rsidP="00533176">
            <w:pPr>
              <w:pStyle w:val="SCCShortJudgment"/>
              <w:ind w:firstLine="0"/>
              <w:rPr>
                <w:rFonts w:cs="Times New Roman"/>
                <w:szCs w:val="20"/>
                <w:lang w:val="fr-CA"/>
              </w:rPr>
            </w:pPr>
          </w:p>
          <w:p w:rsidR="00533176" w:rsidRPr="005D0703" w:rsidRDefault="00533176" w:rsidP="00533176">
            <w:pPr>
              <w:pStyle w:val="SCCShortJudgment"/>
              <w:rPr>
                <w:rFonts w:cs="Times New Roman"/>
                <w:szCs w:val="20"/>
                <w:lang w:val="fr-CA"/>
              </w:rPr>
            </w:pPr>
            <w:r w:rsidRPr="005D0703">
              <w:rPr>
                <w:rFonts w:cs="Times New Roman"/>
                <w:szCs w:val="20"/>
              </w:rPr>
              <w:t xml:space="preserve">The motion for an extension of time to serve the application for leave to appeal is granted. The application for leave to appeal from the judgment of the Court of Appeal of Quebec (Montréal), Number 500-09-020077-095, 2011 QCCA 992, dated May 30, 2011, is dismissed with costs to the respondents Canadian Broadcasting Corporation, Guy-A. </w:t>
            </w:r>
            <w:r w:rsidRPr="005D0703">
              <w:rPr>
                <w:rFonts w:cs="Times New Roman"/>
                <w:szCs w:val="20"/>
                <w:lang w:val="fr-CA"/>
              </w:rPr>
              <w:t>Lepage, Avanti ciné vidéo inc. and Le Gars de la télé inc.</w:t>
            </w:r>
          </w:p>
        </w:tc>
      </w:tr>
    </w:tbl>
    <w:p w:rsidR="00032F73" w:rsidRPr="005D0703" w:rsidRDefault="00032F73" w:rsidP="00032F73">
      <w:pPr>
        <w:rPr>
          <w:rFonts w:cs="Times New Roman"/>
          <w:sz w:val="20"/>
          <w:szCs w:val="20"/>
          <w:lang w:val="fr-CA"/>
        </w:rPr>
      </w:pPr>
    </w:p>
    <w:p w:rsidR="00032F73" w:rsidRPr="005D0703" w:rsidRDefault="00032F73" w:rsidP="00032F73">
      <w:pPr>
        <w:rPr>
          <w:rFonts w:cs="Times New Roman"/>
          <w:sz w:val="20"/>
          <w:szCs w:val="20"/>
          <w:u w:val="single"/>
        </w:rPr>
      </w:pPr>
      <w:r w:rsidRPr="005D0703">
        <w:rPr>
          <w:rFonts w:cs="Times New Roman"/>
          <w:sz w:val="20"/>
          <w:szCs w:val="20"/>
          <w:u w:val="single"/>
        </w:rPr>
        <w:t>CASE SUMMARY</w:t>
      </w:r>
    </w:p>
    <w:p w:rsidR="00032F73" w:rsidRPr="005D0703" w:rsidRDefault="00032F73" w:rsidP="00032F73">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032F73" w:rsidRPr="005D0703" w:rsidTr="00032F73">
        <w:tc>
          <w:tcPr>
            <w:tcW w:w="5000" w:type="pct"/>
            <w:gridSpan w:val="3"/>
          </w:tcPr>
          <w:p w:rsidR="00032F73" w:rsidRDefault="00032F73" w:rsidP="00032F73">
            <w:pPr>
              <w:jc w:val="both"/>
              <w:rPr>
                <w:rFonts w:eastAsia="Calibri" w:cs="Times New Roman"/>
                <w:sz w:val="20"/>
                <w:szCs w:val="20"/>
              </w:rPr>
            </w:pPr>
            <w:r w:rsidRPr="005D0703">
              <w:rPr>
                <w:rFonts w:eastAsia="Calibri" w:cs="Times New Roman"/>
                <w:sz w:val="20"/>
                <w:szCs w:val="20"/>
              </w:rPr>
              <w:t xml:space="preserve">Civil procedure — Class action — Legal homogeneity test — Defamation — Prescription — Controversial remarks during popular show concerning selection of black slaves from America and consequent intellectual deficit — Allegation of racism — Motion to institute class action on behalf of black people of Quebec — </w:t>
            </w:r>
            <w:bookmarkStart w:id="1" w:name="OLE_LINK1"/>
            <w:bookmarkStart w:id="2" w:name="OLE_LINK2"/>
            <w:r w:rsidRPr="005D0703">
              <w:rPr>
                <w:rFonts w:eastAsia="Calibri" w:cs="Times New Roman"/>
                <w:sz w:val="20"/>
                <w:szCs w:val="20"/>
              </w:rPr>
              <w:t xml:space="preserve">Whether Court of Appeal wrongly denied presence of factors required to authorize class action — Whether action was in defamation and, if so, whether action prescribed </w:t>
            </w:r>
            <w:bookmarkEnd w:id="1"/>
            <w:bookmarkEnd w:id="2"/>
            <w:r w:rsidRPr="005D0703">
              <w:rPr>
                <w:rFonts w:eastAsia="Calibri" w:cs="Times New Roman"/>
                <w:sz w:val="20"/>
                <w:szCs w:val="20"/>
              </w:rPr>
              <w:t xml:space="preserve">— </w:t>
            </w:r>
            <w:r w:rsidRPr="005D0703">
              <w:rPr>
                <w:rFonts w:eastAsia="Calibri" w:cs="Times New Roman"/>
                <w:i/>
                <w:sz w:val="20"/>
                <w:szCs w:val="20"/>
              </w:rPr>
              <w:t>Code of Civil Procedure</w:t>
            </w:r>
            <w:r w:rsidRPr="005D0703">
              <w:rPr>
                <w:rFonts w:eastAsia="Calibri" w:cs="Times New Roman"/>
                <w:sz w:val="20"/>
                <w:szCs w:val="20"/>
              </w:rPr>
              <w:t>, R.S.Q. c. C</w:t>
            </w:r>
            <w:r w:rsidRPr="005D0703">
              <w:rPr>
                <w:rFonts w:eastAsia="Calibri" w:cs="Times New Roman"/>
                <w:sz w:val="20"/>
                <w:szCs w:val="20"/>
              </w:rPr>
              <w:noBreakHyphen/>
              <w:t xml:space="preserve">25, art. 1003 — </w:t>
            </w:r>
            <w:r w:rsidRPr="005D0703">
              <w:rPr>
                <w:rFonts w:eastAsia="Calibri" w:cs="Times New Roman"/>
                <w:i/>
                <w:sz w:val="20"/>
                <w:szCs w:val="20"/>
              </w:rPr>
              <w:t>Civil Code of Québec</w:t>
            </w:r>
            <w:r w:rsidRPr="005D0703">
              <w:rPr>
                <w:rFonts w:eastAsia="Calibri" w:cs="Times New Roman"/>
                <w:sz w:val="20"/>
                <w:szCs w:val="20"/>
              </w:rPr>
              <w:t>, S.Q. 1991, c. 64, art. 2929.</w:t>
            </w:r>
          </w:p>
          <w:p w:rsidR="00587178" w:rsidRPr="005D0703" w:rsidRDefault="00587178" w:rsidP="00032F73">
            <w:pPr>
              <w:jc w:val="both"/>
              <w:rPr>
                <w:rFonts w:eastAsia="Calibri" w:cs="Times New Roman"/>
                <w:sz w:val="20"/>
                <w:szCs w:val="20"/>
              </w:rPr>
            </w:pPr>
          </w:p>
        </w:tc>
      </w:tr>
      <w:tr w:rsidR="00032F73" w:rsidRPr="005D0703" w:rsidTr="00032F73">
        <w:tc>
          <w:tcPr>
            <w:tcW w:w="5000" w:type="pct"/>
            <w:gridSpan w:val="3"/>
          </w:tcPr>
          <w:p w:rsidR="00032F73" w:rsidRPr="005D0703" w:rsidRDefault="00032F73" w:rsidP="00032F73">
            <w:pPr>
              <w:jc w:val="both"/>
              <w:rPr>
                <w:rFonts w:eastAsia="Calibri" w:cs="Times New Roman"/>
                <w:sz w:val="20"/>
                <w:szCs w:val="20"/>
              </w:rPr>
            </w:pPr>
            <w:r w:rsidRPr="005D0703">
              <w:rPr>
                <w:rFonts w:eastAsia="Calibri" w:cs="Times New Roman"/>
                <w:sz w:val="20"/>
                <w:szCs w:val="20"/>
              </w:rPr>
              <w:t xml:space="preserve">During the broadcast of </w:t>
            </w:r>
            <w:r w:rsidRPr="005D0703">
              <w:rPr>
                <w:rFonts w:eastAsia="Calibri" w:cs="Times New Roman"/>
                <w:i/>
                <w:sz w:val="20"/>
                <w:szCs w:val="20"/>
              </w:rPr>
              <w:t>Tout le monde en parle</w:t>
            </w:r>
            <w:r w:rsidRPr="005D0703">
              <w:rPr>
                <w:rFonts w:eastAsia="Calibri" w:cs="Times New Roman"/>
                <w:sz w:val="20"/>
                <w:szCs w:val="20"/>
              </w:rPr>
              <w:t xml:space="preserve"> on the Canadian Broadcasting Corporation on September 25, 2005, psychiatrist Pierre Mailloux made some controversial remarks, including a statement that the black people of America underwent “artificial selection” during centuries of slavery:  the strongest ones were sought by the ruling class, while the most intelligent ones were eliminated.  The consequence, he said, is that the IQ test results of the black population are now below the North American average.  The applicant, alleging that these remarks were racist, applied to institute an action against Dr. Mailloux, the producers and the broadcaster on behalf of all black people.</w:t>
            </w:r>
          </w:p>
          <w:p w:rsidR="00032F73" w:rsidRPr="005D0703" w:rsidRDefault="00032F73" w:rsidP="00032F73">
            <w:pPr>
              <w:jc w:val="both"/>
              <w:rPr>
                <w:rFonts w:eastAsia="Calibri" w:cs="Times New Roman"/>
                <w:sz w:val="20"/>
                <w:szCs w:val="20"/>
              </w:rPr>
            </w:pPr>
          </w:p>
        </w:tc>
      </w:tr>
      <w:tr w:rsidR="00032F73" w:rsidRPr="005D0703" w:rsidTr="00587178">
        <w:trPr>
          <w:trHeight w:val="20"/>
        </w:trPr>
        <w:tc>
          <w:tcPr>
            <w:tcW w:w="2427" w:type="pct"/>
          </w:tcPr>
          <w:p w:rsidR="00032F73" w:rsidRPr="005D0703" w:rsidRDefault="00032F73" w:rsidP="00032F73">
            <w:pPr>
              <w:jc w:val="both"/>
              <w:rPr>
                <w:rFonts w:eastAsia="Calibri" w:cs="Times New Roman"/>
                <w:sz w:val="20"/>
                <w:szCs w:val="20"/>
              </w:rPr>
            </w:pPr>
            <w:r w:rsidRPr="005D0703">
              <w:rPr>
                <w:rFonts w:eastAsia="Calibri" w:cs="Times New Roman"/>
                <w:sz w:val="20"/>
                <w:szCs w:val="20"/>
              </w:rPr>
              <w:t>September 16, 2009</w:t>
            </w:r>
          </w:p>
          <w:p w:rsidR="00032F73" w:rsidRPr="005D0703" w:rsidRDefault="00032F73" w:rsidP="00032F73">
            <w:pPr>
              <w:jc w:val="both"/>
              <w:rPr>
                <w:rFonts w:eastAsia="Calibri" w:cs="Times New Roman"/>
                <w:sz w:val="20"/>
                <w:szCs w:val="20"/>
              </w:rPr>
            </w:pPr>
            <w:r w:rsidRPr="005D0703">
              <w:rPr>
                <w:rFonts w:eastAsia="Calibri" w:cs="Times New Roman"/>
                <w:sz w:val="20"/>
                <w:szCs w:val="20"/>
              </w:rPr>
              <w:t>Quebec Superior Court</w:t>
            </w:r>
          </w:p>
          <w:p w:rsidR="00032F73" w:rsidRPr="005D0703" w:rsidRDefault="00032F73" w:rsidP="00032F73">
            <w:pPr>
              <w:jc w:val="both"/>
              <w:rPr>
                <w:rFonts w:eastAsia="Calibri" w:cs="Times New Roman"/>
                <w:sz w:val="20"/>
                <w:szCs w:val="20"/>
              </w:rPr>
            </w:pPr>
            <w:r w:rsidRPr="005D0703">
              <w:rPr>
                <w:rFonts w:eastAsia="Calibri" w:cs="Times New Roman"/>
                <w:sz w:val="20"/>
                <w:szCs w:val="20"/>
              </w:rPr>
              <w:t>(De Wever J.)</w:t>
            </w:r>
          </w:p>
          <w:p w:rsidR="00032F73" w:rsidRPr="005D0703" w:rsidRDefault="00032F73" w:rsidP="00032F73">
            <w:pPr>
              <w:jc w:val="both"/>
              <w:rPr>
                <w:rFonts w:eastAsia="Calibri" w:cs="Times New Roman"/>
                <w:sz w:val="20"/>
                <w:szCs w:val="20"/>
              </w:rPr>
            </w:pPr>
          </w:p>
        </w:tc>
        <w:tc>
          <w:tcPr>
            <w:tcW w:w="243" w:type="pct"/>
          </w:tcPr>
          <w:p w:rsidR="00032F73" w:rsidRPr="005D0703" w:rsidRDefault="00032F73" w:rsidP="00032F73">
            <w:pPr>
              <w:jc w:val="both"/>
              <w:rPr>
                <w:rFonts w:eastAsia="Calibri" w:cs="Times New Roman"/>
                <w:sz w:val="20"/>
                <w:szCs w:val="20"/>
              </w:rPr>
            </w:pPr>
          </w:p>
        </w:tc>
        <w:tc>
          <w:tcPr>
            <w:tcW w:w="2330" w:type="pct"/>
          </w:tcPr>
          <w:p w:rsidR="00032F73" w:rsidRPr="005D0703" w:rsidRDefault="00032F73" w:rsidP="00032F73">
            <w:pPr>
              <w:jc w:val="both"/>
              <w:rPr>
                <w:rFonts w:eastAsia="Calibri" w:cs="Times New Roman"/>
                <w:sz w:val="20"/>
                <w:szCs w:val="20"/>
              </w:rPr>
            </w:pPr>
            <w:r w:rsidRPr="005D0703">
              <w:rPr>
                <w:rFonts w:eastAsia="Calibri" w:cs="Times New Roman"/>
                <w:sz w:val="20"/>
                <w:szCs w:val="20"/>
              </w:rPr>
              <w:t>Applicant’s motion for authorization to institute class action dismissed</w:t>
            </w:r>
          </w:p>
        </w:tc>
      </w:tr>
      <w:tr w:rsidR="00032F73" w:rsidRPr="005D0703" w:rsidTr="00587178">
        <w:trPr>
          <w:trHeight w:val="20"/>
        </w:trPr>
        <w:tc>
          <w:tcPr>
            <w:tcW w:w="2427" w:type="pct"/>
          </w:tcPr>
          <w:p w:rsidR="00032F73" w:rsidRPr="005D0703" w:rsidRDefault="00032F73" w:rsidP="00032F73">
            <w:pPr>
              <w:jc w:val="both"/>
              <w:rPr>
                <w:rFonts w:eastAsia="Calibri" w:cs="Times New Roman"/>
                <w:sz w:val="20"/>
                <w:szCs w:val="20"/>
              </w:rPr>
            </w:pPr>
            <w:r w:rsidRPr="005D0703">
              <w:rPr>
                <w:rFonts w:eastAsia="Calibri" w:cs="Times New Roman"/>
                <w:sz w:val="20"/>
                <w:szCs w:val="20"/>
              </w:rPr>
              <w:t>May 30, 2011</w:t>
            </w:r>
          </w:p>
          <w:p w:rsidR="00032F73" w:rsidRPr="005D0703" w:rsidRDefault="00032F73" w:rsidP="00032F73">
            <w:pPr>
              <w:jc w:val="both"/>
              <w:rPr>
                <w:rFonts w:eastAsia="Calibri" w:cs="Times New Roman"/>
                <w:sz w:val="20"/>
                <w:szCs w:val="20"/>
              </w:rPr>
            </w:pPr>
            <w:r w:rsidRPr="005D0703">
              <w:rPr>
                <w:rFonts w:eastAsia="Calibri" w:cs="Times New Roman"/>
                <w:sz w:val="20"/>
                <w:szCs w:val="20"/>
              </w:rPr>
              <w:t>Quebec Court of Appeal (Montréal)</w:t>
            </w:r>
          </w:p>
          <w:p w:rsidR="00032F73" w:rsidRPr="005D0703" w:rsidRDefault="00032F73" w:rsidP="00032F73">
            <w:pPr>
              <w:jc w:val="both"/>
              <w:rPr>
                <w:rFonts w:eastAsia="Calibri" w:cs="Times New Roman"/>
                <w:sz w:val="20"/>
                <w:szCs w:val="20"/>
              </w:rPr>
            </w:pPr>
            <w:r w:rsidRPr="005D0703">
              <w:rPr>
                <w:rFonts w:eastAsia="Calibri" w:cs="Times New Roman"/>
                <w:sz w:val="20"/>
                <w:szCs w:val="20"/>
              </w:rPr>
              <w:t>(Doyon, Bich and Vézina JJ.A.)</w:t>
            </w:r>
          </w:p>
          <w:p w:rsidR="00032F73" w:rsidRPr="005D0703" w:rsidRDefault="00032F73" w:rsidP="00032F73">
            <w:pPr>
              <w:jc w:val="both"/>
              <w:rPr>
                <w:rFonts w:eastAsia="Calibri" w:cs="Times New Roman"/>
                <w:sz w:val="20"/>
                <w:szCs w:val="20"/>
              </w:rPr>
            </w:pPr>
            <w:r w:rsidRPr="005D0703">
              <w:rPr>
                <w:rFonts w:eastAsia="Calibri" w:cs="Times New Roman"/>
                <w:sz w:val="20"/>
                <w:szCs w:val="20"/>
              </w:rPr>
              <w:t>Neutral citation: 2011 QCCA 992</w:t>
            </w:r>
          </w:p>
          <w:p w:rsidR="00032F73" w:rsidRPr="005D0703" w:rsidRDefault="00032F73" w:rsidP="00032F73">
            <w:pPr>
              <w:jc w:val="both"/>
              <w:rPr>
                <w:rFonts w:eastAsia="Calibri" w:cs="Times New Roman"/>
                <w:sz w:val="20"/>
                <w:szCs w:val="20"/>
              </w:rPr>
            </w:pPr>
          </w:p>
        </w:tc>
        <w:tc>
          <w:tcPr>
            <w:tcW w:w="243" w:type="pct"/>
          </w:tcPr>
          <w:p w:rsidR="00032F73" w:rsidRPr="005D0703" w:rsidRDefault="00032F73" w:rsidP="00032F73">
            <w:pPr>
              <w:jc w:val="both"/>
              <w:rPr>
                <w:rFonts w:eastAsia="Calibri" w:cs="Times New Roman"/>
                <w:sz w:val="20"/>
                <w:szCs w:val="20"/>
              </w:rPr>
            </w:pPr>
          </w:p>
        </w:tc>
        <w:tc>
          <w:tcPr>
            <w:tcW w:w="2330" w:type="pct"/>
          </w:tcPr>
          <w:p w:rsidR="00032F73" w:rsidRPr="005D0703" w:rsidRDefault="00032F73" w:rsidP="00032F73">
            <w:pPr>
              <w:jc w:val="both"/>
              <w:rPr>
                <w:rFonts w:eastAsia="Calibri" w:cs="Times New Roman"/>
                <w:sz w:val="20"/>
                <w:szCs w:val="20"/>
              </w:rPr>
            </w:pPr>
            <w:r w:rsidRPr="005D0703">
              <w:rPr>
                <w:rFonts w:eastAsia="Calibri" w:cs="Times New Roman"/>
                <w:sz w:val="20"/>
                <w:szCs w:val="20"/>
              </w:rPr>
              <w:t>Appeal dismissed</w:t>
            </w:r>
          </w:p>
        </w:tc>
      </w:tr>
      <w:tr w:rsidR="00032F73" w:rsidRPr="005D0703" w:rsidTr="00032F73">
        <w:tc>
          <w:tcPr>
            <w:tcW w:w="2427" w:type="pct"/>
          </w:tcPr>
          <w:p w:rsidR="00032F73" w:rsidRPr="005D0703" w:rsidRDefault="00032F73" w:rsidP="00032F73">
            <w:pPr>
              <w:jc w:val="both"/>
              <w:rPr>
                <w:rFonts w:eastAsia="Calibri" w:cs="Times New Roman"/>
                <w:sz w:val="20"/>
                <w:szCs w:val="20"/>
              </w:rPr>
            </w:pPr>
            <w:r w:rsidRPr="005D0703">
              <w:rPr>
                <w:rFonts w:eastAsia="Calibri" w:cs="Times New Roman"/>
                <w:sz w:val="20"/>
                <w:szCs w:val="20"/>
              </w:rPr>
              <w:t>July 29 and September 7, 2011</w:t>
            </w:r>
          </w:p>
          <w:p w:rsidR="00032F73" w:rsidRPr="005D0703" w:rsidRDefault="00032F73" w:rsidP="00032F73">
            <w:pPr>
              <w:jc w:val="both"/>
              <w:rPr>
                <w:rFonts w:eastAsia="Calibri" w:cs="Times New Roman"/>
                <w:sz w:val="20"/>
                <w:szCs w:val="20"/>
              </w:rPr>
            </w:pPr>
            <w:r w:rsidRPr="005D0703">
              <w:rPr>
                <w:rFonts w:eastAsia="Calibri" w:cs="Times New Roman"/>
                <w:sz w:val="20"/>
                <w:szCs w:val="20"/>
              </w:rPr>
              <w:t>Supreme Court of Canada</w:t>
            </w:r>
          </w:p>
          <w:p w:rsidR="00032F73" w:rsidRPr="005D0703" w:rsidRDefault="00032F73" w:rsidP="00032F73">
            <w:pPr>
              <w:jc w:val="both"/>
              <w:rPr>
                <w:rFonts w:eastAsia="Calibri" w:cs="Times New Roman"/>
                <w:sz w:val="20"/>
                <w:szCs w:val="20"/>
              </w:rPr>
            </w:pPr>
          </w:p>
        </w:tc>
        <w:tc>
          <w:tcPr>
            <w:tcW w:w="243" w:type="pct"/>
          </w:tcPr>
          <w:p w:rsidR="00032F73" w:rsidRPr="005D0703" w:rsidRDefault="00032F73" w:rsidP="00032F73">
            <w:pPr>
              <w:jc w:val="both"/>
              <w:rPr>
                <w:rFonts w:eastAsia="Calibri" w:cs="Times New Roman"/>
                <w:sz w:val="20"/>
                <w:szCs w:val="20"/>
              </w:rPr>
            </w:pPr>
          </w:p>
        </w:tc>
        <w:tc>
          <w:tcPr>
            <w:tcW w:w="2330" w:type="pct"/>
          </w:tcPr>
          <w:p w:rsidR="00032F73" w:rsidRPr="005D0703" w:rsidRDefault="00032F73" w:rsidP="00032F73">
            <w:pPr>
              <w:jc w:val="both"/>
              <w:rPr>
                <w:rFonts w:eastAsia="Calibri" w:cs="Times New Roman"/>
                <w:sz w:val="20"/>
                <w:szCs w:val="20"/>
              </w:rPr>
            </w:pPr>
            <w:r w:rsidRPr="005D0703">
              <w:rPr>
                <w:rFonts w:eastAsia="Calibri" w:cs="Times New Roman"/>
                <w:sz w:val="20"/>
                <w:szCs w:val="20"/>
              </w:rPr>
              <w:t>Application for leave to appeal and motion by applicant to extend time to serve application on respondent Mailloux filed</w:t>
            </w:r>
          </w:p>
        </w:tc>
      </w:tr>
    </w:tbl>
    <w:p w:rsidR="00032F73" w:rsidRPr="005D0703" w:rsidRDefault="00032F73" w:rsidP="00032F73">
      <w:pPr>
        <w:rPr>
          <w:rFonts w:cs="Times New Roman"/>
          <w:sz w:val="20"/>
          <w:szCs w:val="20"/>
        </w:rPr>
      </w:pPr>
    </w:p>
    <w:p w:rsidR="00032F73" w:rsidRPr="005D0703" w:rsidRDefault="008A6550" w:rsidP="00032F73">
      <w:pPr>
        <w:rPr>
          <w:rFonts w:cs="Times New Roman"/>
          <w:sz w:val="20"/>
          <w:szCs w:val="20"/>
        </w:rPr>
      </w:pPr>
      <w:r w:rsidRPr="008A6550">
        <w:rPr>
          <w:rFonts w:cs="Times New Roman"/>
          <w:sz w:val="20"/>
          <w:szCs w:val="20"/>
          <w:lang w:val="fr-CA"/>
        </w:rPr>
        <w:pict>
          <v:rect id="_x0000_i1050" style="width:2in;height:1pt" o:hrpct="0" o:hralign="center" o:hrstd="t" o:hrnoshade="t" o:hr="t" fillcolor="black [3213]" stroked="f"/>
        </w:pict>
      </w:r>
    </w:p>
    <w:p w:rsidR="00032F73" w:rsidRPr="005D0703" w:rsidRDefault="00032F73" w:rsidP="00032F73">
      <w:pPr>
        <w:rPr>
          <w:rFonts w:cs="Times New Roman"/>
          <w:sz w:val="20"/>
          <w:szCs w:val="20"/>
        </w:rPr>
      </w:pPr>
    </w:p>
    <w:p w:rsidR="00032F73" w:rsidRPr="005D0703" w:rsidRDefault="00032F73" w:rsidP="00032F73">
      <w:pPr>
        <w:rPr>
          <w:rFonts w:cs="Times New Roman"/>
          <w:sz w:val="20"/>
          <w:szCs w:val="20"/>
          <w:u w:val="single"/>
          <w:lang w:val="fr-CA"/>
        </w:rPr>
      </w:pPr>
      <w:r w:rsidRPr="005D0703">
        <w:rPr>
          <w:rFonts w:cs="Times New Roman"/>
          <w:sz w:val="20"/>
          <w:szCs w:val="20"/>
          <w:u w:val="single"/>
          <w:lang w:val="fr-CA"/>
        </w:rPr>
        <w:t>RÉSUMÉ DE L’AFFAIRE</w:t>
      </w:r>
    </w:p>
    <w:p w:rsidR="00032F73" w:rsidRPr="005D0703" w:rsidRDefault="00032F73" w:rsidP="00032F73">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032F73" w:rsidRPr="00C04C40" w:rsidTr="00032F73">
        <w:tc>
          <w:tcPr>
            <w:tcW w:w="5000" w:type="pct"/>
            <w:gridSpan w:val="3"/>
          </w:tcPr>
          <w:p w:rsidR="00032F73" w:rsidRDefault="00032F73" w:rsidP="00032F73">
            <w:pPr>
              <w:jc w:val="both"/>
              <w:rPr>
                <w:rFonts w:eastAsia="Calibri" w:cs="Times New Roman"/>
                <w:sz w:val="20"/>
                <w:szCs w:val="20"/>
                <w:lang w:val="fr-CA"/>
              </w:rPr>
            </w:pPr>
            <w:r w:rsidRPr="005D0703">
              <w:rPr>
                <w:rFonts w:eastAsia="Calibri" w:cs="Times New Roman"/>
                <w:sz w:val="20"/>
                <w:szCs w:val="20"/>
                <w:lang w:val="fr-CA"/>
              </w:rPr>
              <w:t>Procédure civile — Recours collectif — Critère d’homogénéité juridique — Diffamation — Prescription — Propos controversés tenus lors d’une émission populaire au sujet de la sélection des esclaves noirs d’Amérique et d’un déficit intellectuel conséquent — Allégation de racisme — Requête en vue d’exercer un recours collectif au nom des Noirs du Québec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nié à tort la présence des facteurs nécessaires à l’autorisation d’un recours collectif? — S’agit</w:t>
            </w:r>
            <w:r w:rsidRPr="005D0703">
              <w:rPr>
                <w:rFonts w:eastAsia="Calibri" w:cs="Times New Roman"/>
                <w:sz w:val="20"/>
                <w:szCs w:val="20"/>
                <w:lang w:val="fr-CA"/>
              </w:rPr>
              <w:noBreakHyphen/>
              <w:t>il d’un recours en diffamation et si oui, est</w:t>
            </w:r>
            <w:r w:rsidRPr="005D0703">
              <w:rPr>
                <w:rFonts w:eastAsia="Calibri" w:cs="Times New Roman"/>
                <w:sz w:val="20"/>
                <w:szCs w:val="20"/>
                <w:lang w:val="fr-CA"/>
              </w:rPr>
              <w:noBreakHyphen/>
              <w:t xml:space="preserve">il prescrit? — </w:t>
            </w:r>
            <w:r w:rsidRPr="005D0703">
              <w:rPr>
                <w:rFonts w:eastAsia="Calibri" w:cs="Times New Roman"/>
                <w:i/>
                <w:sz w:val="20"/>
                <w:szCs w:val="20"/>
                <w:lang w:val="fr-CA"/>
              </w:rPr>
              <w:t>Code de procédure civile</w:t>
            </w:r>
            <w:r w:rsidRPr="005D0703">
              <w:rPr>
                <w:rFonts w:eastAsia="Calibri" w:cs="Times New Roman"/>
                <w:sz w:val="20"/>
                <w:szCs w:val="20"/>
                <w:lang w:val="fr-CA"/>
              </w:rPr>
              <w:t>, L.R.Q. ch. C</w:t>
            </w:r>
            <w:r w:rsidRPr="005D0703">
              <w:rPr>
                <w:rFonts w:eastAsia="Calibri" w:cs="Times New Roman"/>
                <w:sz w:val="20"/>
                <w:szCs w:val="20"/>
                <w:lang w:val="fr-CA"/>
              </w:rPr>
              <w:noBreakHyphen/>
              <w:t xml:space="preserve">25, art. 1003 — </w:t>
            </w:r>
            <w:r w:rsidRPr="005D0703">
              <w:rPr>
                <w:rFonts w:eastAsia="Calibri" w:cs="Times New Roman"/>
                <w:i/>
                <w:sz w:val="20"/>
                <w:szCs w:val="20"/>
                <w:lang w:val="fr-CA"/>
              </w:rPr>
              <w:t>Code civil du Québec</w:t>
            </w:r>
            <w:r w:rsidRPr="005D0703">
              <w:rPr>
                <w:rFonts w:eastAsia="Calibri" w:cs="Times New Roman"/>
                <w:sz w:val="20"/>
                <w:szCs w:val="20"/>
                <w:lang w:val="fr-CA"/>
              </w:rPr>
              <w:t>, L.Q. 1991, ch. 64, art. 2929.</w:t>
            </w:r>
          </w:p>
          <w:p w:rsidR="00587178" w:rsidRPr="005D0703" w:rsidRDefault="00587178" w:rsidP="00032F73">
            <w:pPr>
              <w:jc w:val="both"/>
              <w:rPr>
                <w:rFonts w:eastAsia="Calibri" w:cs="Times New Roman"/>
                <w:sz w:val="20"/>
                <w:szCs w:val="20"/>
                <w:lang w:val="fr-FR"/>
              </w:rPr>
            </w:pPr>
          </w:p>
        </w:tc>
      </w:tr>
      <w:tr w:rsidR="00032F73" w:rsidRPr="00C04C40" w:rsidTr="00032F73">
        <w:tc>
          <w:tcPr>
            <w:tcW w:w="5000" w:type="pct"/>
            <w:gridSpan w:val="3"/>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 xml:space="preserve">Lors de l’édition du 25 septembre 2005 de l’émission </w:t>
            </w:r>
            <w:r w:rsidRPr="005D0703">
              <w:rPr>
                <w:rFonts w:eastAsia="Calibri" w:cs="Times New Roman"/>
                <w:i/>
                <w:sz w:val="20"/>
                <w:szCs w:val="20"/>
                <w:lang w:val="fr-CA"/>
              </w:rPr>
              <w:t>Tout le monde en parle</w:t>
            </w:r>
            <w:r w:rsidRPr="005D0703">
              <w:rPr>
                <w:rFonts w:eastAsia="Calibri" w:cs="Times New Roman"/>
                <w:sz w:val="20"/>
                <w:szCs w:val="20"/>
                <w:lang w:val="fr-CA"/>
              </w:rPr>
              <w:t>, sur les ondes de Radio</w:t>
            </w:r>
            <w:r w:rsidRPr="005D0703">
              <w:rPr>
                <w:rFonts w:eastAsia="Calibri" w:cs="Times New Roman"/>
                <w:sz w:val="20"/>
                <w:szCs w:val="20"/>
                <w:lang w:val="fr-CA"/>
              </w:rPr>
              <w:noBreakHyphen/>
              <w:t>Canada, le psychiatre Pierre Mailloux a soutenu, entre autres propos controversés, que les Noirs d’Amérique ont subi une « sélection artificielle » pendant les siècles de l’esclavage : les plus forts étaient recherchés par la classe dominante tandis que les plus intelligents étaient éliminés.  Il en résulterait aujourd’hui un déficit de la population noire par rapport à la moyenne nord</w:t>
            </w:r>
            <w:r w:rsidRPr="005D0703">
              <w:rPr>
                <w:rFonts w:eastAsia="Calibri" w:cs="Times New Roman"/>
                <w:sz w:val="20"/>
                <w:szCs w:val="20"/>
                <w:lang w:val="fr-CA"/>
              </w:rPr>
              <w:noBreakHyphen/>
              <w:t>américaine de résultats aux tests de quotient intellectuel.  Le demandeur, invoquant le racisme de ces propos, demande d’exercer un recours pour l’ensemble des Noirs contre le Dr Mailloux, les producteurs et le diffuseur.</w:t>
            </w:r>
          </w:p>
          <w:p w:rsidR="00032F73" w:rsidRPr="005D0703" w:rsidRDefault="00032F73" w:rsidP="00032F73">
            <w:pPr>
              <w:jc w:val="both"/>
              <w:rPr>
                <w:rFonts w:eastAsia="Calibri" w:cs="Times New Roman"/>
                <w:sz w:val="20"/>
                <w:szCs w:val="20"/>
                <w:lang w:val="fr-CA"/>
              </w:rPr>
            </w:pPr>
          </w:p>
        </w:tc>
      </w:tr>
      <w:tr w:rsidR="00032F73" w:rsidRPr="00C04C40" w:rsidTr="00032F73">
        <w:tc>
          <w:tcPr>
            <w:tcW w:w="2427"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Le 16 septembre 2009</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Cour supérieure du Québec</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(Le juge De Wever)</w:t>
            </w:r>
          </w:p>
          <w:p w:rsidR="00032F73" w:rsidRPr="005D0703" w:rsidRDefault="00032F73" w:rsidP="00032F73">
            <w:pPr>
              <w:jc w:val="both"/>
              <w:rPr>
                <w:rFonts w:eastAsia="Calibri" w:cs="Times New Roman"/>
                <w:sz w:val="20"/>
                <w:szCs w:val="20"/>
              </w:rPr>
            </w:pPr>
          </w:p>
        </w:tc>
        <w:tc>
          <w:tcPr>
            <w:tcW w:w="243" w:type="pct"/>
          </w:tcPr>
          <w:p w:rsidR="00032F73" w:rsidRPr="005D0703" w:rsidRDefault="00032F73" w:rsidP="00032F73">
            <w:pPr>
              <w:jc w:val="both"/>
              <w:rPr>
                <w:rFonts w:eastAsia="Calibri" w:cs="Times New Roman"/>
                <w:sz w:val="20"/>
                <w:szCs w:val="20"/>
              </w:rPr>
            </w:pPr>
          </w:p>
        </w:tc>
        <w:tc>
          <w:tcPr>
            <w:tcW w:w="2330"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Rejet de la requête du demandeur en autorisation d’intenter un recours collectif.</w:t>
            </w:r>
          </w:p>
        </w:tc>
      </w:tr>
      <w:tr w:rsidR="00032F73" w:rsidRPr="005D0703" w:rsidTr="00032F73">
        <w:tc>
          <w:tcPr>
            <w:tcW w:w="2427"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Le 30 mai 2011</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Cour d’appel du Québec (Montréal)</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(Les juges Doyon, Bich et Vézina)</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Référence neutre : 2011 QCCA 992</w:t>
            </w:r>
          </w:p>
          <w:p w:rsidR="00032F73" w:rsidRPr="005D0703" w:rsidRDefault="00032F73" w:rsidP="00032F73">
            <w:pPr>
              <w:jc w:val="both"/>
              <w:rPr>
                <w:rFonts w:eastAsia="Calibri" w:cs="Times New Roman"/>
                <w:sz w:val="20"/>
                <w:szCs w:val="20"/>
                <w:lang w:val="fr-CA"/>
              </w:rPr>
            </w:pPr>
          </w:p>
        </w:tc>
        <w:tc>
          <w:tcPr>
            <w:tcW w:w="243" w:type="pct"/>
          </w:tcPr>
          <w:p w:rsidR="00032F73" w:rsidRPr="005D0703" w:rsidRDefault="00032F73" w:rsidP="00032F73">
            <w:pPr>
              <w:jc w:val="both"/>
              <w:rPr>
                <w:rFonts w:eastAsia="Calibri" w:cs="Times New Roman"/>
                <w:sz w:val="20"/>
                <w:szCs w:val="20"/>
                <w:lang w:val="fr-FR"/>
              </w:rPr>
            </w:pPr>
          </w:p>
        </w:tc>
        <w:tc>
          <w:tcPr>
            <w:tcW w:w="2330" w:type="pct"/>
          </w:tcPr>
          <w:p w:rsidR="00032F73" w:rsidRPr="005D0703" w:rsidRDefault="00032F73" w:rsidP="00032F73">
            <w:pPr>
              <w:jc w:val="both"/>
              <w:rPr>
                <w:rFonts w:eastAsia="Calibri" w:cs="Times New Roman"/>
                <w:sz w:val="20"/>
                <w:szCs w:val="20"/>
                <w:lang w:val="fr-FR"/>
              </w:rPr>
            </w:pPr>
            <w:r w:rsidRPr="005D0703">
              <w:rPr>
                <w:rFonts w:eastAsia="Calibri" w:cs="Times New Roman"/>
                <w:sz w:val="20"/>
                <w:szCs w:val="20"/>
                <w:lang w:val="fr-FR"/>
              </w:rPr>
              <w:t>Rejet de l’appel.</w:t>
            </w:r>
          </w:p>
        </w:tc>
      </w:tr>
      <w:tr w:rsidR="00032F73" w:rsidRPr="00C04C40" w:rsidTr="00032F73">
        <w:tc>
          <w:tcPr>
            <w:tcW w:w="2427"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Les 29 juillet et 7 septembre 2011</w:t>
            </w:r>
          </w:p>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Cour suprême du Canada</w:t>
            </w:r>
          </w:p>
          <w:p w:rsidR="00032F73" w:rsidRPr="005D0703" w:rsidRDefault="00032F73" w:rsidP="00032F73">
            <w:pPr>
              <w:jc w:val="both"/>
              <w:rPr>
                <w:rFonts w:eastAsia="Calibri" w:cs="Times New Roman"/>
                <w:sz w:val="20"/>
                <w:szCs w:val="20"/>
                <w:lang w:val="fr-FR"/>
              </w:rPr>
            </w:pPr>
          </w:p>
        </w:tc>
        <w:tc>
          <w:tcPr>
            <w:tcW w:w="243" w:type="pct"/>
          </w:tcPr>
          <w:p w:rsidR="00032F73" w:rsidRPr="005D0703" w:rsidRDefault="00032F73" w:rsidP="00032F73">
            <w:pPr>
              <w:jc w:val="both"/>
              <w:rPr>
                <w:rFonts w:eastAsia="Calibri" w:cs="Times New Roman"/>
                <w:sz w:val="20"/>
                <w:szCs w:val="20"/>
                <w:lang w:val="fr-FR"/>
              </w:rPr>
            </w:pPr>
          </w:p>
        </w:tc>
        <w:tc>
          <w:tcPr>
            <w:tcW w:w="2330" w:type="pct"/>
          </w:tcPr>
          <w:p w:rsidR="00032F73" w:rsidRPr="005D0703" w:rsidRDefault="00032F73" w:rsidP="00032F73">
            <w:pPr>
              <w:jc w:val="both"/>
              <w:rPr>
                <w:rFonts w:eastAsia="Calibri" w:cs="Times New Roman"/>
                <w:sz w:val="20"/>
                <w:szCs w:val="20"/>
                <w:lang w:val="fr-CA"/>
              </w:rPr>
            </w:pPr>
            <w:r w:rsidRPr="005D0703">
              <w:rPr>
                <w:rFonts w:eastAsia="Calibri" w:cs="Times New Roman"/>
                <w:sz w:val="20"/>
                <w:szCs w:val="20"/>
                <w:lang w:val="fr-CA"/>
              </w:rPr>
              <w:t>Dépôt de la demande d'autorisation d'appel puis de la requête du demandeur en prorogation du délai pour signifier la demande à l’intimé Mailloux.</w:t>
            </w:r>
          </w:p>
        </w:tc>
      </w:tr>
    </w:tbl>
    <w:p w:rsidR="00C20D8D" w:rsidRPr="00473523" w:rsidRDefault="00C20D8D" w:rsidP="00C20D8D">
      <w:pPr>
        <w:rPr>
          <w:rFonts w:cs="Times New Roman"/>
          <w:sz w:val="20"/>
          <w:szCs w:val="20"/>
          <w:lang w:val="fr-CA"/>
        </w:rPr>
      </w:pPr>
    </w:p>
    <w:p w:rsidR="00C20D8D" w:rsidRPr="005D0703" w:rsidRDefault="008A6550" w:rsidP="00C20D8D">
      <w:pPr>
        <w:rPr>
          <w:rFonts w:cs="Times New Roman"/>
          <w:sz w:val="20"/>
          <w:szCs w:val="20"/>
        </w:rPr>
      </w:pPr>
      <w:r w:rsidRPr="008A6550">
        <w:rPr>
          <w:rFonts w:cs="Times New Roman"/>
          <w:sz w:val="20"/>
          <w:szCs w:val="20"/>
          <w:lang w:val="fr-CA"/>
        </w:rPr>
        <w:pict>
          <v:rect id="_x0000_i1051" style="width:2in;height:1pt" o:hrpct="0" o:hralign="center" o:hrstd="t" o:hrnoshade="t" o:hr="t" fillcolor="black [3213]" stroked="f"/>
        </w:pict>
      </w:r>
    </w:p>
    <w:p w:rsidR="00C20D8D" w:rsidRPr="005D0703" w:rsidRDefault="00C20D8D" w:rsidP="00C20D8D">
      <w:pPr>
        <w:rPr>
          <w:rFonts w:cs="Times New Roman"/>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33176" w:rsidRPr="005D0703" w:rsidTr="00533176">
        <w:trPr>
          <w:cantSplit/>
        </w:trPr>
        <w:tc>
          <w:tcPr>
            <w:tcW w:w="1458" w:type="dxa"/>
          </w:tcPr>
          <w:p w:rsidR="00533176" w:rsidRPr="005D0703" w:rsidRDefault="00533176" w:rsidP="00533176">
            <w:pPr>
              <w:rPr>
                <w:rFonts w:cs="Times New Roman"/>
                <w:sz w:val="20"/>
                <w:szCs w:val="20"/>
              </w:rPr>
            </w:pPr>
            <w:r w:rsidRPr="005D0703">
              <w:rPr>
                <w:rFonts w:cs="Times New Roman"/>
                <w:b/>
                <w:sz w:val="20"/>
                <w:szCs w:val="20"/>
                <w:lang w:val="fr-CA"/>
              </w:rPr>
              <w:t>34359</w:t>
            </w:r>
          </w:p>
          <w:p w:rsidR="00533176" w:rsidRPr="005D0703" w:rsidRDefault="00533176" w:rsidP="00533176">
            <w:pPr>
              <w:rPr>
                <w:rFonts w:cs="Times New Roman"/>
                <w:b/>
                <w:sz w:val="20"/>
                <w:szCs w:val="20"/>
                <w:lang w:val="fr-CA"/>
              </w:rPr>
            </w:pPr>
          </w:p>
        </w:tc>
        <w:tc>
          <w:tcPr>
            <w:tcW w:w="8118" w:type="dxa"/>
          </w:tcPr>
          <w:p w:rsidR="00533176" w:rsidRPr="005D0703" w:rsidRDefault="00533176" w:rsidP="00533176">
            <w:pPr>
              <w:jc w:val="both"/>
              <w:rPr>
                <w:rFonts w:cs="Times New Roman"/>
                <w:sz w:val="20"/>
                <w:szCs w:val="20"/>
              </w:rPr>
            </w:pPr>
            <w:r w:rsidRPr="005D0703">
              <w:rPr>
                <w:rFonts w:cs="Times New Roman"/>
                <w:b/>
                <w:sz w:val="20"/>
                <w:szCs w:val="20"/>
                <w:u w:val="single"/>
                <w:lang w:val="en-US"/>
              </w:rPr>
              <w:t>Timothy Scherbak, Cherese Scherbak v. Zoriana Krawchuk, Re/Max Sudbury Inc. and Wendy Weddell</w:t>
            </w:r>
            <w:r w:rsidRPr="005D0703">
              <w:rPr>
                <w:rFonts w:cs="Times New Roman"/>
                <w:sz w:val="20"/>
                <w:szCs w:val="20"/>
              </w:rPr>
              <w:t xml:space="preserve"> (Ont.) (Civil) (By Leave)</w:t>
            </w:r>
          </w:p>
          <w:p w:rsidR="00533176" w:rsidRPr="005D0703" w:rsidRDefault="00533176" w:rsidP="00533176">
            <w:pPr>
              <w:rPr>
                <w:rFonts w:cs="Times New Roman"/>
                <w:sz w:val="20"/>
                <w:szCs w:val="20"/>
              </w:rPr>
            </w:pPr>
          </w:p>
        </w:tc>
      </w:tr>
      <w:tr w:rsidR="00533176" w:rsidRPr="005D0703" w:rsidTr="00533176">
        <w:trPr>
          <w:cantSplit/>
        </w:trPr>
        <w:tc>
          <w:tcPr>
            <w:tcW w:w="1458" w:type="dxa"/>
          </w:tcPr>
          <w:p w:rsidR="00533176" w:rsidRPr="005D0703" w:rsidRDefault="00533176" w:rsidP="00533176">
            <w:pPr>
              <w:rPr>
                <w:rFonts w:cs="Times New Roman"/>
                <w:sz w:val="20"/>
                <w:szCs w:val="20"/>
              </w:rPr>
            </w:pPr>
            <w:r w:rsidRPr="005D0703">
              <w:rPr>
                <w:rFonts w:cs="Times New Roman"/>
                <w:sz w:val="20"/>
                <w:szCs w:val="20"/>
              </w:rPr>
              <w:t>Coram :</w:t>
            </w:r>
          </w:p>
        </w:tc>
        <w:tc>
          <w:tcPr>
            <w:tcW w:w="8118" w:type="dxa"/>
          </w:tcPr>
          <w:p w:rsidR="00533176" w:rsidRPr="005D0703" w:rsidRDefault="00533176" w:rsidP="00533176">
            <w:pPr>
              <w:rPr>
                <w:rFonts w:cs="Times New Roman"/>
                <w:sz w:val="20"/>
                <w:szCs w:val="20"/>
              </w:rPr>
            </w:pPr>
            <w:r w:rsidRPr="005D0703">
              <w:rPr>
                <w:rFonts w:cs="Times New Roman"/>
                <w:sz w:val="20"/>
                <w:szCs w:val="20"/>
                <w:u w:val="single"/>
                <w:lang w:val="en-US"/>
              </w:rPr>
              <w:t>McLachlin C.J. and Rothstein and Moldaver JJ.</w:t>
            </w:r>
          </w:p>
          <w:p w:rsidR="00533176" w:rsidRPr="005D0703" w:rsidRDefault="00533176" w:rsidP="00533176">
            <w:pPr>
              <w:rPr>
                <w:rFonts w:cs="Times New Roman"/>
                <w:sz w:val="20"/>
                <w:szCs w:val="20"/>
                <w:u w:val="single"/>
              </w:rPr>
            </w:pPr>
          </w:p>
        </w:tc>
      </w:tr>
      <w:tr w:rsidR="00533176" w:rsidRPr="00C04C40" w:rsidTr="00533176">
        <w:trPr>
          <w:cantSplit/>
        </w:trPr>
        <w:tc>
          <w:tcPr>
            <w:tcW w:w="9576" w:type="dxa"/>
            <w:gridSpan w:val="2"/>
          </w:tcPr>
          <w:p w:rsidR="00533176" w:rsidRPr="005D0703" w:rsidRDefault="00533176" w:rsidP="00533176">
            <w:pPr>
              <w:ind w:firstLine="720"/>
              <w:jc w:val="both"/>
              <w:rPr>
                <w:rFonts w:cs="Times New Roman"/>
                <w:sz w:val="20"/>
                <w:szCs w:val="20"/>
              </w:rPr>
            </w:pPr>
            <w:r w:rsidRPr="005D0703">
              <w:rPr>
                <w:rFonts w:cs="Times New Roman"/>
                <w:sz w:val="20"/>
                <w:szCs w:val="20"/>
              </w:rPr>
              <w:t>The motions for extensions of time to serve and file Zoriana Krawchuk’s response and the applicants’ reply are granted.  The application for leave to appeal from the judgment of the Court of Appeal for Ontario, Number C50902, 2011 ONCA 352, dated May 6, 2011, is dismissed with costs.  The conditional application for leave to cross-appeal is dismissed without costs.</w:t>
            </w:r>
          </w:p>
          <w:p w:rsidR="00533176" w:rsidRPr="005D0703" w:rsidRDefault="00533176" w:rsidP="00533176">
            <w:pPr>
              <w:jc w:val="both"/>
              <w:rPr>
                <w:rFonts w:cs="Times New Roman"/>
                <w:sz w:val="20"/>
                <w:szCs w:val="20"/>
              </w:rPr>
            </w:pPr>
          </w:p>
          <w:p w:rsidR="00533176" w:rsidRPr="005D0703" w:rsidRDefault="00533176" w:rsidP="00533176">
            <w:pPr>
              <w:ind w:firstLine="720"/>
              <w:jc w:val="both"/>
              <w:rPr>
                <w:rFonts w:cs="Times New Roman"/>
                <w:sz w:val="20"/>
                <w:szCs w:val="20"/>
                <w:lang w:val="fr-CA"/>
              </w:rPr>
            </w:pPr>
            <w:r w:rsidRPr="005D0703">
              <w:rPr>
                <w:rFonts w:cs="Times New Roman"/>
                <w:sz w:val="20"/>
                <w:szCs w:val="20"/>
                <w:lang w:val="fr-CA"/>
              </w:rPr>
              <w:t>Les requêtes en prorogation du délai de signification et de dépôt de la réponse de l’intimée Zoriana Krawchuk et la réplique des demandeurs sont accordées.  La demande d’autorisation d’appel de l’arrêt de la Cour d’appel de l’Ontario, numéro C50902, 2011 ONCA 352, daté du 6 mai 2011, est rejetée avec dépens.  La demande conditionnelle d’autorisation d’appel incident est rejetée sans dépens.</w:t>
            </w:r>
          </w:p>
        </w:tc>
      </w:tr>
    </w:tbl>
    <w:p w:rsidR="00C20D8D" w:rsidRPr="005D0703" w:rsidRDefault="00C20D8D" w:rsidP="00C20D8D">
      <w:pPr>
        <w:rPr>
          <w:rFonts w:cs="Times New Roman"/>
          <w:sz w:val="20"/>
          <w:szCs w:val="20"/>
          <w:lang w:val="fr-CA"/>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070"/>
        <w:gridCol w:w="276"/>
        <w:gridCol w:w="5181"/>
      </w:tblGrid>
      <w:tr w:rsidR="00C20D8D" w:rsidRPr="005D0703" w:rsidTr="00C20D8D">
        <w:tc>
          <w:tcPr>
            <w:tcW w:w="5000" w:type="pct"/>
            <w:gridSpan w:val="3"/>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Torts — Negligence — Duty of Care — Purchase and Sale of real property — Home vendor’s liability in negligence for statements in Seller Property Information Sheet — Duty of real estate agent representing both seller and buyer — Reasonableness of buyer’s reliance on vendor’s statements — Whether private insurance exception applies to title insurance — When expert evidence is needed in professional negligence case — Whether Court of Appeal substituted factual conclusions in absence of palpable and overriding error — Vendor’s duty of disclosure to real estate agent — Whether Court of Appeal has imposed on real estate agents an absolute duty to discover  latent defects in a property for sale.</w:t>
            </w:r>
          </w:p>
          <w:p w:rsidR="00C20D8D" w:rsidRPr="005D0703" w:rsidRDefault="00C20D8D" w:rsidP="00C20D8D">
            <w:pPr>
              <w:jc w:val="both"/>
              <w:rPr>
                <w:rFonts w:eastAsia="Calibri" w:cs="Times New Roman"/>
                <w:sz w:val="20"/>
                <w:szCs w:val="20"/>
              </w:rPr>
            </w:pPr>
          </w:p>
        </w:tc>
      </w:tr>
      <w:tr w:rsidR="00C20D8D" w:rsidRPr="005D0703" w:rsidTr="00C20D8D">
        <w:tc>
          <w:tcPr>
            <w:tcW w:w="5000" w:type="pct"/>
            <w:gridSpan w:val="3"/>
          </w:tcPr>
          <w:p w:rsidR="00C20D8D" w:rsidRDefault="00C20D8D" w:rsidP="00C20D8D">
            <w:pPr>
              <w:jc w:val="both"/>
              <w:rPr>
                <w:rFonts w:eastAsia="Calibri" w:cs="Times New Roman"/>
                <w:sz w:val="20"/>
                <w:szCs w:val="20"/>
              </w:rPr>
            </w:pPr>
            <w:r w:rsidRPr="005D0703">
              <w:rPr>
                <w:rFonts w:eastAsia="Calibri" w:cs="Times New Roman"/>
                <w:sz w:val="20"/>
                <w:szCs w:val="20"/>
              </w:rPr>
              <w:t>The applicants retained the respondent Wendy Weddell as their real estate agent in a sale of their home.  Ms. Weddell assisted the applicants in completing a Seller Property Information Sheet disclosing information about the property to prospective buyers.  Ms. Weddell also represented Ms. Krawchuk in her purchase of the applicants’ home.  While inspecting the home, Ms. Krawchuk noted structural defects and Ms. Weddell told her, based on information in the SPIS, that the house had settled and been repaired and that there had been no further problems. Ms. Krawchuk made an offer to purchase without any conditions.  After purchasing the home, Ms. </w:t>
            </w:r>
            <w:proofErr w:type="gramStart"/>
            <w:r w:rsidRPr="005D0703">
              <w:rPr>
                <w:rFonts w:eastAsia="Calibri" w:cs="Times New Roman"/>
                <w:sz w:val="20"/>
                <w:szCs w:val="20"/>
              </w:rPr>
              <w:t>Krawchuk  discovered</w:t>
            </w:r>
            <w:proofErr w:type="gramEnd"/>
            <w:r w:rsidRPr="005D0703">
              <w:rPr>
                <w:rFonts w:eastAsia="Calibri" w:cs="Times New Roman"/>
                <w:sz w:val="20"/>
                <w:szCs w:val="20"/>
              </w:rPr>
              <w:t xml:space="preserve"> that part of the foundation was sinking.  She spent $191,414.94 repairing the home and recovered $105,742 under a title insurance policy.  She sued the applicants for breach of contract, fraudulent misrepresentation and negligent misrepresentation. She sued Ms. Weddell and her broker for negligence, fraudulent misrepresentation and negligent misrepresentation.  The defendants cross-claimed against one another for contribution and indemnity. </w:t>
            </w:r>
          </w:p>
          <w:p w:rsidR="00507C73" w:rsidRPr="005D0703" w:rsidRDefault="00507C73" w:rsidP="00C20D8D">
            <w:pPr>
              <w:jc w:val="both"/>
              <w:rPr>
                <w:rFonts w:eastAsia="Calibri" w:cs="Times New Roman"/>
                <w:sz w:val="20"/>
                <w:szCs w:val="20"/>
              </w:rPr>
            </w:pPr>
          </w:p>
        </w:tc>
      </w:tr>
      <w:tr w:rsidR="00C20D8D" w:rsidRPr="005D0703" w:rsidTr="00507C73">
        <w:trPr>
          <w:trHeight w:val="20"/>
        </w:trPr>
        <w:tc>
          <w:tcPr>
            <w:tcW w:w="2136"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July 30, 2009</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Ontario Superior Court of Justice</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 xml:space="preserve">(Gordon J.) </w:t>
            </w:r>
          </w:p>
          <w:p w:rsidR="00C20D8D" w:rsidRPr="005D0703" w:rsidRDefault="00C20D8D" w:rsidP="00C20D8D">
            <w:pPr>
              <w:jc w:val="both"/>
              <w:rPr>
                <w:rFonts w:eastAsia="Calibri" w:cs="Times New Roman"/>
                <w:sz w:val="20"/>
                <w:szCs w:val="20"/>
              </w:rPr>
            </w:pPr>
          </w:p>
        </w:tc>
        <w:tc>
          <w:tcPr>
            <w:tcW w:w="145" w:type="pct"/>
          </w:tcPr>
          <w:p w:rsidR="00C20D8D" w:rsidRPr="005D0703" w:rsidRDefault="00C20D8D" w:rsidP="00C20D8D">
            <w:pPr>
              <w:jc w:val="both"/>
              <w:rPr>
                <w:rFonts w:eastAsia="Calibri" w:cs="Times New Roman"/>
                <w:sz w:val="20"/>
                <w:szCs w:val="20"/>
              </w:rPr>
            </w:pPr>
          </w:p>
        </w:tc>
        <w:tc>
          <w:tcPr>
            <w:tcW w:w="2719"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Judgment in favour of Zoriana Krawchuk against Timothy Scherbak and Cherese Scherbak for $110,742.32; Claim by Zoriana Krawchuk against Wendy Weddell and Re/Max Sudbury Inc. dismissed; Cross-claim by Timothy Scherbak and Cherese Scherbak against Wendy Weddell and Re/Max Sudbury Inc. dismissed</w:t>
            </w:r>
          </w:p>
          <w:p w:rsidR="00C20D8D" w:rsidRPr="005D0703" w:rsidRDefault="00C20D8D" w:rsidP="00C20D8D">
            <w:pPr>
              <w:jc w:val="both"/>
              <w:rPr>
                <w:rFonts w:eastAsia="Calibri" w:cs="Times New Roman"/>
                <w:sz w:val="20"/>
                <w:szCs w:val="20"/>
              </w:rPr>
            </w:pPr>
          </w:p>
        </w:tc>
      </w:tr>
      <w:tr w:rsidR="00C20D8D" w:rsidRPr="005D0703" w:rsidTr="00C20D8D">
        <w:tc>
          <w:tcPr>
            <w:tcW w:w="2136"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May 6,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Court of Appeal for Ontario</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(Rosenberg, Cronk, Epstein JJ.A.)</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2011 ONCA 352; C50902</w:t>
            </w:r>
          </w:p>
          <w:p w:rsidR="00C20D8D" w:rsidRPr="005D0703" w:rsidRDefault="00C20D8D" w:rsidP="00C20D8D">
            <w:pPr>
              <w:jc w:val="both"/>
              <w:rPr>
                <w:rFonts w:eastAsia="Calibri" w:cs="Times New Roman"/>
                <w:sz w:val="20"/>
                <w:szCs w:val="20"/>
              </w:rPr>
            </w:pPr>
          </w:p>
        </w:tc>
        <w:tc>
          <w:tcPr>
            <w:tcW w:w="145" w:type="pct"/>
          </w:tcPr>
          <w:p w:rsidR="00C20D8D" w:rsidRPr="005D0703" w:rsidRDefault="00C20D8D" w:rsidP="00C20D8D">
            <w:pPr>
              <w:jc w:val="both"/>
              <w:rPr>
                <w:rFonts w:eastAsia="Calibri" w:cs="Times New Roman"/>
                <w:sz w:val="20"/>
                <w:szCs w:val="20"/>
              </w:rPr>
            </w:pPr>
          </w:p>
        </w:tc>
        <w:tc>
          <w:tcPr>
            <w:tcW w:w="2719"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Applicants’ appeals from judgment and dismissal of cross-claim dismissed; Cross-appeal by Zoriana Krawchuk from dismissal of claim against Wendy Weddell and Re/Max Sudbury Inc. allowed and fault apportioned; Cross-claim by Wendy Weddell and Re/Max Sudbury Inc. against Timothy Scherbak and Cherese Scherbak dismissed</w:t>
            </w:r>
          </w:p>
          <w:p w:rsidR="00C20D8D" w:rsidRPr="005D0703" w:rsidRDefault="00C20D8D" w:rsidP="00C20D8D">
            <w:pPr>
              <w:jc w:val="both"/>
              <w:rPr>
                <w:rFonts w:eastAsia="Calibri" w:cs="Times New Roman"/>
                <w:sz w:val="20"/>
                <w:szCs w:val="20"/>
              </w:rPr>
            </w:pPr>
          </w:p>
        </w:tc>
      </w:tr>
      <w:tr w:rsidR="00C20D8D" w:rsidRPr="005D0703" w:rsidTr="00C20D8D">
        <w:tc>
          <w:tcPr>
            <w:tcW w:w="2136"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August 2,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Supreme Court of Canada</w:t>
            </w:r>
          </w:p>
          <w:p w:rsidR="00C20D8D" w:rsidRPr="005D0703" w:rsidRDefault="00C20D8D" w:rsidP="00C20D8D">
            <w:pPr>
              <w:jc w:val="both"/>
              <w:rPr>
                <w:rFonts w:eastAsia="Calibri" w:cs="Times New Roman"/>
                <w:sz w:val="20"/>
                <w:szCs w:val="20"/>
              </w:rPr>
            </w:pPr>
          </w:p>
        </w:tc>
        <w:tc>
          <w:tcPr>
            <w:tcW w:w="145" w:type="pct"/>
          </w:tcPr>
          <w:p w:rsidR="00C20D8D" w:rsidRPr="005D0703" w:rsidRDefault="00C20D8D" w:rsidP="00C20D8D">
            <w:pPr>
              <w:jc w:val="both"/>
              <w:rPr>
                <w:rFonts w:eastAsia="Calibri" w:cs="Times New Roman"/>
                <w:sz w:val="20"/>
                <w:szCs w:val="20"/>
              </w:rPr>
            </w:pPr>
          </w:p>
        </w:tc>
        <w:tc>
          <w:tcPr>
            <w:tcW w:w="2719"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Application for leave to appeal filed</w:t>
            </w:r>
          </w:p>
          <w:p w:rsidR="00C20D8D" w:rsidRPr="005D0703" w:rsidRDefault="00C20D8D" w:rsidP="00C20D8D">
            <w:pPr>
              <w:jc w:val="both"/>
              <w:rPr>
                <w:rFonts w:eastAsia="Calibri" w:cs="Times New Roman"/>
                <w:sz w:val="20"/>
                <w:szCs w:val="20"/>
              </w:rPr>
            </w:pPr>
          </w:p>
        </w:tc>
      </w:tr>
      <w:tr w:rsidR="00C20D8D" w:rsidRPr="005D0703" w:rsidTr="00C20D8D">
        <w:tc>
          <w:tcPr>
            <w:tcW w:w="2136"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August 2,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Supreme Court of Canada</w:t>
            </w:r>
          </w:p>
        </w:tc>
        <w:tc>
          <w:tcPr>
            <w:tcW w:w="145" w:type="pct"/>
          </w:tcPr>
          <w:p w:rsidR="00C20D8D" w:rsidRPr="005D0703" w:rsidRDefault="00C20D8D" w:rsidP="00C20D8D">
            <w:pPr>
              <w:jc w:val="both"/>
              <w:rPr>
                <w:rFonts w:eastAsia="Calibri" w:cs="Times New Roman"/>
                <w:sz w:val="20"/>
                <w:szCs w:val="20"/>
              </w:rPr>
            </w:pPr>
          </w:p>
        </w:tc>
        <w:tc>
          <w:tcPr>
            <w:tcW w:w="2719"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Conditional application for leave to cross-appeal filed by Wendy Weddell and Re/Max Sudbury Inc.</w:t>
            </w:r>
          </w:p>
        </w:tc>
      </w:tr>
    </w:tbl>
    <w:p w:rsidR="00AE75EC" w:rsidRPr="005D0703" w:rsidRDefault="00AE75EC" w:rsidP="00692BC9">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52"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068"/>
        <w:gridCol w:w="276"/>
        <w:gridCol w:w="5183"/>
      </w:tblGrid>
      <w:tr w:rsidR="00C20D8D" w:rsidRPr="00C04C40" w:rsidTr="00C20D8D">
        <w:tc>
          <w:tcPr>
            <w:tcW w:w="5000" w:type="pct"/>
            <w:gridSpan w:val="3"/>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Responsabilité délictuelle — Négligence — Obligation de diligence — Achat et vente d’un bien réel — Responsabilité pour négligence du vendeur d'une maison relativement à des déclarations faites dans une fiche de renseignements sur la propriété établie par le vendeur — Obligation de l'agent immobilier qui représente à la fois le vendeur et l'acheteur — Raisonnabilité de la créance de l'acheteur à l'égard des déclarations du vendeur — L'exception visant les assurances privées s'applique-t-elle à l'assurance titre? — Dans quelles situations faut-il une preuve d'experts dans une affaire de négligence professionnelle? — La Cour d'appel a-t-elle substitué des conclusions de fait en l'absence d'erreur manifeste est dominante? — Obligation de renseignement à l'agent immobilier qui incombe au vendeur — La Cour d'appel a-t-elle imposé aux agents immobiliers une obligation absolue de découvrir les vices cachés d'une propriété à vendre?</w:t>
            </w:r>
          </w:p>
          <w:p w:rsidR="00C20D8D" w:rsidRPr="005D0703" w:rsidRDefault="00C20D8D" w:rsidP="00C20D8D">
            <w:pPr>
              <w:jc w:val="both"/>
              <w:rPr>
                <w:rFonts w:eastAsia="Calibri" w:cs="Times New Roman"/>
                <w:sz w:val="20"/>
                <w:szCs w:val="20"/>
                <w:lang w:val="fr-CA"/>
              </w:rPr>
            </w:pPr>
          </w:p>
        </w:tc>
      </w:tr>
      <w:tr w:rsidR="00C20D8D" w:rsidRPr="00C04C40" w:rsidTr="00C20D8D">
        <w:tc>
          <w:tcPr>
            <w:tcW w:w="5000" w:type="pct"/>
            <w:gridSpan w:val="3"/>
          </w:tcPr>
          <w:p w:rsidR="00C20D8D" w:rsidRDefault="00C20D8D" w:rsidP="00C20D8D">
            <w:pPr>
              <w:jc w:val="both"/>
              <w:rPr>
                <w:rFonts w:eastAsia="Calibri" w:cs="Times New Roman"/>
                <w:sz w:val="20"/>
                <w:szCs w:val="20"/>
                <w:lang w:val="fr-CA"/>
              </w:rPr>
            </w:pPr>
            <w:r w:rsidRPr="005D0703">
              <w:rPr>
                <w:rFonts w:eastAsia="Calibri" w:cs="Times New Roman"/>
                <w:sz w:val="20"/>
                <w:szCs w:val="20"/>
                <w:lang w:val="fr-CA"/>
              </w:rPr>
              <w:t xml:space="preserve">Les demandeurs ont retenu les services de l'intimée Wendy Weddell comme agente immobilière pour la vente de leur maison.  Madame Weddell a aidé les demandeurs à remplir une fiche de renseignements sur la propriété établie par le vendeur, communiquant des renseignements sur la propriété à d’éventuels acheteurs.  Madame Weddell représentait également Mme Krawchuk dans son achat de la maison des demandeurs.  Pendant qu'elle inspectait la maison, Mme  Krawchuk a noté des vices de construction et Mme Weddell lui a dit, en s'appuyant sur les renseignements contenus dans la fiche de renseignements, que la maison était maintenant bien assise et avait été réparée et qu'il n'y avait pas eu d'autres problèmes.  Madame Krawchuk a fait une offre d'achat sans condition.  Après l'achat de la maison, Mme Krawchuk a découvert qu'une partie de la fondation s'enfonçait.  Elle a dépensé la somme de 191 414,94 $ pour faire réparer la maison et a récupéré la somme de 105 742 $ en vertu d’un contrat d'assurance titre. Elle a poursuivi les demandeurs pour rupture de contrat, déclaration inexacte frauduleuse et déclaration inexacte faite par négligence.  Elle a poursuivi Mme Weddell et son courtier pour négligence, déclaration inexacte frauduleuse et déclaration inexacte faite par négligence.  Les défenderesses ont intenté des demandes reconventionnelles les unes contre les autres pour contribution et indemnisation. </w:t>
            </w:r>
          </w:p>
          <w:p w:rsidR="00507C73" w:rsidRPr="005D0703" w:rsidRDefault="00507C73" w:rsidP="00C20D8D">
            <w:pPr>
              <w:jc w:val="both"/>
              <w:rPr>
                <w:rFonts w:eastAsia="Calibri" w:cs="Times New Roman"/>
                <w:sz w:val="20"/>
                <w:szCs w:val="20"/>
                <w:lang w:val="fr-CA"/>
              </w:rPr>
            </w:pPr>
          </w:p>
        </w:tc>
      </w:tr>
      <w:tr w:rsidR="00C20D8D" w:rsidRPr="00C04C40" w:rsidTr="00C20D8D">
        <w:tc>
          <w:tcPr>
            <w:tcW w:w="2135"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30 juillet 2009</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 xml:space="preserve">(Juge Gordon) </w:t>
            </w:r>
          </w:p>
          <w:p w:rsidR="00C20D8D" w:rsidRPr="005D0703" w:rsidRDefault="00C20D8D" w:rsidP="00C20D8D">
            <w:pPr>
              <w:jc w:val="both"/>
              <w:rPr>
                <w:rFonts w:eastAsia="Calibri" w:cs="Times New Roman"/>
                <w:sz w:val="20"/>
                <w:szCs w:val="20"/>
                <w:lang w:val="fr-CA"/>
              </w:rPr>
            </w:pPr>
          </w:p>
        </w:tc>
        <w:tc>
          <w:tcPr>
            <w:tcW w:w="145" w:type="pct"/>
          </w:tcPr>
          <w:p w:rsidR="00C20D8D" w:rsidRPr="005D0703" w:rsidRDefault="00C20D8D" w:rsidP="00C20D8D">
            <w:pPr>
              <w:jc w:val="both"/>
              <w:rPr>
                <w:rFonts w:eastAsia="Calibri" w:cs="Times New Roman"/>
                <w:sz w:val="20"/>
                <w:szCs w:val="20"/>
                <w:lang w:val="fr-CA"/>
              </w:rPr>
            </w:pPr>
          </w:p>
        </w:tc>
        <w:tc>
          <w:tcPr>
            <w:tcW w:w="272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Jugement en faveur de Zoriana Krawchuk contre Timothy Scherbak et Cherese Scherbak pour la somme de 110 742,32 $; demande de Zoriana Krawchuk contre Wendy Weddell et Re/Max Sudbury Inc., rejetée; demande reconventionnelle de Timothy Scherbak et Cherese Scherbak contre Wendy Weddell et Re/Max Sudbury Inc., rejetée</w:t>
            </w:r>
          </w:p>
          <w:p w:rsidR="00C20D8D" w:rsidRPr="005D0703" w:rsidRDefault="00C20D8D" w:rsidP="00C20D8D">
            <w:pPr>
              <w:jc w:val="both"/>
              <w:rPr>
                <w:rFonts w:eastAsia="Calibri" w:cs="Times New Roman"/>
                <w:sz w:val="20"/>
                <w:szCs w:val="20"/>
                <w:lang w:val="fr-CA"/>
              </w:rPr>
            </w:pPr>
          </w:p>
        </w:tc>
      </w:tr>
      <w:tr w:rsidR="00C20D8D" w:rsidRPr="00C04C40" w:rsidTr="00C20D8D">
        <w:tc>
          <w:tcPr>
            <w:tcW w:w="2135"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6 mai 2011</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 xml:space="preserve">Cour d'appel de l'Ontario </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(Juges Rosenberg, Cronk et Epstein)</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2011 ONCA 352; C50902</w:t>
            </w:r>
          </w:p>
          <w:p w:rsidR="00C20D8D" w:rsidRPr="005D0703" w:rsidRDefault="00C20D8D" w:rsidP="00C20D8D">
            <w:pPr>
              <w:jc w:val="both"/>
              <w:rPr>
                <w:rFonts w:eastAsia="Calibri" w:cs="Times New Roman"/>
                <w:sz w:val="20"/>
                <w:szCs w:val="20"/>
                <w:lang w:val="fr-CA"/>
              </w:rPr>
            </w:pPr>
          </w:p>
        </w:tc>
        <w:tc>
          <w:tcPr>
            <w:tcW w:w="145" w:type="pct"/>
          </w:tcPr>
          <w:p w:rsidR="00C20D8D" w:rsidRPr="005D0703" w:rsidRDefault="00C20D8D" w:rsidP="00C20D8D">
            <w:pPr>
              <w:jc w:val="both"/>
              <w:rPr>
                <w:rFonts w:eastAsia="Calibri" w:cs="Times New Roman"/>
                <w:sz w:val="20"/>
                <w:szCs w:val="20"/>
                <w:lang w:val="fr-CA"/>
              </w:rPr>
            </w:pPr>
          </w:p>
        </w:tc>
        <w:tc>
          <w:tcPr>
            <w:tcW w:w="272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Appels des demandeurs du jugement et du rejet de la demande reconventionnelle, rejetés; appel incident de Zoriana Krawchuk du rejet de la demande contre Wendy Weddell et Re/Max Sudbury Inc., accueilli et faute attribuée; demande reconventionnelle de Wendy Weddell et de Re/Max Sudbury Inc. contre Timothy Scherbak et Cherese Scherbak rejetée</w:t>
            </w:r>
          </w:p>
          <w:p w:rsidR="00C20D8D" w:rsidRPr="005D0703" w:rsidRDefault="00C20D8D" w:rsidP="00C20D8D">
            <w:pPr>
              <w:jc w:val="both"/>
              <w:rPr>
                <w:rFonts w:eastAsia="Calibri" w:cs="Times New Roman"/>
                <w:sz w:val="20"/>
                <w:szCs w:val="20"/>
                <w:lang w:val="fr-CA"/>
              </w:rPr>
            </w:pPr>
          </w:p>
        </w:tc>
      </w:tr>
      <w:tr w:rsidR="00C20D8D" w:rsidRPr="005D0703" w:rsidTr="00C20D8D">
        <w:tc>
          <w:tcPr>
            <w:tcW w:w="2135"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2 août 2011</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Cour suprême du Canada</w:t>
            </w:r>
          </w:p>
          <w:p w:rsidR="00C20D8D" w:rsidRPr="005D0703" w:rsidRDefault="00C20D8D" w:rsidP="00C20D8D">
            <w:pPr>
              <w:jc w:val="both"/>
              <w:rPr>
                <w:rFonts w:eastAsia="Calibri" w:cs="Times New Roman"/>
                <w:sz w:val="20"/>
                <w:szCs w:val="20"/>
                <w:lang w:val="fr-CA"/>
              </w:rPr>
            </w:pPr>
          </w:p>
        </w:tc>
        <w:tc>
          <w:tcPr>
            <w:tcW w:w="145" w:type="pct"/>
          </w:tcPr>
          <w:p w:rsidR="00C20D8D" w:rsidRPr="005D0703" w:rsidRDefault="00C20D8D" w:rsidP="00C20D8D">
            <w:pPr>
              <w:jc w:val="both"/>
              <w:rPr>
                <w:rFonts w:eastAsia="Calibri" w:cs="Times New Roman"/>
                <w:sz w:val="20"/>
                <w:szCs w:val="20"/>
                <w:lang w:val="fr-CA"/>
              </w:rPr>
            </w:pPr>
          </w:p>
        </w:tc>
        <w:tc>
          <w:tcPr>
            <w:tcW w:w="272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C20D8D" w:rsidRPr="005D0703" w:rsidRDefault="00C20D8D" w:rsidP="00C20D8D">
            <w:pPr>
              <w:jc w:val="both"/>
              <w:rPr>
                <w:rFonts w:eastAsia="Calibri" w:cs="Times New Roman"/>
                <w:sz w:val="20"/>
                <w:szCs w:val="20"/>
                <w:lang w:val="fr-CA"/>
              </w:rPr>
            </w:pPr>
          </w:p>
        </w:tc>
      </w:tr>
      <w:tr w:rsidR="00C20D8D" w:rsidRPr="00C04C40" w:rsidTr="00C20D8D">
        <w:tc>
          <w:tcPr>
            <w:tcW w:w="2135"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2 août 2011</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145" w:type="pct"/>
          </w:tcPr>
          <w:p w:rsidR="00C20D8D" w:rsidRPr="005D0703" w:rsidRDefault="00C20D8D" w:rsidP="00C20D8D">
            <w:pPr>
              <w:jc w:val="both"/>
              <w:rPr>
                <w:rFonts w:eastAsia="Calibri" w:cs="Times New Roman"/>
                <w:sz w:val="20"/>
                <w:szCs w:val="20"/>
                <w:lang w:val="fr-CA"/>
              </w:rPr>
            </w:pPr>
          </w:p>
        </w:tc>
        <w:tc>
          <w:tcPr>
            <w:tcW w:w="272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Demande conditionnelle d'autorisation d'appel incident déposé par Wendy Weddell et Re/Max Sudbury Inc.</w:t>
            </w:r>
          </w:p>
          <w:p w:rsidR="00C20D8D" w:rsidRPr="005D0703" w:rsidRDefault="00C20D8D" w:rsidP="00C20D8D">
            <w:pPr>
              <w:jc w:val="both"/>
              <w:rPr>
                <w:rFonts w:eastAsia="Calibri" w:cs="Times New Roman"/>
                <w:sz w:val="20"/>
                <w:szCs w:val="20"/>
                <w:lang w:val="fr-CA"/>
              </w:rPr>
            </w:pPr>
          </w:p>
        </w:tc>
      </w:tr>
    </w:tbl>
    <w:p w:rsidR="00C20D8D" w:rsidRPr="00473523" w:rsidRDefault="00C20D8D" w:rsidP="00C20D8D">
      <w:pPr>
        <w:rPr>
          <w:rFonts w:cs="Times New Roman"/>
          <w:sz w:val="20"/>
          <w:szCs w:val="20"/>
          <w:lang w:val="fr-CA"/>
        </w:rPr>
      </w:pPr>
    </w:p>
    <w:p w:rsidR="00C20D8D" w:rsidRPr="005D0703" w:rsidRDefault="008A6550" w:rsidP="00C20D8D">
      <w:pPr>
        <w:rPr>
          <w:rFonts w:cs="Times New Roman"/>
          <w:sz w:val="20"/>
          <w:szCs w:val="20"/>
        </w:rPr>
      </w:pPr>
      <w:r w:rsidRPr="008A6550">
        <w:rPr>
          <w:rFonts w:cs="Times New Roman"/>
          <w:sz w:val="20"/>
          <w:szCs w:val="20"/>
          <w:lang w:val="fr-CA"/>
        </w:rPr>
        <w:pict>
          <v:rect id="_x0000_i1053" style="width:2in;height:1pt" o:hrpct="0" o:hralign="center" o:hrstd="t" o:hrnoshade="t" o:hr="t" fillcolor="black [3213]" stroked="f"/>
        </w:pict>
      </w:r>
    </w:p>
    <w:p w:rsidR="00C20D8D" w:rsidRPr="005D0703" w:rsidRDefault="00C20D8D" w:rsidP="00C20D8D">
      <w:pPr>
        <w:rPr>
          <w:rFonts w:cs="Times New Roman"/>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50209" w:rsidRPr="005D0703" w:rsidTr="00A50209">
        <w:trPr>
          <w:cantSplit/>
        </w:trPr>
        <w:tc>
          <w:tcPr>
            <w:tcW w:w="1458" w:type="dxa"/>
          </w:tcPr>
          <w:p w:rsidR="00A50209" w:rsidRPr="005D0703" w:rsidRDefault="00A50209" w:rsidP="00A50209">
            <w:pPr>
              <w:rPr>
                <w:rFonts w:cs="Times New Roman"/>
                <w:sz w:val="20"/>
                <w:szCs w:val="20"/>
              </w:rPr>
            </w:pPr>
            <w:r w:rsidRPr="005D0703">
              <w:rPr>
                <w:rFonts w:cs="Times New Roman"/>
                <w:b/>
                <w:sz w:val="20"/>
                <w:szCs w:val="20"/>
                <w:lang w:val="fr-CA"/>
              </w:rPr>
              <w:t>34364</w:t>
            </w:r>
          </w:p>
          <w:p w:rsidR="00A50209" w:rsidRPr="005D0703" w:rsidRDefault="00A50209" w:rsidP="00A50209">
            <w:pPr>
              <w:rPr>
                <w:rFonts w:cs="Times New Roman"/>
                <w:b/>
                <w:sz w:val="20"/>
                <w:szCs w:val="20"/>
                <w:lang w:val="fr-CA"/>
              </w:rPr>
            </w:pPr>
          </w:p>
        </w:tc>
        <w:tc>
          <w:tcPr>
            <w:tcW w:w="8118" w:type="dxa"/>
          </w:tcPr>
          <w:p w:rsidR="00A50209" w:rsidRPr="005D0703" w:rsidRDefault="00A50209" w:rsidP="00A50209">
            <w:pPr>
              <w:jc w:val="both"/>
              <w:rPr>
                <w:rFonts w:cs="Times New Roman"/>
                <w:sz w:val="20"/>
                <w:szCs w:val="20"/>
              </w:rPr>
            </w:pPr>
            <w:r w:rsidRPr="005D0703">
              <w:rPr>
                <w:rFonts w:cs="Times New Roman"/>
                <w:b/>
                <w:sz w:val="20"/>
                <w:szCs w:val="20"/>
                <w:u w:val="single"/>
                <w:lang w:val="fr-CA"/>
              </w:rPr>
              <w:t>Toyota Canada Inc., Toyota Motor Corporation et Toyota Motor North America c. Michael Melley</w:t>
            </w:r>
            <w:r w:rsidRPr="005D0703">
              <w:rPr>
                <w:rFonts w:cs="Times New Roman"/>
                <w:sz w:val="20"/>
                <w:szCs w:val="20"/>
              </w:rPr>
              <w:t xml:space="preserve"> (Qc) (Civile) (Autorisation)</w:t>
            </w:r>
          </w:p>
          <w:p w:rsidR="00A50209" w:rsidRPr="005D0703" w:rsidRDefault="00A50209" w:rsidP="00A50209">
            <w:pPr>
              <w:rPr>
                <w:rFonts w:cs="Times New Roman"/>
                <w:sz w:val="20"/>
                <w:szCs w:val="20"/>
              </w:rPr>
            </w:pPr>
          </w:p>
        </w:tc>
      </w:tr>
      <w:tr w:rsidR="00A50209" w:rsidRPr="00C04C40" w:rsidTr="00A50209">
        <w:trPr>
          <w:cantSplit/>
        </w:trPr>
        <w:tc>
          <w:tcPr>
            <w:tcW w:w="1458" w:type="dxa"/>
          </w:tcPr>
          <w:p w:rsidR="00A50209" w:rsidRPr="005D0703" w:rsidRDefault="00A50209" w:rsidP="00A50209">
            <w:pPr>
              <w:rPr>
                <w:rFonts w:cs="Times New Roman"/>
                <w:sz w:val="20"/>
                <w:szCs w:val="20"/>
              </w:rPr>
            </w:pPr>
            <w:r w:rsidRPr="005D0703">
              <w:rPr>
                <w:rFonts w:cs="Times New Roman"/>
                <w:sz w:val="20"/>
                <w:szCs w:val="20"/>
              </w:rPr>
              <w:t>Coram :</w:t>
            </w:r>
          </w:p>
        </w:tc>
        <w:tc>
          <w:tcPr>
            <w:tcW w:w="8118" w:type="dxa"/>
          </w:tcPr>
          <w:p w:rsidR="00A50209" w:rsidRPr="005D0703" w:rsidRDefault="00A50209" w:rsidP="00A50209">
            <w:pPr>
              <w:rPr>
                <w:rFonts w:cs="Times New Roman"/>
                <w:sz w:val="20"/>
                <w:szCs w:val="20"/>
                <w:lang w:val="fr-CA"/>
              </w:rPr>
            </w:pPr>
            <w:r w:rsidRPr="005D0703">
              <w:rPr>
                <w:rFonts w:cs="Times New Roman"/>
                <w:sz w:val="20"/>
                <w:szCs w:val="20"/>
                <w:u w:val="single"/>
                <w:lang w:val="fr-CA"/>
              </w:rPr>
              <w:t>Les juges LeBel, Abella et Cromwell</w:t>
            </w:r>
          </w:p>
          <w:p w:rsidR="00A50209" w:rsidRPr="005D0703" w:rsidRDefault="00A50209" w:rsidP="00A50209">
            <w:pPr>
              <w:rPr>
                <w:rFonts w:cs="Times New Roman"/>
                <w:sz w:val="20"/>
                <w:szCs w:val="20"/>
                <w:u w:val="single"/>
                <w:lang w:val="fr-CA"/>
              </w:rPr>
            </w:pPr>
          </w:p>
        </w:tc>
      </w:tr>
      <w:tr w:rsidR="00A50209" w:rsidRPr="005D0703" w:rsidTr="00A50209">
        <w:trPr>
          <w:cantSplit/>
        </w:trPr>
        <w:tc>
          <w:tcPr>
            <w:tcW w:w="9576" w:type="dxa"/>
            <w:gridSpan w:val="2"/>
          </w:tcPr>
          <w:p w:rsidR="00A50209" w:rsidRPr="005D0703" w:rsidRDefault="00A50209" w:rsidP="00A50209">
            <w:pPr>
              <w:ind w:firstLine="720"/>
              <w:jc w:val="both"/>
              <w:rPr>
                <w:rFonts w:cs="Times New Roman"/>
                <w:sz w:val="20"/>
                <w:szCs w:val="20"/>
                <w:lang w:val="fr-CA"/>
              </w:rPr>
            </w:pPr>
            <w:r w:rsidRPr="005D0703">
              <w:rPr>
                <w:rFonts w:cs="Times New Roman"/>
                <w:sz w:val="20"/>
                <w:szCs w:val="20"/>
                <w:lang w:val="fr-CA"/>
              </w:rPr>
              <w:t>La demande d’autorisation d’appel de l’arrêt de la Cour d’appel du Québec (Montréal), numéro 500-09-021600-119, 2011 QCCA 829, daté du 5 mai 2011, est rejetée avec dépens.</w:t>
            </w:r>
          </w:p>
          <w:p w:rsidR="00A50209" w:rsidRPr="005D0703" w:rsidRDefault="00A50209" w:rsidP="00A50209">
            <w:pPr>
              <w:jc w:val="both"/>
              <w:rPr>
                <w:rFonts w:cs="Times New Roman"/>
                <w:sz w:val="20"/>
                <w:szCs w:val="20"/>
                <w:lang w:val="fr-CA"/>
              </w:rPr>
            </w:pPr>
          </w:p>
          <w:p w:rsidR="00A50209" w:rsidRPr="005D0703" w:rsidRDefault="00A50209" w:rsidP="00A50209">
            <w:pPr>
              <w:ind w:firstLine="720"/>
              <w:jc w:val="both"/>
              <w:rPr>
                <w:rFonts w:cs="Times New Roman"/>
                <w:sz w:val="20"/>
                <w:szCs w:val="20"/>
              </w:rPr>
            </w:pPr>
            <w:r w:rsidRPr="005D0703">
              <w:rPr>
                <w:rFonts w:cs="Times New Roman"/>
                <w:sz w:val="20"/>
                <w:szCs w:val="20"/>
              </w:rPr>
              <w:t>The application for leave to appeal from the judgment of the Court of Appeal of Quebec (Montréal), Number 500-09-021600-119, 2011 QCCA 829, dated May 5, 2011, is dismissed with costs.</w:t>
            </w:r>
          </w:p>
        </w:tc>
      </w:tr>
    </w:tbl>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C20D8D" w:rsidRPr="005D0703" w:rsidTr="00C20D8D">
        <w:tc>
          <w:tcPr>
            <w:tcW w:w="5000" w:type="pct"/>
            <w:gridSpan w:val="3"/>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 xml:space="preserve">Civil procedure — Class action — Mechanical defect in certain models of Toyota vehicles — Class actions in various Canadian jurisdictions with same cause of action — Whether Quebec action had to fail or be suspended for </w:t>
            </w:r>
            <w:r w:rsidRPr="005D0703">
              <w:rPr>
                <w:rFonts w:eastAsia="Calibri" w:cs="Times New Roman"/>
                <w:i/>
                <w:sz w:val="20"/>
                <w:szCs w:val="20"/>
              </w:rPr>
              <w:t>lis pendens</w:t>
            </w:r>
            <w:r w:rsidRPr="005D0703">
              <w:rPr>
                <w:rFonts w:eastAsia="Calibri" w:cs="Times New Roman"/>
                <w:sz w:val="20"/>
                <w:szCs w:val="20"/>
              </w:rPr>
              <w:t xml:space="preserve"> — Whether multiplicity of proceedings constitutes abuse of process — </w:t>
            </w:r>
            <w:r w:rsidRPr="005D0703">
              <w:rPr>
                <w:rFonts w:eastAsia="Calibri" w:cs="Times New Roman"/>
                <w:i/>
                <w:sz w:val="20"/>
                <w:szCs w:val="20"/>
              </w:rPr>
              <w:t>Civil Code of Québec</w:t>
            </w:r>
            <w:r w:rsidRPr="005D0703">
              <w:rPr>
                <w:rFonts w:eastAsia="Calibri" w:cs="Times New Roman"/>
                <w:sz w:val="20"/>
                <w:szCs w:val="20"/>
              </w:rPr>
              <w:t xml:space="preserve">, S.Q. 1991, c. 64, art. 3137 — </w:t>
            </w:r>
            <w:r w:rsidRPr="005D0703">
              <w:rPr>
                <w:rFonts w:eastAsia="Calibri" w:cs="Times New Roman"/>
                <w:i/>
                <w:sz w:val="20"/>
                <w:szCs w:val="20"/>
              </w:rPr>
              <w:t>Code of Civil Procedure</w:t>
            </w:r>
            <w:r w:rsidRPr="005D0703">
              <w:rPr>
                <w:rFonts w:eastAsia="Calibri" w:cs="Times New Roman"/>
                <w:sz w:val="20"/>
                <w:szCs w:val="20"/>
              </w:rPr>
              <w:t>, R.S.Q. c. C</w:t>
            </w:r>
            <w:r w:rsidRPr="005D0703">
              <w:rPr>
                <w:rFonts w:eastAsia="Calibri" w:cs="Times New Roman"/>
                <w:sz w:val="20"/>
                <w:szCs w:val="20"/>
              </w:rPr>
              <w:noBreakHyphen/>
              <w:t>25, arts. 64.1, 165(1).</w:t>
            </w:r>
          </w:p>
          <w:p w:rsidR="00C20D8D" w:rsidRPr="005D0703" w:rsidRDefault="00C20D8D" w:rsidP="00C20D8D">
            <w:pPr>
              <w:jc w:val="both"/>
              <w:rPr>
                <w:rFonts w:eastAsia="Calibri" w:cs="Times New Roman"/>
                <w:sz w:val="20"/>
                <w:szCs w:val="20"/>
              </w:rPr>
            </w:pPr>
          </w:p>
        </w:tc>
      </w:tr>
      <w:tr w:rsidR="00C20D8D" w:rsidRPr="005D0703" w:rsidTr="00C20D8D">
        <w:tc>
          <w:tcPr>
            <w:tcW w:w="5000" w:type="pct"/>
            <w:gridSpan w:val="3"/>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 xml:space="preserve">Certain Toyota vehicles were recalled in 2010 because of a braking problem.  Class actions were instituted in Quebec and six other provinces.  Toyota argued </w:t>
            </w:r>
            <w:r w:rsidRPr="005D0703">
              <w:rPr>
                <w:rFonts w:eastAsia="Calibri" w:cs="Times New Roman"/>
                <w:i/>
                <w:sz w:val="20"/>
                <w:szCs w:val="20"/>
              </w:rPr>
              <w:t>lis pendens</w:t>
            </w:r>
            <w:r w:rsidRPr="005D0703">
              <w:rPr>
                <w:rFonts w:eastAsia="Calibri" w:cs="Times New Roman"/>
                <w:sz w:val="20"/>
                <w:szCs w:val="20"/>
              </w:rPr>
              <w:t xml:space="preserve"> and abuse of process.</w:t>
            </w:r>
          </w:p>
          <w:p w:rsidR="00C20D8D" w:rsidRPr="005D0703" w:rsidRDefault="00C20D8D" w:rsidP="00C20D8D">
            <w:pPr>
              <w:jc w:val="both"/>
              <w:rPr>
                <w:rFonts w:eastAsia="Calibri" w:cs="Times New Roman"/>
                <w:sz w:val="20"/>
                <w:szCs w:val="20"/>
              </w:rPr>
            </w:pPr>
          </w:p>
        </w:tc>
      </w:tr>
      <w:tr w:rsidR="00C20D8D" w:rsidRPr="005D0703" w:rsidTr="00C20D8D">
        <w:tc>
          <w:tcPr>
            <w:tcW w:w="2427"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March 18,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Quebec Superior Court</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(Mayer J.)</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Neutral citation: 2011 QCCS 1229</w:t>
            </w:r>
          </w:p>
          <w:p w:rsidR="00C20D8D" w:rsidRPr="005D0703" w:rsidRDefault="00C20D8D" w:rsidP="00C20D8D">
            <w:pPr>
              <w:jc w:val="both"/>
              <w:rPr>
                <w:rFonts w:eastAsia="Calibri" w:cs="Times New Roman"/>
                <w:sz w:val="20"/>
                <w:szCs w:val="20"/>
              </w:rPr>
            </w:pPr>
          </w:p>
        </w:tc>
        <w:tc>
          <w:tcPr>
            <w:tcW w:w="243" w:type="pct"/>
          </w:tcPr>
          <w:p w:rsidR="00C20D8D" w:rsidRPr="005D0703" w:rsidRDefault="00C20D8D" w:rsidP="00C20D8D">
            <w:pPr>
              <w:jc w:val="both"/>
              <w:rPr>
                <w:rFonts w:eastAsia="Calibri" w:cs="Times New Roman"/>
                <w:sz w:val="20"/>
                <w:szCs w:val="20"/>
              </w:rPr>
            </w:pPr>
          </w:p>
        </w:tc>
        <w:tc>
          <w:tcPr>
            <w:tcW w:w="2330"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Applicants’ motion to dismiss or suspend respondent’s proceeding seeking authorization for class action dismissed</w:t>
            </w:r>
          </w:p>
        </w:tc>
      </w:tr>
      <w:tr w:rsidR="00C20D8D" w:rsidRPr="005D0703" w:rsidTr="00C20D8D">
        <w:tc>
          <w:tcPr>
            <w:tcW w:w="2427"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May 5,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Quebec Court of Appeal (Montréal)</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(Léger J.A.)</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Neutral citation: 2011 QCCA 829</w:t>
            </w:r>
          </w:p>
          <w:p w:rsidR="00C20D8D" w:rsidRPr="005D0703" w:rsidRDefault="00C20D8D" w:rsidP="00C20D8D">
            <w:pPr>
              <w:jc w:val="both"/>
              <w:rPr>
                <w:rFonts w:eastAsia="Calibri" w:cs="Times New Roman"/>
                <w:sz w:val="20"/>
                <w:szCs w:val="20"/>
                <w:lang w:val="fr-CA"/>
              </w:rPr>
            </w:pPr>
          </w:p>
        </w:tc>
        <w:tc>
          <w:tcPr>
            <w:tcW w:w="243" w:type="pct"/>
          </w:tcPr>
          <w:p w:rsidR="00C20D8D" w:rsidRPr="005D0703" w:rsidRDefault="00C20D8D" w:rsidP="00C20D8D">
            <w:pPr>
              <w:jc w:val="both"/>
              <w:rPr>
                <w:rFonts w:eastAsia="Calibri" w:cs="Times New Roman"/>
                <w:sz w:val="20"/>
                <w:szCs w:val="20"/>
                <w:lang w:val="fr-CA"/>
              </w:rPr>
            </w:pPr>
          </w:p>
        </w:tc>
        <w:tc>
          <w:tcPr>
            <w:tcW w:w="2330"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Leave to appeal refused with reasons</w:t>
            </w:r>
          </w:p>
        </w:tc>
      </w:tr>
      <w:tr w:rsidR="00C20D8D" w:rsidRPr="005D0703" w:rsidTr="00C20D8D">
        <w:tc>
          <w:tcPr>
            <w:tcW w:w="2427"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August 4,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C20D8D" w:rsidRPr="005D0703" w:rsidRDefault="00C20D8D" w:rsidP="00C20D8D">
            <w:pPr>
              <w:jc w:val="both"/>
              <w:rPr>
                <w:rFonts w:eastAsia="Calibri" w:cs="Times New Roman"/>
                <w:sz w:val="20"/>
                <w:szCs w:val="20"/>
              </w:rPr>
            </w:pPr>
          </w:p>
        </w:tc>
        <w:tc>
          <w:tcPr>
            <w:tcW w:w="2330"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Application for leave to appeal filed</w:t>
            </w:r>
          </w:p>
          <w:p w:rsidR="00C20D8D" w:rsidRPr="005D0703" w:rsidRDefault="00C20D8D" w:rsidP="00C20D8D">
            <w:pPr>
              <w:jc w:val="both"/>
              <w:rPr>
                <w:rFonts w:eastAsia="Calibri" w:cs="Times New Roman"/>
                <w:sz w:val="20"/>
                <w:szCs w:val="20"/>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54"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20D8D" w:rsidRPr="005D0703" w:rsidTr="00C20D8D">
        <w:tc>
          <w:tcPr>
            <w:tcW w:w="5000" w:type="pct"/>
            <w:gridSpan w:val="3"/>
          </w:tcPr>
          <w:p w:rsidR="00C20D8D" w:rsidRPr="005D0703" w:rsidRDefault="00C20D8D" w:rsidP="00C20D8D">
            <w:pPr>
              <w:jc w:val="both"/>
              <w:rPr>
                <w:rFonts w:eastAsia="Calibri" w:cs="Times New Roman"/>
                <w:sz w:val="20"/>
                <w:szCs w:val="20"/>
                <w:lang w:val="fr-FR"/>
              </w:rPr>
            </w:pPr>
            <w:r w:rsidRPr="005D0703">
              <w:rPr>
                <w:rFonts w:eastAsia="Calibri" w:cs="Times New Roman"/>
                <w:sz w:val="20"/>
                <w:szCs w:val="20"/>
                <w:lang w:val="fr-CA"/>
              </w:rPr>
              <w:t>Procédure civile — Recours collectif — Défaut mécanique sur certains modèles de véhicules Toyota — Recours collectifs dans diverses juridictions canadiennes pour une même cause d’action — Le recours québécois doit</w:t>
            </w:r>
            <w:r w:rsidRPr="005D0703">
              <w:rPr>
                <w:rFonts w:eastAsia="Calibri" w:cs="Times New Roman"/>
                <w:sz w:val="20"/>
                <w:szCs w:val="20"/>
                <w:lang w:val="fr-CA"/>
              </w:rPr>
              <w:noBreakHyphen/>
              <w:t>il échouer ou devrait</w:t>
            </w:r>
            <w:r w:rsidRPr="005D0703">
              <w:rPr>
                <w:rFonts w:eastAsia="Calibri" w:cs="Times New Roman"/>
                <w:sz w:val="20"/>
                <w:szCs w:val="20"/>
                <w:lang w:val="fr-CA"/>
              </w:rPr>
              <w:noBreakHyphen/>
              <w:t>il être suspendu pour litispendance? — La multiplicité des recours constitue</w:t>
            </w:r>
            <w:r w:rsidRPr="005D0703">
              <w:rPr>
                <w:rFonts w:eastAsia="Calibri" w:cs="Times New Roman"/>
                <w:sz w:val="20"/>
                <w:szCs w:val="20"/>
                <w:lang w:val="fr-CA"/>
              </w:rPr>
              <w:noBreakHyphen/>
              <w:t>t</w:t>
            </w:r>
            <w:r w:rsidRPr="005D0703">
              <w:rPr>
                <w:rFonts w:eastAsia="Calibri" w:cs="Times New Roman"/>
                <w:sz w:val="20"/>
                <w:szCs w:val="20"/>
                <w:lang w:val="fr-CA"/>
              </w:rPr>
              <w:noBreakHyphen/>
              <w:t xml:space="preserve">elle un abus de procédure? — </w:t>
            </w:r>
            <w:r w:rsidRPr="005D0703">
              <w:rPr>
                <w:rFonts w:eastAsia="Calibri" w:cs="Times New Roman"/>
                <w:i/>
                <w:sz w:val="20"/>
                <w:szCs w:val="20"/>
                <w:lang w:val="fr-CA"/>
              </w:rPr>
              <w:t>Code civil du Québec</w:t>
            </w:r>
            <w:r w:rsidRPr="005D0703">
              <w:rPr>
                <w:rFonts w:eastAsia="Calibri" w:cs="Times New Roman"/>
                <w:sz w:val="20"/>
                <w:szCs w:val="20"/>
                <w:lang w:val="fr-CA"/>
              </w:rPr>
              <w:t xml:space="preserve">, L .Q. 1991, ch. 64, art. 3137 — </w:t>
            </w:r>
            <w:r w:rsidRPr="005D0703">
              <w:rPr>
                <w:rFonts w:eastAsia="Calibri" w:cs="Times New Roman"/>
                <w:i/>
                <w:sz w:val="20"/>
                <w:szCs w:val="20"/>
                <w:lang w:val="fr-CA"/>
              </w:rPr>
              <w:t>Code de procédure civile</w:t>
            </w:r>
            <w:r w:rsidRPr="005D0703">
              <w:rPr>
                <w:rFonts w:eastAsia="Calibri" w:cs="Times New Roman"/>
                <w:sz w:val="20"/>
                <w:szCs w:val="20"/>
                <w:lang w:val="fr-CA"/>
              </w:rPr>
              <w:t>, L.R.Q. ch. C</w:t>
            </w:r>
            <w:r w:rsidRPr="005D0703">
              <w:rPr>
                <w:rFonts w:eastAsia="Calibri" w:cs="Times New Roman"/>
                <w:sz w:val="20"/>
                <w:szCs w:val="20"/>
                <w:lang w:val="fr-CA"/>
              </w:rPr>
              <w:noBreakHyphen/>
              <w:t>25, art. 64.1, par. 165(1).</w:t>
            </w:r>
          </w:p>
          <w:p w:rsidR="00C20D8D" w:rsidRPr="005D0703" w:rsidRDefault="00C20D8D" w:rsidP="00C20D8D">
            <w:pPr>
              <w:jc w:val="both"/>
              <w:rPr>
                <w:rFonts w:eastAsia="Calibri" w:cs="Times New Roman"/>
                <w:sz w:val="20"/>
                <w:szCs w:val="20"/>
                <w:lang w:val="fr-CA"/>
              </w:rPr>
            </w:pPr>
          </w:p>
        </w:tc>
      </w:tr>
      <w:tr w:rsidR="00C20D8D" w:rsidRPr="005D0703" w:rsidTr="00C20D8D">
        <w:tc>
          <w:tcPr>
            <w:tcW w:w="5000" w:type="pct"/>
            <w:gridSpan w:val="3"/>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À la suite d’un problème de freinage, des véhicules Toyota sont rappelés en 2010.  Des recours collectifs sont entrepris au Québec puis dans six autres provinces.  Toyota invoque la litispendance et l’abus de procédure.</w:t>
            </w:r>
          </w:p>
          <w:p w:rsidR="00C20D8D" w:rsidRPr="005D0703" w:rsidRDefault="00C20D8D" w:rsidP="00C20D8D">
            <w:pPr>
              <w:jc w:val="both"/>
              <w:rPr>
                <w:rFonts w:eastAsia="Calibri" w:cs="Times New Roman"/>
                <w:sz w:val="20"/>
                <w:szCs w:val="20"/>
                <w:lang w:val="fr-CA"/>
              </w:rPr>
            </w:pPr>
          </w:p>
        </w:tc>
      </w:tr>
      <w:tr w:rsidR="00C20D8D" w:rsidRPr="00C04C40" w:rsidTr="00507C73">
        <w:trPr>
          <w:trHeight w:val="20"/>
        </w:trPr>
        <w:tc>
          <w:tcPr>
            <w:tcW w:w="2427"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18 mars 2011</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Cour supérieure du Québec</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juge Mayer)</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Référence neutre : 2011 QCCS 1229</w:t>
            </w:r>
          </w:p>
          <w:p w:rsidR="00C20D8D" w:rsidRPr="005D0703" w:rsidRDefault="00C20D8D" w:rsidP="00C20D8D">
            <w:pPr>
              <w:jc w:val="both"/>
              <w:rPr>
                <w:rFonts w:eastAsia="Calibri" w:cs="Times New Roman"/>
                <w:sz w:val="20"/>
                <w:szCs w:val="20"/>
                <w:lang w:val="fr-CA"/>
              </w:rPr>
            </w:pPr>
          </w:p>
        </w:tc>
        <w:tc>
          <w:tcPr>
            <w:tcW w:w="243" w:type="pct"/>
          </w:tcPr>
          <w:p w:rsidR="00C20D8D" w:rsidRPr="005D0703" w:rsidRDefault="00C20D8D" w:rsidP="00C20D8D">
            <w:pPr>
              <w:jc w:val="both"/>
              <w:rPr>
                <w:rFonts w:eastAsia="Calibri" w:cs="Times New Roman"/>
                <w:sz w:val="20"/>
                <w:szCs w:val="20"/>
                <w:lang w:val="fr-CA"/>
              </w:rPr>
            </w:pPr>
          </w:p>
        </w:tc>
        <w:tc>
          <w:tcPr>
            <w:tcW w:w="233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Rejet de la requête des demanderesses en rejet ou suspension de la procédure de l’intimé en autorisation de recours collectif.</w:t>
            </w:r>
          </w:p>
        </w:tc>
      </w:tr>
      <w:tr w:rsidR="00C20D8D" w:rsidRPr="00C04C40" w:rsidTr="00C20D8D">
        <w:tc>
          <w:tcPr>
            <w:tcW w:w="2427"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5 mai 2011</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Cour d’appel du Québec (Montréal)</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juge Léger)</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Référence neutre : 2011 QCCA 829</w:t>
            </w:r>
          </w:p>
          <w:p w:rsidR="00C20D8D" w:rsidRPr="005D0703" w:rsidRDefault="00C20D8D" w:rsidP="00C20D8D">
            <w:pPr>
              <w:jc w:val="both"/>
              <w:rPr>
                <w:rFonts w:eastAsia="Calibri" w:cs="Times New Roman"/>
                <w:sz w:val="20"/>
                <w:szCs w:val="20"/>
                <w:lang w:val="fr-CA"/>
              </w:rPr>
            </w:pPr>
          </w:p>
        </w:tc>
        <w:tc>
          <w:tcPr>
            <w:tcW w:w="243" w:type="pct"/>
          </w:tcPr>
          <w:p w:rsidR="00C20D8D" w:rsidRPr="005D0703" w:rsidRDefault="00C20D8D" w:rsidP="00C20D8D">
            <w:pPr>
              <w:jc w:val="both"/>
              <w:rPr>
                <w:rFonts w:eastAsia="Calibri" w:cs="Times New Roman"/>
                <w:sz w:val="20"/>
                <w:szCs w:val="20"/>
                <w:lang w:val="fr-FR"/>
              </w:rPr>
            </w:pPr>
          </w:p>
        </w:tc>
        <w:tc>
          <w:tcPr>
            <w:tcW w:w="233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Refus motivé de la permission d’appeler.</w:t>
            </w:r>
          </w:p>
        </w:tc>
      </w:tr>
      <w:tr w:rsidR="00C20D8D" w:rsidRPr="00C04C40" w:rsidTr="00C20D8D">
        <w:tc>
          <w:tcPr>
            <w:tcW w:w="2427"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4 août 2011</w:t>
            </w:r>
          </w:p>
          <w:p w:rsidR="00C20D8D" w:rsidRPr="005D0703" w:rsidRDefault="00C20D8D" w:rsidP="00B101FC">
            <w:pPr>
              <w:jc w:val="both"/>
              <w:rPr>
                <w:rFonts w:eastAsia="Calibri" w:cs="Times New Roman"/>
                <w:sz w:val="20"/>
                <w:szCs w:val="20"/>
                <w:lang w:val="fr-FR"/>
              </w:rPr>
            </w:pPr>
            <w:r w:rsidRPr="005D0703">
              <w:rPr>
                <w:rFonts w:eastAsia="Calibri" w:cs="Times New Roman"/>
                <w:sz w:val="20"/>
                <w:szCs w:val="20"/>
                <w:lang w:val="fr-CA"/>
              </w:rPr>
              <w:t>Cour suprême du Canada</w:t>
            </w:r>
          </w:p>
        </w:tc>
        <w:tc>
          <w:tcPr>
            <w:tcW w:w="243" w:type="pct"/>
          </w:tcPr>
          <w:p w:rsidR="00C20D8D" w:rsidRPr="005D0703" w:rsidRDefault="00C20D8D" w:rsidP="00C20D8D">
            <w:pPr>
              <w:jc w:val="both"/>
              <w:rPr>
                <w:rFonts w:eastAsia="Calibri" w:cs="Times New Roman"/>
                <w:sz w:val="20"/>
                <w:szCs w:val="20"/>
                <w:lang w:val="fr-FR"/>
              </w:rPr>
            </w:pPr>
          </w:p>
        </w:tc>
        <w:tc>
          <w:tcPr>
            <w:tcW w:w="233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Dépôt de la demande d'autorisation d'appel.</w:t>
            </w:r>
          </w:p>
          <w:p w:rsidR="00C20D8D" w:rsidRPr="005D0703" w:rsidRDefault="00C20D8D" w:rsidP="00C20D8D">
            <w:pPr>
              <w:jc w:val="both"/>
              <w:rPr>
                <w:rFonts w:eastAsia="Calibri" w:cs="Times New Roman"/>
                <w:sz w:val="20"/>
                <w:szCs w:val="20"/>
                <w:lang w:val="fr-CA"/>
              </w:rPr>
            </w:pPr>
          </w:p>
        </w:tc>
      </w:tr>
    </w:tbl>
    <w:p w:rsidR="00C20D8D" w:rsidRPr="00473523" w:rsidRDefault="00C20D8D" w:rsidP="00C20D8D">
      <w:pPr>
        <w:rPr>
          <w:rFonts w:cs="Times New Roman"/>
          <w:sz w:val="20"/>
          <w:szCs w:val="20"/>
          <w:lang w:val="fr-CA"/>
        </w:rPr>
      </w:pPr>
    </w:p>
    <w:p w:rsidR="00C20D8D" w:rsidRPr="005D0703" w:rsidRDefault="008A6550" w:rsidP="00C20D8D">
      <w:pPr>
        <w:rPr>
          <w:rFonts w:cs="Times New Roman"/>
          <w:sz w:val="20"/>
          <w:szCs w:val="20"/>
        </w:rPr>
      </w:pPr>
      <w:r w:rsidRPr="008A6550">
        <w:rPr>
          <w:rFonts w:cs="Times New Roman"/>
          <w:sz w:val="20"/>
          <w:szCs w:val="20"/>
          <w:lang w:val="fr-CA"/>
        </w:rPr>
        <w:pict>
          <v:rect id="_x0000_i1055" style="width:2in;height:1pt" o:hrpct="0" o:hralign="center" o:hrstd="t" o:hrnoshade="t" o:hr="t" fillcolor="black [3213]" stroked="f"/>
        </w:pict>
      </w:r>
    </w:p>
    <w:p w:rsidR="00C20D8D" w:rsidRPr="005D0703" w:rsidRDefault="00C20D8D" w:rsidP="00C20D8D">
      <w:pPr>
        <w:rPr>
          <w:rFonts w:cs="Times New Roman"/>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05BA" w:rsidRPr="00C04C40" w:rsidTr="00C605BA">
        <w:trPr>
          <w:cantSplit/>
        </w:trPr>
        <w:tc>
          <w:tcPr>
            <w:tcW w:w="1458" w:type="dxa"/>
          </w:tcPr>
          <w:p w:rsidR="00C605BA" w:rsidRPr="005D0703" w:rsidRDefault="00C605BA" w:rsidP="00C605BA">
            <w:pPr>
              <w:rPr>
                <w:rFonts w:cs="Times New Roman"/>
                <w:sz w:val="20"/>
                <w:szCs w:val="20"/>
              </w:rPr>
            </w:pPr>
            <w:r w:rsidRPr="005D0703">
              <w:rPr>
                <w:rFonts w:cs="Times New Roman"/>
                <w:b/>
                <w:sz w:val="20"/>
                <w:szCs w:val="20"/>
                <w:lang w:val="fr-CA"/>
              </w:rPr>
              <w:t>34371</w:t>
            </w:r>
          </w:p>
          <w:p w:rsidR="00C605BA" w:rsidRPr="005D0703" w:rsidRDefault="00C605BA" w:rsidP="00C605BA">
            <w:pPr>
              <w:rPr>
                <w:rFonts w:cs="Times New Roman"/>
                <w:b/>
                <w:sz w:val="20"/>
                <w:szCs w:val="20"/>
                <w:lang w:val="fr-CA"/>
              </w:rPr>
            </w:pPr>
          </w:p>
        </w:tc>
        <w:tc>
          <w:tcPr>
            <w:tcW w:w="8118" w:type="dxa"/>
          </w:tcPr>
          <w:p w:rsidR="00C605BA" w:rsidRPr="005D0703" w:rsidRDefault="00C605BA" w:rsidP="00C605BA">
            <w:pPr>
              <w:jc w:val="both"/>
              <w:rPr>
                <w:rFonts w:cs="Times New Roman"/>
                <w:sz w:val="20"/>
                <w:szCs w:val="20"/>
                <w:lang w:val="fr-CA"/>
              </w:rPr>
            </w:pPr>
            <w:r w:rsidRPr="005D0703">
              <w:rPr>
                <w:rFonts w:cs="Times New Roman"/>
                <w:b/>
                <w:sz w:val="20"/>
                <w:szCs w:val="20"/>
                <w:u w:val="single"/>
                <w:lang w:val="fr-CA"/>
              </w:rPr>
              <w:t>La Presse, ltée, Cyberpresse Inc., André Noël c. Bernard Poulin</w:t>
            </w:r>
            <w:r w:rsidRPr="005D0703">
              <w:rPr>
                <w:rFonts w:cs="Times New Roman"/>
                <w:sz w:val="20"/>
                <w:szCs w:val="20"/>
                <w:lang w:val="fr-CA"/>
              </w:rPr>
              <w:t xml:space="preserve"> (Qc) (Civile) (Autorisation)</w:t>
            </w:r>
          </w:p>
          <w:p w:rsidR="00C605BA" w:rsidRPr="005D0703" w:rsidRDefault="00C605BA" w:rsidP="00C605BA">
            <w:pPr>
              <w:rPr>
                <w:rFonts w:cs="Times New Roman"/>
                <w:sz w:val="20"/>
                <w:szCs w:val="20"/>
                <w:lang w:val="fr-CA"/>
              </w:rPr>
            </w:pPr>
          </w:p>
        </w:tc>
      </w:tr>
      <w:tr w:rsidR="00C605BA" w:rsidRPr="00C04C40" w:rsidTr="00C605BA">
        <w:trPr>
          <w:cantSplit/>
        </w:trPr>
        <w:tc>
          <w:tcPr>
            <w:tcW w:w="1458" w:type="dxa"/>
          </w:tcPr>
          <w:p w:rsidR="00C605BA" w:rsidRPr="005D0703" w:rsidRDefault="00C605BA" w:rsidP="00C605BA">
            <w:pPr>
              <w:rPr>
                <w:rFonts w:cs="Times New Roman"/>
                <w:sz w:val="20"/>
                <w:szCs w:val="20"/>
              </w:rPr>
            </w:pPr>
            <w:r w:rsidRPr="005D0703">
              <w:rPr>
                <w:rFonts w:cs="Times New Roman"/>
                <w:sz w:val="20"/>
                <w:szCs w:val="20"/>
              </w:rPr>
              <w:t>Coram :</w:t>
            </w:r>
          </w:p>
        </w:tc>
        <w:tc>
          <w:tcPr>
            <w:tcW w:w="8118" w:type="dxa"/>
          </w:tcPr>
          <w:p w:rsidR="00C605BA" w:rsidRPr="005D0703" w:rsidRDefault="00C605BA" w:rsidP="00C605BA">
            <w:pPr>
              <w:rPr>
                <w:rFonts w:cs="Times New Roman"/>
                <w:sz w:val="20"/>
                <w:szCs w:val="20"/>
                <w:lang w:val="fr-CA"/>
              </w:rPr>
            </w:pPr>
            <w:r w:rsidRPr="005D0703">
              <w:rPr>
                <w:rFonts w:cs="Times New Roman"/>
                <w:sz w:val="20"/>
                <w:szCs w:val="20"/>
                <w:u w:val="single"/>
                <w:lang w:val="fr-CA"/>
              </w:rPr>
              <w:t>Les juges LeBel, Abella et Cromwell</w:t>
            </w:r>
          </w:p>
          <w:p w:rsidR="00C605BA" w:rsidRPr="005D0703" w:rsidRDefault="00C605BA" w:rsidP="00C605BA">
            <w:pPr>
              <w:rPr>
                <w:rFonts w:cs="Times New Roman"/>
                <w:sz w:val="20"/>
                <w:szCs w:val="20"/>
                <w:u w:val="single"/>
                <w:lang w:val="fr-CA"/>
              </w:rPr>
            </w:pPr>
          </w:p>
        </w:tc>
      </w:tr>
      <w:tr w:rsidR="00C605BA" w:rsidRPr="005D0703" w:rsidTr="00C605BA">
        <w:trPr>
          <w:cantSplit/>
        </w:trPr>
        <w:tc>
          <w:tcPr>
            <w:tcW w:w="9576" w:type="dxa"/>
            <w:gridSpan w:val="2"/>
          </w:tcPr>
          <w:p w:rsidR="00C605BA" w:rsidRPr="005D0703" w:rsidRDefault="00C605BA" w:rsidP="00C605BA">
            <w:pPr>
              <w:ind w:firstLine="720"/>
              <w:jc w:val="both"/>
              <w:rPr>
                <w:rFonts w:cs="Times New Roman"/>
                <w:sz w:val="20"/>
                <w:szCs w:val="20"/>
                <w:lang w:val="fr-CA"/>
              </w:rPr>
            </w:pPr>
            <w:r w:rsidRPr="005D0703">
              <w:rPr>
                <w:rFonts w:cs="Times New Roman"/>
                <w:sz w:val="20"/>
                <w:szCs w:val="20"/>
                <w:lang w:val="fr-CA"/>
              </w:rPr>
              <w:t>La demande d’autorisation d’appel de l’arrêt de la Cour d’appel du Québec (Montréal), numéro 500-09-021621-115, 2011 QCCA 854, daté du 6 mai 2011, est rejetée avec dépens.</w:t>
            </w:r>
          </w:p>
          <w:p w:rsidR="00C605BA" w:rsidRPr="005D0703" w:rsidRDefault="00C605BA" w:rsidP="00C605BA">
            <w:pPr>
              <w:jc w:val="both"/>
              <w:rPr>
                <w:rFonts w:cs="Times New Roman"/>
                <w:sz w:val="20"/>
                <w:szCs w:val="20"/>
                <w:lang w:val="fr-CA"/>
              </w:rPr>
            </w:pPr>
          </w:p>
          <w:p w:rsidR="00C605BA" w:rsidRPr="005D0703" w:rsidRDefault="00C605BA" w:rsidP="00C605BA">
            <w:pPr>
              <w:ind w:firstLine="720"/>
              <w:jc w:val="both"/>
              <w:rPr>
                <w:rFonts w:cs="Times New Roman"/>
                <w:sz w:val="20"/>
                <w:szCs w:val="20"/>
              </w:rPr>
            </w:pPr>
            <w:r w:rsidRPr="005D0703">
              <w:rPr>
                <w:rFonts w:cs="Times New Roman"/>
                <w:sz w:val="20"/>
                <w:szCs w:val="20"/>
              </w:rPr>
              <w:t>The application for leave to appeal from the judgment of the Court of Appeal of Quebec (Montréal), Number 500-09-021621-115, 2011 QCCA 854, dated May 6, 2011, is dismissed with costs.</w:t>
            </w:r>
          </w:p>
        </w:tc>
      </w:tr>
    </w:tbl>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C20D8D" w:rsidRPr="005D0703" w:rsidTr="00C20D8D">
        <w:tc>
          <w:tcPr>
            <w:tcW w:w="5000" w:type="pct"/>
            <w:gridSpan w:val="3"/>
          </w:tcPr>
          <w:p w:rsidR="00C20D8D" w:rsidRDefault="00C20D8D" w:rsidP="00C20D8D">
            <w:pPr>
              <w:jc w:val="both"/>
              <w:rPr>
                <w:rFonts w:eastAsia="Calibri" w:cs="Times New Roman"/>
                <w:sz w:val="20"/>
                <w:szCs w:val="20"/>
              </w:rPr>
            </w:pPr>
            <w:r w:rsidRPr="005D0703">
              <w:rPr>
                <w:rFonts w:eastAsia="Calibri" w:cs="Times New Roman"/>
                <w:sz w:val="20"/>
                <w:szCs w:val="20"/>
              </w:rPr>
              <w:t>Civil procedure — Examination on discovery — Objection — Relevance — Interlocutory judgment disposing of objections based on irrelevance — Scope and purpose of art. 397 C.C.P. and extent to which it can be distinguished from art. 298 C.C.P. and rules of discovery, particularly as regards nature of questions that plaintiff can be asked — What constitutes relevant question in context of art. 397 C.C.P. and extent to which such question can enable defendant to try to obtain information that defendant can use to prepare defence, having regard to nature of rights and facts explicitly or implicitly raised in demand — Whether, in context of examination on discovery, party can object to question on sole ground that answer could invade party’s privacy or lead to disclosure of personal information, provide person asking question with information unknown to person or reveal facts subsequent to demand.</w:t>
            </w:r>
          </w:p>
          <w:p w:rsidR="00507C73" w:rsidRPr="005D0703" w:rsidRDefault="00507C73" w:rsidP="00C20D8D">
            <w:pPr>
              <w:jc w:val="both"/>
              <w:rPr>
                <w:rFonts w:eastAsia="Calibri" w:cs="Times New Roman"/>
                <w:sz w:val="20"/>
                <w:szCs w:val="20"/>
              </w:rPr>
            </w:pPr>
          </w:p>
        </w:tc>
      </w:tr>
      <w:tr w:rsidR="00C20D8D" w:rsidRPr="005D0703" w:rsidTr="00C20D8D">
        <w:tc>
          <w:tcPr>
            <w:tcW w:w="5000" w:type="pct"/>
            <w:gridSpan w:val="3"/>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 xml:space="preserve">In September 2010, a private telephone conversation between the respondent, Bernard Poulin, and a third party was recorded without their knowledge and disclosed by the applicants, La Presse, ltée, Cyberpresse Inc. and André Noël (La Presse </w:t>
            </w:r>
            <w:r w:rsidRPr="005D0703">
              <w:rPr>
                <w:rFonts w:eastAsia="Calibri" w:cs="Times New Roman"/>
                <w:i/>
                <w:sz w:val="20"/>
                <w:szCs w:val="20"/>
              </w:rPr>
              <w:t>et al.</w:t>
            </w:r>
            <w:r w:rsidRPr="005D0703">
              <w:rPr>
                <w:rFonts w:eastAsia="Calibri" w:cs="Times New Roman"/>
                <w:sz w:val="20"/>
                <w:szCs w:val="20"/>
              </w:rPr>
              <w:t xml:space="preserve">).  Bernard Poulin was the president of an engineering company recognized in Quebec as a leader in engineering, rehabilitation and infrastructure management.  The conversation was disclosed and disseminated in an article by André Noël that was published in </w:t>
            </w:r>
            <w:r w:rsidRPr="005D0703">
              <w:rPr>
                <w:rFonts w:eastAsia="Calibri" w:cs="Times New Roman"/>
                <w:i/>
                <w:sz w:val="20"/>
                <w:szCs w:val="20"/>
              </w:rPr>
              <w:t xml:space="preserve">La Presse </w:t>
            </w:r>
            <w:r w:rsidRPr="005D0703">
              <w:rPr>
                <w:rFonts w:eastAsia="Calibri" w:cs="Times New Roman"/>
                <w:sz w:val="20"/>
                <w:szCs w:val="20"/>
              </w:rPr>
              <w:t xml:space="preserve">on September 9, 2010 and on the </w:t>
            </w:r>
            <w:r w:rsidRPr="005D0703">
              <w:rPr>
                <w:rFonts w:eastAsia="Calibri" w:cs="Times New Roman"/>
                <w:i/>
                <w:sz w:val="20"/>
                <w:szCs w:val="20"/>
              </w:rPr>
              <w:t>La Presse</w:t>
            </w:r>
            <w:r w:rsidRPr="005D0703">
              <w:rPr>
                <w:rFonts w:eastAsia="Calibri" w:cs="Times New Roman"/>
                <w:sz w:val="20"/>
                <w:szCs w:val="20"/>
              </w:rPr>
              <w:t xml:space="preserve"> website on September 8, 9 and 10, 2010.  A short time later, Bernard Poulin brought a legal action based on art. 36(2) and (4) of the </w:t>
            </w:r>
            <w:r w:rsidRPr="005D0703">
              <w:rPr>
                <w:rFonts w:eastAsia="Calibri" w:cs="Times New Roman"/>
                <w:i/>
                <w:sz w:val="20"/>
                <w:szCs w:val="20"/>
              </w:rPr>
              <w:t>Civil Code of Québec</w:t>
            </w:r>
            <w:r w:rsidRPr="005D0703">
              <w:rPr>
                <w:rFonts w:eastAsia="Calibri" w:cs="Times New Roman"/>
                <w:sz w:val="20"/>
                <w:szCs w:val="20"/>
              </w:rPr>
              <w:t xml:space="preserve"> and s. 5 of the </w:t>
            </w:r>
            <w:r w:rsidRPr="005D0703">
              <w:rPr>
                <w:rFonts w:eastAsia="Calibri" w:cs="Times New Roman"/>
                <w:i/>
                <w:sz w:val="20"/>
                <w:szCs w:val="20"/>
              </w:rPr>
              <w:t>Charter of human rights and freedoms</w:t>
            </w:r>
            <w:r w:rsidRPr="005D0703">
              <w:rPr>
                <w:rFonts w:eastAsia="Calibri" w:cs="Times New Roman"/>
                <w:sz w:val="20"/>
                <w:szCs w:val="20"/>
              </w:rPr>
              <w:t xml:space="preserve">.  In his motion to institute proceedings, he alleged that, because the existence and content of the private telephone conversation had been widely disclosed, he had suffered moral damage resulting from the violation of his privacy, for which he claimed $200,000 from La Presse </w:t>
            </w:r>
            <w:r w:rsidRPr="005D0703">
              <w:rPr>
                <w:rFonts w:eastAsia="Calibri" w:cs="Times New Roman"/>
                <w:i/>
                <w:sz w:val="20"/>
                <w:szCs w:val="20"/>
              </w:rPr>
              <w:t xml:space="preserve">et al. </w:t>
            </w:r>
            <w:r w:rsidRPr="005D0703">
              <w:rPr>
                <w:rFonts w:eastAsia="Calibri" w:cs="Times New Roman"/>
                <w:sz w:val="20"/>
                <w:szCs w:val="20"/>
              </w:rPr>
              <w:t xml:space="preserve"> He also alleged that La Presse </w:t>
            </w:r>
            <w:r w:rsidRPr="005D0703">
              <w:rPr>
                <w:rFonts w:eastAsia="Calibri" w:cs="Times New Roman"/>
                <w:i/>
                <w:sz w:val="20"/>
                <w:szCs w:val="20"/>
              </w:rPr>
              <w:t>et al. </w:t>
            </w:r>
            <w:r w:rsidRPr="005D0703">
              <w:rPr>
                <w:rFonts w:eastAsia="Calibri" w:cs="Times New Roman"/>
                <w:sz w:val="20"/>
                <w:szCs w:val="20"/>
              </w:rPr>
              <w:t>had intentionally, repeatedly and knowingly invaded his privacy, for which he claimed $100,000 in punitive damages from them.</w:t>
            </w:r>
          </w:p>
          <w:p w:rsidR="00C20D8D" w:rsidRPr="005D0703" w:rsidRDefault="00C20D8D" w:rsidP="00C20D8D">
            <w:pPr>
              <w:jc w:val="both"/>
              <w:rPr>
                <w:rFonts w:eastAsia="Calibri" w:cs="Times New Roman"/>
                <w:sz w:val="20"/>
                <w:szCs w:val="20"/>
              </w:rPr>
            </w:pPr>
          </w:p>
        </w:tc>
      </w:tr>
      <w:tr w:rsidR="00C20D8D" w:rsidRPr="005D0703" w:rsidTr="00C20D8D">
        <w:tc>
          <w:tcPr>
            <w:tcW w:w="2427"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April 6,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Quebec Superior Court</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(Zerbisias J.)</w:t>
            </w:r>
          </w:p>
          <w:p w:rsidR="00C20D8D" w:rsidRPr="005D0703" w:rsidRDefault="00C20D8D" w:rsidP="00C20D8D">
            <w:pPr>
              <w:jc w:val="both"/>
              <w:rPr>
                <w:rFonts w:eastAsia="Calibri" w:cs="Times New Roman"/>
                <w:sz w:val="20"/>
                <w:szCs w:val="20"/>
              </w:rPr>
            </w:pPr>
          </w:p>
        </w:tc>
        <w:tc>
          <w:tcPr>
            <w:tcW w:w="243" w:type="pct"/>
          </w:tcPr>
          <w:p w:rsidR="00C20D8D" w:rsidRPr="005D0703" w:rsidRDefault="00C20D8D" w:rsidP="00C20D8D">
            <w:pPr>
              <w:jc w:val="both"/>
              <w:rPr>
                <w:rFonts w:eastAsia="Calibri" w:cs="Times New Roman"/>
                <w:sz w:val="20"/>
                <w:szCs w:val="20"/>
              </w:rPr>
            </w:pPr>
          </w:p>
        </w:tc>
        <w:tc>
          <w:tcPr>
            <w:tcW w:w="2330"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Interlocutory judgment sustaining 125 objections all relating to relevance of questions asked</w:t>
            </w:r>
          </w:p>
        </w:tc>
      </w:tr>
      <w:tr w:rsidR="00C20D8D" w:rsidRPr="005D0703" w:rsidTr="00C20D8D">
        <w:tc>
          <w:tcPr>
            <w:tcW w:w="2427"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May 6,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Quebec Court of Appeal (Montréal)</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(Léger J.A.)</w:t>
            </w:r>
          </w:p>
          <w:p w:rsidR="00C20D8D" w:rsidRPr="005D0703" w:rsidRDefault="00C20D8D" w:rsidP="00C20D8D">
            <w:pPr>
              <w:jc w:val="both"/>
              <w:rPr>
                <w:rFonts w:eastAsia="Calibri" w:cs="Times New Roman"/>
                <w:sz w:val="20"/>
                <w:szCs w:val="20"/>
              </w:rPr>
            </w:pPr>
          </w:p>
        </w:tc>
        <w:tc>
          <w:tcPr>
            <w:tcW w:w="243" w:type="pct"/>
          </w:tcPr>
          <w:p w:rsidR="00C20D8D" w:rsidRPr="005D0703" w:rsidRDefault="00C20D8D" w:rsidP="00C20D8D">
            <w:pPr>
              <w:jc w:val="both"/>
              <w:rPr>
                <w:rFonts w:eastAsia="Calibri" w:cs="Times New Roman"/>
                <w:sz w:val="20"/>
                <w:szCs w:val="20"/>
              </w:rPr>
            </w:pPr>
          </w:p>
        </w:tc>
        <w:tc>
          <w:tcPr>
            <w:tcW w:w="2330"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Motion for leave to appeal dismissed</w:t>
            </w:r>
          </w:p>
          <w:p w:rsidR="00C20D8D" w:rsidRPr="005D0703" w:rsidRDefault="00C20D8D" w:rsidP="00C20D8D">
            <w:pPr>
              <w:jc w:val="both"/>
              <w:rPr>
                <w:rFonts w:eastAsia="Calibri" w:cs="Times New Roman"/>
                <w:sz w:val="20"/>
                <w:szCs w:val="20"/>
              </w:rPr>
            </w:pPr>
          </w:p>
        </w:tc>
      </w:tr>
      <w:tr w:rsidR="00C20D8D" w:rsidRPr="005D0703" w:rsidTr="00C20D8D">
        <w:tc>
          <w:tcPr>
            <w:tcW w:w="2427"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August 5, 2011</w:t>
            </w:r>
          </w:p>
          <w:p w:rsidR="00C20D8D" w:rsidRPr="005D0703" w:rsidRDefault="00C20D8D" w:rsidP="00C20D8D">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C20D8D" w:rsidRPr="005D0703" w:rsidRDefault="00C20D8D" w:rsidP="00C20D8D">
            <w:pPr>
              <w:jc w:val="both"/>
              <w:rPr>
                <w:rFonts w:eastAsia="Calibri" w:cs="Times New Roman"/>
                <w:sz w:val="20"/>
                <w:szCs w:val="20"/>
              </w:rPr>
            </w:pPr>
          </w:p>
        </w:tc>
        <w:tc>
          <w:tcPr>
            <w:tcW w:w="2330" w:type="pct"/>
          </w:tcPr>
          <w:p w:rsidR="00C20D8D" w:rsidRPr="005D0703" w:rsidRDefault="00C20D8D" w:rsidP="00C20D8D">
            <w:pPr>
              <w:jc w:val="both"/>
              <w:rPr>
                <w:rFonts w:eastAsia="Calibri" w:cs="Times New Roman"/>
                <w:sz w:val="20"/>
                <w:szCs w:val="20"/>
              </w:rPr>
            </w:pPr>
            <w:r w:rsidRPr="005D0703">
              <w:rPr>
                <w:rFonts w:eastAsia="Calibri" w:cs="Times New Roman"/>
                <w:sz w:val="20"/>
                <w:szCs w:val="20"/>
              </w:rPr>
              <w:t>Application for leave to appeal filed</w:t>
            </w:r>
          </w:p>
          <w:p w:rsidR="00C20D8D" w:rsidRPr="005D0703" w:rsidRDefault="00C20D8D" w:rsidP="00C20D8D">
            <w:pPr>
              <w:jc w:val="both"/>
              <w:rPr>
                <w:rFonts w:eastAsia="Calibri" w:cs="Times New Roman"/>
                <w:sz w:val="20"/>
                <w:szCs w:val="20"/>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56"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C20D8D" w:rsidRPr="00C04C40" w:rsidTr="00C20D8D">
        <w:tc>
          <w:tcPr>
            <w:tcW w:w="5000" w:type="pct"/>
            <w:gridSpan w:val="3"/>
          </w:tcPr>
          <w:p w:rsidR="00C20D8D" w:rsidRDefault="00C20D8D" w:rsidP="00C20D8D">
            <w:pPr>
              <w:jc w:val="both"/>
              <w:rPr>
                <w:rFonts w:eastAsia="Calibri" w:cs="Times New Roman"/>
                <w:sz w:val="20"/>
                <w:szCs w:val="20"/>
                <w:lang w:val="fr-CA"/>
              </w:rPr>
            </w:pPr>
            <w:r w:rsidRPr="005D0703">
              <w:rPr>
                <w:rFonts w:eastAsia="Calibri" w:cs="Times New Roman"/>
                <w:sz w:val="20"/>
                <w:szCs w:val="20"/>
                <w:lang w:val="fr-CA"/>
              </w:rPr>
              <w:t>Procédure civile — Interrogatoire préalable — Objection — Pertinence — Jugement interlocutoire disposant d’objections au motif de non</w:t>
            </w:r>
            <w:r w:rsidRPr="005D0703">
              <w:rPr>
                <w:rFonts w:eastAsia="Calibri" w:cs="Times New Roman"/>
                <w:sz w:val="20"/>
                <w:szCs w:val="20"/>
                <w:lang w:val="fr-CA"/>
              </w:rPr>
              <w:noBreakHyphen/>
              <w:t>pertinence — Quelle est la portée et la finalité de l’article 397 C.p.c. et dans quelle mesure cette disposition se distingue</w:t>
            </w:r>
            <w:r w:rsidRPr="005D0703">
              <w:rPr>
                <w:rFonts w:eastAsia="Calibri" w:cs="Times New Roman"/>
                <w:sz w:val="20"/>
                <w:szCs w:val="20"/>
                <w:lang w:val="fr-CA"/>
              </w:rPr>
              <w:noBreakHyphen/>
              <w:t>t</w:t>
            </w:r>
            <w:r w:rsidRPr="005D0703">
              <w:rPr>
                <w:rFonts w:eastAsia="Calibri" w:cs="Times New Roman"/>
                <w:sz w:val="20"/>
                <w:szCs w:val="20"/>
                <w:lang w:val="fr-CA"/>
              </w:rPr>
              <w:noBreakHyphen/>
              <w:t xml:space="preserve">elle de l’article 298 C.p.c. et des règles du </w:t>
            </w:r>
            <w:r w:rsidRPr="005D0703">
              <w:rPr>
                <w:rFonts w:eastAsia="Calibri" w:cs="Times New Roman"/>
                <w:i/>
                <w:sz w:val="20"/>
                <w:szCs w:val="20"/>
                <w:lang w:val="fr-CA"/>
              </w:rPr>
              <w:t>discovery</w:t>
            </w:r>
            <w:r w:rsidRPr="005D0703">
              <w:rPr>
                <w:rFonts w:eastAsia="Calibri" w:cs="Times New Roman"/>
                <w:sz w:val="20"/>
                <w:szCs w:val="20"/>
                <w:lang w:val="fr-CA"/>
              </w:rPr>
              <w:t>, notamment quant à la nature des questions qui peuvent être posées au demandeur? — Qu’est</w:t>
            </w:r>
            <w:r w:rsidRPr="005D0703">
              <w:rPr>
                <w:rFonts w:eastAsia="Calibri" w:cs="Times New Roman"/>
                <w:sz w:val="20"/>
                <w:szCs w:val="20"/>
                <w:lang w:val="fr-CA"/>
              </w:rPr>
              <w:noBreakHyphen/>
              <w:t>ce qu’une question pertinente dans le contexte de l’article 397 C.p.c. et dans quelle mesure une telle question peut</w:t>
            </w:r>
            <w:r w:rsidRPr="005D0703">
              <w:rPr>
                <w:rFonts w:eastAsia="Calibri" w:cs="Times New Roman"/>
                <w:sz w:val="20"/>
                <w:szCs w:val="20"/>
                <w:lang w:val="fr-CA"/>
              </w:rPr>
              <w:noBreakHyphen/>
              <w:t>elle permettre au défendeur de chercher à obtenir des informations qui lui permettront de préparer sa défense, eu égard à la nature des droits et des faits explicitement ou implicitement soulevés dans la demande? — Une partie peut</w:t>
            </w:r>
            <w:r w:rsidRPr="005D0703">
              <w:rPr>
                <w:rFonts w:eastAsia="Calibri" w:cs="Times New Roman"/>
                <w:sz w:val="20"/>
                <w:szCs w:val="20"/>
                <w:lang w:val="fr-CA"/>
              </w:rPr>
              <w:noBreakHyphen/>
              <w:t>elle, dans le cadre d’un interrogatoire au préalable, s’objecter à une question pour le seul motif que la réponse pourrait porter atteinte à sa vie privée ou donner lieu à la divulgation de renseignements personnels, apprendre à celui qui la pose des informations qu’il ignore ou révéler des faits postérieurs à la demande?</w:t>
            </w:r>
          </w:p>
          <w:p w:rsidR="00507C73" w:rsidRPr="005D0703" w:rsidRDefault="00507C73" w:rsidP="00C20D8D">
            <w:pPr>
              <w:jc w:val="both"/>
              <w:rPr>
                <w:rFonts w:eastAsia="Calibri" w:cs="Times New Roman"/>
                <w:sz w:val="20"/>
                <w:szCs w:val="20"/>
                <w:lang w:val="fr-CA"/>
              </w:rPr>
            </w:pPr>
          </w:p>
        </w:tc>
      </w:tr>
      <w:tr w:rsidR="00C20D8D" w:rsidRPr="00C04C40" w:rsidTr="00C20D8D">
        <w:tc>
          <w:tcPr>
            <w:tcW w:w="5000" w:type="pct"/>
            <w:gridSpan w:val="3"/>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 xml:space="preserve">En septembre 2010, une communication téléphonique privée que l’intimé, Bernard Poulin, avait eue avec un tiers a été enregistrée à leur insu a été divulgué par les demandeurs, La Presse, Ltée, Cyberpresse Inc. et André Noël (La Presse </w:t>
            </w:r>
            <w:r w:rsidRPr="005D0703">
              <w:rPr>
                <w:rFonts w:eastAsia="Calibri" w:cs="Times New Roman"/>
                <w:i/>
                <w:sz w:val="20"/>
                <w:szCs w:val="20"/>
                <w:lang w:val="fr-CA"/>
              </w:rPr>
              <w:t>et al.</w:t>
            </w:r>
            <w:r w:rsidRPr="005D0703">
              <w:rPr>
                <w:rFonts w:eastAsia="Calibri" w:cs="Times New Roman"/>
                <w:sz w:val="20"/>
                <w:szCs w:val="20"/>
                <w:lang w:val="fr-CA"/>
              </w:rPr>
              <w:t xml:space="preserve">).  Bernard Poulin est président d’une société d’ingénierie, reconnue au Québec comme chef de file en matière d’ingénierie, de réfection et de gestion d’infrastructure.  La divulgation et la diffusion de cette conversation ont été faites par un article signé par André Noël publié dans l’édition de </w:t>
            </w:r>
            <w:r w:rsidRPr="005D0703">
              <w:rPr>
                <w:rFonts w:eastAsia="Calibri" w:cs="Times New Roman"/>
                <w:i/>
                <w:sz w:val="20"/>
                <w:szCs w:val="20"/>
                <w:lang w:val="fr-CA"/>
              </w:rPr>
              <w:t xml:space="preserve">La Presse </w:t>
            </w:r>
            <w:r w:rsidRPr="005D0703">
              <w:rPr>
                <w:rFonts w:eastAsia="Calibri" w:cs="Times New Roman"/>
                <w:sz w:val="20"/>
                <w:szCs w:val="20"/>
                <w:lang w:val="fr-CA"/>
              </w:rPr>
              <w:t xml:space="preserve">du 9 septembre 2010 ainsi que sur le site Internet de cette dernière les 8, 9 et 10 septembre 2010.  Peu après, Bernard Poulin a intenté un recours judiciaire fondé sur l’article 36, al. 2 et 4 du </w:t>
            </w:r>
            <w:r w:rsidRPr="005D0703">
              <w:rPr>
                <w:rFonts w:eastAsia="Calibri" w:cs="Times New Roman"/>
                <w:i/>
                <w:sz w:val="20"/>
                <w:szCs w:val="20"/>
                <w:lang w:val="fr-CA"/>
              </w:rPr>
              <w:t>Code civil du Québec</w:t>
            </w:r>
            <w:r w:rsidRPr="005D0703">
              <w:rPr>
                <w:rFonts w:eastAsia="Calibri" w:cs="Times New Roman"/>
                <w:sz w:val="20"/>
                <w:szCs w:val="20"/>
                <w:lang w:val="fr-CA"/>
              </w:rPr>
              <w:t xml:space="preserve"> ainsi que sur l’article 5 de la </w:t>
            </w:r>
            <w:r w:rsidRPr="005D0703">
              <w:rPr>
                <w:rFonts w:eastAsia="Calibri" w:cs="Times New Roman"/>
                <w:i/>
                <w:sz w:val="20"/>
                <w:szCs w:val="20"/>
                <w:lang w:val="fr-CA"/>
              </w:rPr>
              <w:t>Charte des droits et libertés de la personne</w:t>
            </w:r>
            <w:r w:rsidRPr="005D0703">
              <w:rPr>
                <w:rFonts w:eastAsia="Calibri" w:cs="Times New Roman"/>
                <w:sz w:val="20"/>
                <w:szCs w:val="20"/>
                <w:lang w:val="fr-CA"/>
              </w:rPr>
              <w:t xml:space="preserve">.  Il allègue, dans sa requête introductive d’instance, qu’en raison de la divulgation de l’existence et du contenu de cette conversation téléphonique privée à grande échelle, il a subi des dommages moraux découlant de la violation de sa vie privée, pour laquelle il réclame à La Presse </w:t>
            </w:r>
            <w:r w:rsidRPr="005D0703">
              <w:rPr>
                <w:rFonts w:eastAsia="Calibri" w:cs="Times New Roman"/>
                <w:i/>
                <w:sz w:val="20"/>
                <w:szCs w:val="20"/>
                <w:lang w:val="fr-CA"/>
              </w:rPr>
              <w:t xml:space="preserve">et al. </w:t>
            </w:r>
            <w:r w:rsidRPr="005D0703">
              <w:rPr>
                <w:rFonts w:eastAsia="Calibri" w:cs="Times New Roman"/>
                <w:sz w:val="20"/>
                <w:szCs w:val="20"/>
                <w:lang w:val="fr-CA"/>
              </w:rPr>
              <w:t xml:space="preserve">200 000$ pour dommages moraux.  De plus, il allègue que La Presse </w:t>
            </w:r>
            <w:r w:rsidRPr="005D0703">
              <w:rPr>
                <w:rFonts w:eastAsia="Calibri" w:cs="Times New Roman"/>
                <w:i/>
                <w:sz w:val="20"/>
                <w:szCs w:val="20"/>
                <w:lang w:val="fr-CA"/>
              </w:rPr>
              <w:t>et al. </w:t>
            </w:r>
            <w:r w:rsidRPr="005D0703">
              <w:rPr>
                <w:rFonts w:eastAsia="Calibri" w:cs="Times New Roman"/>
                <w:sz w:val="20"/>
                <w:szCs w:val="20"/>
                <w:lang w:val="fr-CA"/>
              </w:rPr>
              <w:t>ont intentionnellement et de manière répétitive porté atteinte à sa vie privée, en toute connaissance de cause, ce pour quoi il leur réclame 100 000$ en dommages</w:t>
            </w:r>
            <w:r w:rsidRPr="005D0703">
              <w:rPr>
                <w:rFonts w:eastAsia="Calibri" w:cs="Times New Roman"/>
                <w:sz w:val="20"/>
                <w:szCs w:val="20"/>
                <w:lang w:val="fr-CA"/>
              </w:rPr>
              <w:noBreakHyphen/>
              <w:t>intérêts punitifs.</w:t>
            </w:r>
          </w:p>
          <w:p w:rsidR="00C20D8D" w:rsidRPr="005D0703" w:rsidRDefault="00C20D8D" w:rsidP="00C20D8D">
            <w:pPr>
              <w:jc w:val="both"/>
              <w:rPr>
                <w:rFonts w:eastAsia="Calibri" w:cs="Times New Roman"/>
                <w:sz w:val="20"/>
                <w:szCs w:val="20"/>
                <w:lang w:val="fr-CA"/>
              </w:rPr>
            </w:pPr>
          </w:p>
        </w:tc>
      </w:tr>
      <w:tr w:rsidR="00C20D8D" w:rsidRPr="00C04C40" w:rsidTr="00C20D8D">
        <w:tc>
          <w:tcPr>
            <w:tcW w:w="2427"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6 avril 2011</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Cour supérieure du Québec</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(La juge Zerbisias)</w:t>
            </w:r>
          </w:p>
          <w:p w:rsidR="00C20D8D" w:rsidRPr="005D0703" w:rsidRDefault="00C20D8D" w:rsidP="00C20D8D">
            <w:pPr>
              <w:jc w:val="both"/>
              <w:rPr>
                <w:rFonts w:eastAsia="Calibri" w:cs="Times New Roman"/>
                <w:sz w:val="20"/>
                <w:szCs w:val="20"/>
              </w:rPr>
            </w:pPr>
          </w:p>
        </w:tc>
        <w:tc>
          <w:tcPr>
            <w:tcW w:w="243" w:type="pct"/>
          </w:tcPr>
          <w:p w:rsidR="00C20D8D" w:rsidRPr="005D0703" w:rsidRDefault="00C20D8D" w:rsidP="00C20D8D">
            <w:pPr>
              <w:jc w:val="both"/>
              <w:rPr>
                <w:rFonts w:eastAsia="Calibri" w:cs="Times New Roman"/>
                <w:sz w:val="20"/>
                <w:szCs w:val="20"/>
              </w:rPr>
            </w:pPr>
          </w:p>
        </w:tc>
        <w:tc>
          <w:tcPr>
            <w:tcW w:w="233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Jugement interlocutoire qui maintient cent</w:t>
            </w:r>
            <w:r w:rsidRPr="005D0703">
              <w:rPr>
                <w:rFonts w:eastAsia="Calibri" w:cs="Times New Roman"/>
                <w:sz w:val="20"/>
                <w:szCs w:val="20"/>
                <w:lang w:val="fr-CA"/>
              </w:rPr>
              <w:noBreakHyphen/>
              <w:t>vingt</w:t>
            </w:r>
            <w:r w:rsidRPr="005D0703">
              <w:rPr>
                <w:rFonts w:eastAsia="Calibri" w:cs="Times New Roman"/>
                <w:sz w:val="20"/>
                <w:szCs w:val="20"/>
                <w:lang w:val="fr-CA"/>
              </w:rPr>
              <w:noBreakHyphen/>
              <w:t>cinq (125) objections toutes relatives à la pertinence des questions posées.</w:t>
            </w:r>
          </w:p>
          <w:p w:rsidR="00C20D8D" w:rsidRPr="005D0703" w:rsidRDefault="00C20D8D" w:rsidP="00C20D8D">
            <w:pPr>
              <w:jc w:val="both"/>
              <w:rPr>
                <w:rFonts w:eastAsia="Calibri" w:cs="Times New Roman"/>
                <w:sz w:val="20"/>
                <w:szCs w:val="20"/>
                <w:lang w:val="fr-CA"/>
              </w:rPr>
            </w:pPr>
          </w:p>
        </w:tc>
      </w:tr>
      <w:tr w:rsidR="00C20D8D" w:rsidRPr="00C04C40" w:rsidTr="00C20D8D">
        <w:tc>
          <w:tcPr>
            <w:tcW w:w="2427"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6 mai 2011</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Cour d’appel du Québec (Montréal)</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juge Léger)</w:t>
            </w:r>
          </w:p>
          <w:p w:rsidR="00C20D8D" w:rsidRPr="005D0703" w:rsidRDefault="00C20D8D" w:rsidP="00C20D8D">
            <w:pPr>
              <w:jc w:val="both"/>
              <w:rPr>
                <w:rFonts w:eastAsia="Calibri" w:cs="Times New Roman"/>
                <w:sz w:val="20"/>
                <w:szCs w:val="20"/>
                <w:lang w:val="fr-CA"/>
              </w:rPr>
            </w:pPr>
          </w:p>
        </w:tc>
        <w:tc>
          <w:tcPr>
            <w:tcW w:w="243" w:type="pct"/>
          </w:tcPr>
          <w:p w:rsidR="00C20D8D" w:rsidRPr="005D0703" w:rsidRDefault="00C20D8D" w:rsidP="00C20D8D">
            <w:pPr>
              <w:jc w:val="both"/>
              <w:rPr>
                <w:rFonts w:eastAsia="Calibri" w:cs="Times New Roman"/>
                <w:sz w:val="20"/>
                <w:szCs w:val="20"/>
                <w:lang w:val="fr-CA"/>
              </w:rPr>
            </w:pPr>
          </w:p>
        </w:tc>
        <w:tc>
          <w:tcPr>
            <w:tcW w:w="233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Requête pour permission d’appeler rejetée.</w:t>
            </w:r>
          </w:p>
          <w:p w:rsidR="00C20D8D" w:rsidRPr="005D0703" w:rsidRDefault="00C20D8D" w:rsidP="00C20D8D">
            <w:pPr>
              <w:jc w:val="both"/>
              <w:rPr>
                <w:rFonts w:eastAsia="Calibri" w:cs="Times New Roman"/>
                <w:sz w:val="20"/>
                <w:szCs w:val="20"/>
                <w:lang w:val="fr-CA"/>
              </w:rPr>
            </w:pPr>
          </w:p>
        </w:tc>
      </w:tr>
      <w:tr w:rsidR="00C20D8D" w:rsidRPr="005D0703" w:rsidTr="00C20D8D">
        <w:tc>
          <w:tcPr>
            <w:tcW w:w="2427"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Le 5 août 2011</w:t>
            </w:r>
          </w:p>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C20D8D" w:rsidRPr="005D0703" w:rsidRDefault="00C20D8D" w:rsidP="00C20D8D">
            <w:pPr>
              <w:jc w:val="both"/>
              <w:rPr>
                <w:rFonts w:eastAsia="Calibri" w:cs="Times New Roman"/>
                <w:sz w:val="20"/>
                <w:szCs w:val="20"/>
                <w:lang w:val="fr-CA"/>
              </w:rPr>
            </w:pPr>
          </w:p>
        </w:tc>
        <w:tc>
          <w:tcPr>
            <w:tcW w:w="2330" w:type="pct"/>
          </w:tcPr>
          <w:p w:rsidR="00C20D8D" w:rsidRPr="005D0703" w:rsidRDefault="00C20D8D" w:rsidP="00C20D8D">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C20D8D" w:rsidRPr="005D0703" w:rsidRDefault="00C20D8D" w:rsidP="00C20D8D">
            <w:pPr>
              <w:jc w:val="both"/>
              <w:rPr>
                <w:rFonts w:eastAsia="Calibri" w:cs="Times New Roman"/>
                <w:sz w:val="20"/>
                <w:szCs w:val="20"/>
                <w:lang w:val="fr-CA"/>
              </w:rPr>
            </w:pPr>
          </w:p>
        </w:tc>
      </w:tr>
    </w:tbl>
    <w:p w:rsidR="00032F73" w:rsidRPr="005D0703" w:rsidRDefault="00032F73" w:rsidP="00692BC9">
      <w:pPr>
        <w:rPr>
          <w:rFonts w:cs="Times New Roman"/>
          <w:sz w:val="20"/>
          <w:szCs w:val="20"/>
          <w:lang w:val="en-US"/>
        </w:rPr>
      </w:pPr>
    </w:p>
    <w:p w:rsidR="00C20D8D" w:rsidRPr="005D0703" w:rsidRDefault="008A6550" w:rsidP="00C20D8D">
      <w:pPr>
        <w:rPr>
          <w:rFonts w:cs="Times New Roman"/>
          <w:sz w:val="20"/>
          <w:szCs w:val="20"/>
          <w:lang w:val="fr-CA"/>
        </w:rPr>
      </w:pPr>
      <w:r w:rsidRPr="008A6550">
        <w:rPr>
          <w:rFonts w:cs="Times New Roman"/>
          <w:sz w:val="20"/>
          <w:szCs w:val="20"/>
          <w:lang w:val="fr-CA"/>
        </w:rPr>
        <w:pict>
          <v:rect id="_x0000_i1057" style="width:2in;height:1pt" o:hrpct="0" o:hralign="center" o:hrstd="t" o:hrnoshade="t" o:hr="t" fillcolor="black [3213]" stroked="f"/>
        </w:pict>
      </w:r>
    </w:p>
    <w:p w:rsidR="00C605BA" w:rsidRPr="005D0703" w:rsidRDefault="00C605BA" w:rsidP="00C20D8D">
      <w:pPr>
        <w:rPr>
          <w:rFonts w:cs="Times New Roman"/>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b/>
                <w:sz w:val="20"/>
                <w:szCs w:val="20"/>
                <w:lang w:val="fr-CA"/>
              </w:rPr>
              <w:t>34373</w:t>
            </w:r>
          </w:p>
          <w:p w:rsidR="00C605BA" w:rsidRPr="005D0703" w:rsidRDefault="00C605BA" w:rsidP="00C605BA">
            <w:pPr>
              <w:rPr>
                <w:rFonts w:cs="Times New Roman"/>
                <w:b/>
                <w:sz w:val="20"/>
                <w:szCs w:val="20"/>
                <w:lang w:val="fr-CA"/>
              </w:rPr>
            </w:pPr>
          </w:p>
        </w:tc>
        <w:tc>
          <w:tcPr>
            <w:tcW w:w="8118" w:type="dxa"/>
          </w:tcPr>
          <w:p w:rsidR="00C605BA" w:rsidRPr="005D0703" w:rsidRDefault="00C605BA" w:rsidP="00C605BA">
            <w:pPr>
              <w:jc w:val="both"/>
              <w:rPr>
                <w:rFonts w:cs="Times New Roman"/>
                <w:sz w:val="20"/>
                <w:szCs w:val="20"/>
              </w:rPr>
            </w:pPr>
            <w:r w:rsidRPr="005D0703">
              <w:rPr>
                <w:rFonts w:cs="Times New Roman"/>
                <w:b/>
                <w:sz w:val="20"/>
                <w:szCs w:val="20"/>
                <w:u w:val="single"/>
                <w:lang w:val="en-US"/>
              </w:rPr>
              <w:t>Serena Oh v. City of Burnaby</w:t>
            </w:r>
            <w:r w:rsidRPr="005D0703">
              <w:rPr>
                <w:rFonts w:cs="Times New Roman"/>
                <w:sz w:val="20"/>
                <w:szCs w:val="20"/>
              </w:rPr>
              <w:t xml:space="preserve"> (B.C.) (Civil) (By Leave)</w:t>
            </w:r>
          </w:p>
          <w:p w:rsidR="00C605BA" w:rsidRPr="005D0703" w:rsidRDefault="00C605BA" w:rsidP="00C605BA">
            <w:pPr>
              <w:rPr>
                <w:rFonts w:cs="Times New Roman"/>
                <w:sz w:val="20"/>
                <w:szCs w:val="20"/>
              </w:rPr>
            </w:pPr>
          </w:p>
        </w:tc>
      </w:tr>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sz w:val="20"/>
                <w:szCs w:val="20"/>
              </w:rPr>
              <w:t>Coram :</w:t>
            </w:r>
          </w:p>
        </w:tc>
        <w:tc>
          <w:tcPr>
            <w:tcW w:w="8118" w:type="dxa"/>
          </w:tcPr>
          <w:p w:rsidR="00C605BA" w:rsidRPr="005D0703" w:rsidRDefault="00C605BA" w:rsidP="00C605BA">
            <w:pPr>
              <w:rPr>
                <w:rFonts w:cs="Times New Roman"/>
                <w:sz w:val="20"/>
                <w:szCs w:val="20"/>
              </w:rPr>
            </w:pPr>
            <w:r w:rsidRPr="005D0703">
              <w:rPr>
                <w:rFonts w:cs="Times New Roman"/>
                <w:sz w:val="20"/>
                <w:szCs w:val="20"/>
                <w:u w:val="single"/>
                <w:lang w:val="en-US"/>
              </w:rPr>
              <w:t>Deschamps, Fish and Karakatsanis JJ.</w:t>
            </w:r>
          </w:p>
          <w:p w:rsidR="00C605BA" w:rsidRPr="005D0703" w:rsidRDefault="00C605BA" w:rsidP="00C605BA">
            <w:pPr>
              <w:rPr>
                <w:rFonts w:cs="Times New Roman"/>
                <w:sz w:val="20"/>
                <w:szCs w:val="20"/>
                <w:u w:val="single"/>
              </w:rPr>
            </w:pPr>
          </w:p>
        </w:tc>
      </w:tr>
      <w:tr w:rsidR="00C605BA" w:rsidRPr="00C04C40" w:rsidTr="00C605BA">
        <w:trPr>
          <w:cantSplit/>
        </w:trPr>
        <w:tc>
          <w:tcPr>
            <w:tcW w:w="9576" w:type="dxa"/>
            <w:gridSpan w:val="2"/>
          </w:tcPr>
          <w:p w:rsidR="00C605BA" w:rsidRPr="005D0703" w:rsidRDefault="00C605BA" w:rsidP="00C605BA">
            <w:pPr>
              <w:ind w:firstLine="720"/>
              <w:jc w:val="both"/>
              <w:rPr>
                <w:rFonts w:cs="Times New Roman"/>
                <w:sz w:val="20"/>
                <w:szCs w:val="20"/>
              </w:rPr>
            </w:pPr>
            <w:r w:rsidRPr="005D0703">
              <w:rPr>
                <w:rFonts w:cs="Times New Roman"/>
                <w:sz w:val="20"/>
                <w:szCs w:val="20"/>
              </w:rPr>
              <w:t>The application for leave to appeal from the judgment of the Court of Appeal for British Columbia (Vancouver), Number CA038183, 2011 BCCA 222, dated May 5, 2011, is dismissed with costs.</w:t>
            </w:r>
          </w:p>
          <w:p w:rsidR="00C605BA" w:rsidRPr="005D0703" w:rsidRDefault="00C605BA" w:rsidP="00C605BA">
            <w:pPr>
              <w:jc w:val="both"/>
              <w:rPr>
                <w:rFonts w:cs="Times New Roman"/>
                <w:sz w:val="20"/>
                <w:szCs w:val="20"/>
              </w:rPr>
            </w:pPr>
          </w:p>
          <w:p w:rsidR="00C605BA" w:rsidRPr="005D0703" w:rsidRDefault="00C605BA" w:rsidP="00C605BA">
            <w:pPr>
              <w:ind w:firstLine="720"/>
              <w:jc w:val="both"/>
              <w:rPr>
                <w:rFonts w:cs="Times New Roman"/>
                <w:sz w:val="20"/>
                <w:szCs w:val="20"/>
                <w:lang w:val="fr-CA"/>
              </w:rPr>
            </w:pPr>
            <w:r w:rsidRPr="005D0703">
              <w:rPr>
                <w:rFonts w:cs="Times New Roman"/>
                <w:sz w:val="20"/>
                <w:szCs w:val="20"/>
                <w:lang w:val="fr-CA"/>
              </w:rPr>
              <w:t>La demande d’autorisation d’appel de l’arrêt de la Cour d’appel de la Colombie-Britannique (Vancouver), numéro CA038183, 2011 BCCA 222, daté du 5 mai 2011, est rejetée avec dépens.</w:t>
            </w:r>
          </w:p>
        </w:tc>
      </w:tr>
    </w:tbl>
    <w:p w:rsidR="00C20D8D" w:rsidRPr="005D0703" w:rsidRDefault="00C20D8D" w:rsidP="00C20D8D">
      <w:pPr>
        <w:rPr>
          <w:rFonts w:cs="Times New Roman"/>
          <w:sz w:val="20"/>
          <w:szCs w:val="20"/>
          <w:lang w:val="fr-CA"/>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416344" w:rsidRPr="005D0703" w:rsidTr="00416344">
        <w:tc>
          <w:tcPr>
            <w:tcW w:w="5000" w:type="pct"/>
            <w:gridSpan w:val="3"/>
          </w:tcPr>
          <w:p w:rsidR="00416344" w:rsidRDefault="00416344" w:rsidP="00416344">
            <w:pPr>
              <w:jc w:val="both"/>
              <w:rPr>
                <w:rFonts w:eastAsia="Calibri" w:cs="Times New Roman"/>
                <w:sz w:val="20"/>
                <w:szCs w:val="20"/>
              </w:rPr>
            </w:pPr>
            <w:r w:rsidRPr="005D0703">
              <w:rPr>
                <w:rFonts w:eastAsia="Calibri" w:cs="Times New Roman"/>
                <w:sz w:val="20"/>
                <w:szCs w:val="20"/>
              </w:rPr>
              <w:t>Municipal law — By</w:t>
            </w:r>
            <w:r w:rsidRPr="005D0703">
              <w:rPr>
                <w:rFonts w:eastAsia="Calibri" w:cs="Times New Roman"/>
                <w:sz w:val="20"/>
                <w:szCs w:val="20"/>
              </w:rPr>
              <w:noBreakHyphen/>
              <w:t>laws — Applicant ordered to bring premises into compliance with municipal by</w:t>
            </w:r>
            <w:r w:rsidRPr="005D0703">
              <w:rPr>
                <w:rFonts w:eastAsia="Calibri" w:cs="Times New Roman"/>
                <w:sz w:val="20"/>
                <w:szCs w:val="20"/>
              </w:rPr>
              <w:noBreakHyphen/>
              <w:t>laws — Whether lower courts were correct in concluding that premises were non</w:t>
            </w:r>
            <w:r w:rsidRPr="005D0703">
              <w:rPr>
                <w:rFonts w:eastAsia="Calibri" w:cs="Times New Roman"/>
                <w:sz w:val="20"/>
                <w:szCs w:val="20"/>
              </w:rPr>
              <w:noBreakHyphen/>
              <w:t>compliant with bylaws — Whether applicant was a victim of harassment or discrimination by city officials.</w:t>
            </w:r>
          </w:p>
          <w:p w:rsidR="00507C73" w:rsidRPr="005D0703" w:rsidRDefault="00507C73" w:rsidP="00416344">
            <w:pPr>
              <w:jc w:val="both"/>
              <w:rPr>
                <w:rFonts w:eastAsia="Calibri" w:cs="Times New Roman"/>
                <w:sz w:val="20"/>
                <w:szCs w:val="20"/>
              </w:rPr>
            </w:pPr>
          </w:p>
        </w:tc>
      </w:tr>
      <w:tr w:rsidR="00416344" w:rsidRPr="005D0703" w:rsidTr="00416344">
        <w:tc>
          <w:tcPr>
            <w:tcW w:w="5000" w:type="pct"/>
            <w:gridSpan w:val="3"/>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Ms. Oh, the applicant, occupies one</w:t>
            </w:r>
            <w:r w:rsidRPr="005D0703">
              <w:rPr>
                <w:rFonts w:eastAsia="Calibri" w:cs="Times New Roman"/>
                <w:sz w:val="20"/>
                <w:szCs w:val="20"/>
              </w:rPr>
              <w:noBreakHyphen/>
              <w:t>half of a duplex located in the respondent City of Burnaby, in an area zoned as residential.  The zoning by</w:t>
            </w:r>
            <w:r w:rsidRPr="005D0703">
              <w:rPr>
                <w:rFonts w:eastAsia="Calibri" w:cs="Times New Roman"/>
                <w:sz w:val="20"/>
                <w:szCs w:val="20"/>
              </w:rPr>
              <w:noBreakHyphen/>
              <w:t>law provides that premises located in such an area shall be only single</w:t>
            </w:r>
            <w:r w:rsidRPr="005D0703">
              <w:rPr>
                <w:rFonts w:eastAsia="Calibri" w:cs="Times New Roman"/>
                <w:sz w:val="20"/>
                <w:szCs w:val="20"/>
              </w:rPr>
              <w:noBreakHyphen/>
              <w:t>family dwellings or two</w:t>
            </w:r>
            <w:r w:rsidRPr="005D0703">
              <w:rPr>
                <w:rFonts w:eastAsia="Calibri" w:cs="Times New Roman"/>
                <w:sz w:val="20"/>
                <w:szCs w:val="20"/>
              </w:rPr>
              <w:noBreakHyphen/>
              <w:t xml:space="preserve">family dwelling units. </w:t>
            </w:r>
          </w:p>
          <w:p w:rsidR="00416344" w:rsidRPr="005D0703" w:rsidRDefault="00416344" w:rsidP="00416344">
            <w:pPr>
              <w:jc w:val="both"/>
              <w:rPr>
                <w:rFonts w:eastAsia="Calibri" w:cs="Times New Roman"/>
                <w:sz w:val="20"/>
                <w:szCs w:val="20"/>
              </w:rPr>
            </w:pPr>
          </w:p>
          <w:p w:rsidR="00416344" w:rsidRPr="005D0703" w:rsidRDefault="00416344" w:rsidP="00416344">
            <w:pPr>
              <w:jc w:val="both"/>
              <w:rPr>
                <w:rFonts w:eastAsia="Calibri" w:cs="Times New Roman"/>
                <w:sz w:val="20"/>
                <w:szCs w:val="20"/>
              </w:rPr>
            </w:pPr>
            <w:r w:rsidRPr="005D0703">
              <w:rPr>
                <w:rFonts w:eastAsia="Calibri" w:cs="Times New Roman"/>
                <w:sz w:val="20"/>
                <w:szCs w:val="20"/>
              </w:rPr>
              <w:t>In October 2008, the City received a complaint alleging that there was a secondary suite in Ms. Oh’s premises.  This suite, if present, would have converted the duplex from a legal two</w:t>
            </w:r>
            <w:r w:rsidRPr="005D0703">
              <w:rPr>
                <w:rFonts w:eastAsia="Calibri" w:cs="Times New Roman"/>
                <w:sz w:val="20"/>
                <w:szCs w:val="20"/>
              </w:rPr>
              <w:noBreakHyphen/>
              <w:t>family dwelling to an illegal three</w:t>
            </w:r>
            <w:r w:rsidRPr="005D0703">
              <w:rPr>
                <w:rFonts w:eastAsia="Calibri" w:cs="Times New Roman"/>
                <w:sz w:val="20"/>
                <w:szCs w:val="20"/>
              </w:rPr>
              <w:noBreakHyphen/>
              <w:t>family dwelling unit or a multiple</w:t>
            </w:r>
            <w:r w:rsidRPr="005D0703">
              <w:rPr>
                <w:rFonts w:eastAsia="Calibri" w:cs="Times New Roman"/>
                <w:sz w:val="20"/>
                <w:szCs w:val="20"/>
              </w:rPr>
              <w:noBreakHyphen/>
              <w:t>family dwelling, as those terms are defined in the bylaw.</w:t>
            </w:r>
          </w:p>
          <w:p w:rsidR="00416344" w:rsidRPr="005D0703" w:rsidRDefault="00416344" w:rsidP="00416344">
            <w:pPr>
              <w:jc w:val="both"/>
              <w:rPr>
                <w:rFonts w:eastAsia="Calibri" w:cs="Times New Roman"/>
                <w:sz w:val="20"/>
                <w:szCs w:val="20"/>
              </w:rPr>
            </w:pPr>
          </w:p>
          <w:p w:rsidR="00416344" w:rsidRPr="005D0703" w:rsidRDefault="00416344" w:rsidP="00416344">
            <w:pPr>
              <w:jc w:val="both"/>
              <w:rPr>
                <w:rFonts w:eastAsia="Calibri" w:cs="Times New Roman"/>
                <w:sz w:val="20"/>
                <w:szCs w:val="20"/>
              </w:rPr>
            </w:pPr>
            <w:r w:rsidRPr="005D0703">
              <w:rPr>
                <w:rFonts w:eastAsia="Calibri" w:cs="Times New Roman"/>
                <w:sz w:val="20"/>
                <w:szCs w:val="20"/>
              </w:rPr>
              <w:t>Ms. Oh refused to let the City have access to her premises, but the City eventually obtained an order for access.  The City determined that the premises contravened both the zoning by</w:t>
            </w:r>
            <w:r w:rsidRPr="005D0703">
              <w:rPr>
                <w:rFonts w:eastAsia="Calibri" w:cs="Times New Roman"/>
                <w:sz w:val="20"/>
                <w:szCs w:val="20"/>
              </w:rPr>
              <w:noBreakHyphen/>
              <w:t>law (because it contained a secondary suite) and the building by</w:t>
            </w:r>
            <w:r w:rsidRPr="005D0703">
              <w:rPr>
                <w:rFonts w:eastAsia="Calibri" w:cs="Times New Roman"/>
                <w:sz w:val="20"/>
                <w:szCs w:val="20"/>
              </w:rPr>
              <w:noBreakHyphen/>
              <w:t>law (because it had been constructed without a permit).  The City sought a declaration that the premises contravened the by</w:t>
            </w:r>
            <w:r w:rsidRPr="005D0703">
              <w:rPr>
                <w:rFonts w:eastAsia="Calibri" w:cs="Times New Roman"/>
                <w:sz w:val="20"/>
                <w:szCs w:val="20"/>
              </w:rPr>
              <w:noBreakHyphen/>
              <w:t>laws and an order requiring Ms. Oh to take all necessary steps to bring the premises into compliance with the by</w:t>
            </w:r>
            <w:r w:rsidRPr="005D0703">
              <w:rPr>
                <w:rFonts w:eastAsia="Calibri" w:cs="Times New Roman"/>
                <w:sz w:val="20"/>
                <w:szCs w:val="20"/>
              </w:rPr>
              <w:noBreakHyphen/>
              <w:t xml:space="preserve">laws. </w:t>
            </w:r>
          </w:p>
          <w:p w:rsidR="00416344" w:rsidRPr="005D0703" w:rsidRDefault="00416344" w:rsidP="00416344">
            <w:pPr>
              <w:jc w:val="both"/>
              <w:rPr>
                <w:rFonts w:eastAsia="Calibri" w:cs="Times New Roman"/>
                <w:sz w:val="20"/>
                <w:szCs w:val="20"/>
              </w:rPr>
            </w:pPr>
          </w:p>
          <w:p w:rsidR="00416344" w:rsidRPr="005D0703" w:rsidRDefault="00416344" w:rsidP="00416344">
            <w:pPr>
              <w:jc w:val="both"/>
              <w:rPr>
                <w:rFonts w:eastAsia="Calibri" w:cs="Times New Roman"/>
                <w:sz w:val="20"/>
                <w:szCs w:val="20"/>
              </w:rPr>
            </w:pPr>
            <w:r w:rsidRPr="005D0703">
              <w:rPr>
                <w:rFonts w:eastAsia="Calibri" w:cs="Times New Roman"/>
                <w:sz w:val="20"/>
                <w:szCs w:val="20"/>
              </w:rPr>
              <w:t>The Supreme Court of British Columbia granted the City’s application and the Court of Appeal upheld the decision.</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May 6, 2010</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Supreme Court of British Columbia</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(Greyell J.)</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 xml:space="preserve">2010 BCSC 1970 </w:t>
            </w:r>
          </w:p>
          <w:p w:rsidR="00416344" w:rsidRPr="005D0703" w:rsidRDefault="00416344" w:rsidP="00416344">
            <w:pPr>
              <w:jc w:val="both"/>
              <w:rPr>
                <w:rFonts w:eastAsia="Calibri" w:cs="Times New Roman"/>
                <w:sz w:val="20"/>
                <w:szCs w:val="20"/>
              </w:rPr>
            </w:pP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Injunction issued; applicant ordered to bring her premises into compliance with municipal by</w:t>
            </w:r>
            <w:r w:rsidRPr="005D0703">
              <w:rPr>
                <w:rFonts w:eastAsia="Calibri" w:cs="Times New Roman"/>
                <w:sz w:val="20"/>
                <w:szCs w:val="20"/>
              </w:rPr>
              <w:noBreakHyphen/>
              <w:t>laws</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May 5,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 xml:space="preserve">Court of Appeal for British Columbia </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(Rowles, Groberman and Hinkson JJ.A.)</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2011 BCCA 222</w:t>
            </w:r>
          </w:p>
          <w:p w:rsidR="00416344" w:rsidRPr="005D0703" w:rsidRDefault="00416344" w:rsidP="00416344">
            <w:pPr>
              <w:jc w:val="both"/>
              <w:rPr>
                <w:rFonts w:eastAsia="Calibri" w:cs="Times New Roman"/>
                <w:sz w:val="20"/>
                <w:szCs w:val="20"/>
              </w:rPr>
            </w:pP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 xml:space="preserve">Appeal dismissed </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July 7,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Application for leave to appeal filed</w:t>
            </w:r>
          </w:p>
          <w:p w:rsidR="00416344" w:rsidRPr="005D0703" w:rsidRDefault="00416344" w:rsidP="00416344">
            <w:pPr>
              <w:jc w:val="both"/>
              <w:rPr>
                <w:rFonts w:eastAsia="Calibri" w:cs="Times New Roman"/>
                <w:sz w:val="20"/>
                <w:szCs w:val="20"/>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58"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416344" w:rsidRPr="00C04C40" w:rsidTr="00416344">
        <w:tc>
          <w:tcPr>
            <w:tcW w:w="5000" w:type="pct"/>
            <w:gridSpan w:val="3"/>
          </w:tcPr>
          <w:p w:rsidR="00416344" w:rsidRDefault="00416344" w:rsidP="00416344">
            <w:pPr>
              <w:jc w:val="both"/>
              <w:rPr>
                <w:rFonts w:eastAsia="Calibri" w:cs="Times New Roman"/>
                <w:sz w:val="20"/>
                <w:szCs w:val="20"/>
                <w:lang w:val="fr-CA"/>
              </w:rPr>
            </w:pPr>
            <w:r w:rsidRPr="005D0703">
              <w:rPr>
                <w:rFonts w:eastAsia="Calibri" w:cs="Times New Roman"/>
                <w:sz w:val="20"/>
                <w:szCs w:val="20"/>
                <w:lang w:val="fr-CA"/>
              </w:rPr>
              <w:t>Droit municipal — Règlements — La demanderesse a été sommée de rendre les lieux conformes aux règlements municipaux — Les juridictions inférieures ont</w:t>
            </w:r>
            <w:r w:rsidRPr="005D0703">
              <w:rPr>
                <w:rFonts w:eastAsia="Calibri" w:cs="Times New Roman"/>
                <w:sz w:val="20"/>
                <w:szCs w:val="20"/>
                <w:lang w:val="fr-CA"/>
              </w:rPr>
              <w:noBreakHyphen/>
              <w:t>elles eu raison de conclure que les lieux n'étaient pas conformes aux règlements? — La demanderesse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été victime de harcèlement ou de discrimination de la part des fonctionnaires municipaux?</w:t>
            </w:r>
          </w:p>
          <w:p w:rsidR="00507C73" w:rsidRPr="005D0703" w:rsidRDefault="00507C73" w:rsidP="00416344">
            <w:pPr>
              <w:jc w:val="both"/>
              <w:rPr>
                <w:rFonts w:eastAsia="Calibri" w:cs="Times New Roman"/>
                <w:sz w:val="20"/>
                <w:szCs w:val="20"/>
                <w:lang w:val="fr-CA"/>
              </w:rPr>
            </w:pPr>
          </w:p>
        </w:tc>
      </w:tr>
      <w:tr w:rsidR="00416344" w:rsidRPr="00C04C40" w:rsidTr="00416344">
        <w:tc>
          <w:tcPr>
            <w:tcW w:w="5000" w:type="pct"/>
            <w:gridSpan w:val="3"/>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Madame Oh, la demanderesse, occupe la moitié d’un duplex situé dans la ville de Burnaby intimée, dans un quartier dont le zonage est résidentiel.  Le règlement de zonage prévoit que seules les habitations unifamiliales ou bifamiliales sont autorisées dans ce quartier. </w:t>
            </w:r>
          </w:p>
          <w:p w:rsidR="00416344" w:rsidRPr="005D0703" w:rsidRDefault="00416344" w:rsidP="00416344">
            <w:pPr>
              <w:jc w:val="both"/>
              <w:rPr>
                <w:rFonts w:eastAsia="Calibri" w:cs="Times New Roman"/>
                <w:sz w:val="20"/>
                <w:szCs w:val="20"/>
                <w:lang w:val="fr-CA"/>
              </w:rPr>
            </w:pP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En octobre 2008, la ville a reçu une plainte alléguant qu'il y avait un logement secondaire dans les lieux occupés par Mme Oh.  Ce logement, le cas échéant, aurait eu pour effet de convertir le duplex, une habitation bifamiliale autorisée par le règlement, en une habitation trifamiliale ou multifamiliale au sens du règlement et interdite par celui</w:t>
            </w:r>
            <w:r w:rsidRPr="005D0703">
              <w:rPr>
                <w:rFonts w:eastAsia="Calibri" w:cs="Times New Roman"/>
                <w:sz w:val="20"/>
                <w:szCs w:val="20"/>
                <w:lang w:val="fr-CA"/>
              </w:rPr>
              <w:noBreakHyphen/>
              <w:t>ci.</w:t>
            </w:r>
          </w:p>
          <w:p w:rsidR="00416344" w:rsidRPr="005D0703" w:rsidRDefault="00416344" w:rsidP="00416344">
            <w:pPr>
              <w:jc w:val="both"/>
              <w:rPr>
                <w:rFonts w:eastAsia="Calibri" w:cs="Times New Roman"/>
                <w:sz w:val="20"/>
                <w:szCs w:val="20"/>
                <w:lang w:val="fr-CA"/>
              </w:rPr>
            </w:pP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Madame Oh a refusé à la Ville l'accès aux lieux qu’elle occupait, mais la Ville a fini par obtenir une ordonnance attributive de droit d'accès.  La Ville a conclu que les lieux contrevenaient au règlement de zonage (parce qu'ils renfermaient un logement secondaire) et au règlement de construction (parce qu'ils avaient été construits sans permis).  La Ville a sollicité un jugement déclarant que les lieux contrevenaient aux règlements et une ordonnance obligeant Mme Oh à prendre toutes les mesures nécessaires pour rendre les lieux conformes aux règlements. </w:t>
            </w:r>
          </w:p>
          <w:p w:rsidR="00416344" w:rsidRPr="005D0703" w:rsidRDefault="00416344" w:rsidP="00416344">
            <w:pPr>
              <w:jc w:val="both"/>
              <w:rPr>
                <w:rFonts w:eastAsia="Calibri" w:cs="Times New Roman"/>
                <w:sz w:val="20"/>
                <w:szCs w:val="20"/>
                <w:lang w:val="fr-CA"/>
              </w:rPr>
            </w:pP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La Cour suprême de la Colombie</w:t>
            </w:r>
            <w:r w:rsidRPr="005D0703">
              <w:rPr>
                <w:rFonts w:eastAsia="Calibri" w:cs="Times New Roman"/>
                <w:sz w:val="20"/>
                <w:szCs w:val="20"/>
                <w:lang w:val="fr-CA"/>
              </w:rPr>
              <w:noBreakHyphen/>
              <w:t>Britannique a accueilli la demande de la Ville et la Cour d'appel a confirmé la décision.</w:t>
            </w:r>
          </w:p>
          <w:p w:rsidR="00416344" w:rsidRPr="005D0703" w:rsidRDefault="00416344" w:rsidP="00416344">
            <w:pPr>
              <w:jc w:val="both"/>
              <w:rPr>
                <w:rFonts w:eastAsia="Calibri" w:cs="Times New Roman"/>
                <w:sz w:val="20"/>
                <w:szCs w:val="20"/>
                <w:lang w:val="fr-CA"/>
              </w:rPr>
            </w:pPr>
          </w:p>
        </w:tc>
      </w:tr>
      <w:tr w:rsidR="00416344" w:rsidRPr="00C04C40"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6 mai 2010</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Cour suprême de la Colombie</w:t>
            </w:r>
            <w:r w:rsidRPr="005D0703">
              <w:rPr>
                <w:rFonts w:eastAsia="Calibri" w:cs="Times New Roman"/>
                <w:sz w:val="20"/>
                <w:szCs w:val="20"/>
                <w:lang w:val="fr-CA"/>
              </w:rPr>
              <w:noBreakHyphen/>
              <w:t xml:space="preserve">Britannique </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(Juge Greyell)</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2010 BCSC 1970 </w:t>
            </w:r>
          </w:p>
          <w:p w:rsidR="00416344" w:rsidRPr="005D0703" w:rsidRDefault="00416344" w:rsidP="00416344">
            <w:pPr>
              <w:jc w:val="both"/>
              <w:rPr>
                <w:rFonts w:eastAsia="Calibri" w:cs="Times New Roman"/>
                <w:sz w:val="20"/>
                <w:szCs w:val="20"/>
                <w:lang w:val="fr-CA"/>
              </w:rPr>
            </w:pP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Injonction prononcée; la demanderesse est sommée de rendre les lieux qu’elle occupe conformes aux règlements municipaux</w:t>
            </w:r>
          </w:p>
          <w:p w:rsidR="00416344" w:rsidRPr="005D0703" w:rsidRDefault="00416344" w:rsidP="00416344">
            <w:pPr>
              <w:jc w:val="both"/>
              <w:rPr>
                <w:rFonts w:eastAsia="Calibri" w:cs="Times New Roman"/>
                <w:sz w:val="20"/>
                <w:szCs w:val="20"/>
                <w:lang w:val="fr-CA"/>
              </w:rPr>
            </w:pPr>
          </w:p>
        </w:tc>
      </w:tr>
      <w:tr w:rsidR="00416344" w:rsidRPr="005D0703"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5 mai 2011</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Cour d'appel de la Colombie</w:t>
            </w:r>
            <w:r w:rsidRPr="005D0703">
              <w:rPr>
                <w:rFonts w:eastAsia="Calibri" w:cs="Times New Roman"/>
                <w:sz w:val="20"/>
                <w:szCs w:val="20"/>
                <w:lang w:val="fr-CA"/>
              </w:rPr>
              <w:noBreakHyphen/>
              <w:t xml:space="preserve">Britannique </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(Juges Rowles, Groberman et Hinkson)</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2011 BCCA 222</w:t>
            </w:r>
          </w:p>
          <w:p w:rsidR="00416344" w:rsidRPr="005D0703" w:rsidRDefault="00416344" w:rsidP="00416344">
            <w:pPr>
              <w:jc w:val="both"/>
              <w:rPr>
                <w:rFonts w:eastAsia="Calibri" w:cs="Times New Roman"/>
                <w:sz w:val="20"/>
                <w:szCs w:val="20"/>
                <w:lang w:val="fr-CA"/>
              </w:rPr>
            </w:pP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Appel rejeté</w:t>
            </w:r>
          </w:p>
          <w:p w:rsidR="00416344" w:rsidRPr="005D0703" w:rsidRDefault="00416344" w:rsidP="00416344">
            <w:pPr>
              <w:jc w:val="both"/>
              <w:rPr>
                <w:rFonts w:eastAsia="Calibri" w:cs="Times New Roman"/>
                <w:sz w:val="20"/>
                <w:szCs w:val="20"/>
                <w:lang w:val="fr-CA"/>
              </w:rPr>
            </w:pPr>
          </w:p>
        </w:tc>
      </w:tr>
      <w:tr w:rsidR="00416344" w:rsidRPr="005D0703"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7 juillet 2011</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416344" w:rsidRPr="005D0703" w:rsidRDefault="00416344" w:rsidP="00416344">
            <w:pPr>
              <w:jc w:val="both"/>
              <w:rPr>
                <w:rFonts w:eastAsia="Calibri" w:cs="Times New Roman"/>
                <w:sz w:val="20"/>
                <w:szCs w:val="20"/>
                <w:lang w:val="fr-CA"/>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lang w:val="fr-CA"/>
        </w:rPr>
      </w:pPr>
      <w:r w:rsidRPr="008A6550">
        <w:rPr>
          <w:rFonts w:cs="Times New Roman"/>
          <w:sz w:val="20"/>
          <w:szCs w:val="20"/>
          <w:lang w:val="fr-CA"/>
        </w:rPr>
        <w:pict>
          <v:rect id="_x0000_i1059" style="width:2in;height:1pt" o:hrpct="0" o:hralign="center" o:hrstd="t" o:hrnoshade="t" o:hr="t" fillcolor="black [3213]" stroked="f"/>
        </w:pict>
      </w:r>
    </w:p>
    <w:p w:rsidR="00416344" w:rsidRPr="005D0703" w:rsidRDefault="00416344" w:rsidP="00C20D8D">
      <w:pPr>
        <w:rPr>
          <w:rFonts w:cs="Times New Roman"/>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b/>
                <w:sz w:val="20"/>
                <w:szCs w:val="20"/>
                <w:lang w:val="fr-CA"/>
              </w:rPr>
              <w:t>34378</w:t>
            </w:r>
          </w:p>
          <w:p w:rsidR="00C605BA" w:rsidRPr="005D0703" w:rsidRDefault="00C605BA" w:rsidP="00C605BA">
            <w:pPr>
              <w:rPr>
                <w:rFonts w:cs="Times New Roman"/>
                <w:b/>
                <w:sz w:val="20"/>
                <w:szCs w:val="20"/>
                <w:lang w:val="fr-CA"/>
              </w:rPr>
            </w:pPr>
          </w:p>
        </w:tc>
        <w:tc>
          <w:tcPr>
            <w:tcW w:w="8118" w:type="dxa"/>
          </w:tcPr>
          <w:p w:rsidR="00C605BA" w:rsidRPr="005D0703" w:rsidRDefault="00C605BA" w:rsidP="00C605BA">
            <w:pPr>
              <w:jc w:val="both"/>
              <w:rPr>
                <w:rFonts w:cs="Times New Roman"/>
                <w:sz w:val="20"/>
                <w:szCs w:val="20"/>
              </w:rPr>
            </w:pPr>
            <w:r w:rsidRPr="005D0703">
              <w:rPr>
                <w:rFonts w:cs="Times New Roman"/>
                <w:b/>
                <w:sz w:val="20"/>
                <w:szCs w:val="20"/>
                <w:u w:val="single"/>
                <w:lang w:val="en-US"/>
              </w:rPr>
              <w:t>The Oblates of Mary Immaculate, St. Peter’s Province and Laurier Court Life Lease Non-Profit Residence Inc. v. John T. Clark and Clarks, Lynn Le Mesurier, Vice &amp; Hunter</w:t>
            </w:r>
            <w:r w:rsidRPr="005D0703">
              <w:rPr>
                <w:rFonts w:cs="Times New Roman"/>
                <w:sz w:val="20"/>
                <w:szCs w:val="20"/>
              </w:rPr>
              <w:t xml:space="preserve"> (Ont.) (Civil) (By Leave)</w:t>
            </w:r>
          </w:p>
          <w:p w:rsidR="00C605BA" w:rsidRPr="005D0703" w:rsidRDefault="00C605BA" w:rsidP="00C605BA">
            <w:pPr>
              <w:rPr>
                <w:rFonts w:cs="Times New Roman"/>
                <w:sz w:val="20"/>
                <w:szCs w:val="20"/>
              </w:rPr>
            </w:pPr>
          </w:p>
        </w:tc>
      </w:tr>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sz w:val="20"/>
                <w:szCs w:val="20"/>
              </w:rPr>
              <w:t>Coram :</w:t>
            </w:r>
          </w:p>
        </w:tc>
        <w:tc>
          <w:tcPr>
            <w:tcW w:w="8118" w:type="dxa"/>
          </w:tcPr>
          <w:p w:rsidR="00C605BA" w:rsidRPr="005D0703" w:rsidRDefault="00C605BA" w:rsidP="00C605BA">
            <w:pPr>
              <w:rPr>
                <w:rFonts w:cs="Times New Roman"/>
                <w:sz w:val="20"/>
                <w:szCs w:val="20"/>
              </w:rPr>
            </w:pPr>
            <w:r w:rsidRPr="005D0703">
              <w:rPr>
                <w:rFonts w:cs="Times New Roman"/>
                <w:sz w:val="20"/>
                <w:szCs w:val="20"/>
                <w:u w:val="single"/>
                <w:lang w:val="en-US"/>
              </w:rPr>
              <w:t>LeBel, Abella and Cromwell JJ.</w:t>
            </w:r>
          </w:p>
          <w:p w:rsidR="00C605BA" w:rsidRPr="005D0703" w:rsidRDefault="00C605BA" w:rsidP="00C605BA">
            <w:pPr>
              <w:rPr>
                <w:rFonts w:cs="Times New Roman"/>
                <w:sz w:val="20"/>
                <w:szCs w:val="20"/>
                <w:u w:val="single"/>
              </w:rPr>
            </w:pPr>
          </w:p>
        </w:tc>
      </w:tr>
      <w:tr w:rsidR="00C605BA" w:rsidRPr="00C04C40" w:rsidTr="00C605BA">
        <w:trPr>
          <w:cantSplit/>
        </w:trPr>
        <w:tc>
          <w:tcPr>
            <w:tcW w:w="9576" w:type="dxa"/>
            <w:gridSpan w:val="2"/>
          </w:tcPr>
          <w:p w:rsidR="00C605BA" w:rsidRPr="005D0703" w:rsidRDefault="00C605BA" w:rsidP="00C605BA">
            <w:pPr>
              <w:ind w:firstLine="720"/>
              <w:jc w:val="both"/>
              <w:rPr>
                <w:rFonts w:cs="Times New Roman"/>
                <w:sz w:val="20"/>
                <w:szCs w:val="20"/>
              </w:rPr>
            </w:pPr>
            <w:r w:rsidRPr="005D0703">
              <w:rPr>
                <w:rFonts w:cs="Times New Roman"/>
                <w:sz w:val="20"/>
                <w:szCs w:val="20"/>
              </w:rPr>
              <w:t>The application for leave to appeal from the judgment of the Court of Appeal for Ontario, Number C51228, 2011 ONCA 481, dated June 28, 2011, is dismissed with costs.</w:t>
            </w:r>
          </w:p>
          <w:p w:rsidR="00C605BA" w:rsidRPr="005D0703" w:rsidRDefault="00C605BA" w:rsidP="00C605BA">
            <w:pPr>
              <w:jc w:val="both"/>
              <w:rPr>
                <w:rFonts w:cs="Times New Roman"/>
                <w:sz w:val="20"/>
                <w:szCs w:val="20"/>
              </w:rPr>
            </w:pPr>
          </w:p>
          <w:p w:rsidR="00C605BA" w:rsidRPr="005D0703" w:rsidRDefault="00C605BA" w:rsidP="00C605BA">
            <w:pPr>
              <w:ind w:firstLine="720"/>
              <w:jc w:val="both"/>
              <w:rPr>
                <w:rFonts w:cs="Times New Roman"/>
                <w:sz w:val="20"/>
                <w:szCs w:val="20"/>
                <w:lang w:val="fr-CA"/>
              </w:rPr>
            </w:pPr>
            <w:r w:rsidRPr="005D0703">
              <w:rPr>
                <w:rFonts w:cs="Times New Roman"/>
                <w:sz w:val="20"/>
                <w:szCs w:val="20"/>
                <w:lang w:val="fr-CA"/>
              </w:rPr>
              <w:t>La demande d’autorisation d’appel de l’arrêt de la Cour d’appel de l’Ontario, numéro C51228, 2011 ONCA 481, daté du 28 juin 2011, est rejetée avec dépens.</w:t>
            </w:r>
          </w:p>
        </w:tc>
      </w:tr>
    </w:tbl>
    <w:p w:rsidR="00C20D8D" w:rsidRPr="005D0703" w:rsidRDefault="00C20D8D" w:rsidP="00C20D8D">
      <w:pPr>
        <w:rPr>
          <w:rFonts w:cs="Times New Roman"/>
          <w:sz w:val="20"/>
          <w:szCs w:val="20"/>
          <w:lang w:val="fr-CA"/>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416344" w:rsidRPr="005D0703" w:rsidTr="00416344">
        <w:tc>
          <w:tcPr>
            <w:tcW w:w="5000" w:type="pct"/>
            <w:gridSpan w:val="3"/>
          </w:tcPr>
          <w:p w:rsidR="00416344" w:rsidRDefault="00416344" w:rsidP="00416344">
            <w:pPr>
              <w:jc w:val="both"/>
              <w:rPr>
                <w:rFonts w:eastAsia="Calibri" w:cs="Times New Roman"/>
                <w:sz w:val="20"/>
                <w:szCs w:val="20"/>
              </w:rPr>
            </w:pPr>
            <w:r w:rsidRPr="005D0703">
              <w:rPr>
                <w:rFonts w:eastAsia="Calibri" w:cs="Times New Roman"/>
                <w:sz w:val="20"/>
                <w:szCs w:val="20"/>
              </w:rPr>
              <w:t>Torts — Negligence — Fiduciary duty — Contracts — Causation — Life lease — Action in contract and in negligence directed against legal profesionnals involved in unsuccessful life lease project — Whether professionals breached applicable standard of care when failing to disclose legal uncertainties surrounding life leases in Ontario — Whether professionals caused applicants financial loss.</w:t>
            </w:r>
          </w:p>
          <w:p w:rsidR="00507C73" w:rsidRPr="005D0703" w:rsidRDefault="00507C73" w:rsidP="00416344">
            <w:pPr>
              <w:jc w:val="both"/>
              <w:rPr>
                <w:rFonts w:eastAsia="Calibri" w:cs="Times New Roman"/>
                <w:sz w:val="20"/>
                <w:szCs w:val="20"/>
              </w:rPr>
            </w:pPr>
          </w:p>
        </w:tc>
      </w:tr>
      <w:tr w:rsidR="00416344" w:rsidRPr="005D0703" w:rsidTr="00416344">
        <w:tc>
          <w:tcPr>
            <w:tcW w:w="5000" w:type="pct"/>
            <w:gridSpan w:val="3"/>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The applicant Oblates of Mary Immaculate (OMI) decided to develop one of its properties into a 54</w:t>
            </w:r>
            <w:r w:rsidRPr="005D0703">
              <w:rPr>
                <w:rFonts w:eastAsia="Calibri" w:cs="Times New Roman"/>
                <w:sz w:val="20"/>
                <w:szCs w:val="20"/>
              </w:rPr>
              <w:noBreakHyphen/>
              <w:t>unit life lease non</w:t>
            </w:r>
            <w:r w:rsidRPr="005D0703">
              <w:rPr>
                <w:rFonts w:eastAsia="Calibri" w:cs="Times New Roman"/>
                <w:sz w:val="20"/>
                <w:szCs w:val="20"/>
              </w:rPr>
              <w:noBreakHyphen/>
              <w:t>profit housing complex.  It created the applicant Laurier Court Life Lease Non</w:t>
            </w:r>
            <w:r w:rsidRPr="005D0703">
              <w:rPr>
                <w:rFonts w:eastAsia="Calibri" w:cs="Times New Roman"/>
                <w:sz w:val="20"/>
                <w:szCs w:val="20"/>
              </w:rPr>
              <w:noBreakHyphen/>
              <w:t>Profit Residence Inc. to oversee the project.  OMI contracted with Life Lease Associates Canada (LLAC) for professional advice on the marketing and development of the units.  Construction started in early November 2002, but on December 19, 2002, OMI halted the construction, and as a consequence, incurred financial loss. </w:t>
            </w:r>
          </w:p>
          <w:p w:rsidR="00416344" w:rsidRPr="005D0703" w:rsidRDefault="00416344" w:rsidP="00416344">
            <w:pPr>
              <w:jc w:val="both"/>
              <w:rPr>
                <w:rFonts w:eastAsia="Calibri" w:cs="Times New Roman"/>
                <w:sz w:val="20"/>
                <w:szCs w:val="20"/>
              </w:rPr>
            </w:pPr>
          </w:p>
          <w:p w:rsidR="00416344" w:rsidRPr="005D0703" w:rsidRDefault="00416344" w:rsidP="00416344">
            <w:pPr>
              <w:jc w:val="both"/>
              <w:rPr>
                <w:rFonts w:eastAsia="Calibri" w:cs="Times New Roman"/>
                <w:sz w:val="20"/>
                <w:szCs w:val="20"/>
              </w:rPr>
            </w:pPr>
            <w:r w:rsidRPr="005D0703">
              <w:rPr>
                <w:rFonts w:eastAsia="Calibri" w:cs="Times New Roman"/>
                <w:sz w:val="20"/>
                <w:szCs w:val="20"/>
              </w:rPr>
              <w:t>OMI sued the respondents, who are the lawyers and their respective law firms that were involved in the project, along with LLAC and its representatives, alleging that they had breached their respective obligations, contractual or fiduciary, and failed to give proper advice concerning the legal uncertainties of life leases.  OMI sought damages in the amount of $1,671,552.</w:t>
            </w:r>
          </w:p>
          <w:p w:rsidR="00416344" w:rsidRPr="005D0703" w:rsidRDefault="00416344" w:rsidP="00416344">
            <w:pPr>
              <w:jc w:val="both"/>
              <w:rPr>
                <w:rFonts w:eastAsia="Calibri" w:cs="Times New Roman"/>
                <w:sz w:val="20"/>
                <w:szCs w:val="20"/>
              </w:rPr>
            </w:pPr>
          </w:p>
          <w:p w:rsidR="00416344" w:rsidRPr="005D0703" w:rsidRDefault="00416344" w:rsidP="00416344">
            <w:pPr>
              <w:jc w:val="both"/>
              <w:rPr>
                <w:rFonts w:eastAsia="Calibri" w:cs="Times New Roman"/>
                <w:sz w:val="20"/>
                <w:szCs w:val="20"/>
              </w:rPr>
            </w:pPr>
            <w:r w:rsidRPr="005D0703">
              <w:rPr>
                <w:rFonts w:eastAsia="Calibri" w:cs="Times New Roman"/>
                <w:sz w:val="20"/>
                <w:szCs w:val="20"/>
              </w:rPr>
              <w:t>The Ontario Superior Court of Justice dismissed the action with respect to the respondent legal professionals.  Parfett J. ruled that the respondents had not breached their respective obligations and that, even if they had, the losses suffered by OMI were not caused by them. Instead, LLAC had breached its contractual obligations and had caused the losses.  LLAC was ordered to pay $509,851.00 plus interest to OMI.  The Ontario Court of Appeal dismissed the appeal.</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October 26, 2009, and February 1 and September 2, 2010</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Ontario Superior Court of Justice</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(Parfett J.)</w:t>
            </w:r>
          </w:p>
          <w:p w:rsidR="00416344" w:rsidRPr="005D0703" w:rsidRDefault="008A6550" w:rsidP="00416344">
            <w:pPr>
              <w:jc w:val="both"/>
              <w:rPr>
                <w:rFonts w:eastAsia="Calibri" w:cs="Times New Roman"/>
                <w:sz w:val="20"/>
                <w:szCs w:val="20"/>
                <w:lang w:val="fr-CA"/>
              </w:rPr>
            </w:pPr>
            <w:r w:rsidRPr="005D0703">
              <w:rPr>
                <w:rFonts w:eastAsia="Calibri" w:cs="Times New Roman"/>
                <w:sz w:val="20"/>
                <w:szCs w:val="20"/>
              </w:rPr>
              <w:fldChar w:fldCharType="begin"/>
            </w:r>
            <w:r w:rsidR="00416344" w:rsidRPr="005D0703">
              <w:rPr>
                <w:rFonts w:eastAsia="Calibri" w:cs="Times New Roman"/>
                <w:sz w:val="20"/>
                <w:szCs w:val="20"/>
                <w:lang w:val="fr-CA"/>
              </w:rPr>
              <w:instrText xml:space="preserve"> SEQ CHAPTER \h \r 1</w:instrText>
            </w:r>
            <w:r w:rsidRPr="005D0703">
              <w:rPr>
                <w:rFonts w:eastAsia="Calibri" w:cs="Times New Roman"/>
                <w:sz w:val="20"/>
                <w:szCs w:val="20"/>
              </w:rPr>
              <w:fldChar w:fldCharType="end"/>
            </w:r>
            <w:r w:rsidR="00416344" w:rsidRPr="005D0703">
              <w:rPr>
                <w:rFonts w:eastAsia="Calibri" w:cs="Times New Roman"/>
                <w:sz w:val="20"/>
                <w:szCs w:val="20"/>
                <w:lang w:val="fr-CA"/>
              </w:rPr>
              <w:t xml:space="preserve">2009 CanLII 89687; </w:t>
            </w:r>
            <w:r w:rsidRPr="005D0703">
              <w:rPr>
                <w:rFonts w:eastAsia="Calibri" w:cs="Times New Roman"/>
                <w:sz w:val="20"/>
                <w:szCs w:val="20"/>
              </w:rPr>
              <w:fldChar w:fldCharType="begin"/>
            </w:r>
            <w:r w:rsidR="00416344" w:rsidRPr="005D0703">
              <w:rPr>
                <w:rFonts w:eastAsia="Calibri" w:cs="Times New Roman"/>
                <w:sz w:val="20"/>
                <w:szCs w:val="20"/>
                <w:lang w:val="fr-CA"/>
              </w:rPr>
              <w:instrText xml:space="preserve"> SEQ CHAPTER \h \r 1</w:instrText>
            </w:r>
            <w:r w:rsidRPr="005D0703">
              <w:rPr>
                <w:rFonts w:eastAsia="Calibri" w:cs="Times New Roman"/>
                <w:sz w:val="20"/>
                <w:szCs w:val="20"/>
              </w:rPr>
              <w:fldChar w:fldCharType="end"/>
            </w:r>
            <w:r w:rsidR="00416344" w:rsidRPr="005D0703">
              <w:rPr>
                <w:rFonts w:eastAsia="Calibri" w:cs="Times New Roman"/>
                <w:sz w:val="20"/>
                <w:szCs w:val="20"/>
                <w:lang w:val="fr-CA"/>
              </w:rPr>
              <w:t xml:space="preserve">2010 ONSC 24; </w:t>
            </w:r>
            <w:r w:rsidRPr="005D0703">
              <w:rPr>
                <w:rFonts w:eastAsia="Calibri" w:cs="Times New Roman"/>
                <w:sz w:val="20"/>
                <w:szCs w:val="20"/>
              </w:rPr>
              <w:fldChar w:fldCharType="begin"/>
            </w:r>
            <w:r w:rsidR="00416344" w:rsidRPr="005D0703">
              <w:rPr>
                <w:rFonts w:eastAsia="Calibri" w:cs="Times New Roman"/>
                <w:sz w:val="20"/>
                <w:szCs w:val="20"/>
                <w:lang w:val="fr-CA"/>
              </w:rPr>
              <w:instrText xml:space="preserve"> SEQ CHAPTER \h \r 1</w:instrText>
            </w:r>
            <w:r w:rsidRPr="005D0703">
              <w:rPr>
                <w:rFonts w:eastAsia="Calibri" w:cs="Times New Roman"/>
                <w:sz w:val="20"/>
                <w:szCs w:val="20"/>
              </w:rPr>
              <w:fldChar w:fldCharType="end"/>
            </w:r>
            <w:r w:rsidR="00416344" w:rsidRPr="005D0703">
              <w:rPr>
                <w:rFonts w:eastAsia="Calibri" w:cs="Times New Roman"/>
                <w:sz w:val="20"/>
                <w:szCs w:val="20"/>
                <w:lang w:val="fr-CA"/>
              </w:rPr>
              <w:t xml:space="preserve">2010 ONSC 5263 </w:t>
            </w:r>
          </w:p>
          <w:p w:rsidR="00416344" w:rsidRPr="005D0703" w:rsidRDefault="00416344" w:rsidP="00416344">
            <w:pPr>
              <w:jc w:val="both"/>
              <w:rPr>
                <w:rFonts w:eastAsia="Calibri" w:cs="Times New Roman"/>
                <w:sz w:val="20"/>
                <w:szCs w:val="20"/>
                <w:lang w:val="fr-CA"/>
              </w:rPr>
            </w:pP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Action granted in part; decisions on costs and damages issued subsequently</w:t>
            </w:r>
          </w:p>
          <w:p w:rsidR="00416344" w:rsidRPr="005D0703" w:rsidRDefault="00416344" w:rsidP="00416344">
            <w:pPr>
              <w:jc w:val="both"/>
              <w:rPr>
                <w:rFonts w:eastAsia="Calibri" w:cs="Times New Roman"/>
                <w:sz w:val="20"/>
                <w:szCs w:val="20"/>
              </w:rPr>
            </w:pP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June 28,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Court of Appeal for Ontario</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w:t>
            </w:r>
            <w:r w:rsidR="008A6550" w:rsidRPr="005D0703">
              <w:rPr>
                <w:rFonts w:eastAsia="Calibri" w:cs="Times New Roman"/>
                <w:sz w:val="20"/>
                <w:szCs w:val="20"/>
              </w:rPr>
              <w:fldChar w:fldCharType="begin"/>
            </w:r>
            <w:r w:rsidRPr="005D0703">
              <w:rPr>
                <w:rFonts w:eastAsia="Calibri" w:cs="Times New Roman"/>
                <w:sz w:val="20"/>
                <w:szCs w:val="20"/>
              </w:rPr>
              <w:instrText xml:space="preserve"> SEQ CHAPTER \h \r 1</w:instrText>
            </w:r>
            <w:r w:rsidR="008A6550" w:rsidRPr="005D0703">
              <w:rPr>
                <w:rFonts w:eastAsia="Calibri" w:cs="Times New Roman"/>
                <w:sz w:val="20"/>
                <w:szCs w:val="20"/>
              </w:rPr>
              <w:fldChar w:fldCharType="end"/>
            </w:r>
            <w:r w:rsidRPr="005D0703">
              <w:rPr>
                <w:rFonts w:eastAsia="Calibri" w:cs="Times New Roman"/>
                <w:sz w:val="20"/>
                <w:szCs w:val="20"/>
              </w:rPr>
              <w:t>Armstrong, MacFarland and Watt JJ.A)</w:t>
            </w:r>
          </w:p>
          <w:p w:rsidR="00416344" w:rsidRPr="005D0703" w:rsidRDefault="008A6550" w:rsidP="00416344">
            <w:pPr>
              <w:jc w:val="both"/>
              <w:rPr>
                <w:rFonts w:eastAsia="Calibri" w:cs="Times New Roman"/>
                <w:sz w:val="20"/>
                <w:szCs w:val="20"/>
              </w:rPr>
            </w:pPr>
            <w:r w:rsidRPr="005D0703">
              <w:rPr>
                <w:rFonts w:eastAsia="Calibri" w:cs="Times New Roman"/>
                <w:sz w:val="20"/>
                <w:szCs w:val="20"/>
              </w:rPr>
              <w:fldChar w:fldCharType="begin"/>
            </w:r>
            <w:r w:rsidR="00416344" w:rsidRPr="005D0703">
              <w:rPr>
                <w:rFonts w:eastAsia="Calibri" w:cs="Times New Roman"/>
                <w:sz w:val="20"/>
                <w:szCs w:val="20"/>
              </w:rPr>
              <w:instrText xml:space="preserve"> SEQ CHAPTER \h \r 1</w:instrText>
            </w:r>
            <w:r w:rsidRPr="005D0703">
              <w:rPr>
                <w:rFonts w:eastAsia="Calibri" w:cs="Times New Roman"/>
                <w:sz w:val="20"/>
                <w:szCs w:val="20"/>
              </w:rPr>
              <w:fldChar w:fldCharType="end"/>
            </w:r>
            <w:r w:rsidR="00416344" w:rsidRPr="005D0703">
              <w:rPr>
                <w:rFonts w:eastAsia="Calibri" w:cs="Times New Roman"/>
                <w:sz w:val="20"/>
                <w:szCs w:val="20"/>
              </w:rPr>
              <w:t>2011 ONCA 481</w:t>
            </w:r>
          </w:p>
          <w:p w:rsidR="00416344" w:rsidRPr="005D0703" w:rsidRDefault="00416344" w:rsidP="00416344">
            <w:pPr>
              <w:jc w:val="both"/>
              <w:rPr>
                <w:rFonts w:eastAsia="Calibri" w:cs="Times New Roman"/>
                <w:sz w:val="20"/>
                <w:szCs w:val="20"/>
              </w:rPr>
            </w:pP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Appeal dismissed</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August 11,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Application for leave to appeal filed</w:t>
            </w:r>
          </w:p>
          <w:p w:rsidR="00416344" w:rsidRPr="005D0703" w:rsidRDefault="00416344" w:rsidP="00416344">
            <w:pPr>
              <w:jc w:val="both"/>
              <w:rPr>
                <w:rFonts w:eastAsia="Calibri" w:cs="Times New Roman"/>
                <w:sz w:val="20"/>
                <w:szCs w:val="20"/>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60"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416344" w:rsidRPr="00C04C40" w:rsidTr="00416344">
        <w:tc>
          <w:tcPr>
            <w:tcW w:w="5000" w:type="pct"/>
            <w:gridSpan w:val="3"/>
          </w:tcPr>
          <w:p w:rsidR="00416344" w:rsidRDefault="00416344" w:rsidP="00416344">
            <w:pPr>
              <w:jc w:val="both"/>
              <w:rPr>
                <w:rFonts w:eastAsia="Calibri" w:cs="Times New Roman"/>
                <w:sz w:val="20"/>
                <w:szCs w:val="20"/>
                <w:lang w:val="fr-CA"/>
              </w:rPr>
            </w:pPr>
            <w:r w:rsidRPr="005D0703">
              <w:rPr>
                <w:rFonts w:eastAsia="Calibri" w:cs="Times New Roman"/>
                <w:sz w:val="20"/>
                <w:szCs w:val="20"/>
                <w:lang w:val="fr-CA"/>
              </w:rPr>
              <w:t>Responsabilité délictuelle — Négligence — Obligation fiduciaire — Contrats — Lien de causalité — Location viagère — Action en responsabilité contractuelle et en négligence contre des juristes impliqués dans un projet de location viagère qui a échoué — Les juristes ont-ils manqué à la norme de diligence applicable en ne révélant pas les incertitudes d'ordre juridique qui entourent la location viagère en Ontario? — Les juristes ont-ils causé la perte financière des demandeurs?</w:t>
            </w:r>
          </w:p>
          <w:p w:rsidR="00507C73" w:rsidRPr="005D0703" w:rsidRDefault="00507C73" w:rsidP="00416344">
            <w:pPr>
              <w:jc w:val="both"/>
              <w:rPr>
                <w:rFonts w:eastAsia="Calibri" w:cs="Times New Roman"/>
                <w:sz w:val="20"/>
                <w:szCs w:val="20"/>
                <w:lang w:val="fr-CA"/>
              </w:rPr>
            </w:pPr>
          </w:p>
        </w:tc>
      </w:tr>
      <w:tr w:rsidR="00416344" w:rsidRPr="005D0703" w:rsidTr="00416344">
        <w:tc>
          <w:tcPr>
            <w:tcW w:w="5000" w:type="pct"/>
            <w:gridSpan w:val="3"/>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Le demandeur Oblats de Marie-Immaculé (OMI) a décidé de mettre en valeur un de ses biens immobiliers en le transformant en complexe d'habitation sans but lucratif de 54 logements en location viagère.  Il a créé la demanderesse Laurier Court Life Lease Non-Profit Residence Inc. pour superviser le projet.  OMI a conclu un contrat avec Life Lease Associates Canada (LLAC) pour obtenir des services professionnels sur la commercialisation et la mise en valeur des logements.  La construction a débuté au début de novembre 2002, mais le 19 décembre 2002, OMI a mis fin à la construction et a subi une perte financière en conséquence. </w:t>
            </w:r>
          </w:p>
          <w:p w:rsidR="00416344" w:rsidRPr="005D0703" w:rsidRDefault="00416344" w:rsidP="00416344">
            <w:pPr>
              <w:jc w:val="both"/>
              <w:rPr>
                <w:rFonts w:eastAsia="Calibri" w:cs="Times New Roman"/>
                <w:sz w:val="20"/>
                <w:szCs w:val="20"/>
                <w:lang w:val="fr-CA"/>
              </w:rPr>
            </w:pP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OMI a poursuivi les intimés, c'est-à-dire les avocats et leurs cabinets respectifs qui étaient impliqués dans le projet, ainsi que LLAC et ses représentants, alléguant qu'ils avaient manqué à leurs obligations respectives, contractuelles ou fiduciaires, et qu'ils avaient omis de donner un avis valable concernant les incertitudes d'ordre juridique entourant les locations viagères.  OMI a demandé des dommages-intérêts de 1 671 552 $.</w:t>
            </w:r>
          </w:p>
          <w:p w:rsidR="00416344" w:rsidRPr="005D0703" w:rsidRDefault="00416344" w:rsidP="00416344">
            <w:pPr>
              <w:jc w:val="both"/>
              <w:rPr>
                <w:rFonts w:eastAsia="Calibri" w:cs="Times New Roman"/>
                <w:sz w:val="20"/>
                <w:szCs w:val="20"/>
                <w:lang w:val="fr-CA"/>
              </w:rPr>
            </w:pP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La Cour supérieure de justice de l'Ontario a rejeté l'action pour ce qui est des juristes intimés. La juge Parfett a statué que les intimés n'avaient pas manqué à leurs obligations respectives et que même s'ils l’avaient fait, les pertes subies par OMI n'étaient pas causées par eux. Par ailleurs, LLAC avait manqué à ses obligations contractuelles et avait causé les pertes.  LLAC a été condamnée à payer 509 851 $ plus les intérêts à OMI. La Cour d'appel de l'Ontario a rejeté l'appel.</w:t>
            </w:r>
          </w:p>
          <w:p w:rsidR="00416344" w:rsidRPr="005D0703" w:rsidRDefault="00416344" w:rsidP="00416344">
            <w:pPr>
              <w:jc w:val="both"/>
              <w:rPr>
                <w:rFonts w:eastAsia="Calibri" w:cs="Times New Roman"/>
                <w:sz w:val="20"/>
                <w:szCs w:val="20"/>
                <w:lang w:val="fr-CA"/>
              </w:rPr>
            </w:pPr>
          </w:p>
        </w:tc>
      </w:tr>
      <w:tr w:rsidR="00416344" w:rsidRPr="00C04C40"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26 octobre 2009, 1</w:t>
            </w:r>
            <w:r w:rsidRPr="005D0703">
              <w:rPr>
                <w:rFonts w:eastAsia="Calibri" w:cs="Times New Roman"/>
                <w:sz w:val="20"/>
                <w:szCs w:val="20"/>
                <w:vertAlign w:val="superscript"/>
                <w:lang w:val="fr-CA"/>
              </w:rPr>
              <w:t>er</w:t>
            </w:r>
            <w:r w:rsidRPr="005D0703">
              <w:rPr>
                <w:rFonts w:eastAsia="Calibri" w:cs="Times New Roman"/>
                <w:sz w:val="20"/>
                <w:szCs w:val="20"/>
                <w:lang w:val="fr-CA"/>
              </w:rPr>
              <w:t xml:space="preserve"> février et 2 septembre 2010</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(Juge Parfett)</w:t>
            </w:r>
          </w:p>
          <w:p w:rsidR="00416344" w:rsidRPr="005D0703" w:rsidRDefault="008A6550" w:rsidP="00416344">
            <w:pPr>
              <w:jc w:val="both"/>
              <w:rPr>
                <w:rFonts w:eastAsia="Calibri" w:cs="Times New Roman"/>
                <w:sz w:val="20"/>
                <w:szCs w:val="20"/>
                <w:lang w:val="fr-CA"/>
              </w:rPr>
            </w:pPr>
            <w:r w:rsidRPr="005D0703">
              <w:rPr>
                <w:rFonts w:eastAsia="Calibri" w:cs="Times New Roman"/>
                <w:sz w:val="20"/>
                <w:szCs w:val="20"/>
                <w:lang w:val="fr-CA"/>
              </w:rPr>
              <w:fldChar w:fldCharType="begin"/>
            </w:r>
            <w:r w:rsidR="00416344" w:rsidRPr="005D0703">
              <w:rPr>
                <w:rFonts w:eastAsia="Calibri" w:cs="Times New Roman"/>
                <w:sz w:val="20"/>
                <w:szCs w:val="20"/>
                <w:lang w:val="fr-CA"/>
              </w:rPr>
              <w:instrText xml:space="preserve"> SEQ CHAPTER \h \r 1</w:instrText>
            </w:r>
            <w:r w:rsidRPr="005D0703">
              <w:rPr>
                <w:rFonts w:eastAsia="Calibri" w:cs="Times New Roman"/>
                <w:sz w:val="20"/>
                <w:szCs w:val="20"/>
                <w:lang w:val="fr-CA"/>
              </w:rPr>
              <w:fldChar w:fldCharType="end"/>
            </w:r>
            <w:r w:rsidR="00416344" w:rsidRPr="005D0703">
              <w:rPr>
                <w:rFonts w:eastAsia="Calibri" w:cs="Times New Roman"/>
                <w:sz w:val="20"/>
                <w:szCs w:val="20"/>
                <w:lang w:val="fr-CA"/>
              </w:rPr>
              <w:t xml:space="preserve">2009 CanLII 89687; </w:t>
            </w:r>
            <w:r w:rsidRPr="005D0703">
              <w:rPr>
                <w:rFonts w:eastAsia="Calibri" w:cs="Times New Roman"/>
                <w:sz w:val="20"/>
                <w:szCs w:val="20"/>
                <w:lang w:val="fr-CA"/>
              </w:rPr>
              <w:fldChar w:fldCharType="begin"/>
            </w:r>
            <w:r w:rsidR="00416344" w:rsidRPr="005D0703">
              <w:rPr>
                <w:rFonts w:eastAsia="Calibri" w:cs="Times New Roman"/>
                <w:sz w:val="20"/>
                <w:szCs w:val="20"/>
                <w:lang w:val="fr-CA"/>
              </w:rPr>
              <w:instrText xml:space="preserve"> SEQ CHAPTER \h \r 1</w:instrText>
            </w:r>
            <w:r w:rsidRPr="005D0703">
              <w:rPr>
                <w:rFonts w:eastAsia="Calibri" w:cs="Times New Roman"/>
                <w:sz w:val="20"/>
                <w:szCs w:val="20"/>
                <w:lang w:val="fr-CA"/>
              </w:rPr>
              <w:fldChar w:fldCharType="end"/>
            </w:r>
            <w:r w:rsidR="00416344" w:rsidRPr="005D0703">
              <w:rPr>
                <w:rFonts w:eastAsia="Calibri" w:cs="Times New Roman"/>
                <w:sz w:val="20"/>
                <w:szCs w:val="20"/>
                <w:lang w:val="fr-CA"/>
              </w:rPr>
              <w:t xml:space="preserve">2010 ONSC 24; </w:t>
            </w:r>
            <w:r w:rsidRPr="005D0703">
              <w:rPr>
                <w:rFonts w:eastAsia="Calibri" w:cs="Times New Roman"/>
                <w:sz w:val="20"/>
                <w:szCs w:val="20"/>
                <w:lang w:val="fr-CA"/>
              </w:rPr>
              <w:fldChar w:fldCharType="begin"/>
            </w:r>
            <w:r w:rsidR="00416344" w:rsidRPr="005D0703">
              <w:rPr>
                <w:rFonts w:eastAsia="Calibri" w:cs="Times New Roman"/>
                <w:sz w:val="20"/>
                <w:szCs w:val="20"/>
                <w:lang w:val="fr-CA"/>
              </w:rPr>
              <w:instrText xml:space="preserve"> SEQ CHAPTER \h \r 1</w:instrText>
            </w:r>
            <w:r w:rsidRPr="005D0703">
              <w:rPr>
                <w:rFonts w:eastAsia="Calibri" w:cs="Times New Roman"/>
                <w:sz w:val="20"/>
                <w:szCs w:val="20"/>
                <w:lang w:val="fr-CA"/>
              </w:rPr>
              <w:fldChar w:fldCharType="end"/>
            </w:r>
            <w:r w:rsidR="00416344" w:rsidRPr="005D0703">
              <w:rPr>
                <w:rFonts w:eastAsia="Calibri" w:cs="Times New Roman"/>
                <w:sz w:val="20"/>
                <w:szCs w:val="20"/>
                <w:lang w:val="fr-CA"/>
              </w:rPr>
              <w:t xml:space="preserve">2010 ONSC 5263 </w:t>
            </w:r>
          </w:p>
          <w:p w:rsidR="00416344" w:rsidRPr="005D0703" w:rsidRDefault="00416344" w:rsidP="00416344">
            <w:pPr>
              <w:jc w:val="both"/>
              <w:rPr>
                <w:rFonts w:eastAsia="Calibri" w:cs="Times New Roman"/>
                <w:sz w:val="20"/>
                <w:szCs w:val="20"/>
                <w:lang w:val="fr-CA"/>
              </w:rPr>
            </w:pP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Action accueillie en partie; décisions sur les dépens et les dommages-intérêts rendues subséquemment</w:t>
            </w:r>
          </w:p>
          <w:p w:rsidR="00416344" w:rsidRPr="005D0703" w:rsidRDefault="00416344" w:rsidP="00416344">
            <w:pPr>
              <w:jc w:val="both"/>
              <w:rPr>
                <w:rFonts w:eastAsia="Calibri" w:cs="Times New Roman"/>
                <w:sz w:val="20"/>
                <w:szCs w:val="20"/>
                <w:lang w:val="fr-CA"/>
              </w:rPr>
            </w:pPr>
          </w:p>
          <w:p w:rsidR="00416344" w:rsidRPr="005D0703" w:rsidRDefault="00416344" w:rsidP="00416344">
            <w:pPr>
              <w:jc w:val="both"/>
              <w:rPr>
                <w:rFonts w:eastAsia="Calibri" w:cs="Times New Roman"/>
                <w:sz w:val="20"/>
                <w:szCs w:val="20"/>
                <w:lang w:val="fr-CA"/>
              </w:rPr>
            </w:pPr>
          </w:p>
        </w:tc>
      </w:tr>
      <w:tr w:rsidR="00416344" w:rsidRPr="005D0703"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28 juin 2011</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Cour d'appel de l'Ontario </w:t>
            </w:r>
          </w:p>
          <w:p w:rsidR="00416344" w:rsidRPr="00B57F55" w:rsidRDefault="00416344" w:rsidP="00416344">
            <w:pPr>
              <w:jc w:val="both"/>
              <w:rPr>
                <w:rFonts w:eastAsia="Calibri" w:cs="Times New Roman"/>
                <w:sz w:val="20"/>
                <w:szCs w:val="20"/>
                <w:lang w:val="en-US"/>
              </w:rPr>
            </w:pPr>
            <w:r w:rsidRPr="00B57F55">
              <w:rPr>
                <w:rFonts w:eastAsia="Calibri" w:cs="Times New Roman"/>
                <w:sz w:val="20"/>
                <w:szCs w:val="20"/>
                <w:lang w:val="en-US"/>
              </w:rPr>
              <w:t xml:space="preserve">(Juges </w:t>
            </w:r>
            <w:r w:rsidR="008A6550" w:rsidRPr="005D0703">
              <w:rPr>
                <w:rFonts w:eastAsia="Calibri" w:cs="Times New Roman"/>
                <w:sz w:val="20"/>
                <w:szCs w:val="20"/>
                <w:lang w:val="fr-CA"/>
              </w:rPr>
              <w:fldChar w:fldCharType="begin"/>
            </w:r>
            <w:r w:rsidRPr="00B57F55">
              <w:rPr>
                <w:rFonts w:eastAsia="Calibri" w:cs="Times New Roman"/>
                <w:sz w:val="20"/>
                <w:szCs w:val="20"/>
                <w:lang w:val="en-US"/>
              </w:rPr>
              <w:instrText xml:space="preserve"> SEQ CHAPTER \h \r 1</w:instrText>
            </w:r>
            <w:r w:rsidR="008A6550" w:rsidRPr="005D0703">
              <w:rPr>
                <w:rFonts w:eastAsia="Calibri" w:cs="Times New Roman"/>
                <w:sz w:val="20"/>
                <w:szCs w:val="20"/>
                <w:lang w:val="fr-CA"/>
              </w:rPr>
              <w:fldChar w:fldCharType="end"/>
            </w:r>
            <w:r w:rsidRPr="00B57F55">
              <w:rPr>
                <w:rFonts w:eastAsia="Calibri" w:cs="Times New Roman"/>
                <w:sz w:val="20"/>
                <w:szCs w:val="20"/>
                <w:lang w:val="en-US"/>
              </w:rPr>
              <w:t>Armstrong, MacFarland et Watt)</w:t>
            </w:r>
          </w:p>
          <w:p w:rsidR="00416344" w:rsidRPr="00EF7ACE" w:rsidRDefault="008A6550" w:rsidP="00416344">
            <w:pPr>
              <w:jc w:val="both"/>
              <w:rPr>
                <w:rFonts w:eastAsia="Calibri" w:cs="Times New Roman"/>
                <w:sz w:val="20"/>
                <w:szCs w:val="20"/>
                <w:lang w:val="en-US"/>
              </w:rPr>
            </w:pPr>
            <w:r w:rsidRPr="005D0703">
              <w:rPr>
                <w:rFonts w:eastAsia="Calibri" w:cs="Times New Roman"/>
                <w:sz w:val="20"/>
                <w:szCs w:val="20"/>
                <w:lang w:val="fr-CA"/>
              </w:rPr>
              <w:fldChar w:fldCharType="begin"/>
            </w:r>
            <w:r w:rsidR="00416344" w:rsidRPr="00EF7ACE">
              <w:rPr>
                <w:rFonts w:eastAsia="Calibri" w:cs="Times New Roman"/>
                <w:sz w:val="20"/>
                <w:szCs w:val="20"/>
                <w:lang w:val="en-US"/>
              </w:rPr>
              <w:instrText xml:space="preserve"> SEQ CHAPTER \h \r 1</w:instrText>
            </w:r>
            <w:r w:rsidRPr="005D0703">
              <w:rPr>
                <w:rFonts w:eastAsia="Calibri" w:cs="Times New Roman"/>
                <w:sz w:val="20"/>
                <w:szCs w:val="20"/>
                <w:lang w:val="fr-CA"/>
              </w:rPr>
              <w:fldChar w:fldCharType="end"/>
            </w:r>
            <w:r w:rsidR="00416344" w:rsidRPr="00EF7ACE">
              <w:rPr>
                <w:rFonts w:eastAsia="Calibri" w:cs="Times New Roman"/>
                <w:sz w:val="20"/>
                <w:szCs w:val="20"/>
                <w:lang w:val="en-US"/>
              </w:rPr>
              <w:t>2011 ONCA 481</w:t>
            </w:r>
          </w:p>
          <w:p w:rsidR="00416344" w:rsidRPr="00EF7ACE" w:rsidRDefault="00416344" w:rsidP="00416344">
            <w:pPr>
              <w:jc w:val="both"/>
              <w:rPr>
                <w:rFonts w:eastAsia="Calibri" w:cs="Times New Roman"/>
                <w:sz w:val="20"/>
                <w:szCs w:val="20"/>
                <w:lang w:val="en-US"/>
              </w:rPr>
            </w:pPr>
          </w:p>
        </w:tc>
        <w:tc>
          <w:tcPr>
            <w:tcW w:w="243" w:type="pct"/>
          </w:tcPr>
          <w:p w:rsidR="00416344" w:rsidRPr="00EF7ACE" w:rsidRDefault="00416344" w:rsidP="00416344">
            <w:pPr>
              <w:jc w:val="both"/>
              <w:rPr>
                <w:rFonts w:eastAsia="Calibri" w:cs="Times New Roman"/>
                <w:sz w:val="20"/>
                <w:szCs w:val="20"/>
                <w:lang w:val="en-US"/>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Appel rejeté</w:t>
            </w:r>
          </w:p>
          <w:p w:rsidR="00416344" w:rsidRPr="005D0703" w:rsidRDefault="00416344" w:rsidP="00416344">
            <w:pPr>
              <w:jc w:val="both"/>
              <w:rPr>
                <w:rFonts w:eastAsia="Calibri" w:cs="Times New Roman"/>
                <w:sz w:val="20"/>
                <w:szCs w:val="20"/>
                <w:lang w:val="fr-CA"/>
              </w:rPr>
            </w:pPr>
          </w:p>
        </w:tc>
      </w:tr>
      <w:tr w:rsidR="00416344" w:rsidRPr="005D0703"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11 août 2011</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416344" w:rsidRPr="005D0703" w:rsidRDefault="00416344" w:rsidP="00416344">
            <w:pPr>
              <w:jc w:val="both"/>
              <w:rPr>
                <w:rFonts w:eastAsia="Calibri" w:cs="Times New Roman"/>
                <w:sz w:val="20"/>
                <w:szCs w:val="20"/>
                <w:lang w:val="fr-CA"/>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61" style="width:2in;height:1pt" o:hrpct="0" o:hralign="center" o:hrstd="t" o:hrnoshade="t" o:hr="t" fillcolor="black [3213]" stroked="f"/>
        </w:pict>
      </w:r>
    </w:p>
    <w:p w:rsidR="00C20D8D" w:rsidRPr="005D0703" w:rsidRDefault="00C20D8D" w:rsidP="00C20D8D">
      <w:pPr>
        <w:rPr>
          <w:rFonts w:cs="Times New Roman"/>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b/>
                <w:sz w:val="20"/>
                <w:szCs w:val="20"/>
                <w:lang w:val="fr-CA"/>
              </w:rPr>
              <w:t>34380</w:t>
            </w:r>
          </w:p>
          <w:p w:rsidR="00C605BA" w:rsidRPr="005D0703" w:rsidRDefault="00C605BA" w:rsidP="00C605BA">
            <w:pPr>
              <w:rPr>
                <w:rFonts w:cs="Times New Roman"/>
                <w:b/>
                <w:sz w:val="20"/>
                <w:szCs w:val="20"/>
                <w:lang w:val="fr-CA"/>
              </w:rPr>
            </w:pPr>
          </w:p>
        </w:tc>
        <w:tc>
          <w:tcPr>
            <w:tcW w:w="8118" w:type="dxa"/>
          </w:tcPr>
          <w:p w:rsidR="00C605BA" w:rsidRPr="005D0703" w:rsidRDefault="00C605BA" w:rsidP="00C605BA">
            <w:pPr>
              <w:rPr>
                <w:rFonts w:cs="Times New Roman"/>
                <w:sz w:val="20"/>
                <w:szCs w:val="20"/>
              </w:rPr>
            </w:pPr>
            <w:r w:rsidRPr="005D0703">
              <w:rPr>
                <w:rFonts w:cs="Times New Roman"/>
                <w:b/>
                <w:sz w:val="20"/>
                <w:szCs w:val="20"/>
                <w:u w:val="single"/>
                <w:lang w:val="en-US"/>
              </w:rPr>
              <w:t>Tarion Warranty Corporation v. Alexander Boros</w:t>
            </w:r>
            <w:r w:rsidRPr="005D0703">
              <w:rPr>
                <w:rFonts w:cs="Times New Roman"/>
                <w:sz w:val="20"/>
                <w:szCs w:val="20"/>
              </w:rPr>
              <w:t xml:space="preserve"> (Ont.) (Civil) (By Leave)</w:t>
            </w:r>
          </w:p>
          <w:p w:rsidR="00C605BA" w:rsidRPr="005D0703" w:rsidRDefault="00C605BA" w:rsidP="00C605BA">
            <w:pPr>
              <w:jc w:val="both"/>
              <w:rPr>
                <w:rFonts w:cs="Times New Roman"/>
                <w:sz w:val="20"/>
                <w:szCs w:val="20"/>
              </w:rPr>
            </w:pPr>
          </w:p>
        </w:tc>
      </w:tr>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sz w:val="20"/>
                <w:szCs w:val="20"/>
              </w:rPr>
              <w:t>Coram :</w:t>
            </w:r>
          </w:p>
        </w:tc>
        <w:tc>
          <w:tcPr>
            <w:tcW w:w="8118" w:type="dxa"/>
          </w:tcPr>
          <w:p w:rsidR="00C605BA" w:rsidRPr="005D0703" w:rsidRDefault="00C605BA" w:rsidP="00C605BA">
            <w:pPr>
              <w:rPr>
                <w:rFonts w:cs="Times New Roman"/>
                <w:sz w:val="20"/>
                <w:szCs w:val="20"/>
              </w:rPr>
            </w:pPr>
            <w:r w:rsidRPr="005D0703">
              <w:rPr>
                <w:rFonts w:cs="Times New Roman"/>
                <w:sz w:val="20"/>
                <w:szCs w:val="20"/>
                <w:u w:val="single"/>
                <w:lang w:val="en-US"/>
              </w:rPr>
              <w:t>Deschamps, Fish and Karakatsanis JJ.</w:t>
            </w:r>
          </w:p>
          <w:p w:rsidR="00C605BA" w:rsidRPr="005D0703" w:rsidRDefault="00C605BA" w:rsidP="00C605BA">
            <w:pPr>
              <w:rPr>
                <w:rFonts w:cs="Times New Roman"/>
                <w:sz w:val="20"/>
                <w:szCs w:val="20"/>
                <w:u w:val="single"/>
              </w:rPr>
            </w:pPr>
          </w:p>
        </w:tc>
      </w:tr>
      <w:tr w:rsidR="00C605BA" w:rsidRPr="00C04C40" w:rsidTr="00C605BA">
        <w:trPr>
          <w:cantSplit/>
        </w:trPr>
        <w:tc>
          <w:tcPr>
            <w:tcW w:w="9576" w:type="dxa"/>
            <w:gridSpan w:val="2"/>
          </w:tcPr>
          <w:p w:rsidR="00C605BA" w:rsidRPr="005D0703" w:rsidRDefault="00C605BA" w:rsidP="00C605BA">
            <w:pPr>
              <w:ind w:firstLine="720"/>
              <w:jc w:val="both"/>
              <w:rPr>
                <w:rFonts w:cs="Times New Roman"/>
                <w:sz w:val="20"/>
                <w:szCs w:val="20"/>
              </w:rPr>
            </w:pPr>
            <w:r w:rsidRPr="005D0703">
              <w:rPr>
                <w:rFonts w:cs="Times New Roman"/>
                <w:sz w:val="20"/>
                <w:szCs w:val="20"/>
              </w:rPr>
              <w:t>The application for leave to appeal from the judgment of the Court of Appeal for Ontario, Number C52416, 2011 ONCA 374, dated May 13, 2011, is dismissed with costs.</w:t>
            </w:r>
          </w:p>
          <w:p w:rsidR="00C605BA" w:rsidRPr="005D0703" w:rsidRDefault="00C605BA" w:rsidP="00C605BA">
            <w:pPr>
              <w:jc w:val="both"/>
              <w:rPr>
                <w:rFonts w:cs="Times New Roman"/>
                <w:sz w:val="20"/>
                <w:szCs w:val="20"/>
              </w:rPr>
            </w:pPr>
          </w:p>
          <w:p w:rsidR="00C605BA" w:rsidRPr="005D0703" w:rsidRDefault="00C605BA" w:rsidP="00C605BA">
            <w:pPr>
              <w:ind w:firstLine="720"/>
              <w:jc w:val="both"/>
              <w:rPr>
                <w:rFonts w:cs="Times New Roman"/>
                <w:sz w:val="20"/>
                <w:szCs w:val="20"/>
                <w:lang w:val="fr-CA"/>
              </w:rPr>
            </w:pPr>
            <w:r w:rsidRPr="005D0703">
              <w:rPr>
                <w:rFonts w:cs="Times New Roman"/>
                <w:sz w:val="20"/>
                <w:szCs w:val="20"/>
                <w:lang w:val="fr-CA"/>
              </w:rPr>
              <w:t>La demande d’autorisation d’appel de l’arrêt de la Cour d’appel de l’Ontario, numéro C52416, 2011 ONCA 374, daté du 13 mai 2011, est rejetée avec dépens.</w:t>
            </w:r>
          </w:p>
        </w:tc>
      </w:tr>
    </w:tbl>
    <w:p w:rsidR="00C20D8D" w:rsidRPr="005D0703" w:rsidRDefault="00C20D8D" w:rsidP="00C20D8D">
      <w:pPr>
        <w:rPr>
          <w:rFonts w:cs="Times New Roman"/>
          <w:sz w:val="20"/>
          <w:szCs w:val="20"/>
          <w:lang w:val="fr-CA"/>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416344" w:rsidRPr="005D0703" w:rsidTr="00416344">
        <w:tc>
          <w:tcPr>
            <w:tcW w:w="5000" w:type="pct"/>
            <w:gridSpan w:val="3"/>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 xml:space="preserve">Legislation — Interpretation — Consumer Protection — Proof of offences under the </w:t>
            </w:r>
            <w:r w:rsidRPr="005D0703">
              <w:rPr>
                <w:rFonts w:eastAsia="Calibri" w:cs="Times New Roman"/>
                <w:i/>
                <w:sz w:val="20"/>
                <w:szCs w:val="20"/>
              </w:rPr>
              <w:t>New Home Warranties Plan Act</w:t>
            </w:r>
            <w:r w:rsidRPr="005D0703">
              <w:rPr>
                <w:rFonts w:eastAsia="Calibri" w:cs="Times New Roman"/>
                <w:sz w:val="20"/>
                <w:szCs w:val="20"/>
              </w:rPr>
              <w:t xml:space="preserve">, R.S.O. 1990, c. O.31 —  When  the wording of a regulatory offence under a consumer protection statute is reasonably susceptible of two interpretations, should a court interpret the language of the offence provision broadly and liberally to effect the statute’s remedial purpose or narrowly and strictly in favour of the accused — Whether it is permissible for a court to interpret a defined term in a consumer protection statute differently in different contexts — </w:t>
            </w:r>
            <w:r w:rsidRPr="005D0703">
              <w:rPr>
                <w:rFonts w:eastAsia="Calibri" w:cs="Times New Roman"/>
                <w:i/>
                <w:sz w:val="20"/>
                <w:szCs w:val="20"/>
              </w:rPr>
              <w:t xml:space="preserve">i.e., </w:t>
            </w:r>
            <w:r w:rsidRPr="005D0703">
              <w:rPr>
                <w:rFonts w:eastAsia="Calibri" w:cs="Times New Roman"/>
                <w:sz w:val="20"/>
                <w:szCs w:val="20"/>
              </w:rPr>
              <w:t xml:space="preserve">narrowly in the penal context but broadly and liberally otherwise — When the wording of a regulatory offence under a consumer protection statute is reasonably susceptible of two interpretations, one of which would impose a subjective </w:t>
            </w:r>
            <w:r w:rsidRPr="005D0703">
              <w:rPr>
                <w:rFonts w:eastAsia="Calibri" w:cs="Times New Roman"/>
                <w:i/>
                <w:sz w:val="20"/>
                <w:szCs w:val="20"/>
              </w:rPr>
              <w:t>mens rea</w:t>
            </w:r>
            <w:r w:rsidRPr="005D0703">
              <w:rPr>
                <w:rFonts w:eastAsia="Calibri" w:cs="Times New Roman"/>
                <w:sz w:val="20"/>
                <w:szCs w:val="20"/>
              </w:rPr>
              <w:t xml:space="preserve"> requirement while the other would not, whether a court should presumptively construe the offence as one of due diligence, with no subjective </w:t>
            </w:r>
            <w:r w:rsidRPr="005D0703">
              <w:rPr>
                <w:rFonts w:eastAsia="Calibri" w:cs="Times New Roman"/>
                <w:i/>
                <w:sz w:val="20"/>
                <w:szCs w:val="20"/>
              </w:rPr>
              <w:t>mens rea</w:t>
            </w:r>
            <w:r w:rsidRPr="005D0703">
              <w:rPr>
                <w:rFonts w:eastAsia="Calibri" w:cs="Times New Roman"/>
                <w:sz w:val="20"/>
                <w:szCs w:val="20"/>
              </w:rPr>
              <w:t xml:space="preserve"> requirement? </w:t>
            </w:r>
          </w:p>
          <w:p w:rsidR="00C605BA" w:rsidRPr="005D0703" w:rsidRDefault="00C605BA" w:rsidP="00416344">
            <w:pPr>
              <w:jc w:val="both"/>
              <w:rPr>
                <w:rFonts w:eastAsia="Calibri" w:cs="Times New Roman"/>
                <w:sz w:val="20"/>
                <w:szCs w:val="20"/>
              </w:rPr>
            </w:pPr>
          </w:p>
        </w:tc>
      </w:tr>
      <w:tr w:rsidR="00416344" w:rsidRPr="005D0703" w:rsidTr="00416344">
        <w:tc>
          <w:tcPr>
            <w:tcW w:w="5000" w:type="pct"/>
            <w:gridSpan w:val="3"/>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The</w:t>
            </w:r>
            <w:r w:rsidRPr="005D0703">
              <w:rPr>
                <w:rFonts w:eastAsia="Calibri" w:cs="Times New Roman"/>
                <w:i/>
                <w:sz w:val="20"/>
                <w:szCs w:val="20"/>
              </w:rPr>
              <w:t xml:space="preserve"> New Home Warranties Plan Act</w:t>
            </w:r>
            <w:r w:rsidRPr="005D0703">
              <w:rPr>
                <w:rFonts w:eastAsia="Calibri" w:cs="Times New Roman"/>
                <w:sz w:val="20"/>
                <w:szCs w:val="20"/>
              </w:rPr>
              <w:t>, R.S.O. 1990, c. O.31, is consumer protection legislation in Ontario that protects purchasers of newly-built, not previously occupied homes.  The Act defines a “builder” to mean a person who undertakes the performance of all the work and supply of all the materials necessary to construct a completed home whether for the purpose of sale by the person or under a contract with a vendor or owner. It is an offence under the Act for a builder, before commencing construction of a new home, not</w:t>
            </w:r>
            <w:r w:rsidRPr="005D0703">
              <w:rPr>
                <w:rFonts w:eastAsia="Calibri" w:cs="Times New Roman"/>
                <w:i/>
                <w:sz w:val="20"/>
                <w:szCs w:val="20"/>
              </w:rPr>
              <w:t xml:space="preserve"> </w:t>
            </w:r>
            <w:r w:rsidRPr="005D0703">
              <w:rPr>
                <w:rFonts w:eastAsia="Calibri" w:cs="Times New Roman"/>
                <w:sz w:val="20"/>
                <w:szCs w:val="20"/>
              </w:rPr>
              <w:t xml:space="preserve">to register with the applicant as a builder, not to give notice to the applicant of the new home construction, or not to pay a prescribed fee.  The </w:t>
            </w:r>
            <w:r w:rsidRPr="005D0703">
              <w:rPr>
                <w:rFonts w:eastAsia="Calibri" w:cs="Times New Roman"/>
                <w:i/>
                <w:sz w:val="20"/>
                <w:szCs w:val="20"/>
              </w:rPr>
              <w:t xml:space="preserve">New Home Warranties Plan Act </w:t>
            </w:r>
            <w:r w:rsidRPr="005D0703">
              <w:rPr>
                <w:rFonts w:eastAsia="Calibri" w:cs="Times New Roman"/>
                <w:sz w:val="20"/>
                <w:szCs w:val="20"/>
              </w:rPr>
              <w:t xml:space="preserve">does not apply to homes built by an owner for his or her own occupation.  The respondent, an architect, commenced building a home with intent to occupy the home and, at that time, the Act did not apply.  However, he subsequently changed his intent and the property eventually was sold to a third party.  The respondent was charged with failing to register as a builder, failing to give notice of the new home construction and not paying the prescribed fee.  At issue is whether the Act applies. </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September 17, 2007</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Ontario Court of Justice</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(John J.P.)</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 xml:space="preserve"> </w:t>
            </w: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Acquittals on charges of acting as a builder of a new home without being registered with the applicant, without enrolling the home with the applicant and without paying the applicable fee</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May 6, 2010</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Ontario Court of Justice</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(Knazan J.)</w:t>
            </w:r>
          </w:p>
          <w:p w:rsidR="00416344" w:rsidRPr="005D0703" w:rsidRDefault="00416344" w:rsidP="00416344">
            <w:pPr>
              <w:jc w:val="both"/>
              <w:rPr>
                <w:rFonts w:eastAsia="Calibri" w:cs="Times New Roman"/>
                <w:sz w:val="20"/>
                <w:szCs w:val="20"/>
              </w:rPr>
            </w:pP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Appeal dismissed</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May 13,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Court of Appeal for Ontario</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(Sharpe, MacFarland, LaForme JJ.A.)</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2011 ONCA 374; C52416</w:t>
            </w:r>
          </w:p>
          <w:p w:rsidR="00416344" w:rsidRPr="005D0703" w:rsidRDefault="00416344" w:rsidP="00416344">
            <w:pPr>
              <w:jc w:val="both"/>
              <w:rPr>
                <w:rFonts w:eastAsia="Calibri" w:cs="Times New Roman"/>
                <w:sz w:val="20"/>
                <w:szCs w:val="20"/>
              </w:rPr>
            </w:pP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Appeal dismissed</w:t>
            </w:r>
          </w:p>
          <w:p w:rsidR="00416344" w:rsidRPr="005D0703" w:rsidRDefault="00416344" w:rsidP="00416344">
            <w:pPr>
              <w:jc w:val="both"/>
              <w:rPr>
                <w:rFonts w:eastAsia="Calibri" w:cs="Times New Roman"/>
                <w:sz w:val="20"/>
                <w:szCs w:val="20"/>
              </w:rPr>
            </w:pP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August 12,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Application for leave to appeal filed</w:t>
            </w:r>
          </w:p>
          <w:p w:rsidR="00416344" w:rsidRPr="005D0703" w:rsidRDefault="00416344" w:rsidP="00416344">
            <w:pPr>
              <w:jc w:val="both"/>
              <w:rPr>
                <w:rFonts w:eastAsia="Calibri" w:cs="Times New Roman"/>
                <w:sz w:val="20"/>
                <w:szCs w:val="20"/>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62"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416344" w:rsidRPr="00C04C40" w:rsidTr="00416344">
        <w:tc>
          <w:tcPr>
            <w:tcW w:w="5000" w:type="pct"/>
            <w:gridSpan w:val="3"/>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Législation — Interprétation — Protection du consommateur — Preuve d'infractions aux termes de la</w:t>
            </w:r>
            <w:r w:rsidRPr="005D0703">
              <w:rPr>
                <w:rFonts w:eastAsia="Calibri" w:cs="Times New Roman"/>
                <w:i/>
                <w:sz w:val="20"/>
                <w:szCs w:val="20"/>
                <w:lang w:val="fr-CA"/>
              </w:rPr>
              <w:t xml:space="preserve"> Loi sur le Régime de garantie des logements neufs</w:t>
            </w:r>
            <w:r w:rsidRPr="005D0703">
              <w:rPr>
                <w:rFonts w:eastAsia="Calibri" w:cs="Times New Roman"/>
                <w:sz w:val="20"/>
                <w:szCs w:val="20"/>
                <w:lang w:val="fr-CA"/>
              </w:rPr>
              <w:t>, L.R.O. 1990, ch. O.31 — Lorsque le texte d'une infraction réglementaire prévue dans une loi sur la protection du consommateur peut raisonnablement prêter à deux interprétations, un tribunal devrait</w:t>
            </w:r>
            <w:r w:rsidRPr="005D0703">
              <w:rPr>
                <w:rFonts w:eastAsia="Calibri" w:cs="Times New Roman"/>
                <w:sz w:val="20"/>
                <w:szCs w:val="20"/>
                <w:lang w:val="fr-CA"/>
              </w:rPr>
              <w:noBreakHyphen/>
              <w:t>il interpréter le texte de la disposition créant l'infraction de façon large et libérale pour donner effet aux fins réparatrices de la loi ou de façon stricte et étroite en faveur de l'accusé? — Est</w:t>
            </w:r>
            <w:r w:rsidRPr="005D0703">
              <w:rPr>
                <w:rFonts w:eastAsia="Calibri" w:cs="Times New Roman"/>
                <w:sz w:val="20"/>
                <w:szCs w:val="20"/>
                <w:lang w:val="fr-CA"/>
              </w:rPr>
              <w:noBreakHyphen/>
              <w:t>il loisible à un tribunal d'interpréter un terme défini dans une loi sur la protection du consommateur différemment dans divers contextes, c'est</w:t>
            </w:r>
            <w:r w:rsidRPr="005D0703">
              <w:rPr>
                <w:rFonts w:eastAsia="Calibri" w:cs="Times New Roman"/>
                <w:sz w:val="20"/>
                <w:szCs w:val="20"/>
                <w:lang w:val="fr-CA"/>
              </w:rPr>
              <w:noBreakHyphen/>
              <w:t>à</w:t>
            </w:r>
            <w:r w:rsidRPr="005D0703">
              <w:rPr>
                <w:rFonts w:eastAsia="Calibri" w:cs="Times New Roman"/>
                <w:sz w:val="20"/>
                <w:szCs w:val="20"/>
                <w:lang w:val="fr-CA"/>
              </w:rPr>
              <w:noBreakHyphen/>
              <w:t xml:space="preserve">dire étroitement dans un contexte pénal mais largement et libéralement dans d’autres contextes? — Lorsque le texte d'une infraction réglementaire prévue dans une loi sur la protection du consommateur peut raisonnablement prêter à deux interprétations, l'une qui imposerait une exigence de </w:t>
            </w:r>
            <w:r w:rsidRPr="005D0703">
              <w:rPr>
                <w:rFonts w:eastAsia="Calibri" w:cs="Times New Roman"/>
                <w:i/>
                <w:sz w:val="20"/>
                <w:szCs w:val="20"/>
                <w:lang w:val="fr-CA"/>
              </w:rPr>
              <w:t>mens rea</w:t>
            </w:r>
            <w:r w:rsidRPr="005D0703">
              <w:rPr>
                <w:rFonts w:eastAsia="Calibri" w:cs="Times New Roman"/>
                <w:sz w:val="20"/>
                <w:szCs w:val="20"/>
                <w:lang w:val="fr-CA"/>
              </w:rPr>
              <w:t xml:space="preserve"> subjective et l'autre qui ne l'imposerait pas, un tribunal devrait</w:t>
            </w:r>
            <w:r w:rsidRPr="005D0703">
              <w:rPr>
                <w:rFonts w:eastAsia="Calibri" w:cs="Times New Roman"/>
                <w:sz w:val="20"/>
                <w:szCs w:val="20"/>
                <w:lang w:val="fr-CA"/>
              </w:rPr>
              <w:noBreakHyphen/>
              <w:t xml:space="preserve">il interpréter par inférence l'infraction comme en étant une de diligence raisonnable, sans exigence de </w:t>
            </w:r>
            <w:r w:rsidRPr="005D0703">
              <w:rPr>
                <w:rFonts w:eastAsia="Calibri" w:cs="Times New Roman"/>
                <w:i/>
                <w:sz w:val="20"/>
                <w:szCs w:val="20"/>
                <w:lang w:val="fr-CA"/>
              </w:rPr>
              <w:t>mens rea</w:t>
            </w:r>
            <w:r w:rsidRPr="005D0703">
              <w:rPr>
                <w:rFonts w:eastAsia="Calibri" w:cs="Times New Roman"/>
                <w:sz w:val="20"/>
                <w:szCs w:val="20"/>
                <w:lang w:val="fr-CA"/>
              </w:rPr>
              <w:t xml:space="preserve"> subjective? </w:t>
            </w:r>
          </w:p>
          <w:p w:rsidR="00C605BA" w:rsidRPr="005D0703" w:rsidRDefault="00C605BA" w:rsidP="00416344">
            <w:pPr>
              <w:jc w:val="both"/>
              <w:rPr>
                <w:rFonts w:eastAsia="Calibri" w:cs="Times New Roman"/>
                <w:sz w:val="20"/>
                <w:szCs w:val="20"/>
                <w:lang w:val="fr-CA"/>
              </w:rPr>
            </w:pPr>
          </w:p>
        </w:tc>
      </w:tr>
      <w:tr w:rsidR="00416344" w:rsidRPr="00C04C40" w:rsidTr="00416344">
        <w:tc>
          <w:tcPr>
            <w:tcW w:w="5000" w:type="pct"/>
            <w:gridSpan w:val="3"/>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La </w:t>
            </w:r>
            <w:r w:rsidRPr="005D0703">
              <w:rPr>
                <w:rFonts w:eastAsia="Calibri" w:cs="Times New Roman"/>
                <w:i/>
                <w:sz w:val="20"/>
                <w:szCs w:val="20"/>
                <w:lang w:val="fr-CA"/>
              </w:rPr>
              <w:t>Loi sur le Régime de garantie des logements neufs</w:t>
            </w:r>
            <w:r w:rsidRPr="005D0703">
              <w:rPr>
                <w:rFonts w:eastAsia="Calibri" w:cs="Times New Roman"/>
                <w:sz w:val="20"/>
                <w:szCs w:val="20"/>
                <w:lang w:val="fr-CA"/>
              </w:rPr>
              <w:t>, L.R.O. 1990, ch. O.31, est un texte législatif de protection du consommateur en Ontario qui protège les acheteurs de logements neufs qui n'ont jamais été occupés. La Loi définit le « constructeur » comme étant la personne qui effectue la totalité des travaux et fournit tous les matériaux nécessaires pour mener à bonne fin la construction d’un logement, que ce soit dans l’intention de le vendre elle</w:t>
            </w:r>
            <w:r w:rsidRPr="005D0703">
              <w:rPr>
                <w:rFonts w:eastAsia="Calibri" w:cs="Times New Roman"/>
                <w:sz w:val="20"/>
                <w:szCs w:val="20"/>
                <w:lang w:val="fr-CA"/>
              </w:rPr>
              <w:noBreakHyphen/>
              <w:t xml:space="preserve">même ou aux termes d’un contrat conclu avec un vendeur ou un propriétaire.  Commet une infraction à la Loi le constructeur qui, avant de commencer la construction d’un logement neuf omet de s'inscrire comme constructeur auprès de la demanderesse, omet de donner à la demanderesse un avis de la construction du logement neuf ou omet de verser le droit prescrit.  La </w:t>
            </w:r>
            <w:r w:rsidRPr="005D0703">
              <w:rPr>
                <w:rFonts w:eastAsia="Calibri" w:cs="Times New Roman"/>
                <w:i/>
                <w:sz w:val="20"/>
                <w:szCs w:val="20"/>
                <w:lang w:val="fr-CA"/>
              </w:rPr>
              <w:t>Loi sur le Régime de garantie des logements neufs</w:t>
            </w:r>
            <w:r w:rsidRPr="005D0703">
              <w:rPr>
                <w:rFonts w:eastAsia="Calibri" w:cs="Times New Roman"/>
                <w:sz w:val="20"/>
                <w:szCs w:val="20"/>
                <w:lang w:val="fr-CA"/>
              </w:rPr>
              <w:t xml:space="preserve"> ne s'applique pas aux logements construits par un propriétaire pour sa propre occupation.  L'intimé, un architecte, a commencé à construire un logement dans l'intention de l'occuper et à l'époque, la Loi ne s'appliquait pas.  Toutefois, il a changé d'idée par la suite et il a fini par vendre le bien à un tiers.  L'intimé a été accusé d'avoir omis de s'inscrire comme constructeur, d'avoir omis de donner l’avis de construction de logement neuf et d’avoir omis de verser le droit prescrit. La question en litige est de savoir si la Loi s'applique. </w:t>
            </w:r>
          </w:p>
          <w:p w:rsidR="00416344" w:rsidRPr="005D0703" w:rsidRDefault="00416344" w:rsidP="00416344">
            <w:pPr>
              <w:jc w:val="both"/>
              <w:rPr>
                <w:rFonts w:eastAsia="Calibri" w:cs="Times New Roman"/>
                <w:sz w:val="20"/>
                <w:szCs w:val="20"/>
                <w:lang w:val="fr-CA"/>
              </w:rPr>
            </w:pPr>
          </w:p>
        </w:tc>
      </w:tr>
      <w:tr w:rsidR="00416344" w:rsidRPr="00C04C40"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17 septembre 2007</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Cour de justice de l'Ontario </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(Juge John)</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 </w:t>
            </w: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Acquittement relativement à des accusations d'avoir agi comme constructeur d’un logement neuf sans être inscrit auprès de la demanderesse, sans avoir inscrit le logement auprès de la demanderesse et sans avoir versé le droit prescrit</w:t>
            </w:r>
          </w:p>
          <w:p w:rsidR="00416344" w:rsidRPr="005D0703" w:rsidRDefault="00416344" w:rsidP="00416344">
            <w:pPr>
              <w:jc w:val="both"/>
              <w:rPr>
                <w:rFonts w:eastAsia="Calibri" w:cs="Times New Roman"/>
                <w:sz w:val="20"/>
                <w:szCs w:val="20"/>
                <w:lang w:val="fr-CA"/>
              </w:rPr>
            </w:pPr>
          </w:p>
        </w:tc>
      </w:tr>
      <w:tr w:rsidR="00416344" w:rsidRPr="005D0703"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6 mai 2010</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Cour de justice de l'Ontario </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(Juge Knazan)</w:t>
            </w:r>
          </w:p>
          <w:p w:rsidR="00416344" w:rsidRPr="005D0703" w:rsidRDefault="00416344" w:rsidP="00416344">
            <w:pPr>
              <w:jc w:val="both"/>
              <w:rPr>
                <w:rFonts w:eastAsia="Calibri" w:cs="Times New Roman"/>
                <w:sz w:val="20"/>
                <w:szCs w:val="20"/>
                <w:lang w:val="fr-CA"/>
              </w:rPr>
            </w:pP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Appel rejeté</w:t>
            </w:r>
          </w:p>
          <w:p w:rsidR="00416344" w:rsidRPr="005D0703" w:rsidRDefault="00416344" w:rsidP="00416344">
            <w:pPr>
              <w:jc w:val="both"/>
              <w:rPr>
                <w:rFonts w:eastAsia="Calibri" w:cs="Times New Roman"/>
                <w:sz w:val="20"/>
                <w:szCs w:val="20"/>
                <w:lang w:val="fr-CA"/>
              </w:rPr>
            </w:pPr>
          </w:p>
        </w:tc>
      </w:tr>
      <w:tr w:rsidR="00416344" w:rsidRPr="005D0703"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13 mai 2011</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 xml:space="preserve">Cour d'appel de l'Ontario </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(Juges Sharpe, MacFarland et LaForme)</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2011 ONCA 374; C52416</w:t>
            </w:r>
          </w:p>
          <w:p w:rsidR="00416344" w:rsidRPr="005D0703" w:rsidRDefault="00416344" w:rsidP="00416344">
            <w:pPr>
              <w:jc w:val="both"/>
              <w:rPr>
                <w:rFonts w:eastAsia="Calibri" w:cs="Times New Roman"/>
                <w:sz w:val="20"/>
                <w:szCs w:val="20"/>
                <w:lang w:val="fr-CA"/>
              </w:rPr>
            </w:pP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Appel rejeté</w:t>
            </w:r>
          </w:p>
          <w:p w:rsidR="00416344" w:rsidRPr="005D0703" w:rsidRDefault="00416344" w:rsidP="00416344">
            <w:pPr>
              <w:jc w:val="both"/>
              <w:rPr>
                <w:rFonts w:eastAsia="Calibri" w:cs="Times New Roman"/>
                <w:sz w:val="20"/>
                <w:szCs w:val="20"/>
                <w:lang w:val="fr-CA"/>
              </w:rPr>
            </w:pPr>
          </w:p>
          <w:p w:rsidR="00416344" w:rsidRPr="005D0703" w:rsidRDefault="00416344" w:rsidP="00416344">
            <w:pPr>
              <w:jc w:val="both"/>
              <w:rPr>
                <w:rFonts w:eastAsia="Calibri" w:cs="Times New Roman"/>
                <w:sz w:val="20"/>
                <w:szCs w:val="20"/>
                <w:lang w:val="fr-CA"/>
              </w:rPr>
            </w:pPr>
          </w:p>
        </w:tc>
      </w:tr>
      <w:tr w:rsidR="00416344" w:rsidRPr="005D0703" w:rsidTr="00416344">
        <w:tc>
          <w:tcPr>
            <w:tcW w:w="2427"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12 août 2011</w:t>
            </w:r>
          </w:p>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416344" w:rsidRPr="005D0703" w:rsidRDefault="00416344" w:rsidP="00416344">
            <w:pPr>
              <w:jc w:val="both"/>
              <w:rPr>
                <w:rFonts w:eastAsia="Calibri" w:cs="Times New Roman"/>
                <w:sz w:val="20"/>
                <w:szCs w:val="20"/>
                <w:lang w:val="fr-CA"/>
              </w:rPr>
            </w:pPr>
          </w:p>
        </w:tc>
        <w:tc>
          <w:tcPr>
            <w:tcW w:w="2330" w:type="pct"/>
          </w:tcPr>
          <w:p w:rsidR="00416344" w:rsidRPr="005D0703" w:rsidRDefault="00416344" w:rsidP="00416344">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416344" w:rsidRPr="005D0703" w:rsidRDefault="00416344" w:rsidP="00416344">
            <w:pPr>
              <w:jc w:val="both"/>
              <w:rPr>
                <w:rFonts w:eastAsia="Calibri" w:cs="Times New Roman"/>
                <w:sz w:val="20"/>
                <w:szCs w:val="20"/>
                <w:lang w:val="fr-CA"/>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lang w:val="fr-CA"/>
        </w:rPr>
      </w:pPr>
      <w:r w:rsidRPr="008A6550">
        <w:rPr>
          <w:rFonts w:cs="Times New Roman"/>
          <w:sz w:val="20"/>
          <w:szCs w:val="20"/>
          <w:lang w:val="fr-CA"/>
        </w:rPr>
        <w:pict>
          <v:rect id="_x0000_i1063" style="width:2in;height:1pt" o:hrpct="0" o:hralign="center" o:hrstd="t" o:hrnoshade="t" o:hr="t" fillcolor="black [3213]" stroked="f"/>
        </w:pict>
      </w:r>
    </w:p>
    <w:p w:rsidR="00416344" w:rsidRPr="005D0703" w:rsidRDefault="00416344" w:rsidP="00C20D8D">
      <w:pPr>
        <w:rPr>
          <w:rFonts w:cs="Times New Roman"/>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b/>
                <w:sz w:val="20"/>
                <w:szCs w:val="20"/>
                <w:lang w:val="fr-CA"/>
              </w:rPr>
              <w:t>34382</w:t>
            </w:r>
          </w:p>
          <w:p w:rsidR="00C605BA" w:rsidRPr="005D0703" w:rsidRDefault="00C605BA" w:rsidP="00C605BA">
            <w:pPr>
              <w:rPr>
                <w:rFonts w:cs="Times New Roman"/>
                <w:b/>
                <w:sz w:val="20"/>
                <w:szCs w:val="20"/>
                <w:lang w:val="fr-CA"/>
              </w:rPr>
            </w:pPr>
          </w:p>
        </w:tc>
        <w:tc>
          <w:tcPr>
            <w:tcW w:w="8118" w:type="dxa"/>
          </w:tcPr>
          <w:p w:rsidR="00C605BA" w:rsidRPr="005D0703" w:rsidRDefault="00C605BA" w:rsidP="00C605BA">
            <w:pPr>
              <w:jc w:val="both"/>
              <w:rPr>
                <w:rFonts w:cs="Times New Roman"/>
                <w:sz w:val="20"/>
                <w:szCs w:val="20"/>
              </w:rPr>
            </w:pPr>
            <w:r w:rsidRPr="005D0703">
              <w:rPr>
                <w:rFonts w:cs="Times New Roman"/>
                <w:b/>
                <w:sz w:val="20"/>
                <w:szCs w:val="20"/>
                <w:u w:val="single"/>
                <w:lang w:val="en-US"/>
              </w:rPr>
              <w:t>Eric Ndima v. Winnipeg Housing Rehabilitation Corporation, Residential Tenancies Commission</w:t>
            </w:r>
            <w:r w:rsidRPr="005D0703">
              <w:rPr>
                <w:rFonts w:cs="Times New Roman"/>
                <w:sz w:val="20"/>
                <w:szCs w:val="20"/>
              </w:rPr>
              <w:t xml:space="preserve"> (Man.) (Civil) (By Leave)</w:t>
            </w:r>
          </w:p>
          <w:p w:rsidR="00C605BA" w:rsidRPr="005D0703" w:rsidRDefault="00C605BA" w:rsidP="00C605BA">
            <w:pPr>
              <w:rPr>
                <w:rFonts w:cs="Times New Roman"/>
                <w:sz w:val="20"/>
                <w:szCs w:val="20"/>
              </w:rPr>
            </w:pPr>
          </w:p>
        </w:tc>
      </w:tr>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sz w:val="20"/>
                <w:szCs w:val="20"/>
              </w:rPr>
              <w:t>Coram :</w:t>
            </w:r>
          </w:p>
        </w:tc>
        <w:tc>
          <w:tcPr>
            <w:tcW w:w="8118" w:type="dxa"/>
          </w:tcPr>
          <w:p w:rsidR="00C605BA" w:rsidRPr="005D0703" w:rsidRDefault="00C605BA" w:rsidP="00C605BA">
            <w:pPr>
              <w:rPr>
                <w:rFonts w:cs="Times New Roman"/>
                <w:sz w:val="20"/>
                <w:szCs w:val="20"/>
              </w:rPr>
            </w:pPr>
            <w:r w:rsidRPr="005D0703">
              <w:rPr>
                <w:rFonts w:cs="Times New Roman"/>
                <w:sz w:val="20"/>
                <w:szCs w:val="20"/>
                <w:u w:val="single"/>
                <w:lang w:val="en-US"/>
              </w:rPr>
              <w:t>LeBel, Abella and Cromwell JJ.</w:t>
            </w:r>
          </w:p>
          <w:p w:rsidR="00C605BA" w:rsidRPr="005D0703" w:rsidRDefault="00C605BA" w:rsidP="00C605BA">
            <w:pPr>
              <w:rPr>
                <w:rFonts w:cs="Times New Roman"/>
                <w:sz w:val="20"/>
                <w:szCs w:val="20"/>
                <w:u w:val="single"/>
              </w:rPr>
            </w:pPr>
          </w:p>
        </w:tc>
      </w:tr>
      <w:tr w:rsidR="00C605BA" w:rsidRPr="00C04C40" w:rsidTr="00C605BA">
        <w:trPr>
          <w:cantSplit/>
        </w:trPr>
        <w:tc>
          <w:tcPr>
            <w:tcW w:w="9576" w:type="dxa"/>
            <w:gridSpan w:val="2"/>
          </w:tcPr>
          <w:p w:rsidR="00C605BA" w:rsidRPr="005D0703" w:rsidRDefault="00C605BA" w:rsidP="00C605BA">
            <w:pPr>
              <w:ind w:firstLine="720"/>
              <w:jc w:val="both"/>
              <w:rPr>
                <w:rFonts w:cs="Times New Roman"/>
                <w:sz w:val="20"/>
                <w:szCs w:val="20"/>
              </w:rPr>
            </w:pPr>
            <w:r w:rsidRPr="005D0703">
              <w:rPr>
                <w:rFonts w:cs="Times New Roman"/>
                <w:sz w:val="20"/>
                <w:szCs w:val="20"/>
              </w:rPr>
              <w:t>The motion for an extension of time to serve the application for leave to appeal is granted. The application for leave to appeal from the judgment of the Court of Appeal of Manitoba, Number AI 11-30-07550, dated May 5, 2011, is dismissed with costs to the respondent Winnipeg Housing Rehabilitation Corporation. That respondent’s request for costs on a solicitor-client basis is denied.</w:t>
            </w:r>
          </w:p>
          <w:p w:rsidR="00C605BA" w:rsidRPr="005D0703" w:rsidRDefault="00C605BA" w:rsidP="00C605BA">
            <w:pPr>
              <w:jc w:val="both"/>
              <w:rPr>
                <w:rFonts w:cs="Times New Roman"/>
                <w:sz w:val="20"/>
                <w:szCs w:val="20"/>
              </w:rPr>
            </w:pPr>
          </w:p>
          <w:p w:rsidR="00C605BA" w:rsidRPr="005D0703" w:rsidRDefault="00C605BA" w:rsidP="00C605BA">
            <w:pPr>
              <w:ind w:firstLine="720"/>
              <w:jc w:val="both"/>
              <w:rPr>
                <w:rFonts w:cs="Times New Roman"/>
                <w:sz w:val="20"/>
                <w:szCs w:val="20"/>
                <w:lang w:val="fr-CA"/>
              </w:rPr>
            </w:pPr>
            <w:r w:rsidRPr="005D0703">
              <w:rPr>
                <w:rFonts w:cs="Times New Roman"/>
                <w:sz w:val="20"/>
                <w:szCs w:val="20"/>
                <w:lang w:val="fr-CA"/>
              </w:rPr>
              <w:t>La requête en prorogation du délai de signification de la demande d’autorisation d’appel est accueillie. La demande d’autorisation d’appel de l’arrêt de la Cour d’appel du Manitoba, numéro AI 11-30-07550, daté du 5 mai 2011, est rejetée avec dépens en faveur de l’intimée Winnipeg Housing Rehabilitation Corporation. La demande de cette intimée pour obtenir des dépens sur la base procureur-client est refusée.</w:t>
            </w:r>
          </w:p>
        </w:tc>
      </w:tr>
    </w:tbl>
    <w:p w:rsidR="00C20D8D" w:rsidRPr="005D0703" w:rsidRDefault="00C20D8D" w:rsidP="00C20D8D">
      <w:pPr>
        <w:rPr>
          <w:rFonts w:cs="Times New Roman"/>
          <w:sz w:val="20"/>
          <w:szCs w:val="20"/>
          <w:lang w:val="fr-CA"/>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416344" w:rsidRPr="005D0703" w:rsidTr="00416344">
        <w:tc>
          <w:tcPr>
            <w:tcW w:w="5000" w:type="pct"/>
            <w:gridSpan w:val="3"/>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 xml:space="preserve">Leases — Landlord and tenant dispute — Leave to appeal refused from a decision of the Residential Tenancies Commission on a claim for lost property — Whether the Court of Appeal erred in refusing leave to appeal — Whether the quantum of damages was adequately assessed by the Residential Tenancies Commission — </w:t>
            </w:r>
            <w:r w:rsidRPr="005D0703">
              <w:rPr>
                <w:rFonts w:eastAsia="Calibri" w:cs="Times New Roman"/>
                <w:i/>
                <w:sz w:val="20"/>
                <w:szCs w:val="20"/>
              </w:rPr>
              <w:t>Residential Tenancies Act</w:t>
            </w:r>
            <w:r w:rsidRPr="005D0703">
              <w:rPr>
                <w:rFonts w:eastAsia="Calibri" w:cs="Times New Roman"/>
                <w:sz w:val="20"/>
                <w:szCs w:val="20"/>
              </w:rPr>
              <w:t>, CCSM c. R119, ss. 154(1), 170(1) and 175(2).</w:t>
            </w:r>
          </w:p>
          <w:p w:rsidR="00C605BA" w:rsidRPr="005D0703" w:rsidRDefault="00C605BA" w:rsidP="00416344">
            <w:pPr>
              <w:jc w:val="both"/>
              <w:rPr>
                <w:rFonts w:eastAsia="Calibri" w:cs="Times New Roman"/>
                <w:sz w:val="20"/>
                <w:szCs w:val="20"/>
              </w:rPr>
            </w:pPr>
          </w:p>
        </w:tc>
      </w:tr>
      <w:tr w:rsidR="00416344" w:rsidRPr="005D0703" w:rsidTr="00416344">
        <w:tc>
          <w:tcPr>
            <w:tcW w:w="5000" w:type="pct"/>
            <w:gridSpan w:val="3"/>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 xml:space="preserve">The applicant, Mr. Ndima, was a tenant of the respondent Winnipeg Housing Rehabilitation Corporation until October 2009.  He signed a notice of termination of the Tenancy Agreement on September 18, 2009, with the understanding that as of October 1, 2009, the landlord would empty the rental unit if any of his belongings remained.  Before that date, however, the landlord gave permission to the caretakers of the building to empty the unit.  Some of Mr. Ndima’s belongings were given away while others were simply discarded.  Mr. Ndima filed a claim for loss of property under </w:t>
            </w:r>
            <w:r w:rsidRPr="005D0703">
              <w:rPr>
                <w:rFonts w:eastAsia="Calibri" w:cs="Times New Roman"/>
                <w:i/>
                <w:sz w:val="20"/>
                <w:szCs w:val="20"/>
              </w:rPr>
              <w:t>the Residential Tenancies Act</w:t>
            </w:r>
            <w:r w:rsidRPr="005D0703">
              <w:rPr>
                <w:rFonts w:eastAsia="Calibri" w:cs="Times New Roman"/>
                <w:sz w:val="20"/>
                <w:szCs w:val="20"/>
              </w:rPr>
              <w:t>,</w:t>
            </w:r>
            <w:r w:rsidRPr="005D0703">
              <w:rPr>
                <w:rFonts w:eastAsia="Calibri" w:cs="Times New Roman"/>
                <w:i/>
                <w:sz w:val="20"/>
                <w:szCs w:val="20"/>
              </w:rPr>
              <w:t xml:space="preserve"> </w:t>
            </w:r>
            <w:r w:rsidRPr="005D0703">
              <w:rPr>
                <w:rFonts w:eastAsia="Calibri" w:cs="Times New Roman"/>
                <w:sz w:val="20"/>
                <w:szCs w:val="20"/>
              </w:rPr>
              <w:t>claiming that the respondent disposed of his property without his permission.  Mr. Ndima claimed that his loss amounted to $635,750.00.</w:t>
            </w:r>
          </w:p>
          <w:p w:rsidR="00416344" w:rsidRPr="005D0703" w:rsidRDefault="00416344" w:rsidP="00416344">
            <w:pPr>
              <w:jc w:val="both"/>
              <w:rPr>
                <w:rFonts w:eastAsia="Calibri" w:cs="Times New Roman"/>
                <w:sz w:val="20"/>
                <w:szCs w:val="20"/>
              </w:rPr>
            </w:pPr>
          </w:p>
          <w:p w:rsidR="00416344" w:rsidRPr="005D0703" w:rsidRDefault="00416344" w:rsidP="00416344">
            <w:pPr>
              <w:jc w:val="both"/>
              <w:rPr>
                <w:rFonts w:eastAsia="Calibri" w:cs="Times New Roman"/>
                <w:sz w:val="20"/>
                <w:szCs w:val="20"/>
              </w:rPr>
            </w:pPr>
            <w:r w:rsidRPr="005D0703">
              <w:rPr>
                <w:rFonts w:eastAsia="Calibri" w:cs="Times New Roman"/>
                <w:sz w:val="20"/>
                <w:szCs w:val="20"/>
              </w:rPr>
              <w:t xml:space="preserve">A Residential Tenancies Officer ordered that the landlord pay $1,555.00 in damages.  Mr. Ndima appealed his case </w:t>
            </w:r>
            <w:r w:rsidRPr="005D0703">
              <w:rPr>
                <w:rFonts w:eastAsia="Calibri" w:cs="Times New Roman"/>
                <w:i/>
                <w:sz w:val="20"/>
                <w:szCs w:val="20"/>
              </w:rPr>
              <w:t>de novo</w:t>
            </w:r>
            <w:r w:rsidRPr="005D0703">
              <w:rPr>
                <w:rFonts w:eastAsia="Calibri" w:cs="Times New Roman"/>
                <w:sz w:val="20"/>
                <w:szCs w:val="20"/>
              </w:rPr>
              <w:t xml:space="preserve"> to the Residential Tenancies Commission which, after re-evaluating the evidence, ordered that the landlord pay the tenant $5,335.00 in damages.  Mr. Ndima sought leave to appeal the decision to the Court of Appeal for Manitoba, but his motion was dismissed on the grounds that the application for leave to appeal did not raise a question of pure law or a question of jurisdiction.</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March 24,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Residential Tenancies Commission</w:t>
            </w:r>
          </w:p>
          <w:p w:rsidR="00416344" w:rsidRPr="005D0703" w:rsidRDefault="00416344" w:rsidP="00416344">
            <w:pPr>
              <w:jc w:val="both"/>
              <w:rPr>
                <w:rFonts w:eastAsia="Calibri" w:cs="Times New Roman"/>
                <w:sz w:val="20"/>
                <w:szCs w:val="20"/>
              </w:rPr>
            </w:pP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Judgment in favor of Mr. Ndima issued; respondent ordered to pay $5, 335.00</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May 5,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Court of Appeal of Manitoba</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(Hamilton J.A.)</w:t>
            </w:r>
          </w:p>
          <w:p w:rsidR="00416344" w:rsidRPr="005D0703" w:rsidRDefault="00416344" w:rsidP="00416344">
            <w:pPr>
              <w:jc w:val="both"/>
              <w:rPr>
                <w:rFonts w:eastAsia="Calibri" w:cs="Times New Roman"/>
                <w:sz w:val="20"/>
                <w:szCs w:val="20"/>
              </w:rPr>
            </w:pP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Application for leave to appeal dismissed</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July 26,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Supreme Court of Canada</w:t>
            </w:r>
          </w:p>
          <w:p w:rsidR="00416344" w:rsidRPr="005D0703" w:rsidRDefault="00416344" w:rsidP="00416344">
            <w:pPr>
              <w:jc w:val="both"/>
              <w:rPr>
                <w:rFonts w:eastAsia="Calibri" w:cs="Times New Roman"/>
                <w:sz w:val="20"/>
                <w:szCs w:val="20"/>
              </w:rPr>
            </w:pP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Application for leave to appeal filed</w:t>
            </w:r>
          </w:p>
          <w:p w:rsidR="00416344" w:rsidRPr="005D0703" w:rsidRDefault="00416344" w:rsidP="00416344">
            <w:pPr>
              <w:jc w:val="both"/>
              <w:rPr>
                <w:rFonts w:eastAsia="Calibri" w:cs="Times New Roman"/>
                <w:sz w:val="20"/>
                <w:szCs w:val="20"/>
              </w:rPr>
            </w:pPr>
          </w:p>
        </w:tc>
      </w:tr>
      <w:tr w:rsidR="00416344" w:rsidRPr="005D0703" w:rsidTr="00416344">
        <w:tc>
          <w:tcPr>
            <w:tcW w:w="2427" w:type="pct"/>
          </w:tcPr>
          <w:p w:rsidR="00416344" w:rsidRPr="005D0703" w:rsidRDefault="00416344" w:rsidP="00416344">
            <w:pPr>
              <w:jc w:val="both"/>
              <w:rPr>
                <w:rFonts w:eastAsia="Calibri" w:cs="Times New Roman"/>
                <w:sz w:val="20"/>
                <w:szCs w:val="20"/>
              </w:rPr>
            </w:pPr>
            <w:r w:rsidRPr="005D0703">
              <w:rPr>
                <w:rFonts w:eastAsia="Calibri" w:cs="Times New Roman"/>
                <w:sz w:val="20"/>
                <w:szCs w:val="20"/>
              </w:rPr>
              <w:t>October 28, 2011</w:t>
            </w:r>
          </w:p>
          <w:p w:rsidR="00416344" w:rsidRPr="005D0703" w:rsidRDefault="00416344" w:rsidP="00416344">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416344" w:rsidRPr="005D0703" w:rsidRDefault="00416344" w:rsidP="00416344">
            <w:pPr>
              <w:jc w:val="both"/>
              <w:rPr>
                <w:rFonts w:eastAsia="Calibri" w:cs="Times New Roman"/>
                <w:sz w:val="20"/>
                <w:szCs w:val="20"/>
              </w:rPr>
            </w:pPr>
          </w:p>
        </w:tc>
        <w:tc>
          <w:tcPr>
            <w:tcW w:w="2330" w:type="pct"/>
          </w:tcPr>
          <w:p w:rsidR="00416344" w:rsidRPr="005D0703" w:rsidRDefault="00416344" w:rsidP="00326E47">
            <w:pPr>
              <w:jc w:val="both"/>
              <w:rPr>
                <w:rFonts w:eastAsia="Calibri" w:cs="Times New Roman"/>
                <w:sz w:val="20"/>
                <w:szCs w:val="20"/>
              </w:rPr>
            </w:pPr>
            <w:r w:rsidRPr="005D0703">
              <w:rPr>
                <w:rFonts w:eastAsia="Calibri" w:cs="Times New Roman"/>
                <w:sz w:val="20"/>
                <w:szCs w:val="20"/>
              </w:rPr>
              <w:t>Motion for extension of time to serve an application for leave filed</w:t>
            </w: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64"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Baux — Différend entre locateur et locataire — Autorisation d'appel refusée d'une décision de la Commission de la location à usage d'habitation sur une demande pour perte de biens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eu tort de refuser l'autorisation d'appel? — La Commission de la location à usage d'habitation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adéquatement évalué le montant des dommages</w:t>
            </w:r>
            <w:r w:rsidRPr="005D0703">
              <w:rPr>
                <w:rFonts w:eastAsia="Calibri" w:cs="Times New Roman"/>
                <w:sz w:val="20"/>
                <w:szCs w:val="20"/>
                <w:lang w:val="fr-CA"/>
              </w:rPr>
              <w:noBreakHyphen/>
              <w:t>intérêts? —</w:t>
            </w:r>
            <w:r w:rsidRPr="005D0703">
              <w:rPr>
                <w:rFonts w:eastAsia="Calibri" w:cs="Times New Roman"/>
                <w:i/>
                <w:sz w:val="20"/>
                <w:szCs w:val="20"/>
                <w:lang w:val="fr-CA"/>
              </w:rPr>
              <w:t xml:space="preserve"> Loi sur la location à usage d'habitation</w:t>
            </w:r>
            <w:r w:rsidRPr="005D0703">
              <w:rPr>
                <w:rFonts w:eastAsia="Calibri" w:cs="Times New Roman"/>
                <w:sz w:val="20"/>
                <w:szCs w:val="20"/>
                <w:lang w:val="fr-CA"/>
              </w:rPr>
              <w:t>, CPLM ch. R119, par. 154(1), 170(1) et 175(2).</w:t>
            </w:r>
          </w:p>
          <w:p w:rsidR="00C605BA" w:rsidRPr="005D0703" w:rsidRDefault="00C605BA" w:rsidP="00814F7A">
            <w:pPr>
              <w:jc w:val="both"/>
              <w:rPr>
                <w:rFonts w:eastAsia="Calibri" w:cs="Times New Roman"/>
                <w:sz w:val="20"/>
                <w:szCs w:val="20"/>
                <w:lang w:val="fr-CA"/>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 demandeur, M. Ndima, était un locataire de l'intimée, Winnipeg Housing Rehabilitation Corporation, jusqu'en octobre 2009.  Il a signé un avis de résiliation du contrat de location le 18 septembre 2009, étant entendu qu'au 1</w:t>
            </w:r>
            <w:r w:rsidRPr="005D0703">
              <w:rPr>
                <w:rFonts w:eastAsia="Calibri" w:cs="Times New Roman"/>
                <w:sz w:val="20"/>
                <w:szCs w:val="20"/>
                <w:vertAlign w:val="superscript"/>
                <w:lang w:val="fr-CA"/>
              </w:rPr>
              <w:t>er</w:t>
            </w:r>
            <w:r w:rsidRPr="005D0703">
              <w:rPr>
                <w:rFonts w:eastAsia="Calibri" w:cs="Times New Roman"/>
                <w:sz w:val="20"/>
                <w:szCs w:val="20"/>
                <w:lang w:val="fr-CA"/>
              </w:rPr>
              <w:t> octobre 2009, le locateur viderait le logement si certains de ses effets personnels s'y trouvaient encore.  Toutefois, avant cette date, le locateur a autorisé les préposés à l'entretien de l'édifice à vider le logement.  Certains des effets de M. Ndima ont été donnés tandis que d'autres ont simplement été jetés.  Monsieur Ndima a déposé une demande pour la perte de ses biens en vertu de la</w:t>
            </w:r>
            <w:r w:rsidRPr="005D0703">
              <w:rPr>
                <w:rFonts w:eastAsia="Calibri" w:cs="Times New Roman"/>
                <w:i/>
                <w:sz w:val="20"/>
                <w:szCs w:val="20"/>
                <w:lang w:val="fr-CA"/>
              </w:rPr>
              <w:t xml:space="preserve"> Loi sur la location à usage d'habitation</w:t>
            </w:r>
            <w:r w:rsidRPr="005D0703">
              <w:rPr>
                <w:rFonts w:eastAsia="Calibri" w:cs="Times New Roman"/>
                <w:sz w:val="20"/>
                <w:szCs w:val="20"/>
                <w:lang w:val="fr-CA"/>
              </w:rPr>
              <w:t>, alléguant que l'intimée s'était départie de ses biens sans sa permission.  Monsieur Ndima a allégué avoir subi une perte d'une valeur de 635 750 $.</w:t>
            </w:r>
          </w:p>
          <w:p w:rsidR="00814F7A" w:rsidRPr="005D0703" w:rsidRDefault="00814F7A" w:rsidP="00814F7A">
            <w:pPr>
              <w:jc w:val="both"/>
              <w:rPr>
                <w:rFonts w:eastAsia="Calibri" w:cs="Times New Roman"/>
                <w:sz w:val="20"/>
                <w:szCs w:val="20"/>
                <w:lang w:val="fr-CA"/>
              </w:rPr>
            </w:pP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Un fonctionnaire de la location à usage d'habitation a condamné le locateur à payer la somme de 1 555 $ en dommages</w:t>
            </w:r>
            <w:r w:rsidRPr="005D0703">
              <w:rPr>
                <w:rFonts w:eastAsia="Calibri" w:cs="Times New Roman"/>
                <w:sz w:val="20"/>
                <w:szCs w:val="20"/>
                <w:lang w:val="fr-CA"/>
              </w:rPr>
              <w:noBreakHyphen/>
              <w:t xml:space="preserve">intérêts.  Monsieur Ndima a interjeté appel </w:t>
            </w:r>
            <w:r w:rsidRPr="005D0703">
              <w:rPr>
                <w:rFonts w:eastAsia="Calibri" w:cs="Times New Roman"/>
                <w:i/>
                <w:sz w:val="20"/>
                <w:szCs w:val="20"/>
                <w:lang w:val="fr-CA"/>
              </w:rPr>
              <w:t>de novo</w:t>
            </w:r>
            <w:r w:rsidRPr="005D0703">
              <w:rPr>
                <w:rFonts w:eastAsia="Calibri" w:cs="Times New Roman"/>
                <w:sz w:val="20"/>
                <w:szCs w:val="20"/>
                <w:lang w:val="fr-CA"/>
              </w:rPr>
              <w:t xml:space="preserve"> à la Commission de la location à usage d'habitation qui, après avoir réévalué la preuve, a condamné le locateur à lui payer la somme de 5 335 $ en dommages</w:t>
            </w:r>
            <w:r w:rsidRPr="005D0703">
              <w:rPr>
                <w:rFonts w:eastAsia="Calibri" w:cs="Times New Roman"/>
                <w:sz w:val="20"/>
                <w:szCs w:val="20"/>
                <w:lang w:val="fr-CA"/>
              </w:rPr>
              <w:noBreakHyphen/>
              <w:t>intérêts.  Monsieur Ndima a demandé l'autorisation d'appel de la décision à la Cour d'appel du Manitoba, mais sa motion a été rejetée au motif que la demande d'autorisation d'appel ne soulevait pas de question de droit pur ou de compétence.</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24 mars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Commission de la location à usage d'habitation</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Jugement en faveur de M. Ndima prononcé; l’intimée est condamnée à payer la somme de 5 335 $</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5 mai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Cour d'appel du Manitoba </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Hamilton)</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 d'autorisation d'appel, rejetée</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26 juillet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28 octobre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 en prorogation du délai de signification d'une demande d'autorisation d'appel, déposée</w:t>
            </w:r>
          </w:p>
        </w:tc>
      </w:tr>
    </w:tbl>
    <w:p w:rsidR="00C20D8D" w:rsidRPr="005D0703" w:rsidRDefault="00C20D8D" w:rsidP="00C20D8D">
      <w:pPr>
        <w:rPr>
          <w:rFonts w:cs="Times New Roman"/>
          <w:sz w:val="20"/>
          <w:szCs w:val="20"/>
          <w:lang w:val="fr-CA"/>
        </w:rPr>
      </w:pPr>
    </w:p>
    <w:p w:rsidR="00C20D8D" w:rsidRPr="005D0703" w:rsidRDefault="008A6550" w:rsidP="00C20D8D">
      <w:pPr>
        <w:rPr>
          <w:rFonts w:cs="Times New Roman"/>
          <w:sz w:val="20"/>
          <w:szCs w:val="20"/>
        </w:rPr>
      </w:pPr>
      <w:r w:rsidRPr="008A6550">
        <w:rPr>
          <w:rFonts w:cs="Times New Roman"/>
          <w:sz w:val="20"/>
          <w:szCs w:val="20"/>
          <w:lang w:val="fr-CA"/>
        </w:rPr>
        <w:pict>
          <v:rect id="_x0000_i1065" style="width:2in;height:1pt" o:hrpct="0" o:hralign="center" o:hrstd="t" o:hrnoshade="t" o:hr="t" fillcolor="black [3213]" stroked="f"/>
        </w:pict>
      </w:r>
    </w:p>
    <w:p w:rsidR="00C20D8D" w:rsidRPr="005D0703" w:rsidRDefault="00C20D8D" w:rsidP="00C20D8D">
      <w:pPr>
        <w:rPr>
          <w:rFonts w:cs="Times New Roman"/>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b/>
                <w:sz w:val="20"/>
                <w:szCs w:val="20"/>
                <w:lang w:val="fr-CA"/>
              </w:rPr>
              <w:t>34384</w:t>
            </w:r>
          </w:p>
          <w:p w:rsidR="00C605BA" w:rsidRPr="005D0703" w:rsidRDefault="00C605BA" w:rsidP="00C605BA">
            <w:pPr>
              <w:rPr>
                <w:rFonts w:cs="Times New Roman"/>
                <w:b/>
                <w:sz w:val="20"/>
                <w:szCs w:val="20"/>
                <w:lang w:val="fr-CA"/>
              </w:rPr>
            </w:pPr>
          </w:p>
        </w:tc>
        <w:tc>
          <w:tcPr>
            <w:tcW w:w="8118" w:type="dxa"/>
          </w:tcPr>
          <w:p w:rsidR="00C605BA" w:rsidRPr="005D0703" w:rsidRDefault="00C605BA" w:rsidP="00C605BA">
            <w:pPr>
              <w:jc w:val="both"/>
              <w:rPr>
                <w:rFonts w:cs="Times New Roman"/>
                <w:sz w:val="20"/>
                <w:szCs w:val="20"/>
              </w:rPr>
            </w:pPr>
            <w:r w:rsidRPr="005D0703">
              <w:rPr>
                <w:rFonts w:cs="Times New Roman"/>
                <w:b/>
                <w:sz w:val="20"/>
                <w:szCs w:val="20"/>
                <w:u w:val="single"/>
                <w:lang w:val="en-US"/>
              </w:rPr>
              <w:t>Donald Charles Spindler v. Her Majesty the Queen</w:t>
            </w:r>
            <w:r w:rsidRPr="005D0703">
              <w:rPr>
                <w:rFonts w:cs="Times New Roman"/>
                <w:sz w:val="20"/>
                <w:szCs w:val="20"/>
              </w:rPr>
              <w:t xml:space="preserve"> (Ont.) (Criminal) (By Leave)</w:t>
            </w:r>
          </w:p>
          <w:p w:rsidR="00C605BA" w:rsidRPr="005D0703" w:rsidRDefault="00C605BA" w:rsidP="00C605BA">
            <w:pPr>
              <w:rPr>
                <w:rFonts w:cs="Times New Roman"/>
                <w:sz w:val="20"/>
                <w:szCs w:val="20"/>
              </w:rPr>
            </w:pPr>
          </w:p>
        </w:tc>
      </w:tr>
      <w:tr w:rsidR="00C605BA" w:rsidRPr="005D0703" w:rsidTr="00C605BA">
        <w:trPr>
          <w:cantSplit/>
        </w:trPr>
        <w:tc>
          <w:tcPr>
            <w:tcW w:w="1458" w:type="dxa"/>
          </w:tcPr>
          <w:p w:rsidR="00C605BA" w:rsidRPr="005D0703" w:rsidRDefault="00C605BA" w:rsidP="00C605BA">
            <w:pPr>
              <w:rPr>
                <w:rFonts w:cs="Times New Roman"/>
                <w:sz w:val="20"/>
                <w:szCs w:val="20"/>
              </w:rPr>
            </w:pPr>
            <w:r w:rsidRPr="005D0703">
              <w:rPr>
                <w:rFonts w:cs="Times New Roman"/>
                <w:sz w:val="20"/>
                <w:szCs w:val="20"/>
              </w:rPr>
              <w:t>Coram :</w:t>
            </w:r>
          </w:p>
        </w:tc>
        <w:tc>
          <w:tcPr>
            <w:tcW w:w="8118" w:type="dxa"/>
          </w:tcPr>
          <w:p w:rsidR="00C605BA" w:rsidRPr="005D0703" w:rsidRDefault="00C605BA" w:rsidP="00C605BA">
            <w:pPr>
              <w:rPr>
                <w:rFonts w:cs="Times New Roman"/>
                <w:sz w:val="20"/>
                <w:szCs w:val="20"/>
              </w:rPr>
            </w:pPr>
            <w:r w:rsidRPr="005D0703">
              <w:rPr>
                <w:rFonts w:cs="Times New Roman"/>
                <w:sz w:val="20"/>
                <w:szCs w:val="20"/>
                <w:u w:val="single"/>
                <w:lang w:val="en-US"/>
              </w:rPr>
              <w:t>Deschamps, Fish and Karakatsanis JJ.</w:t>
            </w:r>
          </w:p>
          <w:p w:rsidR="00C605BA" w:rsidRPr="005D0703" w:rsidRDefault="00C605BA" w:rsidP="00C605BA">
            <w:pPr>
              <w:rPr>
                <w:rFonts w:cs="Times New Roman"/>
                <w:sz w:val="20"/>
                <w:szCs w:val="20"/>
                <w:u w:val="single"/>
              </w:rPr>
            </w:pPr>
          </w:p>
        </w:tc>
      </w:tr>
      <w:tr w:rsidR="00C605BA" w:rsidRPr="00C04C40" w:rsidTr="00C605BA">
        <w:trPr>
          <w:cantSplit/>
        </w:trPr>
        <w:tc>
          <w:tcPr>
            <w:tcW w:w="9576" w:type="dxa"/>
            <w:gridSpan w:val="2"/>
          </w:tcPr>
          <w:p w:rsidR="00C605BA" w:rsidRPr="005D0703" w:rsidRDefault="00C605BA" w:rsidP="00C605BA">
            <w:pPr>
              <w:ind w:firstLine="720"/>
              <w:jc w:val="both"/>
              <w:rPr>
                <w:rFonts w:cs="Times New Roman"/>
                <w:sz w:val="20"/>
                <w:szCs w:val="20"/>
              </w:rPr>
            </w:pPr>
            <w:r w:rsidRPr="005D0703">
              <w:rPr>
                <w:rFonts w:cs="Times New Roman"/>
                <w:sz w:val="20"/>
                <w:szCs w:val="20"/>
              </w:rPr>
              <w:t>The motion for an extension of time to serve   and file the application for leave to appeal is granted. The application for leave to appeal from the judgment of the Court of Appeal for Ontario, Number C36628, dated December 21, 2004, is dismissed without costs.</w:t>
            </w:r>
          </w:p>
          <w:p w:rsidR="00C605BA" w:rsidRPr="005D0703" w:rsidRDefault="00C605BA" w:rsidP="00C605BA">
            <w:pPr>
              <w:jc w:val="both"/>
              <w:rPr>
                <w:rFonts w:cs="Times New Roman"/>
                <w:sz w:val="20"/>
                <w:szCs w:val="20"/>
              </w:rPr>
            </w:pPr>
          </w:p>
          <w:p w:rsidR="00C605BA" w:rsidRPr="005D0703" w:rsidRDefault="00C605BA" w:rsidP="00C605BA">
            <w:pPr>
              <w:ind w:firstLine="720"/>
              <w:jc w:val="both"/>
              <w:rPr>
                <w:rFonts w:cs="Times New Roman"/>
                <w:sz w:val="20"/>
                <w:szCs w:val="20"/>
                <w:lang w:val="fr-CA"/>
              </w:rPr>
            </w:pPr>
            <w:r w:rsidRPr="005D0703">
              <w:rPr>
                <w:rFonts w:cs="Times New Roman"/>
                <w:sz w:val="20"/>
                <w:szCs w:val="20"/>
                <w:lang w:val="fr-CA"/>
              </w:rPr>
              <w:t>La requête en prorogation du délai de signification et de dépôt de la demande d’autorisation d’appel est accueillie. La demande d’autorisation d’appel de l’arrêt de la Cour d’appel de l’Ontario, numéro C36628, daté du 21 décembre 2004, est rejetée sans dépens.</w:t>
            </w:r>
          </w:p>
        </w:tc>
      </w:tr>
    </w:tbl>
    <w:p w:rsidR="00C20D8D" w:rsidRPr="005D0703" w:rsidRDefault="00C20D8D" w:rsidP="00C20D8D">
      <w:pPr>
        <w:rPr>
          <w:rFonts w:cs="Times New Roman"/>
          <w:sz w:val="20"/>
          <w:szCs w:val="20"/>
          <w:lang w:val="fr-CA"/>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Criminal law — Appeals — Charge to jury — Sufficiency of jury charge — Whether the trial judge erred by failing to provide the jury with an adequate caution when the victim’s body is not located — Allegation of inadequate police investigation — What are the contents of a jury instruction in “faulty investigation” cases — Was the jury charge sufficient — Whether there are issues of public importance raised.</w:t>
            </w:r>
          </w:p>
          <w:p w:rsidR="00665338" w:rsidRPr="005D0703" w:rsidRDefault="00665338" w:rsidP="00814F7A">
            <w:pPr>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Irene Macdonald, who was living with the applicant, vanished without a trace on September 5, 1978.  She was never heard from again.  The applicant was charged with her murder in early 2000.  This was a circumstantial evidence case.  Her body was never found.  There was no forensic evidence tendered. The applicant did not testify.  Other people did testify.  The Crown’s theory of the case was that the victim was choked to death by the </w:t>
            </w:r>
            <w:proofErr w:type="gramStart"/>
            <w:r w:rsidRPr="005D0703">
              <w:rPr>
                <w:rFonts w:eastAsia="Calibri" w:cs="Times New Roman"/>
                <w:sz w:val="20"/>
                <w:szCs w:val="20"/>
              </w:rPr>
              <w:t>applicant,</w:t>
            </w:r>
            <w:proofErr w:type="gramEnd"/>
            <w:r w:rsidRPr="005D0703">
              <w:rPr>
                <w:rFonts w:eastAsia="Calibri" w:cs="Times New Roman"/>
                <w:sz w:val="20"/>
                <w:szCs w:val="20"/>
              </w:rPr>
              <w:t xml:space="preserve"> her body was put into a well, and dissolved using either acid or lye.  After a trial by judge and jury the applicant was convicted of second degree murder.  His conviction and sentence appeals were dismissed.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March 19, 2001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Ontario Superior Court of Justice</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(Hockin J.)</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Conviction for second degree murder</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December 21, 2004</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Court of Appeal for Ontario</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(Rosenberg, Moldaver, MacPherson JJ.A.)</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Appeal against conviction dismissed; leave to appeal sentence is granted and the appeal against sentence is dismissed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August 15,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Motion for an extension of time to serve and file the application for leave to appeal and application for leave to appeal filed</w:t>
            </w: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66"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Droit criminel — Appels — Exposé au jury — Suffisance de l'exposé au jury — Le juge du procès a</w:t>
            </w:r>
            <w:r w:rsidRPr="005D0703">
              <w:rPr>
                <w:rFonts w:eastAsia="Calibri" w:cs="Times New Roman"/>
                <w:sz w:val="20"/>
                <w:szCs w:val="20"/>
                <w:lang w:val="fr-CA"/>
              </w:rPr>
              <w:noBreakHyphen/>
              <w:t>t</w:t>
            </w:r>
            <w:r w:rsidRPr="005D0703">
              <w:rPr>
                <w:rFonts w:eastAsia="Calibri" w:cs="Times New Roman"/>
                <w:sz w:val="20"/>
                <w:szCs w:val="20"/>
                <w:lang w:val="fr-CA"/>
              </w:rPr>
              <w:noBreakHyphen/>
              <w:t>il eu tort de ne pas avoir fait au jury une mise en garde adéquate vu que le corps de la victime n'avait pas été trouvé? — Allégation d'enquête policière inadéquate — Quel est le contenu d'une directive au jury dans les affaires « d’enquête déficiente »? — L'exposé au jury était</w:t>
            </w:r>
            <w:r w:rsidRPr="005D0703">
              <w:rPr>
                <w:rFonts w:eastAsia="Calibri" w:cs="Times New Roman"/>
                <w:sz w:val="20"/>
                <w:szCs w:val="20"/>
                <w:lang w:val="fr-CA"/>
              </w:rPr>
              <w:noBreakHyphen/>
              <w:t>il suffisant? — L'affaire soulève</w:t>
            </w:r>
            <w:r w:rsidRPr="005D0703">
              <w:rPr>
                <w:rFonts w:eastAsia="Calibri" w:cs="Times New Roman"/>
                <w:sz w:val="20"/>
                <w:szCs w:val="20"/>
                <w:lang w:val="fr-CA"/>
              </w:rPr>
              <w:noBreakHyphen/>
              <w:t>t</w:t>
            </w:r>
            <w:r w:rsidRPr="005D0703">
              <w:rPr>
                <w:rFonts w:eastAsia="Calibri" w:cs="Times New Roman"/>
                <w:sz w:val="20"/>
                <w:szCs w:val="20"/>
                <w:lang w:val="fr-CA"/>
              </w:rPr>
              <w:noBreakHyphen/>
              <w:t>elle des questions d'importance pour le public?</w:t>
            </w:r>
          </w:p>
          <w:p w:rsidR="00665338" w:rsidRPr="005D0703" w:rsidRDefault="00665338" w:rsidP="00814F7A">
            <w:pPr>
              <w:jc w:val="both"/>
              <w:rPr>
                <w:rFonts w:eastAsia="Calibri" w:cs="Times New Roman"/>
                <w:sz w:val="20"/>
                <w:szCs w:val="20"/>
                <w:lang w:val="fr-CA"/>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Irene Macdonald, qui vivait avec le demandeur, a disparu sans laisser de trace le 5 septembre 1978.  Elle n'a jamais été revue.  Le demandeur a été accusé de son meurtre au début de 2000.  Il s'agit d'une affaire de preuve circonstancielle. Son corps n'a jamais été retrouvé.  Aucune preuve médico</w:t>
            </w:r>
            <w:r w:rsidRPr="005D0703">
              <w:rPr>
                <w:rFonts w:eastAsia="Calibri" w:cs="Times New Roman"/>
                <w:sz w:val="20"/>
                <w:szCs w:val="20"/>
                <w:lang w:val="fr-CA"/>
              </w:rPr>
              <w:noBreakHyphen/>
              <w:t>légale n'a été présentée.  Le demandeur n'a pas témoigné.  D'autres personnes ont témoigné.  Selon la thèse du ministère public, la victime aurait été étranglée à mort par le demandeur, son corps aurait été placé dans un puits et dissous avec de l'acide ou de la potasse. Au terme d'un procès devant juge et jury, le demandeur a été déclaré coupable de meurtre au deuxième degré.  Ses appels de la déclaration de culpabilité et de la peine ont été rejetés.</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19 mars 2001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Hockin)</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Déclaration de culpabilité pour meurtre au deuxième degré</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21 décembre 2004</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Cour d'appel de l'Ontario </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(Juges Rosenberg, Moldaver et MacPherson)</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Appel de la déclaration de culpabilité, rejeté; autorisation d'appel de la peine, accordée et appel de la peine, rejeté</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15 août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 en prorogation du délai de signification et de dépôt de la demande d'autorisation d'appel et demande d'autorisation d'appel, déposées</w:t>
            </w:r>
          </w:p>
        </w:tc>
      </w:tr>
    </w:tbl>
    <w:p w:rsidR="007179EE" w:rsidRPr="005D0703" w:rsidRDefault="007179EE" w:rsidP="00C20D8D">
      <w:pPr>
        <w:rPr>
          <w:rFonts w:cs="Times New Roman"/>
          <w:sz w:val="20"/>
          <w:szCs w:val="20"/>
          <w:lang w:val="fr-CA"/>
        </w:rPr>
      </w:pPr>
    </w:p>
    <w:p w:rsidR="00C20D8D" w:rsidRPr="005D0703" w:rsidRDefault="008A6550" w:rsidP="00C20D8D">
      <w:pPr>
        <w:rPr>
          <w:rFonts w:cs="Times New Roman"/>
          <w:sz w:val="20"/>
          <w:szCs w:val="20"/>
        </w:rPr>
      </w:pPr>
      <w:r w:rsidRPr="008A6550">
        <w:rPr>
          <w:rFonts w:cs="Times New Roman"/>
          <w:sz w:val="20"/>
          <w:szCs w:val="20"/>
          <w:lang w:val="fr-CA"/>
        </w:rPr>
        <w:pict>
          <v:rect id="_x0000_i1067" style="width:2in;height:1pt" o:hrpct="0" o:hralign="center" o:hrstd="t" o:hrnoshade="t" o:hr="t" fillcolor="black [3213]" stroked="f"/>
        </w:pict>
      </w:r>
    </w:p>
    <w:p w:rsidR="00C20D8D" w:rsidRPr="005D0703" w:rsidRDefault="00C20D8D" w:rsidP="00C20D8D">
      <w:pPr>
        <w:rPr>
          <w:rFonts w:cs="Times New Roman"/>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65338" w:rsidRPr="00C04C40" w:rsidTr="00665338">
        <w:trPr>
          <w:cantSplit/>
        </w:trPr>
        <w:tc>
          <w:tcPr>
            <w:tcW w:w="1458" w:type="dxa"/>
          </w:tcPr>
          <w:p w:rsidR="00665338" w:rsidRPr="005D0703" w:rsidRDefault="00665338" w:rsidP="00665338">
            <w:pPr>
              <w:rPr>
                <w:rFonts w:cs="Times New Roman"/>
                <w:sz w:val="20"/>
                <w:szCs w:val="20"/>
              </w:rPr>
            </w:pPr>
            <w:r w:rsidRPr="005D0703">
              <w:rPr>
                <w:rFonts w:cs="Times New Roman"/>
                <w:b/>
                <w:sz w:val="20"/>
                <w:szCs w:val="20"/>
                <w:lang w:val="fr-CA"/>
              </w:rPr>
              <w:t>34385</w:t>
            </w:r>
          </w:p>
          <w:p w:rsidR="00665338" w:rsidRPr="005D0703" w:rsidRDefault="00665338" w:rsidP="00665338">
            <w:pPr>
              <w:rPr>
                <w:rFonts w:cs="Times New Roman"/>
                <w:b/>
                <w:sz w:val="20"/>
                <w:szCs w:val="20"/>
                <w:lang w:val="fr-CA"/>
              </w:rPr>
            </w:pPr>
          </w:p>
        </w:tc>
        <w:tc>
          <w:tcPr>
            <w:tcW w:w="8118" w:type="dxa"/>
          </w:tcPr>
          <w:p w:rsidR="00665338" w:rsidRPr="005D0703" w:rsidRDefault="00665338" w:rsidP="00665338">
            <w:pPr>
              <w:jc w:val="both"/>
              <w:rPr>
                <w:rFonts w:cs="Times New Roman"/>
                <w:sz w:val="20"/>
                <w:szCs w:val="20"/>
                <w:lang w:val="fr-CA"/>
              </w:rPr>
            </w:pPr>
            <w:r w:rsidRPr="005D0703">
              <w:rPr>
                <w:rFonts w:cs="Times New Roman"/>
                <w:b/>
                <w:sz w:val="20"/>
                <w:szCs w:val="20"/>
                <w:u w:val="single"/>
                <w:lang w:val="fr-CA"/>
              </w:rPr>
              <w:t>David Zinga Ditomene c. Syndicat du personnel enseignant du Cégep de Sherbrooke ET ENTRE David Zinga Ditomene c. Syndicat du personnel enseignant du Cégep de Sherbrooke, Claude Tétreault, Catherine Ladouceur et Jacques Bazinet</w:t>
            </w:r>
            <w:r w:rsidRPr="005D0703">
              <w:rPr>
                <w:rFonts w:cs="Times New Roman"/>
                <w:sz w:val="20"/>
                <w:szCs w:val="20"/>
                <w:lang w:val="fr-CA"/>
              </w:rPr>
              <w:t xml:space="preserve"> (Qc) (Civile) (Autorisation)</w:t>
            </w:r>
          </w:p>
          <w:p w:rsidR="00665338" w:rsidRPr="005D0703" w:rsidRDefault="00665338" w:rsidP="00665338">
            <w:pPr>
              <w:rPr>
                <w:rFonts w:cs="Times New Roman"/>
                <w:sz w:val="20"/>
                <w:szCs w:val="20"/>
                <w:lang w:val="fr-CA"/>
              </w:rPr>
            </w:pPr>
          </w:p>
        </w:tc>
      </w:tr>
      <w:tr w:rsidR="00665338" w:rsidRPr="00C04C40" w:rsidTr="00665338">
        <w:trPr>
          <w:cantSplit/>
        </w:trPr>
        <w:tc>
          <w:tcPr>
            <w:tcW w:w="1458" w:type="dxa"/>
          </w:tcPr>
          <w:p w:rsidR="00665338" w:rsidRPr="005D0703" w:rsidRDefault="00665338" w:rsidP="00665338">
            <w:pPr>
              <w:rPr>
                <w:rFonts w:cs="Times New Roman"/>
                <w:sz w:val="20"/>
                <w:szCs w:val="20"/>
              </w:rPr>
            </w:pPr>
            <w:r w:rsidRPr="005D0703">
              <w:rPr>
                <w:rFonts w:cs="Times New Roman"/>
                <w:sz w:val="20"/>
                <w:szCs w:val="20"/>
              </w:rPr>
              <w:t>Coram :</w:t>
            </w:r>
          </w:p>
        </w:tc>
        <w:tc>
          <w:tcPr>
            <w:tcW w:w="8118" w:type="dxa"/>
          </w:tcPr>
          <w:p w:rsidR="00665338" w:rsidRPr="005D0703" w:rsidRDefault="00665338" w:rsidP="00665338">
            <w:pPr>
              <w:rPr>
                <w:rFonts w:cs="Times New Roman"/>
                <w:sz w:val="20"/>
                <w:szCs w:val="20"/>
                <w:lang w:val="fr-CA"/>
              </w:rPr>
            </w:pPr>
            <w:r w:rsidRPr="005D0703">
              <w:rPr>
                <w:rFonts w:cs="Times New Roman"/>
                <w:sz w:val="20"/>
                <w:szCs w:val="20"/>
                <w:u w:val="single"/>
                <w:lang w:val="fr-CA"/>
              </w:rPr>
              <w:t>Les juges LeBel, Abella et Cromwell</w:t>
            </w:r>
          </w:p>
          <w:p w:rsidR="00665338" w:rsidRPr="005D0703" w:rsidRDefault="00665338" w:rsidP="00665338">
            <w:pPr>
              <w:rPr>
                <w:rFonts w:cs="Times New Roman"/>
                <w:sz w:val="20"/>
                <w:szCs w:val="20"/>
                <w:u w:val="single"/>
                <w:lang w:val="fr-CA"/>
              </w:rPr>
            </w:pPr>
          </w:p>
        </w:tc>
      </w:tr>
      <w:tr w:rsidR="00665338" w:rsidRPr="005D0703" w:rsidTr="00665338">
        <w:trPr>
          <w:cantSplit/>
        </w:trPr>
        <w:tc>
          <w:tcPr>
            <w:tcW w:w="9576" w:type="dxa"/>
            <w:gridSpan w:val="2"/>
          </w:tcPr>
          <w:p w:rsidR="00665338" w:rsidRPr="005D0703" w:rsidRDefault="00665338" w:rsidP="00665338">
            <w:pPr>
              <w:ind w:firstLine="720"/>
              <w:jc w:val="both"/>
              <w:rPr>
                <w:rFonts w:cs="Times New Roman"/>
                <w:sz w:val="20"/>
                <w:szCs w:val="20"/>
                <w:lang w:val="fr-CA"/>
              </w:rPr>
            </w:pPr>
            <w:r w:rsidRPr="005D0703">
              <w:rPr>
                <w:rFonts w:cs="Times New Roman"/>
                <w:sz w:val="20"/>
                <w:szCs w:val="20"/>
                <w:lang w:val="fr-CA"/>
              </w:rPr>
              <w:t>La demande d’autorisation d’appel de l’arrêt de la Cour d’appel du Québec (Montréal), numéros 500-09-021079-108 et 500-09-021184-106, daté du 8 juillet 2011, est rejetée sans dépens.</w:t>
            </w:r>
          </w:p>
          <w:p w:rsidR="00665338" w:rsidRPr="005D0703" w:rsidRDefault="00665338" w:rsidP="00665338">
            <w:pPr>
              <w:jc w:val="both"/>
              <w:rPr>
                <w:rFonts w:cs="Times New Roman"/>
                <w:sz w:val="20"/>
                <w:szCs w:val="20"/>
                <w:lang w:val="fr-CA"/>
              </w:rPr>
            </w:pPr>
          </w:p>
          <w:p w:rsidR="00665338" w:rsidRPr="005D0703" w:rsidRDefault="00665338" w:rsidP="00665338">
            <w:pPr>
              <w:ind w:firstLine="720"/>
              <w:jc w:val="both"/>
              <w:rPr>
                <w:rFonts w:cs="Times New Roman"/>
                <w:sz w:val="20"/>
                <w:szCs w:val="20"/>
              </w:rPr>
            </w:pPr>
            <w:r w:rsidRPr="005D0703">
              <w:rPr>
                <w:rFonts w:cs="Times New Roman"/>
                <w:sz w:val="20"/>
                <w:szCs w:val="20"/>
              </w:rPr>
              <w:t>The application for leave to appeal from the judgment of the Court of Appeal of Quebec (Montréal), Numbers 500-09-021079-108 and 500-09-021184-106, dated July 8, 2011, is dismissed without costs.</w:t>
            </w:r>
          </w:p>
        </w:tc>
      </w:tr>
    </w:tbl>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rPr>
      </w:pPr>
      <w:r w:rsidRPr="005D0703">
        <w:rPr>
          <w:rFonts w:cs="Times New Roman"/>
          <w:sz w:val="20"/>
          <w:szCs w:val="20"/>
          <w:u w:val="single"/>
        </w:rPr>
        <w:t>CASE SUMMARY</w:t>
      </w:r>
    </w:p>
    <w:p w:rsidR="00C20D8D" w:rsidRPr="005D0703" w:rsidRDefault="00C20D8D" w:rsidP="00C20D8D">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Civil procedure — Jurisdiction — Whether Court of Appeal erred in treating application to annul agreement as application for review of decision of administrative tribunal.</w:t>
            </w:r>
          </w:p>
          <w:p w:rsidR="00665338" w:rsidRPr="005D0703" w:rsidRDefault="00665338" w:rsidP="00814F7A">
            <w:pPr>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Mr. Ditomène was a professor in the economics department at Cégep de Sherbrooke.  He complained of harassment and filed a grievance (no. 4016).  The union did not want to take the grievance to arbitration, so Mr. Ditomène filed a complaint against the union with the CRT.  The complaint was settled through an agreement.  That agreement, which was dated May 15, 2007, stated that the union gave Mr. Ditomène the right to present his grievance before the arbitrator himself.  The agreement settled a first complaint to the CRT under s. 47.2 of the </w:t>
            </w:r>
            <w:r w:rsidRPr="005D0703">
              <w:rPr>
                <w:rFonts w:eastAsia="Calibri" w:cs="Times New Roman"/>
                <w:i/>
                <w:sz w:val="20"/>
                <w:szCs w:val="20"/>
              </w:rPr>
              <w:t>Labour Code</w:t>
            </w:r>
            <w:r w:rsidRPr="005D0703">
              <w:rPr>
                <w:rFonts w:eastAsia="Calibri" w:cs="Times New Roman"/>
                <w:sz w:val="20"/>
                <w:szCs w:val="20"/>
              </w:rPr>
              <w:t>.  The harassment grievance (no. 4016) was discontinued, as was a grievance against Mr. Ditomène’s subsequent dismissal.  Mr. Ditomène then filed a new complaint with the CRT.</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September 10,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Quebec Superior Court</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(Dumas J.)</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Motion to dismiss allowed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October 15,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Quebec Superior Court</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(LeBel J.)</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Continuation of hearing into exceptions to dismiss ordered solely in relation to conclusions of motion seeking declaration that claim inadmissible or dismissal of action;</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Hearing on dismissal</w:t>
            </w:r>
            <w:r w:rsidRPr="005D0703">
              <w:rPr>
                <w:rFonts w:eastAsia="Calibri" w:cs="Times New Roman"/>
                <w:sz w:val="20"/>
                <w:szCs w:val="20"/>
              </w:rPr>
              <w:noBreakHyphen/>
              <w:t>related issues adjourned to October 21, 2010</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October 21,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Quebec Superior Court</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(LeBel J.)</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Motion to dismiss allowed</w:t>
            </w: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July 5,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Quebec Court of Appeal (Montréal)</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(Chamberland, Léger and Kasirer JJ.A.)</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Motion for leave to appeal LeBel J.’s judgment of October 21, 2010 dismissed;</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Motions to appeal LeBel J.’s judgments of October 21, 2010 and Dumas J.’s judgment of September 10, 2010 postponed to July 8, 2011</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July 8,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Quebec Court of Appeal (Montréal)</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(Chamberland, Léger and Kasirer JJ.A.)</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Motion to dismiss appeal allowed;</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Appeal dismissed</w:t>
            </w: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August 5,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Application for leave to appeal filed</w:t>
            </w:r>
          </w:p>
          <w:p w:rsidR="00814F7A" w:rsidRPr="005D0703" w:rsidRDefault="00814F7A" w:rsidP="00814F7A">
            <w:pPr>
              <w:jc w:val="both"/>
              <w:rPr>
                <w:rFonts w:eastAsia="Calibri" w:cs="Times New Roman"/>
                <w:sz w:val="20"/>
                <w:szCs w:val="20"/>
              </w:rPr>
            </w:pPr>
          </w:p>
        </w:tc>
      </w:tr>
    </w:tbl>
    <w:p w:rsidR="00C20D8D" w:rsidRPr="005D0703" w:rsidRDefault="00C20D8D" w:rsidP="00C20D8D">
      <w:pPr>
        <w:rPr>
          <w:rFonts w:cs="Times New Roman"/>
          <w:sz w:val="20"/>
          <w:szCs w:val="20"/>
        </w:rPr>
      </w:pPr>
    </w:p>
    <w:p w:rsidR="00C20D8D" w:rsidRPr="005D0703" w:rsidRDefault="008A6550" w:rsidP="00C20D8D">
      <w:pPr>
        <w:rPr>
          <w:rFonts w:cs="Times New Roman"/>
          <w:sz w:val="20"/>
          <w:szCs w:val="20"/>
        </w:rPr>
      </w:pPr>
      <w:r w:rsidRPr="008A6550">
        <w:rPr>
          <w:rFonts w:cs="Times New Roman"/>
          <w:sz w:val="20"/>
          <w:szCs w:val="20"/>
          <w:lang w:val="fr-CA"/>
        </w:rPr>
        <w:pict>
          <v:rect id="_x0000_i1068" style="width:2in;height:1pt" o:hrpct="0" o:hralign="center" o:hrstd="t" o:hrnoshade="t" o:hr="t" fillcolor="black [3213]" stroked="f"/>
        </w:pict>
      </w:r>
    </w:p>
    <w:p w:rsidR="00C20D8D" w:rsidRPr="005D0703" w:rsidRDefault="00C20D8D" w:rsidP="00C20D8D">
      <w:pPr>
        <w:rPr>
          <w:rFonts w:cs="Times New Roman"/>
          <w:sz w:val="20"/>
          <w:szCs w:val="20"/>
        </w:rPr>
      </w:pPr>
    </w:p>
    <w:p w:rsidR="00C20D8D" w:rsidRPr="005D0703" w:rsidRDefault="00C20D8D" w:rsidP="00C20D8D">
      <w:pPr>
        <w:rPr>
          <w:rFonts w:cs="Times New Roman"/>
          <w:sz w:val="20"/>
          <w:szCs w:val="20"/>
          <w:u w:val="single"/>
          <w:lang w:val="fr-CA"/>
        </w:rPr>
      </w:pPr>
      <w:r w:rsidRPr="005D0703">
        <w:rPr>
          <w:rFonts w:cs="Times New Roman"/>
          <w:sz w:val="20"/>
          <w:szCs w:val="20"/>
          <w:u w:val="single"/>
          <w:lang w:val="fr-CA"/>
        </w:rPr>
        <w:t>RÉSUMÉ DE L’AFFAIRE</w:t>
      </w:r>
    </w:p>
    <w:p w:rsidR="00C20D8D" w:rsidRPr="005D0703" w:rsidRDefault="00C20D8D" w:rsidP="00C20D8D">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Procédure civile — Compétence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erré en assimilant une demande en annulation d’entente à une demande en révision d’une décision d’un tribunal administratif?</w:t>
            </w:r>
          </w:p>
          <w:p w:rsidR="00665338" w:rsidRPr="005D0703" w:rsidRDefault="00665338" w:rsidP="00814F7A">
            <w:pPr>
              <w:jc w:val="both"/>
              <w:rPr>
                <w:rFonts w:eastAsia="Calibri" w:cs="Times New Roman"/>
                <w:sz w:val="20"/>
                <w:szCs w:val="20"/>
                <w:lang w:val="fr-CA"/>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Monsieur Ditomène était professeur au département d’économie du CÉGEP de Sherbrooke. Il s’est plaint de harcèlement et il a produit un grief qui est le grief 4016.  Le syndicat n’a pas voulu porter ce grief à l’arbitrage et M. Ditomène a alors porté plainte contre le syndicat à la CRT. Cette plainte a été réglée par une entente.  Cette entente du 15 mai 2007 prévoyait que le syndicat donnait le droit à M. Ditomène de présenter lui</w:t>
            </w:r>
            <w:r w:rsidRPr="005D0703">
              <w:rPr>
                <w:rFonts w:eastAsia="Calibri" w:cs="Times New Roman"/>
                <w:sz w:val="20"/>
                <w:szCs w:val="20"/>
                <w:lang w:val="fr-CA"/>
              </w:rPr>
              <w:noBreakHyphen/>
              <w:t xml:space="preserve">même son grief devant l’arbitre.  Cette entente réglait une première plainte à la CRT en vertu de l’article 47.2 du </w:t>
            </w:r>
            <w:r w:rsidRPr="005D0703">
              <w:rPr>
                <w:rFonts w:eastAsia="Calibri" w:cs="Times New Roman"/>
                <w:i/>
                <w:sz w:val="20"/>
                <w:szCs w:val="20"/>
                <w:lang w:val="fr-CA"/>
              </w:rPr>
              <w:t xml:space="preserve">Code du travail.  </w:t>
            </w:r>
            <w:r w:rsidRPr="005D0703">
              <w:rPr>
                <w:rFonts w:eastAsia="Calibri" w:cs="Times New Roman"/>
                <w:sz w:val="20"/>
                <w:szCs w:val="20"/>
                <w:lang w:val="fr-CA"/>
              </w:rPr>
              <w:t>Le grief de harcèlement 4016, a fait l’objet d’un désistement, de même qu’un grief contre le congédiement de M. Ditomène survenu subséquemment.  M. Ditomène a alors soumis une nouvelle plainte à la CRT.</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 10 septembre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supérieure du Québec</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 juge Dumas)</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 en irrecevabilité accueillie.</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 15 octobre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supérieure du Québec</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(La juge LeBel)</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Ordonnance de poursuivre l’audition sur les moyens d’irrecevabilité uniquement sur les conclusions de la requête recherchant une déclaration d’irrecevabilité de la réclamation ou un rejet de l’action;</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Instruction sur les questions d’irrecevabilité ajournée au 21 octobre 2010.</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 21 octobre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supérieure du Québec</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(La juge LeBel)</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 en irrecevabilité accueillie.</w:t>
            </w: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 5 juillet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d’appel du Québec (Montréal)</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(Les juges Chamberland, Léger et Kasirer)</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 pour permission d’appeler du jugement de la juge LeBel du 21 octobre 2010 rejetée;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Requêtes en appel des jugements de la juge LeBel du 21 octobre 2010 et du jugement du juge Dumas du 10 septembre 2010 reportées au 8 juillet 2011.</w:t>
            </w: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 8 juillet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d’appel du Québec (Montréal)</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(Les juges Chamberland, Léger et Kasirer)</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 en rejet d’appel accueillie;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Appel rejeté.</w:t>
            </w: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 5 août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814F7A" w:rsidRPr="005D0703" w:rsidRDefault="00814F7A" w:rsidP="00814F7A">
            <w:pPr>
              <w:jc w:val="both"/>
              <w:rPr>
                <w:rFonts w:eastAsia="Calibri" w:cs="Times New Roman"/>
                <w:sz w:val="20"/>
                <w:szCs w:val="20"/>
                <w:lang w:val="fr-CA"/>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69" style="width:2in;height:1pt" o:hrpct="0" o:hralign="center" o:hrstd="t" o:hrnoshade="t" o:hr="t" fillcolor="black [3213]" stroked="f"/>
        </w:pict>
      </w:r>
    </w:p>
    <w:p w:rsidR="00814F7A" w:rsidRPr="005D0703" w:rsidRDefault="00814F7A" w:rsidP="00814F7A">
      <w:pPr>
        <w:rPr>
          <w:rFonts w:cs="Times New Roman"/>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65338" w:rsidRPr="005D0703" w:rsidTr="00665338">
        <w:trPr>
          <w:cantSplit/>
        </w:trPr>
        <w:tc>
          <w:tcPr>
            <w:tcW w:w="1458" w:type="dxa"/>
          </w:tcPr>
          <w:p w:rsidR="00665338" w:rsidRPr="005D0703" w:rsidRDefault="00665338" w:rsidP="00665338">
            <w:pPr>
              <w:rPr>
                <w:rFonts w:cs="Times New Roman"/>
                <w:sz w:val="20"/>
                <w:szCs w:val="20"/>
              </w:rPr>
            </w:pPr>
            <w:r w:rsidRPr="005D0703">
              <w:rPr>
                <w:rFonts w:cs="Times New Roman"/>
                <w:b/>
                <w:sz w:val="20"/>
                <w:szCs w:val="20"/>
                <w:lang w:val="fr-CA"/>
              </w:rPr>
              <w:t>34396</w:t>
            </w:r>
          </w:p>
          <w:p w:rsidR="00665338" w:rsidRPr="005D0703" w:rsidRDefault="00665338" w:rsidP="00665338">
            <w:pPr>
              <w:rPr>
                <w:rFonts w:cs="Times New Roman"/>
                <w:b/>
                <w:sz w:val="20"/>
                <w:szCs w:val="20"/>
                <w:lang w:val="fr-CA"/>
              </w:rPr>
            </w:pPr>
          </w:p>
        </w:tc>
        <w:tc>
          <w:tcPr>
            <w:tcW w:w="8118" w:type="dxa"/>
          </w:tcPr>
          <w:p w:rsidR="00665338" w:rsidRPr="005D0703" w:rsidRDefault="00665338" w:rsidP="00665338">
            <w:pPr>
              <w:jc w:val="both"/>
              <w:rPr>
                <w:rFonts w:cs="Times New Roman"/>
                <w:sz w:val="20"/>
                <w:szCs w:val="20"/>
              </w:rPr>
            </w:pPr>
            <w:r w:rsidRPr="005D0703">
              <w:rPr>
                <w:rFonts w:cs="Times New Roman"/>
                <w:b/>
                <w:sz w:val="20"/>
                <w:szCs w:val="20"/>
                <w:u w:val="single"/>
                <w:lang w:val="en-US"/>
              </w:rPr>
              <w:t>Eli Lilly and Company v. Teva Canada Limited</w:t>
            </w:r>
            <w:r w:rsidRPr="005D0703">
              <w:rPr>
                <w:rFonts w:cs="Times New Roman"/>
                <w:sz w:val="20"/>
                <w:szCs w:val="20"/>
              </w:rPr>
              <w:t xml:space="preserve"> (FC) (Civil) (By Leave)</w:t>
            </w:r>
          </w:p>
          <w:p w:rsidR="00665338" w:rsidRPr="005D0703" w:rsidRDefault="00665338" w:rsidP="00665338">
            <w:pPr>
              <w:rPr>
                <w:rFonts w:cs="Times New Roman"/>
                <w:sz w:val="20"/>
                <w:szCs w:val="20"/>
              </w:rPr>
            </w:pPr>
          </w:p>
        </w:tc>
      </w:tr>
      <w:tr w:rsidR="00665338" w:rsidRPr="005D0703" w:rsidTr="00665338">
        <w:trPr>
          <w:cantSplit/>
        </w:trPr>
        <w:tc>
          <w:tcPr>
            <w:tcW w:w="1458" w:type="dxa"/>
          </w:tcPr>
          <w:p w:rsidR="00665338" w:rsidRPr="005D0703" w:rsidRDefault="00665338" w:rsidP="00665338">
            <w:pPr>
              <w:rPr>
                <w:rFonts w:cs="Times New Roman"/>
                <w:sz w:val="20"/>
                <w:szCs w:val="20"/>
              </w:rPr>
            </w:pPr>
            <w:r w:rsidRPr="005D0703">
              <w:rPr>
                <w:rFonts w:cs="Times New Roman"/>
                <w:sz w:val="20"/>
                <w:szCs w:val="20"/>
              </w:rPr>
              <w:t>Coram :</w:t>
            </w:r>
          </w:p>
        </w:tc>
        <w:tc>
          <w:tcPr>
            <w:tcW w:w="8118" w:type="dxa"/>
          </w:tcPr>
          <w:p w:rsidR="00665338" w:rsidRPr="005D0703" w:rsidRDefault="00665338" w:rsidP="00665338">
            <w:pPr>
              <w:rPr>
                <w:rFonts w:cs="Times New Roman"/>
                <w:sz w:val="20"/>
                <w:szCs w:val="20"/>
              </w:rPr>
            </w:pPr>
            <w:r w:rsidRPr="005D0703">
              <w:rPr>
                <w:rFonts w:cs="Times New Roman"/>
                <w:sz w:val="20"/>
                <w:szCs w:val="20"/>
                <w:u w:val="single"/>
                <w:lang w:val="en-US"/>
              </w:rPr>
              <w:t>McLachlin C.J. and Rothstein and Moldaver JJ.</w:t>
            </w:r>
          </w:p>
          <w:p w:rsidR="00665338" w:rsidRPr="005D0703" w:rsidRDefault="00665338" w:rsidP="00665338">
            <w:pPr>
              <w:rPr>
                <w:rFonts w:cs="Times New Roman"/>
                <w:sz w:val="20"/>
                <w:szCs w:val="20"/>
                <w:u w:val="single"/>
              </w:rPr>
            </w:pPr>
          </w:p>
        </w:tc>
      </w:tr>
      <w:tr w:rsidR="00665338" w:rsidRPr="00C04C40" w:rsidTr="00665338">
        <w:trPr>
          <w:cantSplit/>
        </w:trPr>
        <w:tc>
          <w:tcPr>
            <w:tcW w:w="9576" w:type="dxa"/>
            <w:gridSpan w:val="2"/>
          </w:tcPr>
          <w:p w:rsidR="00665338" w:rsidRPr="005D0703" w:rsidRDefault="00665338" w:rsidP="00665338">
            <w:pPr>
              <w:ind w:firstLine="720"/>
              <w:jc w:val="both"/>
              <w:rPr>
                <w:rFonts w:cs="Times New Roman"/>
                <w:sz w:val="20"/>
                <w:szCs w:val="20"/>
              </w:rPr>
            </w:pPr>
            <w:r w:rsidRPr="005D0703">
              <w:rPr>
                <w:rFonts w:cs="Times New Roman"/>
                <w:sz w:val="20"/>
                <w:szCs w:val="20"/>
              </w:rPr>
              <w:t>The motion to expedite the application for leave to appeal is dismissed. The application for leave to appeal from the judgment of the Federal Court of Appeal, Number A-387-10, 2011 FCA 220, dated July 5, 2011, is dismissed with costs.</w:t>
            </w:r>
          </w:p>
          <w:p w:rsidR="00665338" w:rsidRPr="005D0703" w:rsidRDefault="00665338" w:rsidP="00665338">
            <w:pPr>
              <w:jc w:val="both"/>
              <w:rPr>
                <w:rFonts w:cs="Times New Roman"/>
                <w:sz w:val="20"/>
                <w:szCs w:val="20"/>
              </w:rPr>
            </w:pPr>
          </w:p>
          <w:p w:rsidR="00665338" w:rsidRPr="005D0703" w:rsidRDefault="00665338" w:rsidP="00665338">
            <w:pPr>
              <w:ind w:firstLine="720"/>
              <w:jc w:val="both"/>
              <w:rPr>
                <w:rFonts w:cs="Times New Roman"/>
                <w:sz w:val="20"/>
                <w:szCs w:val="20"/>
                <w:lang w:val="fr-CA"/>
              </w:rPr>
            </w:pPr>
            <w:r w:rsidRPr="005D0703">
              <w:rPr>
                <w:rFonts w:cs="Times New Roman"/>
                <w:sz w:val="20"/>
                <w:szCs w:val="20"/>
                <w:lang w:val="fr-CA"/>
              </w:rPr>
              <w:t>La requête visant à accélérer la demande d’autorisation d’appel est rejetée.  La demande d’autorisation d’appel de l’arrêt de la Cour d’appel fédérale, numéro A-387-10, 2011 CAF 220, daté du 5 juillet 2011, est rejetée avec dépens.</w:t>
            </w:r>
          </w:p>
        </w:tc>
      </w:tr>
    </w:tbl>
    <w:p w:rsidR="00814F7A" w:rsidRPr="005D0703" w:rsidRDefault="00814F7A" w:rsidP="00814F7A">
      <w:pPr>
        <w:rPr>
          <w:rFonts w:cs="Times New Roman"/>
          <w:sz w:val="20"/>
          <w:szCs w:val="20"/>
          <w:lang w:val="fr-CA"/>
        </w:rPr>
      </w:pPr>
    </w:p>
    <w:p w:rsidR="00814F7A" w:rsidRPr="005D0703" w:rsidRDefault="00814F7A" w:rsidP="00814F7A">
      <w:pPr>
        <w:rPr>
          <w:rFonts w:cs="Times New Roman"/>
          <w:sz w:val="20"/>
          <w:szCs w:val="20"/>
          <w:u w:val="single"/>
        </w:rPr>
      </w:pPr>
      <w:r w:rsidRPr="005D0703">
        <w:rPr>
          <w:rFonts w:cs="Times New Roman"/>
          <w:sz w:val="20"/>
          <w:szCs w:val="20"/>
          <w:u w:val="single"/>
        </w:rPr>
        <w:t>CASE SUMMARY</w:t>
      </w:r>
    </w:p>
    <w:p w:rsidR="00814F7A" w:rsidRPr="005D0703" w:rsidRDefault="00814F7A" w:rsidP="00814F7A">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Intellectual property — Patents — Medicines — Applicant’s patent declared invalid for lack of utility — Whether Federal Court of Appeal decision is inconsistent with jurisprudence and </w:t>
            </w:r>
            <w:r w:rsidRPr="005D0703">
              <w:rPr>
                <w:rFonts w:eastAsia="Calibri" w:cs="Times New Roman"/>
                <w:i/>
                <w:sz w:val="20"/>
                <w:szCs w:val="20"/>
              </w:rPr>
              <w:t>Patent Act</w:t>
            </w:r>
            <w:r w:rsidRPr="005D0703">
              <w:rPr>
                <w:rFonts w:eastAsia="Calibri" w:cs="Times New Roman"/>
                <w:sz w:val="20"/>
                <w:szCs w:val="20"/>
              </w:rPr>
              <w:t>, R.S.C.</w:t>
            </w:r>
          </w:p>
          <w:p w:rsidR="00665338" w:rsidRPr="005D0703" w:rsidRDefault="00665338" w:rsidP="00814F7A">
            <w:pPr>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Eli Lilly and Company (“Lilly”) obtained the ‘735 patent for a new use for an old medicine, atomoxetine, that had long been in the public domain.  Lilly discovered that it was useful in the treatment of three of the manifestations of attention deficit hyperactivity disorder (“ADHD”) for some people, regardless of the age group.  Lilly filed its application for the ‘735 patent on January 4, 1996 after it had funded a clinical trial in 1995 at the Massachusetts General Hospital (“MGH”) on the effectiveness of atomoxetine in the treatment of ADHD.  Twenty-one adult patients participated in the double-blind, placebo-controlled cross-over human clinical study. Half of the patients were given atomoxetine for three weeks, followed by a "wash-out" week, and then a placebo for three weeks.  The order was reversed for the other half of the patients.   Eleven of the patients showed a 30% or greater reduction in ADHD symptoms.  Lilly obtained regulatory approval to market the drug in Canada in 2004.  Teva Canada Limited brought an action to have the ‘735 patent declared invalid and void.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September 14,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Federal Court</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(Barnes J.)</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2010 FC 915</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Applicant’s patent for declared invalid.</w:t>
            </w:r>
          </w:p>
          <w:p w:rsidR="00814F7A" w:rsidRPr="005D0703" w:rsidRDefault="00814F7A" w:rsidP="00814F7A">
            <w:pPr>
              <w:jc w:val="both"/>
              <w:rPr>
                <w:rFonts w:eastAsia="Calibri" w:cs="Times New Roman"/>
                <w:sz w:val="20"/>
                <w:szCs w:val="20"/>
              </w:rPr>
            </w:pP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November 18,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Federal Court</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(Barnes J.)</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2010 FC 1154</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Order permitting Respondent to tax its costs in accordance with the reasons given.</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July 5,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Federal Court of Appeal</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(Noël, Evans and Dawson JJ.A.)</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2011 FCA 220</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Appeal dismissed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August 22,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Application for leave to appeal filed</w:t>
            </w:r>
          </w:p>
          <w:p w:rsidR="00814F7A" w:rsidRPr="005D0703" w:rsidRDefault="00814F7A" w:rsidP="00814F7A">
            <w:pPr>
              <w:jc w:val="both"/>
              <w:rPr>
                <w:rFonts w:eastAsia="Calibri" w:cs="Times New Roman"/>
                <w:sz w:val="20"/>
                <w:szCs w:val="20"/>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0" style="width:2in;height:1pt" o:hrpct="0" o:hralign="center" o:hrstd="t" o:hrnoshade="t" o:hr="t" fillcolor="black [3213]" stroked="f"/>
        </w:pict>
      </w:r>
    </w:p>
    <w:p w:rsidR="00814F7A" w:rsidRPr="005D0703" w:rsidRDefault="00814F7A" w:rsidP="00814F7A">
      <w:pPr>
        <w:rPr>
          <w:rFonts w:cs="Times New Roman"/>
          <w:sz w:val="20"/>
          <w:szCs w:val="20"/>
        </w:rPr>
      </w:pPr>
    </w:p>
    <w:p w:rsidR="00814F7A" w:rsidRPr="005D0703" w:rsidRDefault="00814F7A" w:rsidP="00814F7A">
      <w:pPr>
        <w:rPr>
          <w:rFonts w:cs="Times New Roman"/>
          <w:sz w:val="20"/>
          <w:szCs w:val="20"/>
          <w:u w:val="single"/>
          <w:lang w:val="fr-CA"/>
        </w:rPr>
      </w:pPr>
      <w:r w:rsidRPr="005D0703">
        <w:rPr>
          <w:rFonts w:cs="Times New Roman"/>
          <w:sz w:val="20"/>
          <w:szCs w:val="20"/>
          <w:u w:val="single"/>
          <w:lang w:val="fr-CA"/>
        </w:rPr>
        <w:t>RÉSUMÉ DE L’AFFAIRE</w:t>
      </w:r>
    </w:p>
    <w:p w:rsidR="00814F7A" w:rsidRPr="005D0703" w:rsidRDefault="00814F7A" w:rsidP="00814F7A">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Propriété intellectuelle — Brevets — Médicaments — Brevet de la demanderesse déclaré invalide pour défaut d’utilité — La décision de la Cour d’appel fédérale est</w:t>
            </w:r>
            <w:r w:rsidRPr="005D0703">
              <w:rPr>
                <w:rFonts w:eastAsia="Calibri" w:cs="Times New Roman"/>
                <w:sz w:val="20"/>
                <w:szCs w:val="20"/>
                <w:lang w:val="fr-CA"/>
              </w:rPr>
              <w:noBreakHyphen/>
              <w:t xml:space="preserve">elle incompatible avec la jurisprudence, la </w:t>
            </w:r>
            <w:r w:rsidRPr="005D0703">
              <w:rPr>
                <w:rFonts w:eastAsia="Calibri" w:cs="Times New Roman"/>
                <w:i/>
                <w:sz w:val="20"/>
                <w:szCs w:val="20"/>
                <w:lang w:val="fr-CA"/>
              </w:rPr>
              <w:t>Loi sur les brevets</w:t>
            </w:r>
            <w:r w:rsidRPr="005D0703">
              <w:rPr>
                <w:rFonts w:eastAsia="Calibri" w:cs="Times New Roman"/>
                <w:sz w:val="20"/>
                <w:szCs w:val="20"/>
                <w:lang w:val="fr-CA"/>
              </w:rPr>
              <w:t xml:space="preserve">, L.R.C. </w:t>
            </w:r>
            <w:r w:rsidRPr="005D0703">
              <w:rPr>
                <w:rFonts w:eastAsia="Calibri" w:cs="Times New Roman"/>
                <w:bCs/>
                <w:sz w:val="20"/>
                <w:szCs w:val="20"/>
                <w:lang w:val="fr-CA"/>
              </w:rPr>
              <w:t>1985, ch. P</w:t>
            </w:r>
            <w:r w:rsidRPr="005D0703">
              <w:rPr>
                <w:rFonts w:eastAsia="Calibri" w:cs="Times New Roman"/>
                <w:bCs/>
                <w:sz w:val="20"/>
                <w:szCs w:val="20"/>
                <w:lang w:val="fr-CA"/>
              </w:rPr>
              <w:noBreakHyphen/>
              <w:t>4 et les obligations découlant d’un traité</w:t>
            </w:r>
            <w:r w:rsidRPr="005D0703">
              <w:rPr>
                <w:rFonts w:eastAsia="Calibri" w:cs="Times New Roman"/>
                <w:sz w:val="20"/>
                <w:szCs w:val="20"/>
                <w:lang w:val="fr-CA"/>
              </w:rPr>
              <w:t>?</w:t>
            </w:r>
          </w:p>
          <w:p w:rsidR="00665338" w:rsidRPr="005D0703" w:rsidRDefault="00665338" w:rsidP="00814F7A">
            <w:pPr>
              <w:jc w:val="both"/>
              <w:rPr>
                <w:rFonts w:eastAsia="Calibri" w:cs="Times New Roman"/>
                <w:sz w:val="20"/>
                <w:szCs w:val="20"/>
                <w:lang w:val="fr-CA"/>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Eli Lilly and Company (« Lilly ») a obtenu le brevet 735 concernant un </w:t>
            </w:r>
            <w:r w:rsidR="008A6550" w:rsidRPr="005D0703">
              <w:rPr>
                <w:rFonts w:eastAsia="Calibri" w:cs="Times New Roman"/>
                <w:sz w:val="20"/>
                <w:szCs w:val="20"/>
                <w:lang w:val="fr-CA"/>
              </w:rPr>
              <w:fldChar w:fldCharType="begin"/>
            </w:r>
            <w:r w:rsidRPr="005D0703">
              <w:rPr>
                <w:rFonts w:eastAsia="Calibri" w:cs="Times New Roman"/>
                <w:sz w:val="20"/>
                <w:szCs w:val="20"/>
                <w:lang w:val="fr-CA"/>
              </w:rPr>
              <w:instrText xml:space="preserve"> SEQ CHAPTER \h \r 1</w:instrText>
            </w:r>
            <w:r w:rsidR="008A6550" w:rsidRPr="005D0703">
              <w:rPr>
                <w:rFonts w:eastAsia="Calibri" w:cs="Times New Roman"/>
                <w:sz w:val="20"/>
                <w:szCs w:val="20"/>
                <w:lang w:val="fr-CA"/>
              </w:rPr>
              <w:fldChar w:fldCharType="end"/>
            </w:r>
            <w:r w:rsidRPr="005D0703">
              <w:rPr>
                <w:rFonts w:eastAsia="Calibri" w:cs="Times New Roman"/>
                <w:sz w:val="20"/>
                <w:szCs w:val="20"/>
                <w:lang w:val="fr-CA"/>
              </w:rPr>
              <w:t xml:space="preserve">nouvel usage d’un médicament connu — l’atomoxétine — qui fait partie depuis longtemps du domaine public et qui vise le traitement de trois des symptômes du trouble d’hyperactivité avec déficit de l’attention (THADA) chez certaines personnes, peu importe leur groupe d’âge.  Le 4 janvier 1996, Lilly a produit sa demande concernant le brevet 735 après avoir </w:t>
            </w:r>
            <w:r w:rsidR="008A6550" w:rsidRPr="005D0703">
              <w:rPr>
                <w:rFonts w:eastAsia="Calibri" w:cs="Times New Roman"/>
                <w:sz w:val="20"/>
                <w:szCs w:val="20"/>
                <w:lang w:val="fr-CA"/>
              </w:rPr>
              <w:fldChar w:fldCharType="begin"/>
            </w:r>
            <w:r w:rsidRPr="005D0703">
              <w:rPr>
                <w:rFonts w:eastAsia="Calibri" w:cs="Times New Roman"/>
                <w:sz w:val="20"/>
                <w:szCs w:val="20"/>
                <w:lang w:val="fr-CA"/>
              </w:rPr>
              <w:instrText xml:space="preserve"> SEQ CHAPTER \h \r 1</w:instrText>
            </w:r>
            <w:r w:rsidR="008A6550" w:rsidRPr="005D0703">
              <w:rPr>
                <w:rFonts w:eastAsia="Calibri" w:cs="Times New Roman"/>
                <w:sz w:val="20"/>
                <w:szCs w:val="20"/>
                <w:lang w:val="fr-CA"/>
              </w:rPr>
              <w:fldChar w:fldCharType="end"/>
            </w:r>
            <w:r w:rsidRPr="005D0703">
              <w:rPr>
                <w:rFonts w:eastAsia="Calibri" w:cs="Times New Roman"/>
                <w:sz w:val="20"/>
                <w:szCs w:val="20"/>
                <w:lang w:val="fr-CA"/>
              </w:rPr>
              <w:t xml:space="preserve">financé un essai clinique effectué en 1995 au Massachusetts General Hospital (« MGH ») relativement à l’efficacité de l’atomoxétine dans le traitement du THADA.  </w:t>
            </w:r>
            <w:r w:rsidR="008A6550" w:rsidRPr="005D0703">
              <w:rPr>
                <w:rFonts w:eastAsia="Calibri" w:cs="Times New Roman"/>
                <w:sz w:val="20"/>
                <w:szCs w:val="20"/>
                <w:lang w:val="fr-CA"/>
              </w:rPr>
              <w:fldChar w:fldCharType="begin"/>
            </w:r>
            <w:r w:rsidRPr="005D0703">
              <w:rPr>
                <w:rFonts w:eastAsia="Calibri" w:cs="Times New Roman"/>
                <w:sz w:val="20"/>
                <w:szCs w:val="20"/>
                <w:lang w:val="fr-CA"/>
              </w:rPr>
              <w:instrText xml:space="preserve"> SEQ CHAPTER \h \r 1</w:instrText>
            </w:r>
            <w:r w:rsidR="008A6550" w:rsidRPr="005D0703">
              <w:rPr>
                <w:rFonts w:eastAsia="Calibri" w:cs="Times New Roman"/>
                <w:sz w:val="20"/>
                <w:szCs w:val="20"/>
                <w:lang w:val="fr-CA"/>
              </w:rPr>
              <w:fldChar w:fldCharType="end"/>
            </w:r>
            <w:r w:rsidRPr="005D0703">
              <w:rPr>
                <w:rFonts w:eastAsia="Calibri" w:cs="Times New Roman"/>
                <w:sz w:val="20"/>
                <w:szCs w:val="20"/>
                <w:lang w:val="fr-CA"/>
              </w:rPr>
              <w:t xml:space="preserve">Vingt et un patients adultes ont participé à cette étude clinique humaine croisée à double insu, contrôlée contre placebo.  La moitié des patients ont été traités par l’atomoxétine pendant trois semaines, puis ils n’ont pas pris le médicament durant une semaine et ont reçu un placebo pendant trois semaines.  </w:t>
            </w:r>
            <w:r w:rsidR="008A6550" w:rsidRPr="005D0703">
              <w:rPr>
                <w:rFonts w:eastAsia="Calibri" w:cs="Times New Roman"/>
                <w:sz w:val="20"/>
                <w:szCs w:val="20"/>
                <w:lang w:val="fr-CA"/>
              </w:rPr>
              <w:fldChar w:fldCharType="begin"/>
            </w:r>
            <w:r w:rsidRPr="005D0703">
              <w:rPr>
                <w:rFonts w:eastAsia="Calibri" w:cs="Times New Roman"/>
                <w:sz w:val="20"/>
                <w:szCs w:val="20"/>
                <w:lang w:val="fr-CA"/>
              </w:rPr>
              <w:instrText xml:space="preserve"> SEQ CHAPTER \h \r 1</w:instrText>
            </w:r>
            <w:r w:rsidR="008A6550" w:rsidRPr="005D0703">
              <w:rPr>
                <w:rFonts w:eastAsia="Calibri" w:cs="Times New Roman"/>
                <w:sz w:val="20"/>
                <w:szCs w:val="20"/>
                <w:lang w:val="fr-CA"/>
              </w:rPr>
              <w:fldChar w:fldCharType="end"/>
            </w:r>
            <w:r w:rsidRPr="005D0703">
              <w:rPr>
                <w:rFonts w:eastAsia="Calibri" w:cs="Times New Roman"/>
                <w:sz w:val="20"/>
                <w:szCs w:val="20"/>
                <w:lang w:val="fr-CA"/>
              </w:rPr>
              <w:t xml:space="preserve">L’ordre a été inversé pour l’autre moitié des patients.  </w:t>
            </w:r>
            <w:r w:rsidR="008A6550" w:rsidRPr="005D0703">
              <w:rPr>
                <w:rFonts w:eastAsia="Calibri" w:cs="Times New Roman"/>
                <w:sz w:val="20"/>
                <w:szCs w:val="20"/>
                <w:lang w:val="fr-CA"/>
              </w:rPr>
              <w:fldChar w:fldCharType="begin"/>
            </w:r>
            <w:r w:rsidRPr="005D0703">
              <w:rPr>
                <w:rFonts w:eastAsia="Calibri" w:cs="Times New Roman"/>
                <w:sz w:val="20"/>
                <w:szCs w:val="20"/>
                <w:lang w:val="fr-CA"/>
              </w:rPr>
              <w:instrText xml:space="preserve"> SEQ CHAPTER \h \r 1</w:instrText>
            </w:r>
            <w:r w:rsidR="008A6550" w:rsidRPr="005D0703">
              <w:rPr>
                <w:rFonts w:eastAsia="Calibri" w:cs="Times New Roman"/>
                <w:sz w:val="20"/>
                <w:szCs w:val="20"/>
                <w:lang w:val="fr-CA"/>
              </w:rPr>
              <w:fldChar w:fldCharType="end"/>
            </w:r>
            <w:r w:rsidRPr="005D0703">
              <w:rPr>
                <w:rFonts w:eastAsia="Calibri" w:cs="Times New Roman"/>
                <w:sz w:val="20"/>
                <w:szCs w:val="20"/>
                <w:lang w:val="fr-CA"/>
              </w:rPr>
              <w:t xml:space="preserve">Onze des patients ont présenté une diminution de 30 % ou plus de leurs symptômes du THADA.  Lilly a </w:t>
            </w:r>
            <w:r w:rsidR="008A6550" w:rsidRPr="005D0703">
              <w:rPr>
                <w:rFonts w:eastAsia="Calibri" w:cs="Times New Roman"/>
                <w:sz w:val="20"/>
                <w:szCs w:val="20"/>
                <w:lang w:val="fr-CA"/>
              </w:rPr>
              <w:fldChar w:fldCharType="begin"/>
            </w:r>
            <w:r w:rsidRPr="005D0703">
              <w:rPr>
                <w:rFonts w:eastAsia="Calibri" w:cs="Times New Roman"/>
                <w:sz w:val="20"/>
                <w:szCs w:val="20"/>
                <w:lang w:val="fr-CA"/>
              </w:rPr>
              <w:instrText xml:space="preserve"> SEQ CHAPTER \h \r 1</w:instrText>
            </w:r>
            <w:r w:rsidR="008A6550" w:rsidRPr="005D0703">
              <w:rPr>
                <w:rFonts w:eastAsia="Calibri" w:cs="Times New Roman"/>
                <w:sz w:val="20"/>
                <w:szCs w:val="20"/>
                <w:lang w:val="fr-CA"/>
              </w:rPr>
              <w:fldChar w:fldCharType="end"/>
            </w:r>
            <w:r w:rsidRPr="005D0703">
              <w:rPr>
                <w:rFonts w:eastAsia="Calibri" w:cs="Times New Roman"/>
                <w:sz w:val="20"/>
                <w:szCs w:val="20"/>
                <w:lang w:val="fr-CA"/>
              </w:rPr>
              <w:t>obtenu une approbation réglementaire pour commercialiser le médicament au Canada en 2004.  Teva Canada Limited a intenté une action visant à faire déclarer invalide et nul le brevet 735.</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14 septembre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fédérale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Barnes)</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2010 CF 915</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Brevet de la demanderesse relatif à l’atomoxétine déclaré invalide.</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18 novembre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fédérale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Barnes)</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2010 CF 1154</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Ordonnance autorisant l’intimée à taxer ses dépens en conformité avec les motifs exposés.</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5 juillet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d’appel fédérale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(Juges Noël, Evans et Dawson)</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2011 CAF 220</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Appel rejeté</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22 août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 d’autorisation de pourvoi, déposée</w:t>
            </w:r>
          </w:p>
          <w:p w:rsidR="00814F7A" w:rsidRPr="005D0703" w:rsidRDefault="00814F7A" w:rsidP="00814F7A">
            <w:pPr>
              <w:jc w:val="both"/>
              <w:rPr>
                <w:rFonts w:eastAsia="Calibri" w:cs="Times New Roman"/>
                <w:sz w:val="20"/>
                <w:szCs w:val="20"/>
                <w:lang w:val="fr-CA"/>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1" style="width:2in;height:1pt" o:hrpct="0" o:hralign="center" o:hrstd="t" o:hrnoshade="t" o:hr="t" fillcolor="black [3213]" stroked="f"/>
        </w:pict>
      </w:r>
    </w:p>
    <w:p w:rsidR="00814F7A" w:rsidRPr="005D0703" w:rsidRDefault="00814F7A" w:rsidP="00814F7A">
      <w:pPr>
        <w:rPr>
          <w:rFonts w:cs="Times New Roman"/>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65338" w:rsidRPr="005D0703" w:rsidTr="00665338">
        <w:trPr>
          <w:cantSplit/>
        </w:trPr>
        <w:tc>
          <w:tcPr>
            <w:tcW w:w="1458" w:type="dxa"/>
          </w:tcPr>
          <w:p w:rsidR="00665338" w:rsidRPr="005D0703" w:rsidRDefault="00665338" w:rsidP="00665338">
            <w:pPr>
              <w:rPr>
                <w:rFonts w:cs="Times New Roman"/>
                <w:sz w:val="20"/>
                <w:szCs w:val="20"/>
              </w:rPr>
            </w:pPr>
            <w:r w:rsidRPr="005D0703">
              <w:rPr>
                <w:rFonts w:cs="Times New Roman"/>
                <w:b/>
                <w:sz w:val="20"/>
                <w:szCs w:val="20"/>
                <w:lang w:val="fr-CA"/>
              </w:rPr>
              <w:t>34400</w:t>
            </w:r>
          </w:p>
          <w:p w:rsidR="00665338" w:rsidRPr="005D0703" w:rsidRDefault="00665338" w:rsidP="00665338">
            <w:pPr>
              <w:rPr>
                <w:rFonts w:cs="Times New Roman"/>
                <w:b/>
                <w:sz w:val="20"/>
                <w:szCs w:val="20"/>
                <w:lang w:val="fr-CA"/>
              </w:rPr>
            </w:pPr>
          </w:p>
        </w:tc>
        <w:tc>
          <w:tcPr>
            <w:tcW w:w="8118" w:type="dxa"/>
          </w:tcPr>
          <w:p w:rsidR="00665338" w:rsidRPr="005D0703" w:rsidRDefault="00665338" w:rsidP="00665338">
            <w:pPr>
              <w:jc w:val="both"/>
              <w:rPr>
                <w:rFonts w:cs="Times New Roman"/>
                <w:sz w:val="20"/>
                <w:szCs w:val="20"/>
              </w:rPr>
            </w:pPr>
            <w:r w:rsidRPr="005D0703">
              <w:rPr>
                <w:rFonts w:cs="Times New Roman"/>
                <w:b/>
                <w:sz w:val="20"/>
                <w:szCs w:val="20"/>
                <w:u w:val="single"/>
                <w:lang w:val="en-US"/>
              </w:rPr>
              <w:t>Anthony Power, F.C.A, Claudio Russo, C.A. v. Institute of Chartered Accountants of Ontario AND BETWEEN Anthony Power, F.C.A, Claudio Russo, C.A. v. Institute of Chartered Accountants of Ontario AND BETWEEN J. Douglas Barrington, F.C.A v. Institute of Chartered Accountants of Ontario</w:t>
            </w:r>
            <w:r w:rsidRPr="005D0703">
              <w:rPr>
                <w:rFonts w:cs="Times New Roman"/>
                <w:sz w:val="20"/>
                <w:szCs w:val="20"/>
              </w:rPr>
              <w:t xml:space="preserve"> (Ont.) (Civil) (By Leave)</w:t>
            </w:r>
          </w:p>
          <w:p w:rsidR="00665338" w:rsidRPr="005D0703" w:rsidRDefault="00665338" w:rsidP="00665338">
            <w:pPr>
              <w:rPr>
                <w:rFonts w:cs="Times New Roman"/>
                <w:sz w:val="20"/>
                <w:szCs w:val="20"/>
              </w:rPr>
            </w:pPr>
          </w:p>
        </w:tc>
      </w:tr>
      <w:tr w:rsidR="00665338" w:rsidRPr="005D0703" w:rsidTr="00665338">
        <w:trPr>
          <w:cantSplit/>
        </w:trPr>
        <w:tc>
          <w:tcPr>
            <w:tcW w:w="1458" w:type="dxa"/>
          </w:tcPr>
          <w:p w:rsidR="00665338" w:rsidRPr="005D0703" w:rsidRDefault="00665338" w:rsidP="00665338">
            <w:pPr>
              <w:rPr>
                <w:rFonts w:cs="Times New Roman"/>
                <w:sz w:val="20"/>
                <w:szCs w:val="20"/>
              </w:rPr>
            </w:pPr>
            <w:r w:rsidRPr="005D0703">
              <w:rPr>
                <w:rFonts w:cs="Times New Roman"/>
                <w:sz w:val="20"/>
                <w:szCs w:val="20"/>
              </w:rPr>
              <w:t>Coram :</w:t>
            </w:r>
          </w:p>
        </w:tc>
        <w:tc>
          <w:tcPr>
            <w:tcW w:w="8118" w:type="dxa"/>
          </w:tcPr>
          <w:p w:rsidR="00665338" w:rsidRPr="005D0703" w:rsidRDefault="00665338" w:rsidP="00665338">
            <w:pPr>
              <w:rPr>
                <w:rFonts w:cs="Times New Roman"/>
                <w:sz w:val="20"/>
                <w:szCs w:val="20"/>
              </w:rPr>
            </w:pPr>
            <w:r w:rsidRPr="005D0703">
              <w:rPr>
                <w:rFonts w:cs="Times New Roman"/>
                <w:sz w:val="20"/>
                <w:szCs w:val="20"/>
                <w:u w:val="single"/>
                <w:lang w:val="en-US"/>
              </w:rPr>
              <w:t>McLachlin C.J. and Deschamps and Fish JJ.</w:t>
            </w:r>
          </w:p>
          <w:p w:rsidR="00665338" w:rsidRPr="005D0703" w:rsidRDefault="00665338" w:rsidP="00665338">
            <w:pPr>
              <w:rPr>
                <w:rFonts w:cs="Times New Roman"/>
                <w:sz w:val="20"/>
                <w:szCs w:val="20"/>
                <w:u w:val="single"/>
              </w:rPr>
            </w:pPr>
          </w:p>
        </w:tc>
      </w:tr>
      <w:tr w:rsidR="00665338" w:rsidRPr="00C04C40" w:rsidTr="00665338">
        <w:trPr>
          <w:cantSplit/>
        </w:trPr>
        <w:tc>
          <w:tcPr>
            <w:tcW w:w="9576" w:type="dxa"/>
            <w:gridSpan w:val="2"/>
          </w:tcPr>
          <w:p w:rsidR="00665338" w:rsidRPr="005D0703" w:rsidRDefault="00665338" w:rsidP="00665338">
            <w:pPr>
              <w:ind w:firstLine="720"/>
              <w:jc w:val="both"/>
              <w:rPr>
                <w:rFonts w:cs="Times New Roman"/>
                <w:sz w:val="20"/>
                <w:szCs w:val="20"/>
              </w:rPr>
            </w:pPr>
            <w:r w:rsidRPr="005D0703">
              <w:rPr>
                <w:rFonts w:cs="Times New Roman"/>
                <w:sz w:val="20"/>
                <w:szCs w:val="20"/>
              </w:rPr>
              <w:t>The applications for leave to appeal from the judgment of the Court of Appeal for Ontario, Numbers C52711 and C52683, 2011 ONCA 409, dated May 27, 2011, are dismissed with costs.</w:t>
            </w:r>
          </w:p>
          <w:p w:rsidR="00665338" w:rsidRPr="005D0703" w:rsidRDefault="00665338" w:rsidP="00665338">
            <w:pPr>
              <w:jc w:val="both"/>
              <w:rPr>
                <w:rFonts w:cs="Times New Roman"/>
                <w:sz w:val="20"/>
                <w:szCs w:val="20"/>
              </w:rPr>
            </w:pPr>
          </w:p>
          <w:p w:rsidR="00665338" w:rsidRPr="005D0703" w:rsidRDefault="00665338" w:rsidP="00665338">
            <w:pPr>
              <w:ind w:firstLine="720"/>
              <w:jc w:val="both"/>
              <w:rPr>
                <w:rFonts w:cs="Times New Roman"/>
                <w:sz w:val="20"/>
                <w:szCs w:val="20"/>
                <w:lang w:val="fr-CA"/>
              </w:rPr>
            </w:pPr>
            <w:r w:rsidRPr="005D0703">
              <w:rPr>
                <w:rFonts w:cs="Times New Roman"/>
                <w:sz w:val="20"/>
                <w:szCs w:val="20"/>
                <w:lang w:val="fr-CA"/>
              </w:rPr>
              <w:t>Les demandes d’autorisation d’appel de l’arrêt de la Cour d’appel de l’Ontario, numéros C52711 et C52683, 2011 ONCA 409, daté du 27 mai 2011, sont rejetées avec dépens.</w:t>
            </w:r>
          </w:p>
        </w:tc>
      </w:tr>
    </w:tbl>
    <w:p w:rsidR="00814F7A" w:rsidRPr="005D0703" w:rsidRDefault="00814F7A" w:rsidP="00814F7A">
      <w:pPr>
        <w:rPr>
          <w:rFonts w:cs="Times New Roman"/>
          <w:sz w:val="20"/>
          <w:szCs w:val="20"/>
          <w:lang w:val="fr-CA"/>
        </w:rPr>
      </w:pPr>
    </w:p>
    <w:p w:rsidR="00814F7A" w:rsidRPr="005D0703" w:rsidRDefault="00814F7A" w:rsidP="00814F7A">
      <w:pPr>
        <w:rPr>
          <w:rFonts w:cs="Times New Roman"/>
          <w:sz w:val="20"/>
          <w:szCs w:val="20"/>
          <w:u w:val="single"/>
        </w:rPr>
      </w:pPr>
      <w:r w:rsidRPr="005D0703">
        <w:rPr>
          <w:rFonts w:cs="Times New Roman"/>
          <w:sz w:val="20"/>
          <w:szCs w:val="20"/>
          <w:u w:val="single"/>
        </w:rPr>
        <w:t>CASE SUMMARY</w:t>
      </w:r>
    </w:p>
    <w:p w:rsidR="00814F7A" w:rsidRPr="005D0703" w:rsidRDefault="00814F7A" w:rsidP="00814F7A">
      <w:pPr>
        <w:rPr>
          <w:rFonts w:cs="Times New Roman"/>
          <w:sz w:val="20"/>
          <w:szCs w:val="20"/>
          <w:lang w:val="en-US"/>
        </w:rPr>
      </w:pPr>
    </w:p>
    <w:tbl>
      <w:tblPr>
        <w:tblW w:w="4952" w:type="pct"/>
        <w:tblLayout w:type="fixed"/>
        <w:tblCellMar>
          <w:left w:w="0" w:type="dxa"/>
          <w:bottom w:w="99" w:type="dxa"/>
          <w:right w:w="0" w:type="dxa"/>
        </w:tblCellMar>
        <w:tblLook w:val="04A0"/>
      </w:tblPr>
      <w:tblGrid>
        <w:gridCol w:w="4625"/>
        <w:gridCol w:w="476"/>
        <w:gridCol w:w="4426"/>
      </w:tblGrid>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Law of professions — Discipline — Duty of fairness — Administrative law — Judicial review — Respondent institute bringing disciplinary proceedings against applicants — Standard for professional misconduct where professional judgment is at issue — Whether a discipline tribunal can find professional misconduct based on grounds that are not raised in the charges.</w:t>
            </w:r>
          </w:p>
          <w:p w:rsidR="00665338" w:rsidRPr="005D0703" w:rsidRDefault="00665338" w:rsidP="00814F7A">
            <w:pPr>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Professional disciplinary proceedings were brought against the applicants by the respondent Institute (ICAO) relating to their roles with regard to Livent Inc.'s 1997 audited financial statements.  After a 37</w:t>
            </w:r>
            <w:r w:rsidRPr="005D0703">
              <w:rPr>
                <w:rFonts w:eastAsia="Calibri" w:cs="Times New Roman"/>
                <w:sz w:val="20"/>
                <w:szCs w:val="20"/>
              </w:rPr>
              <w:noBreakHyphen/>
              <w:t>day disciplinary hearing, the ICAO’s Discipline Committee concluded that all three applicants were guilty of professional misconduct for two instances of failing to ensure that the 1997 financial statements were in accordance with Generally Accepted Accounting Principles (GAAP).  Power and Russo were also convicted of a third breach of GAAP and five instances of failing to perform an audit in accordance with Generally Accepted Auditing Standards (GAAS).  The applicants appealed to the ICAO’s Appeal Committee, which affirmed the decisions.  On applications for judicial review, the Divisional Court quashed four of the eight convictions against Power and Russo, and all of the convictions against Barrington.  The Court of Appeal allowed the ICAO’s appeal, dismissed the appeal of Power and Russo and reinstated the decisions of the Discipline Committee, including the costs award.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March 22,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Ontario Divisional Court</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(J. Wilson, Lederman and Swinton JJ.A.)</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2010 ONSC 338</w:t>
            </w:r>
          </w:p>
          <w:p w:rsidR="00814F7A" w:rsidRPr="005D0703" w:rsidRDefault="00814F7A" w:rsidP="00814F7A">
            <w:pPr>
              <w:jc w:val="both"/>
              <w:rPr>
                <w:rFonts w:eastAsia="Calibri" w:cs="Times New Roman"/>
                <w:sz w:val="20"/>
                <w:szCs w:val="20"/>
              </w:rPr>
            </w:pPr>
          </w:p>
        </w:tc>
        <w:tc>
          <w:tcPr>
            <w:tcW w:w="250" w:type="pct"/>
          </w:tcPr>
          <w:p w:rsidR="00814F7A" w:rsidRPr="005D0703" w:rsidRDefault="00814F7A" w:rsidP="00814F7A">
            <w:pPr>
              <w:jc w:val="both"/>
              <w:rPr>
                <w:rFonts w:eastAsia="Calibri" w:cs="Times New Roman"/>
                <w:sz w:val="20"/>
                <w:szCs w:val="20"/>
              </w:rPr>
            </w:pPr>
          </w:p>
        </w:tc>
        <w:tc>
          <w:tcPr>
            <w:tcW w:w="2323"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Barrington application for judicial review granted; Power/Russo application granted in part </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May 27,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Court of Appeal for Ontario</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(Winkler C.J.O. and Lang and </w:t>
            </w:r>
            <w:proofErr w:type="gramStart"/>
            <w:r w:rsidRPr="005D0703">
              <w:rPr>
                <w:rFonts w:eastAsia="Calibri" w:cs="Times New Roman"/>
                <w:sz w:val="20"/>
                <w:szCs w:val="20"/>
              </w:rPr>
              <w:t>Karakatsanis  JJ.A</w:t>
            </w:r>
            <w:proofErr w:type="gramEnd"/>
            <w:r w:rsidRPr="005D0703">
              <w:rPr>
                <w:rFonts w:eastAsia="Calibri" w:cs="Times New Roman"/>
                <w:sz w:val="20"/>
                <w:szCs w:val="20"/>
              </w:rPr>
              <w:t>.)</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2011 ONCA 409</w:t>
            </w:r>
          </w:p>
          <w:p w:rsidR="00814F7A" w:rsidRPr="005D0703" w:rsidRDefault="00814F7A" w:rsidP="00814F7A">
            <w:pPr>
              <w:jc w:val="both"/>
              <w:rPr>
                <w:rFonts w:eastAsia="Calibri" w:cs="Times New Roman"/>
                <w:sz w:val="20"/>
                <w:szCs w:val="20"/>
              </w:rPr>
            </w:pPr>
          </w:p>
        </w:tc>
        <w:tc>
          <w:tcPr>
            <w:tcW w:w="250" w:type="pct"/>
          </w:tcPr>
          <w:p w:rsidR="00814F7A" w:rsidRPr="005D0703" w:rsidRDefault="00814F7A" w:rsidP="00814F7A">
            <w:pPr>
              <w:jc w:val="both"/>
              <w:rPr>
                <w:rFonts w:eastAsia="Calibri" w:cs="Times New Roman"/>
                <w:sz w:val="20"/>
                <w:szCs w:val="20"/>
              </w:rPr>
            </w:pPr>
          </w:p>
        </w:tc>
        <w:tc>
          <w:tcPr>
            <w:tcW w:w="2323"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Appeal of Institute of Chartered Accountants of Ontario allowed; appeal of Power and Russo dismissed; decisions of Discipline Committee reinstated</w:t>
            </w: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August 24,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tc>
        <w:tc>
          <w:tcPr>
            <w:tcW w:w="250" w:type="pct"/>
          </w:tcPr>
          <w:p w:rsidR="00814F7A" w:rsidRPr="005D0703" w:rsidRDefault="00814F7A" w:rsidP="00814F7A">
            <w:pPr>
              <w:jc w:val="both"/>
              <w:rPr>
                <w:rFonts w:eastAsia="Calibri" w:cs="Times New Roman"/>
                <w:sz w:val="20"/>
                <w:szCs w:val="20"/>
              </w:rPr>
            </w:pPr>
          </w:p>
        </w:tc>
        <w:tc>
          <w:tcPr>
            <w:tcW w:w="2323"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Application for leave to appeal of Power and Russo filed</w:t>
            </w: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2" style="width:2in;height:1pt" o:hrpct="0" o:hralign="center" o:hrstd="t" o:hrnoshade="t" o:hr="t" fillcolor="black [3213]" stroked="f"/>
        </w:pict>
      </w:r>
    </w:p>
    <w:p w:rsidR="00814F7A" w:rsidRPr="005D0703" w:rsidRDefault="00814F7A" w:rsidP="00814F7A">
      <w:pPr>
        <w:rPr>
          <w:rFonts w:cs="Times New Roman"/>
          <w:sz w:val="20"/>
          <w:szCs w:val="20"/>
        </w:rPr>
      </w:pPr>
    </w:p>
    <w:p w:rsidR="00814F7A" w:rsidRPr="005D0703" w:rsidRDefault="00814F7A" w:rsidP="00814F7A">
      <w:pPr>
        <w:rPr>
          <w:rFonts w:cs="Times New Roman"/>
          <w:sz w:val="20"/>
          <w:szCs w:val="20"/>
          <w:u w:val="single"/>
          <w:lang w:val="fr-CA"/>
        </w:rPr>
      </w:pPr>
      <w:r w:rsidRPr="005D0703">
        <w:rPr>
          <w:rFonts w:cs="Times New Roman"/>
          <w:sz w:val="20"/>
          <w:szCs w:val="20"/>
          <w:u w:val="single"/>
          <w:lang w:val="fr-CA"/>
        </w:rPr>
        <w:t>RÉSUMÉ DE L’AFFAIRE</w:t>
      </w:r>
    </w:p>
    <w:p w:rsidR="00814F7A" w:rsidRPr="005D0703" w:rsidRDefault="00814F7A" w:rsidP="00814F7A">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5"/>
        <w:gridCol w:w="476"/>
        <w:gridCol w:w="4426"/>
      </w:tblGrid>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Droit des professions — Discipline — Obligation d'agir équitablement — Droit administratif — Contrôle judiciaire — L'Institut intimé a introduit des procédures disciplinaires contre les demandeurs — Norme d’inconduite professionnelle lorsque le jugement professionnel est en cause — Un tribunal disciplinaire peut</w:t>
            </w:r>
            <w:r w:rsidRPr="005D0703">
              <w:rPr>
                <w:rFonts w:eastAsia="Calibri" w:cs="Times New Roman"/>
                <w:sz w:val="20"/>
                <w:szCs w:val="20"/>
                <w:lang w:val="fr-CA"/>
              </w:rPr>
              <w:noBreakHyphen/>
              <w:t>il conclure à l’inconduite professionnelle en se fondant sur des motifs qui ne sont pas soulevés dans les accusations?</w:t>
            </w:r>
          </w:p>
          <w:p w:rsidR="00665338" w:rsidRPr="005D0703" w:rsidRDefault="00665338" w:rsidP="00814F7A">
            <w:pPr>
              <w:jc w:val="both"/>
              <w:rPr>
                <w:rFonts w:eastAsia="Calibri" w:cs="Times New Roman"/>
                <w:sz w:val="20"/>
                <w:szCs w:val="20"/>
                <w:lang w:val="fr-CA"/>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L'Institut intimé (ICAO) a introduit des procédures disciplinaires contre les demandeurs en lien avec leur rôle à l'égard des états financiers vérifiés de Livent Inc. pour l'exercice 1997.  Au terme d'une audience disciplinaire de 37 jours, le comité de discipline de l’ICAO a conclu que les trois demandeurs étaient coupables d’inconduite professionnelle sous deux chefs d'avoir omis de faire en sorte que les états financiers pour l'exercice 1997 soient conformes aux principes comptables généralement reconnus (PCGR).  Messieurs Power et Russo ont également été déclarés coupables d'un troisième manquement aux PCGR et sous cinq chefs d'avoir omis de faire une vérification conformément aux normes de vérification généralement reconnues (NVGR).  Les demandeurs ont interjeté appel au comité d'appel de l’ICAO qui a confirmé les décisions.  Saisie de demandes de contrôle judiciaire, la Cour divisionnaire a annulé quatre des huit déclarations de culpabilité contre Messieurs Power et Russo, et toutes les déclarations de culpabilité contre M. Barrington.  La Cour d'appel a accueilli l'appel de l’ICAO, rejeté l'appel de Messieurs Power et Russo et rétabli les décisions du comité de discipline, y compris l'attribution des dépens.</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22 mars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Cour divisionnaire de l'Ontario </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(Juges Wilson, Lederman et Swinton)</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2010 ONSC 338</w:t>
            </w:r>
          </w:p>
          <w:p w:rsidR="00814F7A" w:rsidRPr="005D0703" w:rsidRDefault="00814F7A" w:rsidP="00814F7A">
            <w:pPr>
              <w:jc w:val="both"/>
              <w:rPr>
                <w:rFonts w:eastAsia="Calibri" w:cs="Times New Roman"/>
                <w:sz w:val="20"/>
                <w:szCs w:val="20"/>
                <w:lang w:val="fr-CA"/>
              </w:rPr>
            </w:pPr>
          </w:p>
        </w:tc>
        <w:tc>
          <w:tcPr>
            <w:tcW w:w="250" w:type="pct"/>
          </w:tcPr>
          <w:p w:rsidR="00814F7A" w:rsidRPr="005D0703" w:rsidRDefault="00814F7A" w:rsidP="00814F7A">
            <w:pPr>
              <w:jc w:val="both"/>
              <w:rPr>
                <w:rFonts w:eastAsia="Calibri" w:cs="Times New Roman"/>
                <w:sz w:val="20"/>
                <w:szCs w:val="20"/>
                <w:lang w:val="fr-CA"/>
              </w:rPr>
            </w:pPr>
          </w:p>
        </w:tc>
        <w:tc>
          <w:tcPr>
            <w:tcW w:w="2323"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 de contrôle judiciaire de M. Barrington, accueillie; demande de Messieurs Power et Russo, accueillie en partie</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27 mai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d'appel de l’Ontario</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en chef Winkler, juges Lang et Karakatsanis)</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2011 ONCA 409</w:t>
            </w:r>
          </w:p>
          <w:p w:rsidR="00814F7A" w:rsidRPr="005D0703" w:rsidRDefault="00814F7A" w:rsidP="00814F7A">
            <w:pPr>
              <w:jc w:val="both"/>
              <w:rPr>
                <w:rFonts w:eastAsia="Calibri" w:cs="Times New Roman"/>
                <w:sz w:val="20"/>
                <w:szCs w:val="20"/>
                <w:lang w:val="fr-CA"/>
              </w:rPr>
            </w:pPr>
          </w:p>
        </w:tc>
        <w:tc>
          <w:tcPr>
            <w:tcW w:w="250" w:type="pct"/>
          </w:tcPr>
          <w:p w:rsidR="00814F7A" w:rsidRPr="005D0703" w:rsidRDefault="00814F7A" w:rsidP="00814F7A">
            <w:pPr>
              <w:jc w:val="both"/>
              <w:rPr>
                <w:rFonts w:eastAsia="Calibri" w:cs="Times New Roman"/>
                <w:sz w:val="20"/>
                <w:szCs w:val="20"/>
                <w:lang w:val="fr-CA"/>
              </w:rPr>
            </w:pPr>
          </w:p>
        </w:tc>
        <w:tc>
          <w:tcPr>
            <w:tcW w:w="2323"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Appel de l'Institut des comptables agréés de l'Ontario, accueilli; appel de Messieurs Power et Russo, rejeté ; décisions du comité de discipline, rétablies</w:t>
            </w: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24 août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50" w:type="pct"/>
          </w:tcPr>
          <w:p w:rsidR="00814F7A" w:rsidRPr="005D0703" w:rsidRDefault="00814F7A" w:rsidP="00814F7A">
            <w:pPr>
              <w:jc w:val="both"/>
              <w:rPr>
                <w:rFonts w:eastAsia="Calibri" w:cs="Times New Roman"/>
                <w:sz w:val="20"/>
                <w:szCs w:val="20"/>
                <w:lang w:val="fr-CA"/>
              </w:rPr>
            </w:pPr>
          </w:p>
        </w:tc>
        <w:tc>
          <w:tcPr>
            <w:tcW w:w="2323"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Demande d'autorisation d'appel de Messieurs Power et Russo, déposée </w:t>
            </w:r>
          </w:p>
        </w:tc>
      </w:tr>
    </w:tbl>
    <w:p w:rsidR="00814F7A" w:rsidRPr="005D0703" w:rsidRDefault="00814F7A" w:rsidP="00814F7A">
      <w:pPr>
        <w:rPr>
          <w:rFonts w:cs="Times New Roman"/>
          <w:sz w:val="20"/>
          <w:szCs w:val="20"/>
          <w:lang w:val="fr-CA"/>
        </w:rPr>
      </w:pPr>
    </w:p>
    <w:p w:rsidR="00814F7A" w:rsidRPr="005D0703" w:rsidRDefault="008A6550" w:rsidP="00814F7A">
      <w:pPr>
        <w:rPr>
          <w:rFonts w:cs="Times New Roman"/>
          <w:sz w:val="20"/>
          <w:szCs w:val="20"/>
        </w:rPr>
      </w:pPr>
      <w:r w:rsidRPr="008A6550">
        <w:rPr>
          <w:rFonts w:cs="Times New Roman"/>
          <w:sz w:val="20"/>
          <w:szCs w:val="20"/>
          <w:lang w:val="fr-CA"/>
        </w:rPr>
        <w:pict>
          <v:rect id="_x0000_i1073" style="width:2in;height:1pt" o:hrpct="0" o:hralign="center" o:hrstd="t" o:hrnoshade="t" o:hr="t" fillcolor="black [3213]" stroked="f"/>
        </w:pict>
      </w:r>
    </w:p>
    <w:p w:rsidR="00814F7A" w:rsidRPr="005D0703" w:rsidRDefault="00814F7A" w:rsidP="00814F7A">
      <w:pPr>
        <w:rPr>
          <w:rFonts w:cs="Times New Roman"/>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145D" w:rsidRPr="005D0703" w:rsidTr="00DD145D">
        <w:trPr>
          <w:cantSplit/>
        </w:trPr>
        <w:tc>
          <w:tcPr>
            <w:tcW w:w="1458" w:type="dxa"/>
          </w:tcPr>
          <w:p w:rsidR="00DD145D" w:rsidRPr="005D0703" w:rsidRDefault="00DD145D" w:rsidP="00DD145D">
            <w:pPr>
              <w:jc w:val="both"/>
              <w:rPr>
                <w:rFonts w:cs="Times New Roman"/>
                <w:sz w:val="20"/>
                <w:szCs w:val="20"/>
              </w:rPr>
            </w:pPr>
            <w:r w:rsidRPr="005D0703">
              <w:rPr>
                <w:rFonts w:cs="Times New Roman"/>
                <w:b/>
                <w:sz w:val="20"/>
                <w:szCs w:val="20"/>
                <w:lang w:val="fr-CA"/>
              </w:rPr>
              <w:t>34421</w:t>
            </w:r>
          </w:p>
          <w:p w:rsidR="00DD145D" w:rsidRPr="005D0703" w:rsidRDefault="00DD145D" w:rsidP="00DD145D">
            <w:pPr>
              <w:jc w:val="both"/>
              <w:rPr>
                <w:rFonts w:cs="Times New Roman"/>
                <w:b/>
                <w:sz w:val="20"/>
                <w:szCs w:val="20"/>
                <w:lang w:val="fr-CA"/>
              </w:rPr>
            </w:pPr>
          </w:p>
        </w:tc>
        <w:tc>
          <w:tcPr>
            <w:tcW w:w="8118" w:type="dxa"/>
          </w:tcPr>
          <w:p w:rsidR="00DD145D" w:rsidRPr="005D0703" w:rsidRDefault="00DD145D" w:rsidP="00DD145D">
            <w:pPr>
              <w:jc w:val="both"/>
              <w:rPr>
                <w:rFonts w:cs="Times New Roman"/>
                <w:sz w:val="20"/>
                <w:szCs w:val="20"/>
              </w:rPr>
            </w:pPr>
            <w:r w:rsidRPr="005D0703">
              <w:rPr>
                <w:rFonts w:cs="Times New Roman"/>
                <w:b/>
                <w:sz w:val="20"/>
                <w:szCs w:val="20"/>
                <w:u w:val="single"/>
                <w:lang w:val="en-US"/>
              </w:rPr>
              <w:t>Her Majesty the Queen v. Andrew James Bernard</w:t>
            </w:r>
            <w:r w:rsidRPr="005D0703">
              <w:rPr>
                <w:rFonts w:cs="Times New Roman"/>
                <w:sz w:val="20"/>
                <w:szCs w:val="20"/>
              </w:rPr>
              <w:t xml:space="preserve"> (N.S.) (Criminal) (By Leave)</w:t>
            </w:r>
          </w:p>
          <w:p w:rsidR="00DD145D" w:rsidRPr="005D0703" w:rsidRDefault="00DD145D" w:rsidP="00DD145D">
            <w:pPr>
              <w:jc w:val="both"/>
              <w:rPr>
                <w:rFonts w:cs="Times New Roman"/>
                <w:sz w:val="20"/>
                <w:szCs w:val="20"/>
              </w:rPr>
            </w:pPr>
          </w:p>
        </w:tc>
      </w:tr>
      <w:tr w:rsidR="00DD145D" w:rsidRPr="005D0703" w:rsidTr="00DD145D">
        <w:trPr>
          <w:cantSplit/>
        </w:trPr>
        <w:tc>
          <w:tcPr>
            <w:tcW w:w="1458" w:type="dxa"/>
          </w:tcPr>
          <w:p w:rsidR="00DD145D" w:rsidRPr="005D0703" w:rsidRDefault="00DD145D" w:rsidP="00DD145D">
            <w:pPr>
              <w:jc w:val="both"/>
              <w:rPr>
                <w:rFonts w:cs="Times New Roman"/>
                <w:sz w:val="20"/>
                <w:szCs w:val="20"/>
              </w:rPr>
            </w:pPr>
            <w:r w:rsidRPr="005D0703">
              <w:rPr>
                <w:rFonts w:cs="Times New Roman"/>
                <w:sz w:val="20"/>
                <w:szCs w:val="20"/>
              </w:rPr>
              <w:t>Coram :</w:t>
            </w:r>
          </w:p>
        </w:tc>
        <w:tc>
          <w:tcPr>
            <w:tcW w:w="8118" w:type="dxa"/>
          </w:tcPr>
          <w:p w:rsidR="00DD145D" w:rsidRPr="005D0703" w:rsidRDefault="00DD145D" w:rsidP="00DD145D">
            <w:pPr>
              <w:jc w:val="both"/>
              <w:rPr>
                <w:rFonts w:cs="Times New Roman"/>
                <w:sz w:val="20"/>
                <w:szCs w:val="20"/>
              </w:rPr>
            </w:pPr>
            <w:r w:rsidRPr="005D0703">
              <w:rPr>
                <w:rFonts w:cs="Times New Roman"/>
                <w:sz w:val="20"/>
                <w:szCs w:val="20"/>
                <w:u w:val="single"/>
                <w:lang w:val="en-US"/>
              </w:rPr>
              <w:t>McLachlin C.J. and Rothstein and Moldaver JJ.</w:t>
            </w:r>
          </w:p>
          <w:p w:rsidR="00DD145D" w:rsidRPr="005D0703" w:rsidRDefault="00DD145D" w:rsidP="00DD145D">
            <w:pPr>
              <w:jc w:val="both"/>
              <w:rPr>
                <w:rFonts w:cs="Times New Roman"/>
                <w:sz w:val="20"/>
                <w:szCs w:val="20"/>
                <w:u w:val="single"/>
              </w:rPr>
            </w:pPr>
          </w:p>
        </w:tc>
      </w:tr>
      <w:tr w:rsidR="00DD145D" w:rsidRPr="00C04C40" w:rsidTr="00DD145D">
        <w:trPr>
          <w:cantSplit/>
        </w:trPr>
        <w:tc>
          <w:tcPr>
            <w:tcW w:w="9576" w:type="dxa"/>
            <w:gridSpan w:val="2"/>
          </w:tcPr>
          <w:p w:rsidR="00DD145D" w:rsidRPr="005D0703" w:rsidRDefault="00DD145D" w:rsidP="00DD145D">
            <w:pPr>
              <w:ind w:firstLine="720"/>
              <w:jc w:val="both"/>
              <w:rPr>
                <w:rFonts w:cs="Times New Roman"/>
                <w:sz w:val="20"/>
                <w:szCs w:val="20"/>
              </w:rPr>
            </w:pPr>
            <w:r w:rsidRPr="005D0703">
              <w:rPr>
                <w:rFonts w:cs="Times New Roman"/>
                <w:sz w:val="20"/>
                <w:szCs w:val="20"/>
              </w:rPr>
              <w:t>The application for leave to appeal from the judgment of the Nova Scotia Court of Appeal, Number CAC 329696,  2011 NSCA 53, dated June 9, 2011, is dismissed without costs.</w:t>
            </w:r>
          </w:p>
          <w:p w:rsidR="00DD145D" w:rsidRPr="005D0703" w:rsidRDefault="00DD145D" w:rsidP="00DD145D">
            <w:pPr>
              <w:jc w:val="both"/>
              <w:rPr>
                <w:rFonts w:cs="Times New Roman"/>
                <w:sz w:val="20"/>
                <w:szCs w:val="20"/>
              </w:rPr>
            </w:pPr>
          </w:p>
          <w:p w:rsidR="00DD145D" w:rsidRPr="005D0703" w:rsidRDefault="00DD145D" w:rsidP="00DD145D">
            <w:pPr>
              <w:ind w:firstLine="720"/>
              <w:jc w:val="both"/>
              <w:rPr>
                <w:rFonts w:cs="Times New Roman"/>
                <w:sz w:val="20"/>
                <w:szCs w:val="20"/>
                <w:lang w:val="fr-CA"/>
              </w:rPr>
            </w:pPr>
            <w:r w:rsidRPr="005D0703">
              <w:rPr>
                <w:rFonts w:cs="Times New Roman"/>
                <w:sz w:val="20"/>
                <w:szCs w:val="20"/>
                <w:lang w:val="fr-CA"/>
              </w:rPr>
              <w:t>La demande d’autorisation d’appel de l’arrêt de la Cour d’appel de la Nouvelle-Écosse, numéro CAC 329696,  2011 NSCA 53, daté du 9 juin 2011, est rejetée sans dépens.</w:t>
            </w:r>
          </w:p>
        </w:tc>
      </w:tr>
    </w:tbl>
    <w:p w:rsidR="00814F7A" w:rsidRPr="005D0703" w:rsidRDefault="00814F7A" w:rsidP="00814F7A">
      <w:pPr>
        <w:rPr>
          <w:rFonts w:cs="Times New Roman"/>
          <w:sz w:val="20"/>
          <w:szCs w:val="20"/>
          <w:lang w:val="fr-CA"/>
        </w:rPr>
      </w:pPr>
    </w:p>
    <w:p w:rsidR="00814F7A" w:rsidRPr="005D0703" w:rsidRDefault="00814F7A" w:rsidP="00814F7A">
      <w:pPr>
        <w:rPr>
          <w:rFonts w:cs="Times New Roman"/>
          <w:sz w:val="20"/>
          <w:szCs w:val="20"/>
          <w:u w:val="single"/>
        </w:rPr>
      </w:pPr>
      <w:r w:rsidRPr="005D0703">
        <w:rPr>
          <w:rFonts w:cs="Times New Roman"/>
          <w:sz w:val="20"/>
          <w:szCs w:val="20"/>
          <w:u w:val="single"/>
        </w:rPr>
        <w:t>CASE SUMMARY</w:t>
      </w:r>
    </w:p>
    <w:p w:rsidR="00814F7A" w:rsidRPr="005D0703" w:rsidRDefault="00814F7A" w:rsidP="00814F7A">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shd w:val="clear" w:color="auto" w:fill="FFFFFF"/>
              <w:jc w:val="both"/>
              <w:rPr>
                <w:rFonts w:eastAsia="Calibri" w:cs="Times New Roman"/>
                <w:sz w:val="20"/>
                <w:szCs w:val="20"/>
              </w:rPr>
            </w:pPr>
            <w:r w:rsidRPr="005D0703">
              <w:rPr>
                <w:rFonts w:eastAsia="Calibri" w:cs="Times New Roman"/>
                <w:sz w:val="20"/>
                <w:szCs w:val="20"/>
              </w:rPr>
              <w:t xml:space="preserve">Criminal law – Sentencing –  Appeal against sentence – Sentence reduced by Court of Appeal - </w:t>
            </w:r>
            <w:r w:rsidRPr="005D0703">
              <w:rPr>
                <w:rFonts w:eastAsia="Calibri" w:cs="Times New Roman"/>
                <w:sz w:val="20"/>
                <w:szCs w:val="20"/>
                <w:shd w:val="clear" w:color="auto" w:fill="FFFFFF"/>
              </w:rPr>
              <w:t xml:space="preserve">Court of Appeal found sentencing judge erred in principle – Court of Appeal exercising its powers under s. 687 of the </w:t>
            </w:r>
            <w:r w:rsidRPr="005D0703">
              <w:rPr>
                <w:rFonts w:eastAsia="Calibri" w:cs="Times New Roman"/>
                <w:i/>
                <w:sz w:val="20"/>
                <w:szCs w:val="20"/>
                <w:shd w:val="clear" w:color="auto" w:fill="FFFFFF"/>
              </w:rPr>
              <w:t>Criminal Code</w:t>
            </w:r>
            <w:r w:rsidRPr="005D0703">
              <w:rPr>
                <w:rFonts w:eastAsia="Calibri" w:cs="Times New Roman"/>
                <w:sz w:val="20"/>
                <w:szCs w:val="20"/>
                <w:shd w:val="clear" w:color="auto" w:fill="FFFFFF"/>
              </w:rPr>
              <w:t xml:space="preserve"> in an appeal against sentence – Whether Court of Appeal owes no deference to the sentence imposed and can determine a fit sentence - </w:t>
            </w:r>
            <w:r w:rsidRPr="005D0703">
              <w:rPr>
                <w:rFonts w:eastAsia="Calibri" w:cs="Times New Roman"/>
                <w:sz w:val="20"/>
                <w:szCs w:val="20"/>
              </w:rPr>
              <w:t xml:space="preserve">Whether the Court of Appeal erred in law in its application of the “step” (or “jump”) and “gap” principles in concluding an error on the part of the sentencing judge – Whether there are issues of public importance raised. </w:t>
            </w:r>
          </w:p>
          <w:p w:rsidR="00DD145D" w:rsidRPr="005D0703" w:rsidRDefault="00DD145D" w:rsidP="00814F7A">
            <w:pPr>
              <w:shd w:val="clear" w:color="auto" w:fill="FFFFFF"/>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The applicant entered guilty pleas to a number of charges laid under the </w:t>
            </w:r>
            <w:r w:rsidRPr="005D0703">
              <w:rPr>
                <w:rFonts w:eastAsia="Calibri" w:cs="Times New Roman"/>
                <w:i/>
                <w:sz w:val="20"/>
                <w:szCs w:val="20"/>
              </w:rPr>
              <w:t>Criminal Code</w:t>
            </w:r>
            <w:r w:rsidRPr="005D0703">
              <w:rPr>
                <w:rFonts w:eastAsia="Calibri" w:cs="Times New Roman"/>
                <w:sz w:val="20"/>
                <w:szCs w:val="20"/>
              </w:rPr>
              <w:t>. After credit was given for time spent on remand, the applicant was sentenced for three drinking and driving related offences, and two breaches of recognizance, to a term of imprisonment of two years less one day. The Court of Appeal held that the sentencing judge erred in principle and substituted a sentence of 19 months.</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April 12,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Provincial Court of Nova Scotia</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(Campbell J.)</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Neutral citation:</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Sentence: two years less a day </w:t>
            </w:r>
          </w:p>
          <w:p w:rsidR="00814F7A" w:rsidRPr="005D0703" w:rsidRDefault="00814F7A" w:rsidP="00814F7A">
            <w:pPr>
              <w:jc w:val="both"/>
              <w:rPr>
                <w:rFonts w:eastAsia="Calibri" w:cs="Times New Roman"/>
                <w:sz w:val="20"/>
                <w:szCs w:val="20"/>
              </w:rPr>
            </w:pP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June 9,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Nova Scotia Court of Appeal</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(Saunders, Oland, Beveridge JJ.A.)</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2011 NSCA 53</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Leave to appeal sentence granted; appeal allowed; period of imprisonment imposed reduced to 19 months</w:t>
            </w:r>
          </w:p>
          <w:p w:rsidR="00814F7A" w:rsidRPr="005D0703" w:rsidRDefault="00814F7A" w:rsidP="00814F7A">
            <w:pPr>
              <w:jc w:val="both"/>
              <w:rPr>
                <w:rFonts w:eastAsia="Calibri" w:cs="Times New Roman"/>
                <w:sz w:val="20"/>
                <w:szCs w:val="20"/>
              </w:rPr>
            </w:pP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September 7,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Application for leave to appeal filed</w:t>
            </w:r>
          </w:p>
          <w:p w:rsidR="00814F7A" w:rsidRPr="005D0703" w:rsidRDefault="00814F7A" w:rsidP="00814F7A">
            <w:pPr>
              <w:jc w:val="both"/>
              <w:rPr>
                <w:rFonts w:eastAsia="Calibri" w:cs="Times New Roman"/>
                <w:sz w:val="20"/>
                <w:szCs w:val="20"/>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4" style="width:2in;height:1pt" o:hrpct="0" o:hralign="center" o:hrstd="t" o:hrnoshade="t" o:hr="t" fillcolor="black [3213]" stroked="f"/>
        </w:pict>
      </w:r>
    </w:p>
    <w:p w:rsidR="00814F7A" w:rsidRPr="005D0703" w:rsidRDefault="00814F7A" w:rsidP="00814F7A">
      <w:pPr>
        <w:rPr>
          <w:rFonts w:cs="Times New Roman"/>
          <w:sz w:val="20"/>
          <w:szCs w:val="20"/>
        </w:rPr>
      </w:pPr>
    </w:p>
    <w:p w:rsidR="00814F7A" w:rsidRPr="005D0703" w:rsidRDefault="00814F7A" w:rsidP="00814F7A">
      <w:pPr>
        <w:rPr>
          <w:rFonts w:cs="Times New Roman"/>
          <w:sz w:val="20"/>
          <w:szCs w:val="20"/>
          <w:u w:val="single"/>
          <w:lang w:val="fr-CA"/>
        </w:rPr>
      </w:pPr>
      <w:r w:rsidRPr="005D0703">
        <w:rPr>
          <w:rFonts w:cs="Times New Roman"/>
          <w:sz w:val="20"/>
          <w:szCs w:val="20"/>
          <w:u w:val="single"/>
          <w:lang w:val="fr-CA"/>
        </w:rPr>
        <w:t>RÉSUMÉ DE L’AFFAIRE</w:t>
      </w:r>
    </w:p>
    <w:p w:rsidR="00814F7A" w:rsidRPr="005D0703" w:rsidRDefault="00814F7A" w:rsidP="00814F7A">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14F7A" w:rsidRPr="00C04C40" w:rsidTr="00814F7A">
        <w:tc>
          <w:tcPr>
            <w:tcW w:w="5000" w:type="pct"/>
            <w:gridSpan w:val="3"/>
          </w:tcPr>
          <w:p w:rsidR="00814F7A" w:rsidRPr="005D0703" w:rsidRDefault="00814F7A" w:rsidP="00814F7A">
            <w:pPr>
              <w:shd w:val="clear" w:color="auto" w:fill="FFFFFF"/>
              <w:jc w:val="both"/>
              <w:rPr>
                <w:rFonts w:eastAsia="Calibri" w:cs="Times New Roman"/>
                <w:sz w:val="20"/>
                <w:szCs w:val="20"/>
                <w:lang w:val="fr-CA"/>
              </w:rPr>
            </w:pPr>
            <w:r w:rsidRPr="005D0703">
              <w:rPr>
                <w:rFonts w:eastAsia="Calibri" w:cs="Times New Roman"/>
                <w:sz w:val="20"/>
                <w:szCs w:val="20"/>
                <w:lang w:val="fr-CA"/>
              </w:rPr>
              <w:t>Droit criminel — Détermination de la peine — Appel interjeté à l’encontre de la peine — Peine réduite par la Cour d’appel — La Cour d’appel a conclu que le juge qui a prononcé la peine a commis une erreur de principe</w:t>
            </w:r>
            <w:r w:rsidRPr="005D0703">
              <w:rPr>
                <w:rFonts w:eastAsia="Calibri" w:cs="Times New Roman"/>
                <w:sz w:val="20"/>
                <w:szCs w:val="20"/>
                <w:shd w:val="clear" w:color="auto" w:fill="FFFFFF"/>
                <w:lang w:val="fr-CA"/>
              </w:rPr>
              <w:t xml:space="preserve"> — La Cour d’appel a exercé les pouvoirs que lui confère l’art. 687 du  </w:t>
            </w:r>
            <w:r w:rsidRPr="005D0703">
              <w:rPr>
                <w:rFonts w:eastAsia="Calibri" w:cs="Times New Roman"/>
                <w:i/>
                <w:sz w:val="20"/>
                <w:szCs w:val="20"/>
                <w:shd w:val="clear" w:color="auto" w:fill="FFFFFF"/>
                <w:lang w:val="fr-CA"/>
              </w:rPr>
              <w:t>Code criminel</w:t>
            </w:r>
            <w:r w:rsidRPr="005D0703">
              <w:rPr>
                <w:rFonts w:eastAsia="Calibri" w:cs="Times New Roman"/>
                <w:sz w:val="20"/>
                <w:szCs w:val="20"/>
                <w:shd w:val="clear" w:color="auto" w:fill="FFFFFF"/>
                <w:lang w:val="fr-CA"/>
              </w:rPr>
              <w:t xml:space="preserve"> dans un appel interjeté à l’encontre de la peine — La Cour d’appel est</w:t>
            </w:r>
            <w:r w:rsidRPr="005D0703">
              <w:rPr>
                <w:rFonts w:eastAsia="Calibri" w:cs="Times New Roman"/>
                <w:sz w:val="20"/>
                <w:szCs w:val="20"/>
                <w:shd w:val="clear" w:color="auto" w:fill="FFFFFF"/>
                <w:lang w:val="fr-CA"/>
              </w:rPr>
              <w:noBreakHyphen/>
              <w:t>elle dispensée de faire montre de déférence à l’égard de la peine imposée et peut</w:t>
            </w:r>
            <w:r w:rsidRPr="005D0703">
              <w:rPr>
                <w:rFonts w:eastAsia="Calibri" w:cs="Times New Roman"/>
                <w:sz w:val="20"/>
                <w:szCs w:val="20"/>
                <w:shd w:val="clear" w:color="auto" w:fill="FFFFFF"/>
                <w:lang w:val="fr-CA"/>
              </w:rPr>
              <w:noBreakHyphen/>
              <w:t>elle déterminer la peine qu’elle estime juste? — La Cour d’appel a</w:t>
            </w:r>
            <w:r w:rsidRPr="005D0703">
              <w:rPr>
                <w:rFonts w:eastAsia="Calibri" w:cs="Times New Roman"/>
                <w:sz w:val="20"/>
                <w:szCs w:val="20"/>
                <w:shd w:val="clear" w:color="auto" w:fill="FFFFFF"/>
                <w:lang w:val="fr-CA"/>
              </w:rPr>
              <w:noBreakHyphen/>
              <w:t>t</w:t>
            </w:r>
            <w:r w:rsidRPr="005D0703">
              <w:rPr>
                <w:rFonts w:eastAsia="Calibri" w:cs="Times New Roman"/>
                <w:sz w:val="20"/>
                <w:szCs w:val="20"/>
                <w:shd w:val="clear" w:color="auto" w:fill="FFFFFF"/>
                <w:lang w:val="fr-CA"/>
              </w:rPr>
              <w:noBreakHyphen/>
              <w:t>elle commis une erreur de droit en appliquant les principes</w:t>
            </w:r>
            <w:r w:rsidRPr="005D0703">
              <w:rPr>
                <w:rFonts w:eastAsia="Calibri" w:cs="Times New Roman"/>
                <w:sz w:val="20"/>
                <w:szCs w:val="20"/>
                <w:lang w:val="fr-CA"/>
              </w:rPr>
              <w:t xml:space="preserve"> du « bond sentenciel » (« </w:t>
            </w:r>
            <w:r w:rsidRPr="005D0703">
              <w:rPr>
                <w:rFonts w:eastAsia="Calibri" w:cs="Times New Roman"/>
                <w:i/>
                <w:sz w:val="20"/>
                <w:szCs w:val="20"/>
                <w:lang w:val="fr-CA"/>
              </w:rPr>
              <w:t>step</w:t>
            </w:r>
            <w:r w:rsidRPr="005D0703">
              <w:rPr>
                <w:rFonts w:eastAsia="Calibri" w:cs="Times New Roman"/>
                <w:sz w:val="20"/>
                <w:szCs w:val="20"/>
                <w:lang w:val="fr-CA"/>
              </w:rPr>
              <w:t> » ou « </w:t>
            </w:r>
            <w:r w:rsidRPr="005D0703">
              <w:rPr>
                <w:rFonts w:eastAsia="Calibri" w:cs="Times New Roman"/>
                <w:i/>
                <w:sz w:val="20"/>
                <w:szCs w:val="20"/>
                <w:lang w:val="fr-CA"/>
              </w:rPr>
              <w:t>jump</w:t>
            </w:r>
            <w:r w:rsidRPr="005D0703">
              <w:rPr>
                <w:rFonts w:eastAsia="Calibri" w:cs="Times New Roman"/>
                <w:sz w:val="20"/>
                <w:szCs w:val="20"/>
                <w:lang w:val="fr-CA"/>
              </w:rPr>
              <w:t> ») et de l’« intervalle entre les déclarations de culpabilité » (« </w:t>
            </w:r>
            <w:r w:rsidRPr="005D0703">
              <w:rPr>
                <w:rFonts w:eastAsia="Calibri" w:cs="Times New Roman"/>
                <w:i/>
                <w:sz w:val="20"/>
                <w:szCs w:val="20"/>
                <w:lang w:val="fr-CA"/>
              </w:rPr>
              <w:t>gap</w:t>
            </w:r>
            <w:r w:rsidRPr="005D0703">
              <w:rPr>
                <w:rFonts w:eastAsia="Calibri" w:cs="Times New Roman"/>
                <w:sz w:val="20"/>
                <w:szCs w:val="20"/>
                <w:lang w:val="fr-CA"/>
              </w:rPr>
              <w:t> ») en concluant que le juge qui a prononcé la peine a commis une erreur? — Des questions d’importance pour le public sont</w:t>
            </w:r>
            <w:r w:rsidRPr="005D0703">
              <w:rPr>
                <w:rFonts w:eastAsia="Calibri" w:cs="Times New Roman"/>
                <w:sz w:val="20"/>
                <w:szCs w:val="20"/>
                <w:lang w:val="fr-CA"/>
              </w:rPr>
              <w:noBreakHyphen/>
              <w:t>elles soulev</w:t>
            </w:r>
            <w:r w:rsidR="00DD145D" w:rsidRPr="005D0703">
              <w:rPr>
                <w:rFonts w:eastAsia="Calibri" w:cs="Times New Roman"/>
                <w:sz w:val="20"/>
                <w:szCs w:val="20"/>
                <w:lang w:val="fr-CA"/>
              </w:rPr>
              <w:t>ées en l’espèce?</w:t>
            </w:r>
          </w:p>
          <w:p w:rsidR="00DD145D" w:rsidRPr="005D0703" w:rsidRDefault="00DD145D" w:rsidP="00814F7A">
            <w:pPr>
              <w:shd w:val="clear" w:color="auto" w:fill="FFFFFF"/>
              <w:jc w:val="both"/>
              <w:rPr>
                <w:rFonts w:eastAsia="Calibri" w:cs="Times New Roman"/>
                <w:sz w:val="20"/>
                <w:szCs w:val="20"/>
                <w:lang w:val="fr-CA"/>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Le demandeur a plaidé coupable à un certain nombre d’accusations portées en vertu du </w:t>
            </w:r>
            <w:r w:rsidRPr="005D0703">
              <w:rPr>
                <w:rFonts w:eastAsia="Calibri" w:cs="Times New Roman"/>
                <w:i/>
                <w:sz w:val="20"/>
                <w:szCs w:val="20"/>
                <w:lang w:val="fr-CA"/>
              </w:rPr>
              <w:t>Code criminel</w:t>
            </w:r>
            <w:r w:rsidRPr="005D0703">
              <w:rPr>
                <w:rFonts w:eastAsia="Calibri" w:cs="Times New Roman"/>
                <w:sz w:val="20"/>
                <w:szCs w:val="20"/>
                <w:lang w:val="fr-CA"/>
              </w:rPr>
              <w:t>.  Après que le temps passé en détention préventive fut pris en compte, le demandeur a été condamné à une peine d’emprisonnement de deux ans moins un jour relativement à trois infractions de conduites avec facultés affaiblies et à deux manquements à un engagement.  La Cour d’appel a statué que le juge ayant prononcé la peine avait commis une erreur de principe et elle a substitué à la peine initiale une peine d’emprisonnement de 19 mois.</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12 avril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provinciale de la Nouvelle</w:t>
            </w:r>
            <w:r w:rsidRPr="005D0703">
              <w:rPr>
                <w:rFonts w:eastAsia="Calibri" w:cs="Times New Roman"/>
                <w:sz w:val="20"/>
                <w:szCs w:val="20"/>
                <w:lang w:val="fr-CA"/>
              </w:rPr>
              <w:noBreakHyphen/>
              <w:t>Écosse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Campbell)</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Référence neutre :</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Peine : deux ans moins un jour </w:t>
            </w:r>
          </w:p>
          <w:p w:rsidR="00814F7A" w:rsidRPr="005D0703" w:rsidRDefault="00814F7A" w:rsidP="00814F7A">
            <w:pPr>
              <w:jc w:val="both"/>
              <w:rPr>
                <w:rFonts w:eastAsia="Calibri" w:cs="Times New Roman"/>
                <w:sz w:val="20"/>
                <w:szCs w:val="20"/>
                <w:lang w:val="fr-CA"/>
              </w:rPr>
            </w:pP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9 juin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d’appel de la Nouvelle</w:t>
            </w:r>
            <w:r w:rsidRPr="005D0703">
              <w:rPr>
                <w:rFonts w:eastAsia="Calibri" w:cs="Times New Roman"/>
                <w:sz w:val="20"/>
                <w:szCs w:val="20"/>
                <w:lang w:val="fr-CA"/>
              </w:rPr>
              <w:noBreakHyphen/>
              <w:t>Écosse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(Juges Saunders, Oland et Beveridge)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2011 NSCA 53</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Autorisation d’appel de la peine accordée; appel accueilli; période d’emprisonnement imposée initialement réduite à 19 mois</w:t>
            </w:r>
          </w:p>
          <w:p w:rsidR="00814F7A" w:rsidRPr="005D0703" w:rsidRDefault="00814F7A" w:rsidP="00814F7A">
            <w:pPr>
              <w:jc w:val="both"/>
              <w:rPr>
                <w:rFonts w:eastAsia="Calibri" w:cs="Times New Roman"/>
                <w:sz w:val="20"/>
                <w:szCs w:val="20"/>
                <w:lang w:val="fr-CA"/>
              </w:rPr>
            </w:pP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7 septembre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 d’autorisation de pourvoi, déposée</w:t>
            </w:r>
          </w:p>
          <w:p w:rsidR="00814F7A" w:rsidRPr="005D0703" w:rsidRDefault="00814F7A" w:rsidP="00814F7A">
            <w:pPr>
              <w:jc w:val="both"/>
              <w:rPr>
                <w:rFonts w:eastAsia="Calibri" w:cs="Times New Roman"/>
                <w:sz w:val="20"/>
                <w:szCs w:val="20"/>
                <w:lang w:val="fr-CA"/>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5" style="width:2in;height:1pt" o:hrpct="0" o:hralign="center" o:hrstd="t" o:hrnoshade="t" o:hr="t" fillcolor="black [3213]" stroked="f"/>
        </w:pict>
      </w:r>
    </w:p>
    <w:p w:rsidR="00814F7A" w:rsidRPr="005D0703" w:rsidRDefault="00814F7A" w:rsidP="00814F7A">
      <w:pPr>
        <w:rPr>
          <w:rFonts w:cs="Times New Roman"/>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145D" w:rsidRPr="005D0703" w:rsidTr="00DD145D">
        <w:trPr>
          <w:cantSplit/>
        </w:trPr>
        <w:tc>
          <w:tcPr>
            <w:tcW w:w="1458" w:type="dxa"/>
          </w:tcPr>
          <w:p w:rsidR="00DD145D" w:rsidRPr="005D0703" w:rsidRDefault="00DD145D" w:rsidP="00DD145D">
            <w:pPr>
              <w:jc w:val="both"/>
              <w:rPr>
                <w:rFonts w:cs="Times New Roman"/>
                <w:sz w:val="20"/>
                <w:szCs w:val="20"/>
              </w:rPr>
            </w:pPr>
            <w:r w:rsidRPr="005D0703">
              <w:rPr>
                <w:rFonts w:cs="Times New Roman"/>
                <w:b/>
                <w:sz w:val="20"/>
                <w:szCs w:val="20"/>
                <w:lang w:val="fr-CA"/>
              </w:rPr>
              <w:t>34431</w:t>
            </w:r>
          </w:p>
          <w:p w:rsidR="00DD145D" w:rsidRPr="005D0703" w:rsidRDefault="00DD145D" w:rsidP="00DD145D">
            <w:pPr>
              <w:jc w:val="both"/>
              <w:rPr>
                <w:rFonts w:cs="Times New Roman"/>
                <w:b/>
                <w:sz w:val="20"/>
                <w:szCs w:val="20"/>
                <w:lang w:val="fr-CA"/>
              </w:rPr>
            </w:pPr>
          </w:p>
        </w:tc>
        <w:tc>
          <w:tcPr>
            <w:tcW w:w="8118" w:type="dxa"/>
          </w:tcPr>
          <w:p w:rsidR="00DD145D" w:rsidRPr="005D0703" w:rsidRDefault="00DD145D" w:rsidP="00DD145D">
            <w:pPr>
              <w:jc w:val="both"/>
              <w:rPr>
                <w:rFonts w:cs="Times New Roman"/>
                <w:sz w:val="20"/>
                <w:szCs w:val="20"/>
              </w:rPr>
            </w:pPr>
            <w:r w:rsidRPr="005D0703">
              <w:rPr>
                <w:rFonts w:cs="Times New Roman"/>
                <w:b/>
                <w:sz w:val="20"/>
                <w:szCs w:val="20"/>
                <w:u w:val="single"/>
                <w:lang w:val="fr-CA"/>
              </w:rPr>
              <w:t>K.L.K. v. E.J.G.K</w:t>
            </w:r>
            <w:r w:rsidRPr="005D0703">
              <w:rPr>
                <w:rFonts w:cs="Times New Roman"/>
                <w:sz w:val="20"/>
                <w:szCs w:val="20"/>
                <w:lang w:val="fr-CA"/>
              </w:rPr>
              <w:t xml:space="preserve"> (B.C.) </w:t>
            </w:r>
            <w:r w:rsidRPr="005D0703">
              <w:rPr>
                <w:rFonts w:cs="Times New Roman"/>
                <w:sz w:val="20"/>
                <w:szCs w:val="20"/>
              </w:rPr>
              <w:t>(Civil) (By Leave)</w:t>
            </w:r>
          </w:p>
          <w:p w:rsidR="00DD145D" w:rsidRPr="005D0703" w:rsidRDefault="00DD145D" w:rsidP="00DD145D">
            <w:pPr>
              <w:jc w:val="both"/>
              <w:rPr>
                <w:rFonts w:cs="Times New Roman"/>
                <w:sz w:val="20"/>
                <w:szCs w:val="20"/>
              </w:rPr>
            </w:pPr>
          </w:p>
        </w:tc>
      </w:tr>
      <w:tr w:rsidR="00DD145D" w:rsidRPr="005D0703" w:rsidTr="00DD145D">
        <w:trPr>
          <w:cantSplit/>
        </w:trPr>
        <w:tc>
          <w:tcPr>
            <w:tcW w:w="1458" w:type="dxa"/>
          </w:tcPr>
          <w:p w:rsidR="00DD145D" w:rsidRPr="005D0703" w:rsidRDefault="00DD145D" w:rsidP="00DD145D">
            <w:pPr>
              <w:jc w:val="both"/>
              <w:rPr>
                <w:rFonts w:cs="Times New Roman"/>
                <w:sz w:val="20"/>
                <w:szCs w:val="20"/>
              </w:rPr>
            </w:pPr>
            <w:r w:rsidRPr="005D0703">
              <w:rPr>
                <w:rFonts w:cs="Times New Roman"/>
                <w:sz w:val="20"/>
                <w:szCs w:val="20"/>
              </w:rPr>
              <w:t>Coram :</w:t>
            </w:r>
          </w:p>
        </w:tc>
        <w:tc>
          <w:tcPr>
            <w:tcW w:w="8118" w:type="dxa"/>
          </w:tcPr>
          <w:p w:rsidR="00DD145D" w:rsidRPr="005D0703" w:rsidRDefault="00DD145D" w:rsidP="00DD145D">
            <w:pPr>
              <w:jc w:val="both"/>
              <w:rPr>
                <w:rFonts w:cs="Times New Roman"/>
                <w:sz w:val="20"/>
                <w:szCs w:val="20"/>
              </w:rPr>
            </w:pPr>
            <w:r w:rsidRPr="005D0703">
              <w:rPr>
                <w:rFonts w:cs="Times New Roman"/>
                <w:sz w:val="20"/>
                <w:szCs w:val="20"/>
                <w:u w:val="single"/>
                <w:lang w:val="en-US"/>
              </w:rPr>
              <w:t>McLachlin C.J. and Deschamps and Fish JJ.</w:t>
            </w:r>
          </w:p>
          <w:p w:rsidR="00DD145D" w:rsidRPr="005D0703" w:rsidRDefault="00DD145D" w:rsidP="00DD145D">
            <w:pPr>
              <w:jc w:val="both"/>
              <w:rPr>
                <w:rFonts w:cs="Times New Roman"/>
                <w:sz w:val="20"/>
                <w:szCs w:val="20"/>
                <w:u w:val="single"/>
              </w:rPr>
            </w:pPr>
          </w:p>
        </w:tc>
      </w:tr>
      <w:tr w:rsidR="00DD145D" w:rsidRPr="00C04C40" w:rsidTr="00DD145D">
        <w:trPr>
          <w:cantSplit/>
        </w:trPr>
        <w:tc>
          <w:tcPr>
            <w:tcW w:w="9576" w:type="dxa"/>
            <w:gridSpan w:val="2"/>
          </w:tcPr>
          <w:p w:rsidR="00DD145D" w:rsidRPr="005D0703" w:rsidRDefault="00DD145D" w:rsidP="00DD145D">
            <w:pPr>
              <w:ind w:firstLine="720"/>
              <w:jc w:val="both"/>
              <w:rPr>
                <w:rFonts w:cs="Times New Roman"/>
                <w:sz w:val="20"/>
                <w:szCs w:val="20"/>
              </w:rPr>
            </w:pPr>
            <w:r w:rsidRPr="005D0703">
              <w:rPr>
                <w:rFonts w:cs="Times New Roman"/>
                <w:sz w:val="20"/>
                <w:szCs w:val="20"/>
              </w:rPr>
              <w:t>The application for leave to appeal from the judgment of the Court of Appeal for British Columbia (Vancouver), Number CA038510, 2011 BCCA 276, dated June 15, 2011, dismissed with costs.</w:t>
            </w:r>
          </w:p>
          <w:p w:rsidR="00DD145D" w:rsidRPr="005D0703" w:rsidRDefault="00DD145D" w:rsidP="00DD145D">
            <w:pPr>
              <w:jc w:val="both"/>
              <w:rPr>
                <w:rFonts w:cs="Times New Roman"/>
                <w:sz w:val="20"/>
                <w:szCs w:val="20"/>
              </w:rPr>
            </w:pPr>
          </w:p>
          <w:p w:rsidR="00DD145D" w:rsidRPr="005D0703" w:rsidRDefault="00DD145D" w:rsidP="00DD145D">
            <w:pPr>
              <w:ind w:firstLine="720"/>
              <w:jc w:val="both"/>
              <w:rPr>
                <w:rFonts w:cs="Times New Roman"/>
                <w:sz w:val="20"/>
                <w:szCs w:val="20"/>
                <w:lang w:val="fr-CA"/>
              </w:rPr>
            </w:pPr>
            <w:r w:rsidRPr="005D0703">
              <w:rPr>
                <w:rFonts w:cs="Times New Roman"/>
                <w:sz w:val="20"/>
                <w:szCs w:val="20"/>
                <w:lang w:val="fr-CA"/>
              </w:rPr>
              <w:t>La demande d’autorisation d’appel de l’arrêt de la Cour d’appel de la Colombie-Britannique (Vancouver), numéro CA038510, 2011 BCCA 276, daté du 15 juin 2011, est rejetée avec dépens.</w:t>
            </w:r>
          </w:p>
        </w:tc>
      </w:tr>
    </w:tbl>
    <w:p w:rsidR="00814F7A" w:rsidRPr="005D0703" w:rsidRDefault="00814F7A" w:rsidP="00814F7A">
      <w:pPr>
        <w:rPr>
          <w:rFonts w:cs="Times New Roman"/>
          <w:sz w:val="20"/>
          <w:szCs w:val="20"/>
          <w:lang w:val="fr-CA"/>
        </w:rPr>
      </w:pPr>
    </w:p>
    <w:p w:rsidR="00814F7A" w:rsidRPr="005D0703" w:rsidRDefault="00814F7A" w:rsidP="00814F7A">
      <w:pPr>
        <w:rPr>
          <w:rFonts w:cs="Times New Roman"/>
          <w:sz w:val="20"/>
          <w:szCs w:val="20"/>
          <w:u w:val="single"/>
        </w:rPr>
      </w:pPr>
      <w:r w:rsidRPr="005D0703">
        <w:rPr>
          <w:rFonts w:cs="Times New Roman"/>
          <w:sz w:val="20"/>
          <w:szCs w:val="20"/>
          <w:u w:val="single"/>
        </w:rPr>
        <w:t>CASE SUMMARY</w:t>
      </w:r>
    </w:p>
    <w:p w:rsidR="00814F7A" w:rsidRPr="005D0703" w:rsidRDefault="00814F7A" w:rsidP="00814F7A">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Family law — Custody — Joint custody — Parties awarded joint custody of two children of the marriage — Mother suspecting father sexually abused daughter — What test should be applied by Courts in divorce and custody proceedings to determine risk of future harm when allegations of sexual abuse arise? — Whether courts should engage in a risk of future harm assessment, within the context of determining the best interest of children, even if past abuse has not been proven on a balance of probabilities?</w:t>
            </w:r>
          </w:p>
          <w:p w:rsidR="00814F7A" w:rsidRPr="005D0703" w:rsidRDefault="00814F7A" w:rsidP="00814F7A">
            <w:pPr>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The parties were married in 2002 and separated in 2007.  Their two daughters are nine and six years of age and they have resided primarily with their mother since the date of separation.  The mother had concerns about the father’s access because of his physical disabilities.  He had lost both of his legs in a car accident in 1999.  The father obtained access by court order.  The mother claimed that the elder daughter manifested bizarre behaviour following visits with the father and she suspected that he had sexually abused her.  The daughter was taken for counselling and the mother reported her suspicions to the Ministry of Children and Family Development.  No child protection proceedings were commenced but the mother did obtain an order to have the father’s access supervised.  The mother also brought a picture of a naked female figure the daughter had drawn in 2008 to various counsellors, the R.C.M.P. and the Ministry.  The R.C.M.P. interviewed the daughter twice but did not recommend that any charges be brought.  The daughter was also seen by a child psychologist, a clinical psychologist, an art therapist and was medically examined for signs of abuse.  The daughter did not disclose any abuse until May 2009, when she told a teacher and a social worker </w:t>
            </w:r>
            <w:proofErr w:type="gramStart"/>
            <w:r w:rsidRPr="005D0703">
              <w:rPr>
                <w:rFonts w:eastAsia="Calibri" w:cs="Times New Roman"/>
                <w:sz w:val="20"/>
                <w:szCs w:val="20"/>
              </w:rPr>
              <w:t>that</w:t>
            </w:r>
            <w:proofErr w:type="gramEnd"/>
            <w:r w:rsidRPr="005D0703">
              <w:rPr>
                <w:rFonts w:eastAsia="Calibri" w:cs="Times New Roman"/>
                <w:sz w:val="20"/>
                <w:szCs w:val="20"/>
              </w:rPr>
              <w:t xml:space="preserve"> two and a half years earlier, her father had touched her inappropriately.  The father’s access was discontinued.  The mother’s action for custody, property division and support was expedited.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October 13,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British Columbia</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(Brooke J.)</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Parties awarded joint custody of children with primary residence to mother.  Father awarded reasonable access.  </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June 15,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Court of Appeal for British Columbia (Vancouver)</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(Donald, Groberman and Garson JJ.A.)</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Appeal dismissed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September 12,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Application for leave to appeal filed</w:t>
            </w:r>
          </w:p>
          <w:p w:rsidR="00814F7A" w:rsidRPr="005D0703" w:rsidRDefault="00814F7A" w:rsidP="00814F7A">
            <w:pPr>
              <w:jc w:val="both"/>
              <w:rPr>
                <w:rFonts w:eastAsia="Calibri" w:cs="Times New Roman"/>
                <w:sz w:val="20"/>
                <w:szCs w:val="20"/>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6" style="width:2in;height:1pt" o:hrpct="0" o:hralign="center" o:hrstd="t" o:hrnoshade="t" o:hr="t" fillcolor="black [3213]" stroked="f"/>
        </w:pict>
      </w:r>
    </w:p>
    <w:p w:rsidR="00814F7A" w:rsidRPr="005D0703" w:rsidRDefault="00814F7A" w:rsidP="00814F7A">
      <w:pPr>
        <w:rPr>
          <w:rFonts w:cs="Times New Roman"/>
          <w:sz w:val="20"/>
          <w:szCs w:val="20"/>
        </w:rPr>
      </w:pPr>
    </w:p>
    <w:p w:rsidR="00814F7A" w:rsidRPr="005D0703" w:rsidRDefault="00814F7A" w:rsidP="00814F7A">
      <w:pPr>
        <w:rPr>
          <w:rFonts w:cs="Times New Roman"/>
          <w:sz w:val="20"/>
          <w:szCs w:val="20"/>
          <w:u w:val="single"/>
          <w:lang w:val="fr-CA"/>
        </w:rPr>
      </w:pPr>
      <w:r w:rsidRPr="005D0703">
        <w:rPr>
          <w:rFonts w:cs="Times New Roman"/>
          <w:sz w:val="20"/>
          <w:szCs w:val="20"/>
          <w:u w:val="single"/>
          <w:lang w:val="fr-CA"/>
        </w:rPr>
        <w:t>RÉSUMÉ DE L’AFFAIRE</w:t>
      </w:r>
    </w:p>
    <w:p w:rsidR="00814F7A" w:rsidRPr="005D0703" w:rsidRDefault="00814F7A" w:rsidP="00814F7A">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Droit de la famille — Garde — Garde conjointe — Les parties se sont vu accorder la garde conjointe de deux enfants du mariage — La mère soupçonnait le père d’avoir agressé sexuellement leur fille — Quel critère les tribunaux devraient</w:t>
            </w:r>
            <w:r w:rsidRPr="005D0703">
              <w:rPr>
                <w:rFonts w:eastAsia="Calibri" w:cs="Times New Roman"/>
                <w:sz w:val="20"/>
                <w:szCs w:val="20"/>
                <w:lang w:val="fr-CA"/>
              </w:rPr>
              <w:noBreakHyphen/>
              <w:t>ils appliquer dans les instances de divorce et de garde pour déterminer le risque de préjudice futur lorsqu’il y a des allégations de violence sexuelle? — Les tribunaux devraient</w:t>
            </w:r>
            <w:r w:rsidRPr="005D0703">
              <w:rPr>
                <w:rFonts w:eastAsia="Calibri" w:cs="Times New Roman"/>
                <w:sz w:val="20"/>
                <w:szCs w:val="20"/>
                <w:lang w:val="fr-CA"/>
              </w:rPr>
              <w:noBreakHyphen/>
              <w:t>ils faire une évaluation du risque de préjudice futur, dans le contexte de la détermination de l’intérêt des enfants, même si la violence passée n’a pas été prouvée selon la prépondérance des probabilités?</w:t>
            </w:r>
          </w:p>
          <w:p w:rsidR="00814F7A" w:rsidRPr="005D0703" w:rsidRDefault="00814F7A" w:rsidP="00814F7A">
            <w:pPr>
              <w:jc w:val="both"/>
              <w:rPr>
                <w:rFonts w:eastAsia="Calibri" w:cs="Times New Roman"/>
                <w:sz w:val="20"/>
                <w:szCs w:val="20"/>
                <w:lang w:val="fr-CA"/>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Les parties se sont mariées en 2002 et se sont séparées en 2007.  Leurs deux filles sont âgées de neuf ans et de six ans et elles ont vécu principalement avec leur mère depuis la date de la séparation.  La mère s’inquiétait de l’accès du père en raison des ses déficiences physiques.  Il avait perdu ses deux jambes dans un accident d’automobile en 1999.  Le père a obtenu l’accès par ordonnance de la cour.  La mère a allégué que sa fille aînée manifestait un comportement bizarre après ses visites avec son père et elle soupçonnait celui</w:t>
            </w:r>
            <w:r w:rsidRPr="005D0703">
              <w:rPr>
                <w:rFonts w:eastAsia="Calibri" w:cs="Times New Roman"/>
                <w:sz w:val="20"/>
                <w:szCs w:val="20"/>
                <w:lang w:val="fr-CA"/>
              </w:rPr>
              <w:noBreakHyphen/>
              <w:t>ci de l’avoir agressée sexuellement.  La fille a été amenée en consultation et la mère a signalé ses soupçons au Ministry of Children and Family Development.  Aucune instance en protection de l’enfance n’a été introduite, mais la mère a néanmoins obtenu une ordonnance pour que l’accès du père soit supervisé.  La mère a également apporté l’image d’un personnage féminin nu que sa fille avait dessiné en 2008 à divers conseillers, à la GRC et au ministère.  La GRC a rencontré la fille en entrevue à deux reprises, mais n’a pas recommandé que des accusations soient portées.  La fille a également été vue par une psychologue pour enfants, une psychologue clinicienne et une art</w:t>
            </w:r>
            <w:r w:rsidRPr="005D0703">
              <w:rPr>
                <w:rFonts w:eastAsia="Calibri" w:cs="Times New Roman"/>
                <w:sz w:val="20"/>
                <w:szCs w:val="20"/>
                <w:lang w:val="fr-CA"/>
              </w:rPr>
              <w:noBreakHyphen/>
              <w:t>thérapeute et elle a été examinée par un médecin pour savoir si elle présentait des signes de violence.  Ce n’est qu’en mai 2009 que la fille a révélé qu’elle avait été l’objet d’agression, lorsqu’elle a dit à une enseignante et à une travailleuse sociale que deux ans et demi auparavant, son père lui avait fait des attouchements.  Le père s’est alors vu refuser l’accès.  L’instruction de l’action de la mère pour avoir la garde, le partage des biens et une pension alimentaire a été accélérée.</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13 octobre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de la Colombie</w:t>
            </w:r>
            <w:r w:rsidRPr="005D0703">
              <w:rPr>
                <w:rFonts w:eastAsia="Calibri" w:cs="Times New Roman"/>
                <w:sz w:val="20"/>
                <w:szCs w:val="20"/>
                <w:lang w:val="fr-CA"/>
              </w:rPr>
              <w:noBreakHyphen/>
              <w:t>Britannique</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Brooke)</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Les parties se voient accorder la garde conjointe des enfants avec résidence principale chez la mère.  Le père se voit accorder un accès raisonnable.  </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15 juin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d’appel de la Colombie</w:t>
            </w:r>
            <w:r w:rsidRPr="005D0703">
              <w:rPr>
                <w:rFonts w:eastAsia="Calibri" w:cs="Times New Roman"/>
                <w:sz w:val="20"/>
                <w:szCs w:val="20"/>
                <w:lang w:val="fr-CA"/>
              </w:rPr>
              <w:noBreakHyphen/>
              <w:t>Britannique (Vancouver)</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(Juges Donald, Groberman et Garson)</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Appel rejeté</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12 septembre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814F7A" w:rsidRPr="005D0703" w:rsidRDefault="00814F7A" w:rsidP="00814F7A">
            <w:pPr>
              <w:jc w:val="both"/>
              <w:rPr>
                <w:rFonts w:eastAsia="Calibri" w:cs="Times New Roman"/>
                <w:sz w:val="20"/>
                <w:szCs w:val="20"/>
                <w:lang w:val="fr-CA"/>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7" style="width:2in;height:1pt" o:hrpct="0" o:hralign="center" o:hrstd="t" o:hrnoshade="t" o:hr="t" fillcolor="black [3213]" stroked="f"/>
        </w:pict>
      </w:r>
    </w:p>
    <w:p w:rsidR="00814F7A" w:rsidRPr="005D0703" w:rsidRDefault="00814F7A" w:rsidP="00814F7A">
      <w:pPr>
        <w:rPr>
          <w:rFonts w:cs="Times New Roman"/>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145D" w:rsidRPr="005D0703" w:rsidTr="00DD145D">
        <w:trPr>
          <w:cantSplit/>
        </w:trPr>
        <w:tc>
          <w:tcPr>
            <w:tcW w:w="1458" w:type="dxa"/>
          </w:tcPr>
          <w:p w:rsidR="00DD145D" w:rsidRPr="005D0703" w:rsidRDefault="00DD145D" w:rsidP="00DD145D">
            <w:pPr>
              <w:jc w:val="both"/>
              <w:rPr>
                <w:rFonts w:cs="Times New Roman"/>
                <w:sz w:val="20"/>
                <w:szCs w:val="20"/>
              </w:rPr>
            </w:pPr>
            <w:r w:rsidRPr="005D0703">
              <w:rPr>
                <w:rFonts w:cs="Times New Roman"/>
                <w:b/>
                <w:sz w:val="20"/>
                <w:szCs w:val="20"/>
                <w:lang w:val="fr-CA"/>
              </w:rPr>
              <w:t>34432</w:t>
            </w:r>
          </w:p>
          <w:p w:rsidR="00DD145D" w:rsidRPr="005D0703" w:rsidRDefault="00DD145D" w:rsidP="00DD145D">
            <w:pPr>
              <w:jc w:val="both"/>
              <w:rPr>
                <w:rFonts w:cs="Times New Roman"/>
                <w:b/>
                <w:sz w:val="20"/>
                <w:szCs w:val="20"/>
                <w:lang w:val="fr-CA"/>
              </w:rPr>
            </w:pPr>
          </w:p>
        </w:tc>
        <w:tc>
          <w:tcPr>
            <w:tcW w:w="8118" w:type="dxa"/>
          </w:tcPr>
          <w:p w:rsidR="00DD145D" w:rsidRPr="005D0703" w:rsidRDefault="00DD145D" w:rsidP="00DD145D">
            <w:pPr>
              <w:jc w:val="both"/>
              <w:rPr>
                <w:rFonts w:cs="Times New Roman"/>
                <w:sz w:val="20"/>
                <w:szCs w:val="20"/>
              </w:rPr>
            </w:pPr>
            <w:r w:rsidRPr="005D0703">
              <w:rPr>
                <w:rFonts w:cs="Times New Roman"/>
                <w:b/>
                <w:sz w:val="20"/>
                <w:szCs w:val="20"/>
                <w:u w:val="single"/>
                <w:lang w:val="en-US"/>
              </w:rPr>
              <w:t>Children's Aid Society of the Regional Municipality of Waterloo v. Child and Family Services Review Board, D.D.</w:t>
            </w:r>
            <w:r w:rsidRPr="005D0703">
              <w:rPr>
                <w:rFonts w:cs="Times New Roman"/>
                <w:sz w:val="20"/>
                <w:szCs w:val="20"/>
              </w:rPr>
              <w:t xml:space="preserve"> (Ont.) (Civil) (By Leave)</w:t>
            </w:r>
          </w:p>
          <w:p w:rsidR="00DD145D" w:rsidRPr="005D0703" w:rsidRDefault="00DD145D" w:rsidP="00DD145D">
            <w:pPr>
              <w:jc w:val="both"/>
              <w:rPr>
                <w:rFonts w:cs="Times New Roman"/>
                <w:sz w:val="20"/>
                <w:szCs w:val="20"/>
              </w:rPr>
            </w:pPr>
          </w:p>
        </w:tc>
      </w:tr>
      <w:tr w:rsidR="00DD145D" w:rsidRPr="005D0703" w:rsidTr="00DD145D">
        <w:trPr>
          <w:cantSplit/>
        </w:trPr>
        <w:tc>
          <w:tcPr>
            <w:tcW w:w="1458" w:type="dxa"/>
          </w:tcPr>
          <w:p w:rsidR="00DD145D" w:rsidRPr="005D0703" w:rsidRDefault="00DD145D" w:rsidP="00DD145D">
            <w:pPr>
              <w:jc w:val="both"/>
              <w:rPr>
                <w:rFonts w:cs="Times New Roman"/>
                <w:sz w:val="20"/>
                <w:szCs w:val="20"/>
              </w:rPr>
            </w:pPr>
            <w:r w:rsidRPr="005D0703">
              <w:rPr>
                <w:rFonts w:cs="Times New Roman"/>
                <w:sz w:val="20"/>
                <w:szCs w:val="20"/>
              </w:rPr>
              <w:t>Coram :</w:t>
            </w:r>
          </w:p>
        </w:tc>
        <w:tc>
          <w:tcPr>
            <w:tcW w:w="8118" w:type="dxa"/>
          </w:tcPr>
          <w:p w:rsidR="00DD145D" w:rsidRPr="005D0703" w:rsidRDefault="00DD145D" w:rsidP="00DD145D">
            <w:pPr>
              <w:jc w:val="both"/>
              <w:rPr>
                <w:rFonts w:cs="Times New Roman"/>
                <w:sz w:val="20"/>
                <w:szCs w:val="20"/>
              </w:rPr>
            </w:pPr>
            <w:r w:rsidRPr="005D0703">
              <w:rPr>
                <w:rFonts w:cs="Times New Roman"/>
                <w:sz w:val="20"/>
                <w:szCs w:val="20"/>
                <w:u w:val="single"/>
                <w:lang w:val="en-US"/>
              </w:rPr>
              <w:t>McLachlin C.J. and Rothstein and Moldaver JJ.</w:t>
            </w:r>
          </w:p>
          <w:p w:rsidR="00DD145D" w:rsidRPr="005D0703" w:rsidRDefault="00DD145D" w:rsidP="00DD145D">
            <w:pPr>
              <w:jc w:val="both"/>
              <w:rPr>
                <w:rFonts w:cs="Times New Roman"/>
                <w:sz w:val="20"/>
                <w:szCs w:val="20"/>
                <w:u w:val="single"/>
              </w:rPr>
            </w:pPr>
          </w:p>
        </w:tc>
      </w:tr>
      <w:tr w:rsidR="00DD145D" w:rsidRPr="00C04C40" w:rsidTr="00DD145D">
        <w:trPr>
          <w:cantSplit/>
        </w:trPr>
        <w:tc>
          <w:tcPr>
            <w:tcW w:w="9576" w:type="dxa"/>
            <w:gridSpan w:val="2"/>
          </w:tcPr>
          <w:p w:rsidR="00DD145D" w:rsidRPr="005D0703" w:rsidRDefault="00DD145D" w:rsidP="00DD145D">
            <w:pPr>
              <w:ind w:firstLine="720"/>
              <w:jc w:val="both"/>
              <w:rPr>
                <w:rFonts w:cs="Times New Roman"/>
                <w:sz w:val="20"/>
                <w:szCs w:val="20"/>
              </w:rPr>
            </w:pPr>
            <w:r w:rsidRPr="005D0703">
              <w:rPr>
                <w:rFonts w:cs="Times New Roman"/>
                <w:sz w:val="20"/>
                <w:szCs w:val="20"/>
              </w:rPr>
              <w:t>The application for leave to appeal from the judgment of the Court of Appeal for Ontario, Number C52944, 2011 ONCA 441, dated June 9, 2011, is dismissed with costs to the respondent D.D.</w:t>
            </w:r>
          </w:p>
          <w:p w:rsidR="00DD145D" w:rsidRPr="005D0703" w:rsidRDefault="00DD145D" w:rsidP="00DD145D">
            <w:pPr>
              <w:jc w:val="both"/>
              <w:rPr>
                <w:rFonts w:cs="Times New Roman"/>
                <w:sz w:val="20"/>
                <w:szCs w:val="20"/>
              </w:rPr>
            </w:pPr>
          </w:p>
          <w:p w:rsidR="00DD145D" w:rsidRPr="005D0703" w:rsidRDefault="00DD145D" w:rsidP="00DD145D">
            <w:pPr>
              <w:ind w:firstLine="720"/>
              <w:jc w:val="both"/>
              <w:rPr>
                <w:rFonts w:cs="Times New Roman"/>
                <w:sz w:val="20"/>
                <w:szCs w:val="20"/>
                <w:lang w:val="fr-CA"/>
              </w:rPr>
            </w:pPr>
            <w:r w:rsidRPr="005D0703">
              <w:rPr>
                <w:rFonts w:cs="Times New Roman"/>
                <w:sz w:val="20"/>
                <w:szCs w:val="20"/>
                <w:lang w:val="fr-CA"/>
              </w:rPr>
              <w:t>La demande d’autorisation d’appel de l’arrêt de la Cour d’appel de l’Ontario, numéro C52944, 2011 ONCA 441, daté du 9 juin 2011, est rejetée avec dépens en faveur de l’intimée D.D.</w:t>
            </w:r>
          </w:p>
        </w:tc>
      </w:tr>
    </w:tbl>
    <w:p w:rsidR="00814F7A" w:rsidRPr="005D0703" w:rsidRDefault="00814F7A" w:rsidP="00814F7A">
      <w:pPr>
        <w:rPr>
          <w:rFonts w:cs="Times New Roman"/>
          <w:sz w:val="20"/>
          <w:szCs w:val="20"/>
          <w:lang w:val="fr-CA"/>
        </w:rPr>
      </w:pPr>
    </w:p>
    <w:p w:rsidR="00814F7A" w:rsidRPr="005D0703" w:rsidRDefault="00814F7A" w:rsidP="00814F7A">
      <w:pPr>
        <w:rPr>
          <w:rFonts w:cs="Times New Roman"/>
          <w:sz w:val="20"/>
          <w:szCs w:val="20"/>
          <w:u w:val="single"/>
        </w:rPr>
      </w:pPr>
      <w:r w:rsidRPr="005D0703">
        <w:rPr>
          <w:rFonts w:cs="Times New Roman"/>
          <w:sz w:val="20"/>
          <w:szCs w:val="20"/>
          <w:u w:val="single"/>
        </w:rPr>
        <w:t>CASE SUMMARY</w:t>
      </w:r>
    </w:p>
    <w:p w:rsidR="00814F7A" w:rsidRPr="005D0703" w:rsidRDefault="00814F7A" w:rsidP="00814F7A">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mallCaps/>
                <w:sz w:val="20"/>
                <w:szCs w:val="20"/>
              </w:rPr>
            </w:pPr>
            <w:r w:rsidRPr="005D0703">
              <w:rPr>
                <w:rFonts w:eastAsia="Calibri" w:cs="Times New Roman"/>
                <w:smallCaps/>
                <w:sz w:val="20"/>
                <w:szCs w:val="20"/>
              </w:rPr>
              <w:t>(Publication ban in case)</w:t>
            </w:r>
          </w:p>
          <w:p w:rsidR="00814F7A" w:rsidRPr="005D0703" w:rsidRDefault="00814F7A" w:rsidP="00814F7A">
            <w:pPr>
              <w:jc w:val="both"/>
              <w:rPr>
                <w:rFonts w:eastAsia="Calibri" w:cs="Times New Roman"/>
                <w:sz w:val="20"/>
                <w:szCs w:val="20"/>
              </w:rPr>
            </w:pPr>
          </w:p>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Administrative law — Boards and Tribunals — Jurisdiction — Complaints to Child and Family Services Board — Meaning of “an issue that has been decided by the court or is before the court” in s. 68.1(8) of </w:t>
            </w:r>
            <w:r w:rsidRPr="005D0703">
              <w:rPr>
                <w:rFonts w:eastAsia="Calibri" w:cs="Times New Roman"/>
                <w:i/>
                <w:sz w:val="20"/>
                <w:szCs w:val="20"/>
              </w:rPr>
              <w:t>Child and Family Services Act</w:t>
            </w:r>
            <w:r w:rsidRPr="005D0703">
              <w:rPr>
                <w:rFonts w:eastAsia="Calibri" w:cs="Times New Roman"/>
                <w:sz w:val="20"/>
                <w:szCs w:val="20"/>
              </w:rPr>
              <w:t xml:space="preserve">, R.S.O. 1990, c. C.11 — Whether Court of Appeal failed to recognize duty of the court to consider the best interests of the child at every stage of a protection application proceeding, including interim and final decisions — Whether Court of Appeal erred in law when it held that complaints had not been decided by the court and were not before the court — Whether Court of Appeal misinterpreted “decided by the court or is before the court” — Whether Court of Appeal erred in law by creating a system of concurrent jurisdiction of the Child and Family Services Board and courts and thereby effectively removed s. 68.1(8) from the </w:t>
            </w:r>
            <w:r w:rsidRPr="005D0703">
              <w:rPr>
                <w:rFonts w:eastAsia="Calibri" w:cs="Times New Roman"/>
                <w:i/>
                <w:sz w:val="20"/>
                <w:szCs w:val="20"/>
              </w:rPr>
              <w:t>Child and Family Services Act</w:t>
            </w:r>
            <w:r w:rsidRPr="005D0703">
              <w:rPr>
                <w:rFonts w:eastAsia="Calibri" w:cs="Times New Roman"/>
                <w:sz w:val="20"/>
                <w:szCs w:val="20"/>
              </w:rPr>
              <w:t>?</w:t>
            </w:r>
          </w:p>
          <w:p w:rsidR="00DD145D" w:rsidRPr="005D0703" w:rsidRDefault="00DD145D" w:rsidP="00814F7A">
            <w:pPr>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bookmarkStart w:id="3" w:name="PNUM_6"/>
            <w:r w:rsidRPr="005D0703">
              <w:rPr>
                <w:rFonts w:eastAsia="Calibri" w:cs="Times New Roman"/>
                <w:sz w:val="20"/>
                <w:szCs w:val="20"/>
              </w:rPr>
              <w:t>In February 2009, the applicant apprehended</w:t>
            </w:r>
            <w:bookmarkEnd w:id="3"/>
            <w:r w:rsidRPr="005D0703">
              <w:rPr>
                <w:rFonts w:eastAsia="Calibri" w:cs="Times New Roman"/>
                <w:sz w:val="20"/>
                <w:szCs w:val="20"/>
              </w:rPr>
              <w:t xml:space="preserve"> D.D.'s two children.  While protection application and temporary care and custody proceedings progressed before the Ontario Court of Justice, D.D. commenced a separate application before the Child and Family Services Review Board raising complaints about how she and her children were being treated by the CAS.  The CAS brought a motion before the Child and Family Services Review Board arguing that the Board had no jurisdiction to hear D.D.’s complaints because all matters related to the apprehension of D.D.’s children were the subject of the protection application before the Ontario Court of Justice.  The Board held that it had jurisdiction.  It heard D.D.’s complaints and ordered the applicant to provide D.D. with reasons for decisions it had made regarding the placement and care of her children.  The applicant sought judicial review.  The Ontario Superior Court of Justice set aside the Board’s decision on the basis it lacked jurisdiction to hear D.D.’s complaints.  The Board and D.D. appealed.  The Court of Appeal granted an appeal and reinstated the Board’s decision.</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July 20, 2010</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Ontario Superior Court of Justice</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(Jennings, Koke, Wilton-Siegel JJ.)</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2010 ONSC 3328</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Application to set aside decision of Child and Family Services Board granted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June 9,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Court of Appeal for Ontario</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(MacPherson, MacFarland, Epstein JJ.A.)</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2011 ONCA 441; C52944</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Appeal allowed, decision of Child and Family Services Board reinstated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September 7,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Application for leave to appeal filed</w:t>
            </w:r>
          </w:p>
          <w:p w:rsidR="00814F7A" w:rsidRPr="005D0703" w:rsidRDefault="00814F7A" w:rsidP="00814F7A">
            <w:pPr>
              <w:jc w:val="both"/>
              <w:rPr>
                <w:rFonts w:eastAsia="Calibri" w:cs="Times New Roman"/>
                <w:sz w:val="20"/>
                <w:szCs w:val="20"/>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8" style="width:2in;height:1pt" o:hrpct="0" o:hralign="center" o:hrstd="t" o:hrnoshade="t" o:hr="t" fillcolor="black [3213]" stroked="f"/>
        </w:pict>
      </w:r>
    </w:p>
    <w:p w:rsidR="00814F7A" w:rsidRPr="005D0703" w:rsidRDefault="00814F7A" w:rsidP="00814F7A">
      <w:pPr>
        <w:rPr>
          <w:rFonts w:cs="Times New Roman"/>
          <w:sz w:val="20"/>
          <w:szCs w:val="20"/>
        </w:rPr>
      </w:pPr>
    </w:p>
    <w:p w:rsidR="00814F7A" w:rsidRPr="005D0703" w:rsidRDefault="00814F7A" w:rsidP="00814F7A">
      <w:pPr>
        <w:rPr>
          <w:rFonts w:cs="Times New Roman"/>
          <w:sz w:val="20"/>
          <w:szCs w:val="20"/>
          <w:u w:val="single"/>
          <w:lang w:val="fr-CA"/>
        </w:rPr>
      </w:pPr>
      <w:r w:rsidRPr="005D0703">
        <w:rPr>
          <w:rFonts w:cs="Times New Roman"/>
          <w:sz w:val="20"/>
          <w:szCs w:val="20"/>
          <w:u w:val="single"/>
          <w:lang w:val="fr-CA"/>
        </w:rPr>
        <w:t>RÉSUMÉ DE L’AFFAIRE</w:t>
      </w:r>
    </w:p>
    <w:p w:rsidR="00814F7A" w:rsidRPr="005D0703" w:rsidRDefault="00814F7A" w:rsidP="00814F7A">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14F7A" w:rsidRPr="00C04C40" w:rsidTr="00814F7A">
        <w:tc>
          <w:tcPr>
            <w:tcW w:w="5000" w:type="pct"/>
            <w:gridSpan w:val="3"/>
          </w:tcPr>
          <w:p w:rsidR="00814F7A" w:rsidRPr="005D0703" w:rsidRDefault="00814F7A" w:rsidP="00814F7A">
            <w:pPr>
              <w:jc w:val="both"/>
              <w:rPr>
                <w:rFonts w:eastAsia="Calibri" w:cs="Times New Roman"/>
                <w:smallCaps/>
                <w:sz w:val="20"/>
                <w:szCs w:val="20"/>
                <w:lang w:val="fr-FR"/>
              </w:rPr>
            </w:pPr>
            <w:r w:rsidRPr="005D0703">
              <w:rPr>
                <w:rFonts w:eastAsia="Calibri" w:cs="Times New Roman"/>
                <w:smallCaps/>
                <w:sz w:val="20"/>
                <w:szCs w:val="20"/>
                <w:lang w:val="fr-FR"/>
              </w:rPr>
              <w:t>(ordonnance de non</w:t>
            </w:r>
            <w:r w:rsidRPr="005D0703">
              <w:rPr>
                <w:rFonts w:eastAsia="Calibri" w:cs="Times New Roman"/>
                <w:smallCaps/>
                <w:sz w:val="20"/>
                <w:szCs w:val="20"/>
                <w:lang w:val="fr-FR"/>
              </w:rPr>
              <w:noBreakHyphen/>
              <w:t>publication dans le dossier)</w:t>
            </w:r>
          </w:p>
          <w:p w:rsidR="00814F7A" w:rsidRPr="005D0703" w:rsidRDefault="00814F7A" w:rsidP="00814F7A">
            <w:pPr>
              <w:jc w:val="both"/>
              <w:rPr>
                <w:rFonts w:eastAsia="Calibri" w:cs="Times New Roman"/>
                <w:sz w:val="20"/>
                <w:szCs w:val="20"/>
                <w:lang w:val="fr-FR"/>
              </w:rPr>
            </w:pPr>
          </w:p>
          <w:p w:rsidR="00814F7A" w:rsidRPr="005D0703" w:rsidRDefault="00814F7A" w:rsidP="00814F7A">
            <w:pPr>
              <w:jc w:val="both"/>
              <w:rPr>
                <w:rFonts w:eastAsia="Calibri" w:cs="Times New Roman"/>
                <w:sz w:val="20"/>
                <w:szCs w:val="20"/>
                <w:lang w:val="fr-FR"/>
              </w:rPr>
            </w:pPr>
            <w:r w:rsidRPr="005D0703">
              <w:rPr>
                <w:rFonts w:eastAsia="Calibri" w:cs="Times New Roman"/>
                <w:sz w:val="20"/>
                <w:szCs w:val="20"/>
                <w:lang w:val="fr-FR"/>
              </w:rPr>
              <w:t xml:space="preserve">Droit administratif — Organismes et tribunaux administratifs — Compétence — Plaintes adressées à la Commission de révision des services à l’enfance et à la famille — Sens de l’expression « une question que le tribunal a tranchée ou dont il est saisi » qui figure au par. 68.1(8) de la </w:t>
            </w:r>
            <w:r w:rsidRPr="005D0703">
              <w:rPr>
                <w:rFonts w:eastAsia="Calibri" w:cs="Times New Roman"/>
                <w:i/>
                <w:sz w:val="20"/>
                <w:szCs w:val="20"/>
                <w:lang w:val="fr-FR"/>
              </w:rPr>
              <w:t>Loi sur les services à l’enfance et à la famille</w:t>
            </w:r>
            <w:r w:rsidRPr="005D0703">
              <w:rPr>
                <w:rFonts w:eastAsia="Calibri" w:cs="Times New Roman"/>
                <w:sz w:val="20"/>
                <w:szCs w:val="20"/>
                <w:lang w:val="fr-FR"/>
              </w:rPr>
              <w:t>, L.R.O. 1990, ch. C.11 — La Cour d’appel a</w:t>
            </w:r>
            <w:r w:rsidRPr="005D0703">
              <w:rPr>
                <w:rFonts w:eastAsia="Calibri" w:cs="Times New Roman"/>
                <w:sz w:val="20"/>
                <w:szCs w:val="20"/>
                <w:lang w:val="fr-FR"/>
              </w:rPr>
              <w:noBreakHyphen/>
              <w:t>t</w:t>
            </w:r>
            <w:r w:rsidRPr="005D0703">
              <w:rPr>
                <w:rFonts w:eastAsia="Calibri" w:cs="Times New Roman"/>
                <w:sz w:val="20"/>
                <w:szCs w:val="20"/>
                <w:lang w:val="fr-FR"/>
              </w:rPr>
              <w:noBreakHyphen/>
              <w:t>elle omis de reconnaître l’obligation du tribunal de prendre en considération l’intérêt véritable de l’enfant à toutes les étapes d’une procédure de protection de l’enfance, y compris les décisions provisoires et définitives? — La Cour d’appel a</w:t>
            </w:r>
            <w:r w:rsidRPr="005D0703">
              <w:rPr>
                <w:rFonts w:eastAsia="Calibri" w:cs="Times New Roman"/>
                <w:sz w:val="20"/>
                <w:szCs w:val="20"/>
                <w:lang w:val="fr-FR"/>
              </w:rPr>
              <w:noBreakHyphen/>
              <w:t>t</w:t>
            </w:r>
            <w:r w:rsidRPr="005D0703">
              <w:rPr>
                <w:rFonts w:eastAsia="Calibri" w:cs="Times New Roman"/>
                <w:sz w:val="20"/>
                <w:szCs w:val="20"/>
                <w:lang w:val="fr-FR"/>
              </w:rPr>
              <w:noBreakHyphen/>
              <w:t>elle commis une erreur de droit en décidant que le tribunal n’avait pas tranché les plaintes et qu’il n’en était pas saisi? — La Cour d’appel a</w:t>
            </w:r>
            <w:r w:rsidRPr="005D0703">
              <w:rPr>
                <w:rFonts w:eastAsia="Calibri" w:cs="Times New Roman"/>
                <w:sz w:val="20"/>
                <w:szCs w:val="20"/>
                <w:lang w:val="fr-FR"/>
              </w:rPr>
              <w:noBreakHyphen/>
              <w:t>t</w:t>
            </w:r>
            <w:r w:rsidRPr="005D0703">
              <w:rPr>
                <w:rFonts w:eastAsia="Calibri" w:cs="Times New Roman"/>
                <w:sz w:val="20"/>
                <w:szCs w:val="20"/>
                <w:lang w:val="fr-FR"/>
              </w:rPr>
              <w:noBreakHyphen/>
              <w:t>elle mal interprété l’expression « question que le tribunal a tranchée ou dont il est saisi »? — La Cour d’appel a</w:t>
            </w:r>
            <w:r w:rsidRPr="005D0703">
              <w:rPr>
                <w:rFonts w:eastAsia="Calibri" w:cs="Times New Roman"/>
                <w:sz w:val="20"/>
                <w:szCs w:val="20"/>
                <w:lang w:val="fr-FR"/>
              </w:rPr>
              <w:noBreakHyphen/>
              <w:t>t</w:t>
            </w:r>
            <w:r w:rsidRPr="005D0703">
              <w:rPr>
                <w:rFonts w:eastAsia="Calibri" w:cs="Times New Roman"/>
                <w:sz w:val="20"/>
                <w:szCs w:val="20"/>
                <w:lang w:val="fr-FR"/>
              </w:rPr>
              <w:noBreakHyphen/>
              <w:t xml:space="preserve">elle commis une erreur de droit en instaurant un régime dans lequel la Commission de révision des services à l’enfance et à la famille et les tribunaux jouissent d’une compétence concurrente, écartant ainsi effectivement le par. 68.1(8) de la </w:t>
            </w:r>
            <w:r w:rsidRPr="005D0703">
              <w:rPr>
                <w:rFonts w:eastAsia="Calibri" w:cs="Times New Roman"/>
                <w:i/>
                <w:sz w:val="20"/>
                <w:szCs w:val="20"/>
                <w:lang w:val="fr-FR"/>
              </w:rPr>
              <w:t>Loi sur les services à l’enfance et à la famille</w:t>
            </w:r>
            <w:r w:rsidRPr="005D0703">
              <w:rPr>
                <w:rFonts w:eastAsia="Calibri" w:cs="Times New Roman"/>
                <w:sz w:val="20"/>
                <w:szCs w:val="20"/>
                <w:lang w:val="fr-FR"/>
              </w:rPr>
              <w:t>?</w:t>
            </w:r>
          </w:p>
          <w:p w:rsidR="00DD145D" w:rsidRPr="005D0703" w:rsidRDefault="00DD145D" w:rsidP="00814F7A">
            <w:pPr>
              <w:jc w:val="both"/>
              <w:rPr>
                <w:rFonts w:eastAsia="Calibri" w:cs="Times New Roman"/>
                <w:sz w:val="20"/>
                <w:szCs w:val="20"/>
                <w:lang w:val="fr-FR"/>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FR"/>
              </w:rPr>
              <w:t xml:space="preserve">La demanderesse a retiré de leur foyer les deux enfants de D.D. en février 2009.  Alors que la procédures de protection de l’enfance et celle de garde et de soins provisoires devant la Cour supérieure de justice de l’Ontario suivaient leur cours, D.D. a présenté à la Commission de révision des services à l’enfance et à la famille une demande distincte pour se plaindre du traitement que leur réservait, à elle et à ses enfants, la Société d’aide à l’enfance (SAE).  La SAE a déposé une requête à la Cour supérieure de justice de l’Ontario, soutenant que la Commission n’était pas compétente pour entendre les plaintes de D.D. parce que toutes les questions liées au retrait des enfants de D.D. de leur foyer faisaient l’objet de la procédure de protection de l’enfance devant la Cour supérieure de justice de l’Ontario.  La Commission s’est déclarée compétente.  Elle a entendu les plaintes de D.D. et ordonné à la demanderesse de fournir à D.D. les motifs de ses décisions concernant le placement de ses enfants et les personnes à qui ils ont été confiés.  La demanderesse a sollicité la révision judiciaire de cette décision.  La Cour supérieure de justice de l’Ontario a annulé la décision de la Commission, au motif que cette dernière n’avait pas compétence pour entendre les plaintes de D.D.  La Commission et D.D. se sont pourvues en appel.  La Cour d’appel a accueilli l’appel et rétabli la décision de la Commission.  </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 juillet 2010</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(Juges Jennings, Koke et Wilton</w:t>
            </w:r>
            <w:r w:rsidRPr="005D0703">
              <w:rPr>
                <w:rFonts w:eastAsia="Calibri" w:cs="Times New Roman"/>
                <w:sz w:val="20"/>
                <w:szCs w:val="20"/>
              </w:rPr>
              <w:noBreakHyphen/>
              <w:t>Siegel)</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2010 ONSC 3328</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lang w:val="fr-FR"/>
              </w:rPr>
            </w:pPr>
            <w:r w:rsidRPr="005D0703">
              <w:rPr>
                <w:rFonts w:eastAsia="Calibri" w:cs="Times New Roman"/>
                <w:sz w:val="20"/>
                <w:szCs w:val="20"/>
                <w:lang w:val="fr-CA"/>
              </w:rPr>
              <w:t>Demande d’a</w:t>
            </w:r>
            <w:r w:rsidRPr="005D0703">
              <w:rPr>
                <w:rFonts w:eastAsia="Calibri" w:cs="Times New Roman"/>
                <w:sz w:val="20"/>
                <w:szCs w:val="20"/>
                <w:lang w:val="fr-FR"/>
              </w:rPr>
              <w:t xml:space="preserve">nnulation de la décision de la Commission de révision des services à l’enfance et à la famille accueillie </w:t>
            </w:r>
          </w:p>
          <w:p w:rsidR="00814F7A" w:rsidRPr="005D0703" w:rsidRDefault="00814F7A" w:rsidP="00814F7A">
            <w:pPr>
              <w:jc w:val="both"/>
              <w:rPr>
                <w:rFonts w:eastAsia="Calibri" w:cs="Times New Roman"/>
                <w:sz w:val="20"/>
                <w:szCs w:val="20"/>
                <w:lang w:val="fr-FR"/>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FR"/>
              </w:rPr>
            </w:pPr>
            <w:r w:rsidRPr="005D0703">
              <w:rPr>
                <w:rFonts w:eastAsia="Calibri" w:cs="Times New Roman"/>
                <w:sz w:val="20"/>
                <w:szCs w:val="20"/>
                <w:lang w:val="fr-FR"/>
              </w:rPr>
              <w:t>9 juin 2011</w:t>
            </w:r>
          </w:p>
          <w:p w:rsidR="00814F7A" w:rsidRPr="005D0703" w:rsidRDefault="00814F7A" w:rsidP="00814F7A">
            <w:pPr>
              <w:jc w:val="both"/>
              <w:rPr>
                <w:rFonts w:eastAsia="Calibri" w:cs="Times New Roman"/>
                <w:sz w:val="20"/>
                <w:szCs w:val="20"/>
                <w:lang w:val="fr-FR"/>
              </w:rPr>
            </w:pPr>
            <w:r w:rsidRPr="005D0703">
              <w:rPr>
                <w:rFonts w:eastAsia="Calibri" w:cs="Times New Roman"/>
                <w:sz w:val="20"/>
                <w:szCs w:val="20"/>
                <w:lang w:val="fr-FR"/>
              </w:rPr>
              <w:t>Cour d’appel de l’Ontario</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(Juges MacPherson, MacFarland et Epstein)</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2011 ONCA 441; C52944</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FR"/>
              </w:rPr>
            </w:pPr>
            <w:r w:rsidRPr="005D0703">
              <w:rPr>
                <w:rFonts w:eastAsia="Calibri" w:cs="Times New Roman"/>
                <w:sz w:val="20"/>
                <w:szCs w:val="20"/>
                <w:lang w:val="fr-FR"/>
              </w:rPr>
              <w:t>Appel accueilli et décision de la Commission de révision des services à l’enfance et à la famille, rétablie</w:t>
            </w:r>
          </w:p>
          <w:p w:rsidR="00814F7A" w:rsidRPr="005D0703" w:rsidRDefault="00814F7A" w:rsidP="00814F7A">
            <w:pPr>
              <w:jc w:val="both"/>
              <w:rPr>
                <w:rFonts w:eastAsia="Calibri" w:cs="Times New Roman"/>
                <w:sz w:val="20"/>
                <w:szCs w:val="20"/>
                <w:lang w:val="fr-FR"/>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FR"/>
              </w:rPr>
            </w:pPr>
            <w:r w:rsidRPr="005D0703">
              <w:rPr>
                <w:rFonts w:eastAsia="Calibri" w:cs="Times New Roman"/>
                <w:sz w:val="20"/>
                <w:szCs w:val="20"/>
                <w:lang w:val="fr-FR"/>
              </w:rPr>
              <w:t>7 septembre 2011</w:t>
            </w:r>
          </w:p>
          <w:p w:rsidR="00814F7A" w:rsidRPr="005D0703" w:rsidRDefault="00814F7A" w:rsidP="00814F7A">
            <w:pPr>
              <w:jc w:val="both"/>
              <w:rPr>
                <w:rFonts w:eastAsia="Calibri" w:cs="Times New Roman"/>
                <w:sz w:val="20"/>
                <w:szCs w:val="20"/>
                <w:lang w:val="fr-FR"/>
              </w:rPr>
            </w:pPr>
            <w:r w:rsidRPr="005D0703">
              <w:rPr>
                <w:rFonts w:eastAsia="Calibri" w:cs="Times New Roman"/>
                <w:sz w:val="20"/>
                <w:szCs w:val="20"/>
                <w:lang w:val="fr-FR"/>
              </w:rPr>
              <w:t>Cour suprême du Canada</w:t>
            </w:r>
          </w:p>
        </w:tc>
        <w:tc>
          <w:tcPr>
            <w:tcW w:w="243" w:type="pct"/>
          </w:tcPr>
          <w:p w:rsidR="00814F7A" w:rsidRPr="005D0703" w:rsidRDefault="00814F7A" w:rsidP="00814F7A">
            <w:pPr>
              <w:jc w:val="both"/>
              <w:rPr>
                <w:rFonts w:eastAsia="Calibri" w:cs="Times New Roman"/>
                <w:sz w:val="20"/>
                <w:szCs w:val="20"/>
                <w:lang w:val="fr-FR"/>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Demande d’autorisation d’appel déposée </w:t>
            </w:r>
          </w:p>
          <w:p w:rsidR="00814F7A" w:rsidRPr="005D0703" w:rsidRDefault="00814F7A" w:rsidP="00814F7A">
            <w:pPr>
              <w:jc w:val="both"/>
              <w:rPr>
                <w:rFonts w:eastAsia="Calibri" w:cs="Times New Roman"/>
                <w:sz w:val="20"/>
                <w:szCs w:val="20"/>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79" style="width:2in;height:1pt" o:hrpct="0" o:hralign="center" o:hrstd="t" o:hrnoshade="t" o:hr="t" fillcolor="black [3213]" stroked="f"/>
        </w:pict>
      </w:r>
    </w:p>
    <w:p w:rsidR="00814F7A" w:rsidRPr="005D0703" w:rsidRDefault="00814F7A" w:rsidP="00814F7A">
      <w:pPr>
        <w:rPr>
          <w:rFonts w:cs="Times New Roman"/>
          <w:sz w:val="20"/>
          <w:szCs w:val="20"/>
        </w:rPr>
      </w:pPr>
    </w:p>
    <w:tbl>
      <w:tblPr>
        <w:tblStyle w:val="TableGrid1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145D" w:rsidRPr="005D0703" w:rsidTr="00DD145D">
        <w:trPr>
          <w:cantSplit/>
        </w:trPr>
        <w:tc>
          <w:tcPr>
            <w:tcW w:w="1458" w:type="dxa"/>
          </w:tcPr>
          <w:p w:rsidR="00DD145D" w:rsidRPr="005D0703" w:rsidRDefault="00DD145D" w:rsidP="00DD145D">
            <w:pPr>
              <w:jc w:val="both"/>
              <w:rPr>
                <w:rFonts w:cs="Times New Roman"/>
                <w:sz w:val="20"/>
                <w:szCs w:val="20"/>
              </w:rPr>
            </w:pPr>
            <w:r w:rsidRPr="005D0703">
              <w:rPr>
                <w:rFonts w:cs="Times New Roman"/>
                <w:b/>
                <w:sz w:val="20"/>
                <w:szCs w:val="20"/>
                <w:lang w:val="fr-CA"/>
              </w:rPr>
              <w:t>34433</w:t>
            </w:r>
          </w:p>
          <w:p w:rsidR="00DD145D" w:rsidRPr="005D0703" w:rsidRDefault="00DD145D" w:rsidP="00DD145D">
            <w:pPr>
              <w:jc w:val="both"/>
              <w:rPr>
                <w:rFonts w:cs="Times New Roman"/>
                <w:b/>
                <w:sz w:val="20"/>
                <w:szCs w:val="20"/>
                <w:lang w:val="fr-CA"/>
              </w:rPr>
            </w:pPr>
          </w:p>
        </w:tc>
        <w:tc>
          <w:tcPr>
            <w:tcW w:w="8118" w:type="dxa"/>
          </w:tcPr>
          <w:p w:rsidR="00DD145D" w:rsidRPr="005D0703" w:rsidRDefault="00DD145D" w:rsidP="00DD145D">
            <w:pPr>
              <w:jc w:val="both"/>
              <w:rPr>
                <w:rFonts w:cs="Times New Roman"/>
                <w:sz w:val="20"/>
                <w:szCs w:val="20"/>
              </w:rPr>
            </w:pPr>
            <w:r w:rsidRPr="005D0703">
              <w:rPr>
                <w:rFonts w:cs="Times New Roman"/>
                <w:b/>
                <w:sz w:val="20"/>
                <w:szCs w:val="20"/>
                <w:u w:val="single"/>
                <w:lang w:val="en-US"/>
              </w:rPr>
              <w:t>Dimitri Burcevski, Voodoo Enterprises Ltd. v. Monyca Ambrozic</w:t>
            </w:r>
            <w:r w:rsidRPr="005D0703">
              <w:rPr>
                <w:rFonts w:cs="Times New Roman"/>
                <w:sz w:val="20"/>
                <w:szCs w:val="20"/>
              </w:rPr>
              <w:t xml:space="preserve"> (Alta.) (Civil) (By Leave)</w:t>
            </w:r>
          </w:p>
          <w:p w:rsidR="00DD145D" w:rsidRPr="005D0703" w:rsidRDefault="00DD145D" w:rsidP="00DD145D">
            <w:pPr>
              <w:jc w:val="both"/>
              <w:rPr>
                <w:rFonts w:cs="Times New Roman"/>
                <w:sz w:val="20"/>
                <w:szCs w:val="20"/>
              </w:rPr>
            </w:pPr>
          </w:p>
        </w:tc>
      </w:tr>
      <w:tr w:rsidR="00DD145D" w:rsidRPr="005D0703" w:rsidTr="00DD145D">
        <w:trPr>
          <w:cantSplit/>
        </w:trPr>
        <w:tc>
          <w:tcPr>
            <w:tcW w:w="1458" w:type="dxa"/>
          </w:tcPr>
          <w:p w:rsidR="00DD145D" w:rsidRPr="005D0703" w:rsidRDefault="00DD145D" w:rsidP="00DD145D">
            <w:pPr>
              <w:jc w:val="both"/>
              <w:rPr>
                <w:rFonts w:cs="Times New Roman"/>
                <w:sz w:val="20"/>
                <w:szCs w:val="20"/>
              </w:rPr>
            </w:pPr>
            <w:r w:rsidRPr="005D0703">
              <w:rPr>
                <w:rFonts w:cs="Times New Roman"/>
                <w:sz w:val="20"/>
                <w:szCs w:val="20"/>
              </w:rPr>
              <w:t>Coram :</w:t>
            </w:r>
          </w:p>
        </w:tc>
        <w:tc>
          <w:tcPr>
            <w:tcW w:w="8118" w:type="dxa"/>
          </w:tcPr>
          <w:p w:rsidR="00DD145D" w:rsidRPr="005D0703" w:rsidRDefault="00DD145D" w:rsidP="00DD145D">
            <w:pPr>
              <w:jc w:val="both"/>
              <w:rPr>
                <w:rFonts w:cs="Times New Roman"/>
                <w:sz w:val="20"/>
                <w:szCs w:val="20"/>
              </w:rPr>
            </w:pPr>
            <w:r w:rsidRPr="005D0703">
              <w:rPr>
                <w:rFonts w:cs="Times New Roman"/>
                <w:sz w:val="20"/>
                <w:szCs w:val="20"/>
                <w:u w:val="single"/>
                <w:lang w:val="en-US"/>
              </w:rPr>
              <w:t>McLachlin C.J. and Deschamps and Fish JJ.</w:t>
            </w:r>
          </w:p>
          <w:p w:rsidR="00DD145D" w:rsidRPr="005D0703" w:rsidRDefault="00DD145D" w:rsidP="00DD145D">
            <w:pPr>
              <w:jc w:val="both"/>
              <w:rPr>
                <w:rFonts w:cs="Times New Roman"/>
                <w:sz w:val="20"/>
                <w:szCs w:val="20"/>
                <w:u w:val="single"/>
              </w:rPr>
            </w:pPr>
          </w:p>
        </w:tc>
      </w:tr>
      <w:tr w:rsidR="00DD145D" w:rsidRPr="00C04C40" w:rsidTr="00DD145D">
        <w:trPr>
          <w:cantSplit/>
        </w:trPr>
        <w:tc>
          <w:tcPr>
            <w:tcW w:w="9576" w:type="dxa"/>
            <w:gridSpan w:val="2"/>
          </w:tcPr>
          <w:p w:rsidR="00DD145D" w:rsidRPr="005D0703" w:rsidRDefault="00DD145D" w:rsidP="00DD145D">
            <w:pPr>
              <w:ind w:firstLine="720"/>
              <w:jc w:val="both"/>
              <w:rPr>
                <w:rFonts w:cs="Times New Roman"/>
                <w:sz w:val="20"/>
                <w:szCs w:val="20"/>
              </w:rPr>
            </w:pPr>
            <w:r w:rsidRPr="005D0703">
              <w:rPr>
                <w:rFonts w:cs="Times New Roman"/>
                <w:sz w:val="20"/>
                <w:szCs w:val="20"/>
              </w:rPr>
              <w:t>The application for leave to appeal from the judgment of the Court of Appeal of Alberta (Calgary), Numbers 1001-0251-AC and 1101-0024-AC, 2011 ABCA 178, dated June 15, 2011, is dismissed with costs according to the Tariff.</w:t>
            </w:r>
          </w:p>
          <w:p w:rsidR="00DD145D" w:rsidRPr="005D0703" w:rsidRDefault="00DD145D" w:rsidP="00DD145D">
            <w:pPr>
              <w:jc w:val="both"/>
              <w:rPr>
                <w:rFonts w:cs="Times New Roman"/>
                <w:sz w:val="20"/>
                <w:szCs w:val="20"/>
              </w:rPr>
            </w:pPr>
          </w:p>
          <w:p w:rsidR="00DD145D" w:rsidRPr="005D0703" w:rsidRDefault="00DD145D" w:rsidP="00DD145D">
            <w:pPr>
              <w:ind w:firstLine="720"/>
              <w:jc w:val="both"/>
              <w:rPr>
                <w:rFonts w:cs="Times New Roman"/>
                <w:sz w:val="20"/>
                <w:szCs w:val="20"/>
                <w:lang w:val="fr-CA"/>
              </w:rPr>
            </w:pPr>
            <w:r w:rsidRPr="005D0703">
              <w:rPr>
                <w:rFonts w:cs="Times New Roman"/>
                <w:sz w:val="20"/>
                <w:szCs w:val="20"/>
                <w:lang w:val="fr-CA"/>
              </w:rPr>
              <w:t>La demande d’autorisation d’appel de l’arrêt de la Cour d'appel de l’Alberta (Calgary), numéros 1001-0251-AC et 1101-0024-AC, 2011 ABCA 178, daté du 15 juin 2011, est rejetée avec dépens dont le montant sera établi conformément au Tarif.</w:t>
            </w:r>
          </w:p>
        </w:tc>
      </w:tr>
    </w:tbl>
    <w:p w:rsidR="00814F7A" w:rsidRPr="005D0703" w:rsidRDefault="00814F7A" w:rsidP="00814F7A">
      <w:pPr>
        <w:rPr>
          <w:rFonts w:cs="Times New Roman"/>
          <w:sz w:val="20"/>
          <w:szCs w:val="20"/>
          <w:lang w:val="fr-CA"/>
        </w:rPr>
      </w:pPr>
    </w:p>
    <w:p w:rsidR="00814F7A" w:rsidRPr="005D0703" w:rsidRDefault="00814F7A" w:rsidP="00814F7A">
      <w:pPr>
        <w:rPr>
          <w:rFonts w:cs="Times New Roman"/>
          <w:sz w:val="20"/>
          <w:szCs w:val="20"/>
          <w:u w:val="single"/>
        </w:rPr>
      </w:pPr>
      <w:r w:rsidRPr="005D0703">
        <w:rPr>
          <w:rFonts w:cs="Times New Roman"/>
          <w:sz w:val="20"/>
          <w:szCs w:val="20"/>
          <w:u w:val="single"/>
        </w:rPr>
        <w:t>CASE SUMMARY</w:t>
      </w:r>
    </w:p>
    <w:p w:rsidR="00814F7A" w:rsidRPr="005D0703" w:rsidRDefault="00814F7A" w:rsidP="00814F7A">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Evidence — Perjury — Applicants commencing action for retrial based on perjury and fraud after Respondent awarded interest in Applicants’ land — What of the gap in the law as to spoliation and/or destruction-denial situations? — Is the re-trial test for perjury-fraud or concealed evidence fraud the “practically conclusive” test or the “relate to the foundation of the decision material, but not necessarily a determining factor in the result” test? — Is reasonable diligence unnecessary by the victim of concealed and perjured evidence where evidence was solely in the knowledge, power and/or duty of the fraudster? — Is abuse of process a ground for denial of re-litigation given the abusiveness of perjury, evidentiary suppression and of the “fooled you” argument?</w:t>
            </w:r>
          </w:p>
          <w:p w:rsidR="00814F7A" w:rsidRPr="005D0703" w:rsidRDefault="00814F7A" w:rsidP="00814F7A">
            <w:pPr>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Mr. Burcevski and Ms. Ambrozic were married in Macedonia in 1970 and later moved to Calgary.  Mr. Burcevski bought and sold several rental properties during the course of the marriage.  Ms. Ambrozic did not contribute financially to the properties but several were registered in her name or were held jointly with Mr. Burcevski.  She also assisted with repairs, restoration, care-taking and record keeping for the properties but received no compensation.  The parties divorced in 1978 and Ms. Ambrozic waived her claim to maintenance.  In 1999, she learned that she had a potential interest in the properties that were acquired during the marriage.  In 2001, she commenced a legal action against Mr. Burcevski based on claims for damages for personal injury, compensation and an interest in property.  She was awarded, </w:t>
            </w:r>
            <w:r w:rsidRPr="005D0703">
              <w:rPr>
                <w:rFonts w:eastAsia="Calibri" w:cs="Times New Roman"/>
                <w:i/>
                <w:sz w:val="20"/>
                <w:szCs w:val="20"/>
              </w:rPr>
              <w:t>inter alia</w:t>
            </w:r>
            <w:r w:rsidRPr="005D0703">
              <w:rPr>
                <w:rFonts w:eastAsia="Calibri" w:cs="Times New Roman"/>
                <w:sz w:val="20"/>
                <w:szCs w:val="20"/>
              </w:rPr>
              <w:t>, a one third interest in a farm property owned by the Applicants, the only property dating from the time of marriage.  This decision upheld on appeal.  In 2009, Mr. Burcevski launched an action, alleging that Ms. Ambrozic’s award was based on fraud, perjured evidence, and suppressed evidence.  He alleged that Ms. Ambrozic did receive a property settlement at the time of divorce and that two properties had been transferred into her name.  Ms. Ambrozic applied for summary judgment.</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September 9, 2008</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Court of Queen’s Bench of Alberta</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(Kent J)</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 xml:space="preserve">2010 ABQB 570 </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Respondent’s motion for summary judgment granted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June 15,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Court of Appeal of Alberta (Calgary)</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(Conrad, Berger and McDonald JJ.A.)</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2011 ABCA 178</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Applicants’ appeal dismissed</w:t>
            </w:r>
          </w:p>
          <w:p w:rsidR="00814F7A" w:rsidRPr="005D0703" w:rsidRDefault="00814F7A" w:rsidP="00814F7A">
            <w:pPr>
              <w:jc w:val="both"/>
              <w:rPr>
                <w:rFonts w:eastAsia="Calibri" w:cs="Times New Roman"/>
                <w:sz w:val="20"/>
                <w:szCs w:val="20"/>
              </w:rPr>
            </w:pP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September 14,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Application for leave to appeal filed</w:t>
            </w:r>
          </w:p>
          <w:p w:rsidR="00814F7A" w:rsidRPr="005D0703" w:rsidRDefault="00814F7A" w:rsidP="00814F7A">
            <w:pPr>
              <w:jc w:val="both"/>
              <w:rPr>
                <w:rFonts w:eastAsia="Calibri" w:cs="Times New Roman"/>
                <w:sz w:val="20"/>
                <w:szCs w:val="20"/>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80" style="width:2in;height:1pt" o:hrpct="0" o:hralign="center" o:hrstd="t" o:hrnoshade="t" o:hr="t" fillcolor="black [3213]" stroked="f"/>
        </w:pict>
      </w:r>
    </w:p>
    <w:p w:rsidR="00814F7A" w:rsidRPr="005D0703" w:rsidRDefault="00814F7A" w:rsidP="00814F7A">
      <w:pPr>
        <w:rPr>
          <w:rFonts w:cs="Times New Roman"/>
          <w:sz w:val="20"/>
          <w:szCs w:val="20"/>
        </w:rPr>
      </w:pPr>
    </w:p>
    <w:p w:rsidR="00814F7A" w:rsidRPr="005D0703" w:rsidRDefault="00814F7A" w:rsidP="00814F7A">
      <w:pPr>
        <w:rPr>
          <w:rFonts w:cs="Times New Roman"/>
          <w:sz w:val="20"/>
          <w:szCs w:val="20"/>
          <w:u w:val="single"/>
          <w:lang w:val="fr-CA"/>
        </w:rPr>
      </w:pPr>
      <w:r w:rsidRPr="005D0703">
        <w:rPr>
          <w:rFonts w:cs="Times New Roman"/>
          <w:sz w:val="20"/>
          <w:szCs w:val="20"/>
          <w:u w:val="single"/>
          <w:lang w:val="fr-CA"/>
        </w:rPr>
        <w:t>RÉSUMÉ DE L’AFFAIRE</w:t>
      </w:r>
    </w:p>
    <w:p w:rsidR="00814F7A" w:rsidRPr="005D0703" w:rsidRDefault="00814F7A" w:rsidP="00814F7A">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Preuve — Parjure — Les demandeurs ont intenté une action pour la tenue d’un nouveau procès fondée sur le parjure et la fraude après que l’intimée s’est vu accorder un intérêt dans la terre des demandeurs — Qu’en est</w:t>
            </w:r>
            <w:r w:rsidRPr="005D0703">
              <w:rPr>
                <w:rFonts w:eastAsia="Calibri" w:cs="Times New Roman"/>
                <w:sz w:val="20"/>
                <w:szCs w:val="20"/>
                <w:lang w:val="fr-CA"/>
              </w:rPr>
              <w:noBreakHyphen/>
              <w:t>il de la lacune dans la loi en ce qui a trait aux situations de destruction ou de déni de la preuve? — Le critère applicable pour ordonner un nouveau procès pour fraude sous forme de parjure ou de dissimulation de la preuve est</w:t>
            </w:r>
            <w:r w:rsidRPr="005D0703">
              <w:rPr>
                <w:rFonts w:eastAsia="Calibri" w:cs="Times New Roman"/>
                <w:sz w:val="20"/>
                <w:szCs w:val="20"/>
                <w:lang w:val="fr-CA"/>
              </w:rPr>
              <w:noBreakHyphen/>
              <w:t>il que la fraude a eu un effet déterminant ou qu’elle a plutôt un lien avec le fondement de ce qui a servi pour rendre la décision, sans nécessairement avoir été déterminante quant au résultat? — Est</w:t>
            </w:r>
            <w:r w:rsidRPr="005D0703">
              <w:rPr>
                <w:rFonts w:eastAsia="Calibri" w:cs="Times New Roman"/>
                <w:sz w:val="20"/>
                <w:szCs w:val="20"/>
                <w:lang w:val="fr-CA"/>
              </w:rPr>
              <w:noBreakHyphen/>
              <w:t>il inutile que la victime de preuve dissimulée ou de faux témoignage ait fait preuve de diligence raisonnable lorsque la preuve ne relevait que de la connaissance, du pouvoir ou de l’obligation du fraudeur? — L’abus de procédure est</w:t>
            </w:r>
            <w:r w:rsidRPr="005D0703">
              <w:rPr>
                <w:rFonts w:eastAsia="Calibri" w:cs="Times New Roman"/>
                <w:sz w:val="20"/>
                <w:szCs w:val="20"/>
                <w:lang w:val="fr-CA"/>
              </w:rPr>
              <w:noBreakHyphen/>
              <w:t>il un motif pour refuser la nouvelle instruction, vu le caractère abusif du parjure, de la suppression de la preuve et de l’argument trompeur?</w:t>
            </w:r>
          </w:p>
          <w:p w:rsidR="00814F7A" w:rsidRPr="005D0703" w:rsidRDefault="00814F7A" w:rsidP="00814F7A">
            <w:pPr>
              <w:jc w:val="both"/>
              <w:rPr>
                <w:rFonts w:eastAsia="Calibri" w:cs="Times New Roman"/>
                <w:sz w:val="20"/>
                <w:szCs w:val="20"/>
                <w:lang w:val="fr-CA"/>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Monsieur Burcevski et Mme Ambrozic se sont mariés en Macédoine en 1970 et ont déménagé plus tard à Calgary.  Monsieur Burcevski a acheté et vendu plusieurs biens locatifs au cours du mariage.  Madame Ambrozic n’a pas contribué financièrement aux biens, mais plusieurs d’entre eux ont été inscrits à son nom ou étaient détenus conjointement avec M. Burcevski.  Elle a également apporté son aide aux réparations, à la remise en état, à l’entretien et à la tenue de dossiers des biens, sans toutefois être rémunérée pour ces services.  Les parties se sont divorcées en 1978 et Mme Ambrozic a renoncé à demander une pension alimentaire.  En 1999, elle a appris qu’elle avait un intérêt éventuel à l’égard des biens qui avaient été acquis pendant le mariage.  En 2001, elle a intenté une action en justice contre M. Burcevski sur le fondement de demandes en dommages</w:t>
            </w:r>
            <w:r w:rsidRPr="005D0703">
              <w:rPr>
                <w:rFonts w:eastAsia="Calibri" w:cs="Times New Roman"/>
                <w:sz w:val="20"/>
                <w:szCs w:val="20"/>
                <w:lang w:val="fr-CA"/>
              </w:rPr>
              <w:noBreakHyphen/>
              <w:t>intérêts pour préjudice personnel, indemnisation et un intérêt de propriété.  Elle s’est vue accorder notamment un intérêt pour un tiers à l’égard d’un bien agricole qui appartenait aux demandeurs, le seul bien qui datait de l’époque du mariage.  Cette décision a été confirmée en appel.  En 2009, M. Burcevski a intenté une action, alléguant que le jugement en faveur de Mme Ambrozic était fondé sur une fraude, un faux témoignage et une preuve dissimulée.  Il a allégué que Mme Ambrozic avait obtenu un règlement quant aux biens au moment du divorce et que deux biens lui a avaient été transférés.  Mme Ambrozic a présenté une demande de jugement sommaire.</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9 septembre 2008</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du Banc de la Reine de l’Alberta</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Kent)</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2010 ABQB 570 </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 en jugement sommaire de l’intimée, accueillie</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15 juin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d’appel de l’Alberta (Calgary)</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(Juges Conrad, Berger et McDonald)</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2011 ABCA 178</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Appel des demandeurs, rejeté</w:t>
            </w:r>
          </w:p>
          <w:p w:rsidR="00814F7A" w:rsidRPr="005D0703" w:rsidRDefault="00814F7A" w:rsidP="00814F7A">
            <w:pPr>
              <w:jc w:val="both"/>
              <w:rPr>
                <w:rFonts w:eastAsia="Calibri" w:cs="Times New Roman"/>
                <w:sz w:val="20"/>
                <w:szCs w:val="20"/>
                <w:lang w:val="fr-CA"/>
              </w:rPr>
            </w:pPr>
          </w:p>
        </w:tc>
      </w:tr>
      <w:tr w:rsidR="00814F7A" w:rsidRPr="005D0703"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14 septembre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 d’autorisation d’appel, rejetée</w:t>
            </w:r>
          </w:p>
          <w:p w:rsidR="00814F7A" w:rsidRPr="005D0703" w:rsidRDefault="00814F7A" w:rsidP="00814F7A">
            <w:pPr>
              <w:jc w:val="both"/>
              <w:rPr>
                <w:rFonts w:eastAsia="Calibri" w:cs="Times New Roman"/>
                <w:sz w:val="20"/>
                <w:szCs w:val="20"/>
                <w:lang w:val="fr-CA"/>
              </w:rPr>
            </w:pP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81" style="width:2in;height:1pt" o:hrpct="0" o:hralign="center" o:hrstd="t" o:hrnoshade="t" o:hr="t" fillcolor="black [3213]" stroked="f"/>
        </w:pict>
      </w:r>
    </w:p>
    <w:p w:rsidR="00814F7A" w:rsidRPr="005D0703" w:rsidRDefault="00814F7A" w:rsidP="00814F7A">
      <w:pPr>
        <w:rPr>
          <w:rFonts w:cs="Times New Roman"/>
          <w:sz w:val="20"/>
          <w:szCs w:val="20"/>
        </w:rPr>
      </w:pPr>
    </w:p>
    <w:tbl>
      <w:tblPr>
        <w:tblStyle w:val="TableGrid1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1130" w:rsidRPr="005D0703" w:rsidTr="007A0A95">
        <w:trPr>
          <w:cantSplit/>
        </w:trPr>
        <w:tc>
          <w:tcPr>
            <w:tcW w:w="1458" w:type="dxa"/>
          </w:tcPr>
          <w:p w:rsidR="00361130" w:rsidRPr="005D0703" w:rsidRDefault="00361130" w:rsidP="00361130">
            <w:pPr>
              <w:jc w:val="both"/>
              <w:rPr>
                <w:rFonts w:cs="Times New Roman"/>
                <w:sz w:val="20"/>
                <w:szCs w:val="20"/>
              </w:rPr>
            </w:pPr>
            <w:r w:rsidRPr="005D0703">
              <w:rPr>
                <w:rFonts w:cs="Times New Roman"/>
                <w:b/>
                <w:sz w:val="20"/>
                <w:szCs w:val="20"/>
                <w:lang w:val="fr-CA"/>
              </w:rPr>
              <w:t>34437</w:t>
            </w:r>
          </w:p>
          <w:p w:rsidR="00361130" w:rsidRPr="005D0703" w:rsidRDefault="00361130" w:rsidP="00361130">
            <w:pPr>
              <w:jc w:val="both"/>
              <w:rPr>
                <w:rFonts w:cs="Times New Roman"/>
                <w:b/>
                <w:sz w:val="20"/>
                <w:szCs w:val="20"/>
                <w:lang w:val="fr-CA"/>
              </w:rPr>
            </w:pPr>
          </w:p>
        </w:tc>
        <w:tc>
          <w:tcPr>
            <w:tcW w:w="8118" w:type="dxa"/>
          </w:tcPr>
          <w:p w:rsidR="00361130" w:rsidRPr="005D0703" w:rsidRDefault="00361130" w:rsidP="00361130">
            <w:pPr>
              <w:jc w:val="both"/>
              <w:rPr>
                <w:rFonts w:cs="Times New Roman"/>
                <w:sz w:val="20"/>
                <w:szCs w:val="20"/>
              </w:rPr>
            </w:pPr>
            <w:r w:rsidRPr="005D0703">
              <w:rPr>
                <w:rFonts w:cs="Times New Roman"/>
                <w:b/>
                <w:sz w:val="20"/>
                <w:szCs w:val="20"/>
                <w:u w:val="single"/>
                <w:lang w:val="en-US"/>
              </w:rPr>
              <w:t>Sam Nop v. Her Majesty the Queen</w:t>
            </w:r>
            <w:r w:rsidRPr="005D0703">
              <w:rPr>
                <w:rFonts w:cs="Times New Roman"/>
                <w:sz w:val="20"/>
                <w:szCs w:val="20"/>
              </w:rPr>
              <w:t xml:space="preserve"> (Ont.) (Criminal) (By Leave)</w:t>
            </w:r>
          </w:p>
          <w:p w:rsidR="00361130" w:rsidRPr="005D0703" w:rsidRDefault="00361130" w:rsidP="00361130">
            <w:pPr>
              <w:jc w:val="both"/>
              <w:rPr>
                <w:rFonts w:cs="Times New Roman"/>
                <w:sz w:val="20"/>
                <w:szCs w:val="20"/>
              </w:rPr>
            </w:pPr>
          </w:p>
        </w:tc>
      </w:tr>
      <w:tr w:rsidR="00361130" w:rsidRPr="005D0703" w:rsidTr="007A0A95">
        <w:trPr>
          <w:cantSplit/>
        </w:trPr>
        <w:tc>
          <w:tcPr>
            <w:tcW w:w="1458" w:type="dxa"/>
          </w:tcPr>
          <w:p w:rsidR="00361130" w:rsidRPr="005D0703" w:rsidRDefault="00361130" w:rsidP="00361130">
            <w:pPr>
              <w:jc w:val="both"/>
              <w:rPr>
                <w:rFonts w:cs="Times New Roman"/>
                <w:sz w:val="20"/>
                <w:szCs w:val="20"/>
              </w:rPr>
            </w:pPr>
            <w:r w:rsidRPr="005D0703">
              <w:rPr>
                <w:rFonts w:cs="Times New Roman"/>
                <w:sz w:val="20"/>
                <w:szCs w:val="20"/>
              </w:rPr>
              <w:t>Coram :</w:t>
            </w:r>
          </w:p>
        </w:tc>
        <w:tc>
          <w:tcPr>
            <w:tcW w:w="8118" w:type="dxa"/>
          </w:tcPr>
          <w:p w:rsidR="00361130" w:rsidRPr="005D0703" w:rsidRDefault="00361130" w:rsidP="00361130">
            <w:pPr>
              <w:jc w:val="both"/>
              <w:rPr>
                <w:rFonts w:cs="Times New Roman"/>
                <w:sz w:val="20"/>
                <w:szCs w:val="20"/>
              </w:rPr>
            </w:pPr>
            <w:r w:rsidRPr="005D0703">
              <w:rPr>
                <w:rFonts w:cs="Times New Roman"/>
                <w:sz w:val="20"/>
                <w:szCs w:val="20"/>
                <w:u w:val="single"/>
                <w:lang w:val="en-US"/>
              </w:rPr>
              <w:t>McLachlin C.J. and Rothstein and Moldaver JJ.</w:t>
            </w:r>
          </w:p>
          <w:p w:rsidR="00361130" w:rsidRPr="005D0703" w:rsidRDefault="00361130" w:rsidP="00361130">
            <w:pPr>
              <w:jc w:val="both"/>
              <w:rPr>
                <w:rFonts w:cs="Times New Roman"/>
                <w:sz w:val="20"/>
                <w:szCs w:val="20"/>
                <w:u w:val="single"/>
              </w:rPr>
            </w:pPr>
          </w:p>
        </w:tc>
      </w:tr>
      <w:tr w:rsidR="00361130" w:rsidRPr="00C04C40" w:rsidTr="007A0A95">
        <w:trPr>
          <w:cantSplit/>
        </w:trPr>
        <w:tc>
          <w:tcPr>
            <w:tcW w:w="9576" w:type="dxa"/>
            <w:gridSpan w:val="2"/>
          </w:tcPr>
          <w:p w:rsidR="00361130" w:rsidRPr="005D0703" w:rsidRDefault="00361130" w:rsidP="00361130">
            <w:pPr>
              <w:ind w:firstLine="720"/>
              <w:jc w:val="both"/>
              <w:rPr>
                <w:rFonts w:cs="Times New Roman"/>
                <w:sz w:val="20"/>
                <w:szCs w:val="20"/>
              </w:rPr>
            </w:pPr>
            <w:r w:rsidRPr="005D0703">
              <w:rPr>
                <w:rFonts w:cs="Times New Roman"/>
                <w:sz w:val="20"/>
                <w:szCs w:val="20"/>
              </w:rPr>
              <w:t>The motion for an extension of time to serve and file the application for leave to appeal is granted.  The application for leave to appeal from the judgment of the Court of Appeal for Ontario, Number C47289, 2011 ONCA 64, dated January 24, 2011 is dismissed without costs.</w:t>
            </w:r>
          </w:p>
          <w:p w:rsidR="00361130" w:rsidRPr="005D0703" w:rsidRDefault="00361130" w:rsidP="00361130">
            <w:pPr>
              <w:jc w:val="both"/>
              <w:rPr>
                <w:rFonts w:cs="Times New Roman"/>
                <w:sz w:val="20"/>
                <w:szCs w:val="20"/>
              </w:rPr>
            </w:pPr>
          </w:p>
          <w:p w:rsidR="00361130" w:rsidRPr="005D0703" w:rsidRDefault="00361130" w:rsidP="00361130">
            <w:pPr>
              <w:ind w:firstLine="720"/>
              <w:jc w:val="both"/>
              <w:rPr>
                <w:rFonts w:cs="Times New Roman"/>
                <w:sz w:val="20"/>
                <w:szCs w:val="20"/>
                <w:lang w:val="fr-CA"/>
              </w:rPr>
            </w:pPr>
            <w:r w:rsidRPr="005D0703">
              <w:rPr>
                <w:rFonts w:cs="Times New Roman"/>
                <w:sz w:val="20"/>
                <w:szCs w:val="20"/>
                <w:lang w:val="fr-CA"/>
              </w:rPr>
              <w:t>La requête en prorogation du délai de signification et de dépôt de la demande d’autorisation d’appel est accordée. La demande d’autorisation d’appel de l’arrêt de la Cour d’appel de l’Ontario, numéro  C47289, 2011 ONCA 64, daté du 24 janvier 2011, est rejetée sans dépens.</w:t>
            </w:r>
          </w:p>
        </w:tc>
      </w:tr>
    </w:tbl>
    <w:p w:rsidR="00814F7A" w:rsidRPr="005D0703" w:rsidRDefault="00814F7A" w:rsidP="00814F7A">
      <w:pPr>
        <w:rPr>
          <w:rFonts w:cs="Times New Roman"/>
          <w:sz w:val="20"/>
          <w:szCs w:val="20"/>
          <w:lang w:val="fr-CA"/>
        </w:rPr>
      </w:pPr>
    </w:p>
    <w:p w:rsidR="00814F7A" w:rsidRPr="005D0703" w:rsidRDefault="00814F7A" w:rsidP="00814F7A">
      <w:pPr>
        <w:rPr>
          <w:rFonts w:cs="Times New Roman"/>
          <w:sz w:val="20"/>
          <w:szCs w:val="20"/>
          <w:u w:val="single"/>
        </w:rPr>
      </w:pPr>
      <w:r w:rsidRPr="005D0703">
        <w:rPr>
          <w:rFonts w:cs="Times New Roman"/>
          <w:sz w:val="20"/>
          <w:szCs w:val="20"/>
          <w:u w:val="single"/>
        </w:rPr>
        <w:t>CASE SUMMARY</w:t>
      </w:r>
    </w:p>
    <w:p w:rsidR="00814F7A" w:rsidRPr="005D0703" w:rsidRDefault="00814F7A" w:rsidP="00814F7A">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Criminal law — Second degree murder — Evidence — Admissibility — Post</w:t>
            </w:r>
            <w:r w:rsidRPr="005D0703">
              <w:rPr>
                <w:rFonts w:eastAsia="Calibri" w:cs="Times New Roman"/>
                <w:sz w:val="20"/>
                <w:szCs w:val="20"/>
              </w:rPr>
              <w:noBreakHyphen/>
              <w:t xml:space="preserve">offence conduct </w:t>
            </w:r>
            <w:r w:rsidRPr="005D0703">
              <w:rPr>
                <w:rFonts w:eastAsia="Calibri" w:cs="Times New Roman"/>
                <w:sz w:val="20"/>
                <w:szCs w:val="20"/>
              </w:rPr>
              <w:noBreakHyphen/>
              <w:t xml:space="preserve">  </w:t>
            </w:r>
            <w:r w:rsidRPr="005D0703">
              <w:rPr>
                <w:rFonts w:eastAsia="Calibri" w:cs="Times New Roman"/>
                <w:i/>
                <w:sz w:val="20"/>
                <w:szCs w:val="20"/>
              </w:rPr>
              <w:t>Vetrovec</w:t>
            </w:r>
            <w:r w:rsidRPr="005D0703">
              <w:rPr>
                <w:rFonts w:eastAsia="Calibri" w:cs="Times New Roman"/>
                <w:sz w:val="20"/>
                <w:szCs w:val="20"/>
              </w:rPr>
              <w:t xml:space="preserve"> warning — Whether the Court of Appeal erred by concluding that the conduct of the defence did not constitute an effective, binding admission of guilt with respect to the lesser and included offence of manslaughter and that therefore the evidence of the accused’s post</w:t>
            </w:r>
            <w:r w:rsidRPr="005D0703">
              <w:rPr>
                <w:rFonts w:eastAsia="Calibri" w:cs="Times New Roman"/>
                <w:sz w:val="20"/>
                <w:szCs w:val="20"/>
              </w:rPr>
              <w:noBreakHyphen/>
              <w:t xml:space="preserve">event conduct was properly admissible to determine his level of culpability — Whether the Court of Appeal erred in holding that the evidence of a mixed </w:t>
            </w:r>
            <w:r w:rsidRPr="005D0703">
              <w:rPr>
                <w:rFonts w:eastAsia="Calibri" w:cs="Times New Roman"/>
                <w:i/>
                <w:sz w:val="20"/>
                <w:szCs w:val="20"/>
              </w:rPr>
              <w:t>Vetrovec</w:t>
            </w:r>
            <w:r w:rsidRPr="005D0703">
              <w:rPr>
                <w:rFonts w:eastAsia="Calibri" w:cs="Times New Roman"/>
                <w:sz w:val="20"/>
                <w:szCs w:val="20"/>
              </w:rPr>
              <w:t xml:space="preserve"> witness whose evidence was capable of raising a reasonable doubt about the accused’s guilt, was properly subject to an instruction to the jury that independent corroboration should be sought before relying on the evidence</w:t>
            </w:r>
          </w:p>
          <w:p w:rsidR="00814F7A" w:rsidRPr="005D0703" w:rsidRDefault="00814F7A" w:rsidP="00814F7A">
            <w:pPr>
              <w:jc w:val="both"/>
              <w:rPr>
                <w:rFonts w:eastAsia="Calibri" w:cs="Times New Roman"/>
                <w:sz w:val="20"/>
                <w:szCs w:val="20"/>
              </w:rPr>
            </w:pPr>
          </w:p>
        </w:tc>
      </w:tr>
      <w:tr w:rsidR="00814F7A" w:rsidRPr="005D0703" w:rsidTr="00814F7A">
        <w:tc>
          <w:tcPr>
            <w:tcW w:w="5000" w:type="pct"/>
            <w:gridSpan w:val="3"/>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 group of students from Hamilton attended a party in Burlington and were ejected from the party by the victim, Daly.  The Hamilton group returned home, increased their numbers, obtained weapons and drove back to Burlington.  Daly encountered the group as he walked home.  A man ran up behind Daly and dragged him to a grassy area where four other attackers joined in, beating Daly with bats and sticks.  After a minute, four attackers ran away while the fifth remained to deliver more blows. The attackers fled, leaving Daly unconscious.  He was pronounced dead at hospital.  Five individuals were charged in relation to the incident.  One of the five, Hodzic, pleaded guilty to manslaughter at a separate trial.  Another attacker, Papadopoulos, was also found guilty of manslaughter.  Nop, Chak and Mujku all had their manslaughter pleas rejected.  Evidence was admitted that Chak set fire to a bat used in the attack after the incident and that Nop, Chak and Papdopoulos lied to police and encouraged others to do the same.</w:t>
            </w:r>
          </w:p>
          <w:p w:rsidR="00814F7A" w:rsidRPr="005D0703" w:rsidRDefault="00814F7A" w:rsidP="00814F7A">
            <w:pPr>
              <w:jc w:val="both"/>
              <w:rPr>
                <w:rFonts w:eastAsia="Calibri" w:cs="Times New Roman"/>
                <w:sz w:val="20"/>
                <w:szCs w:val="20"/>
              </w:rPr>
            </w:pPr>
          </w:p>
          <w:p w:rsidR="00814F7A" w:rsidRPr="005D0703" w:rsidRDefault="00814F7A" w:rsidP="00814F7A">
            <w:pPr>
              <w:jc w:val="both"/>
              <w:rPr>
                <w:rFonts w:eastAsia="Calibri" w:cs="Times New Roman"/>
                <w:sz w:val="20"/>
                <w:szCs w:val="20"/>
              </w:rPr>
            </w:pPr>
            <w:r w:rsidRPr="005D0703">
              <w:rPr>
                <w:rFonts w:eastAsia="Calibri" w:cs="Times New Roman"/>
                <w:sz w:val="20"/>
                <w:szCs w:val="20"/>
              </w:rPr>
              <w:t>Nop, Chak and Mujku were convicted of second degree murder. Their appeals to the Court of Appeal were dismissed.  Only Nop seeks leave to appeal to the Supreme Court of Canada.</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December 14, 2006</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Ontario Superior Court of Justice</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(Dawson J.)</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Applicant convicted of second degree murder</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January 24,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Court of Appeal for Ontario</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(MacPherson, Sharpe and Juriansz JJ.A.)</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Neutral citation: 2011 ONCA 64</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C47289</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Conviction appeal dismissed</w:t>
            </w:r>
          </w:p>
          <w:p w:rsidR="00814F7A" w:rsidRPr="005D0703" w:rsidRDefault="00814F7A" w:rsidP="00814F7A">
            <w:pPr>
              <w:jc w:val="both"/>
              <w:rPr>
                <w:rFonts w:eastAsia="Calibri" w:cs="Times New Roman"/>
                <w:sz w:val="20"/>
                <w:szCs w:val="20"/>
              </w:rPr>
            </w:pPr>
          </w:p>
        </w:tc>
      </w:tr>
      <w:tr w:rsidR="00814F7A" w:rsidRPr="005D0703" w:rsidTr="00814F7A">
        <w:tc>
          <w:tcPr>
            <w:tcW w:w="2427"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September 19, 2011</w:t>
            </w:r>
          </w:p>
          <w:p w:rsidR="00814F7A" w:rsidRPr="005D0703" w:rsidRDefault="00814F7A" w:rsidP="00814F7A">
            <w:pPr>
              <w:jc w:val="both"/>
              <w:rPr>
                <w:rFonts w:eastAsia="Calibri" w:cs="Times New Roman"/>
                <w:sz w:val="20"/>
                <w:szCs w:val="20"/>
              </w:rPr>
            </w:pPr>
            <w:r w:rsidRPr="005D0703">
              <w:rPr>
                <w:rFonts w:eastAsia="Calibri" w:cs="Times New Roman"/>
                <w:sz w:val="20"/>
                <w:szCs w:val="20"/>
              </w:rPr>
              <w:t>Supreme Court of Canada</w:t>
            </w:r>
          </w:p>
          <w:p w:rsidR="00814F7A" w:rsidRPr="005D0703" w:rsidRDefault="00814F7A" w:rsidP="00814F7A">
            <w:pPr>
              <w:jc w:val="both"/>
              <w:rPr>
                <w:rFonts w:eastAsia="Calibri" w:cs="Times New Roman"/>
                <w:sz w:val="20"/>
                <w:szCs w:val="20"/>
              </w:rPr>
            </w:pPr>
          </w:p>
        </w:tc>
        <w:tc>
          <w:tcPr>
            <w:tcW w:w="243" w:type="pct"/>
          </w:tcPr>
          <w:p w:rsidR="00814F7A" w:rsidRPr="005D0703" w:rsidRDefault="00814F7A" w:rsidP="00814F7A">
            <w:pPr>
              <w:jc w:val="both"/>
              <w:rPr>
                <w:rFonts w:eastAsia="Calibri" w:cs="Times New Roman"/>
                <w:sz w:val="20"/>
                <w:szCs w:val="20"/>
              </w:rPr>
            </w:pPr>
          </w:p>
        </w:tc>
        <w:tc>
          <w:tcPr>
            <w:tcW w:w="2330" w:type="pct"/>
          </w:tcPr>
          <w:p w:rsidR="00814F7A" w:rsidRPr="005D0703" w:rsidRDefault="00814F7A" w:rsidP="00814F7A">
            <w:pPr>
              <w:jc w:val="both"/>
              <w:rPr>
                <w:rFonts w:eastAsia="Calibri" w:cs="Times New Roman"/>
                <w:sz w:val="20"/>
                <w:szCs w:val="20"/>
              </w:rPr>
            </w:pPr>
            <w:r w:rsidRPr="005D0703">
              <w:rPr>
                <w:rFonts w:eastAsia="Calibri" w:cs="Times New Roman"/>
                <w:sz w:val="20"/>
                <w:szCs w:val="20"/>
              </w:rPr>
              <w:t>Motion for extension of time to serve and file the application for leave to appeal and Application for leave to appeal filed</w:t>
            </w: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82" style="width:2in;height:1pt" o:hrpct="0" o:hralign="center" o:hrstd="t" o:hrnoshade="t" o:hr="t" fillcolor="black [3213]" stroked="f"/>
        </w:pict>
      </w:r>
    </w:p>
    <w:p w:rsidR="00814F7A" w:rsidRPr="005D0703" w:rsidRDefault="00814F7A" w:rsidP="00814F7A">
      <w:pPr>
        <w:rPr>
          <w:rFonts w:cs="Times New Roman"/>
          <w:sz w:val="20"/>
          <w:szCs w:val="20"/>
        </w:rPr>
      </w:pPr>
    </w:p>
    <w:p w:rsidR="00814F7A" w:rsidRPr="005D0703" w:rsidRDefault="00814F7A" w:rsidP="00814F7A">
      <w:pPr>
        <w:rPr>
          <w:rFonts w:cs="Times New Roman"/>
          <w:sz w:val="20"/>
          <w:szCs w:val="20"/>
          <w:u w:val="single"/>
          <w:lang w:val="fr-CA"/>
        </w:rPr>
      </w:pPr>
      <w:r w:rsidRPr="005D0703">
        <w:rPr>
          <w:rFonts w:cs="Times New Roman"/>
          <w:sz w:val="20"/>
          <w:szCs w:val="20"/>
          <w:u w:val="single"/>
          <w:lang w:val="fr-CA"/>
        </w:rPr>
        <w:t>RÉSUMÉ DE L’AFFAIRE</w:t>
      </w:r>
    </w:p>
    <w:p w:rsidR="00814F7A" w:rsidRPr="005D0703" w:rsidRDefault="00814F7A" w:rsidP="00814F7A">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Droit criminel — Meurtre au deuxième degré — Preuve — Admissibilité — Comportement postérieur à l'infraction — Mise en garde de type </w:t>
            </w:r>
            <w:r w:rsidRPr="005D0703">
              <w:rPr>
                <w:rFonts w:eastAsia="Calibri" w:cs="Times New Roman"/>
                <w:i/>
                <w:sz w:val="20"/>
                <w:szCs w:val="20"/>
                <w:lang w:val="fr-CA"/>
              </w:rPr>
              <w:t>Vetrovec</w:t>
            </w:r>
            <w:r w:rsidRPr="005D0703">
              <w:rPr>
                <w:rFonts w:eastAsia="Calibri" w:cs="Times New Roman"/>
                <w:sz w:val="20"/>
                <w:szCs w:val="20"/>
                <w:lang w:val="fr-CA"/>
              </w:rPr>
              <w:t xml:space="preserve">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eu tort de conclure que le comportement de la défense ne constituait pas un aveu de culpabilité effectif et obligatoire relativement à l'infraction moindre et incluse d'homicide involontaire coupable, si bien que la preuve du comportement de l'accusé postérieur à l’événement était dûment admissible pour déterminer son degré de culpabilité?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 xml:space="preserve">elle eu tort de statuer que la preuve d'un témoin visé partiellement par </w:t>
            </w:r>
            <w:r w:rsidRPr="005D0703">
              <w:rPr>
                <w:rFonts w:eastAsia="Calibri" w:cs="Times New Roman"/>
                <w:i/>
                <w:sz w:val="20"/>
                <w:szCs w:val="20"/>
                <w:lang w:val="fr-CA"/>
              </w:rPr>
              <w:t>Vetrovec</w:t>
            </w:r>
            <w:r w:rsidRPr="005D0703">
              <w:rPr>
                <w:rFonts w:eastAsia="Calibri" w:cs="Times New Roman"/>
                <w:sz w:val="20"/>
                <w:szCs w:val="20"/>
                <w:lang w:val="fr-CA"/>
              </w:rPr>
              <w:t xml:space="preserve"> et susceptible de soulever un doute raisonnable quant à la culpabilité de l'accusé pouvait valablement faire l'objet d'une directive au jury comme quoi il fallait chercher une corroboration indépendante avant de s'appuyer sur la preuve?</w:t>
            </w:r>
          </w:p>
          <w:p w:rsidR="00814F7A" w:rsidRPr="005D0703" w:rsidRDefault="00814F7A" w:rsidP="00814F7A">
            <w:pPr>
              <w:jc w:val="both"/>
              <w:rPr>
                <w:rFonts w:eastAsia="Calibri" w:cs="Times New Roman"/>
                <w:sz w:val="20"/>
                <w:szCs w:val="20"/>
                <w:lang w:val="fr-CA"/>
              </w:rPr>
            </w:pPr>
          </w:p>
        </w:tc>
      </w:tr>
      <w:tr w:rsidR="00814F7A" w:rsidRPr="00C04C40" w:rsidTr="00814F7A">
        <w:tc>
          <w:tcPr>
            <w:tcW w:w="5000" w:type="pct"/>
            <w:gridSpan w:val="3"/>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Un groupe d'étudiants de Hamilton a assisté à une fête à Burlington et en a été expulsé par la victime, M. Daly.  Le groupe de Hamilton est rentré chez lui, obtenu du renfort et des armes et est retourné en voiture à Burlington.  Monsieur Daly a rencontré le groupe alors qu'il rentrait chez lui à pied.  Un homme a rejoint M. Daly à la course par derrière et le groupe l’a traîné vers un espace gazonné ou quatre autres agresseurs se sont joints à la mêlée, frappant M. Daly à coups de battes et de bâtons.  Après une minute, quatre agresseurs se sont enfuis en courant alors que le cinquième est demeuré sur les lieux pour asséner d'autres coups.  Les agresseurs ont fui, laissant M. Daly sans connaissance. Son décès a été constaté à l'hôpital.  Cinq individus ont été accusés en lien avec l'incident.  L'un des cinq, M. Hodzic, a plaidé coupable d'homicide involontaire coupable à un procès distinct. Un autre agresseur, M. Papadopoulos, a également été déclaré coupable d'homicide involontaire coupable.  Messieurs Nop, Chak et Mujku ont tous vu leurs plaidoyers d'homicide involontaire coupable rejetés.  Une preuve comme quoi M. Chak avait mis le feu à une batte utilisée dans l'agression après l'incident et comme quoi MM. Nop, Chak et Papadopoulos avaient menti à la police et encouragé d'autres à en faire autant a été admise.</w:t>
            </w:r>
          </w:p>
          <w:p w:rsidR="00814F7A" w:rsidRPr="005D0703" w:rsidRDefault="00814F7A" w:rsidP="00814F7A">
            <w:pPr>
              <w:jc w:val="both"/>
              <w:rPr>
                <w:rFonts w:eastAsia="Calibri" w:cs="Times New Roman"/>
                <w:sz w:val="20"/>
                <w:szCs w:val="20"/>
                <w:lang w:val="fr-CA"/>
              </w:rPr>
            </w:pP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Messsieurs Nop, Chak et Mujku ont été déclarés coupables de meurtre au deuxième degré. Leurs appels à la Cour d'appel ont été rejetés.  Seul M. Nop demande d'autorisation d'appel à la Cour suprême du Canada.</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14 décembre 2006</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 Dawson)</w:t>
            </w:r>
          </w:p>
          <w:p w:rsidR="00814F7A" w:rsidRPr="005D0703" w:rsidRDefault="00814F7A" w:rsidP="00814F7A">
            <w:pPr>
              <w:jc w:val="both"/>
              <w:rPr>
                <w:rFonts w:eastAsia="Calibri" w:cs="Times New Roman"/>
                <w:sz w:val="20"/>
                <w:szCs w:val="20"/>
                <w:lang w:val="fr-CA"/>
              </w:rPr>
            </w:pP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Demandeur déclaré coupable de meurtre au deuxième degré</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24 janvier 2011</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 xml:space="preserve">Cour d'appel de l'Ontario </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(Juges MacPherson, Sharpe et Juriansz)</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Référence neutre : 2011 ONCA 64</w:t>
            </w:r>
          </w:p>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C47289</w:t>
            </w: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Appel de la déclaration de culpabilité, rejeté</w:t>
            </w:r>
          </w:p>
          <w:p w:rsidR="00814F7A" w:rsidRPr="005D0703" w:rsidRDefault="00814F7A" w:rsidP="00814F7A">
            <w:pPr>
              <w:jc w:val="both"/>
              <w:rPr>
                <w:rFonts w:eastAsia="Calibri" w:cs="Times New Roman"/>
                <w:sz w:val="20"/>
                <w:szCs w:val="20"/>
                <w:lang w:val="fr-CA"/>
              </w:rPr>
            </w:pPr>
          </w:p>
        </w:tc>
      </w:tr>
      <w:tr w:rsidR="00814F7A" w:rsidRPr="00C04C40" w:rsidTr="00814F7A">
        <w:tc>
          <w:tcPr>
            <w:tcW w:w="2427"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19 septembre 2011</w:t>
            </w:r>
          </w:p>
          <w:p w:rsidR="00814F7A" w:rsidRPr="005D0703" w:rsidRDefault="00814F7A" w:rsidP="007179EE">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814F7A" w:rsidRPr="005D0703" w:rsidRDefault="00814F7A" w:rsidP="00814F7A">
            <w:pPr>
              <w:jc w:val="both"/>
              <w:rPr>
                <w:rFonts w:eastAsia="Calibri" w:cs="Times New Roman"/>
                <w:sz w:val="20"/>
                <w:szCs w:val="20"/>
                <w:lang w:val="fr-CA"/>
              </w:rPr>
            </w:pPr>
          </w:p>
        </w:tc>
        <w:tc>
          <w:tcPr>
            <w:tcW w:w="2330" w:type="pct"/>
          </w:tcPr>
          <w:p w:rsidR="00814F7A" w:rsidRPr="005D0703" w:rsidRDefault="00814F7A" w:rsidP="00814F7A">
            <w:pPr>
              <w:jc w:val="both"/>
              <w:rPr>
                <w:rFonts w:eastAsia="Calibri" w:cs="Times New Roman"/>
                <w:sz w:val="20"/>
                <w:szCs w:val="20"/>
                <w:lang w:val="fr-CA"/>
              </w:rPr>
            </w:pPr>
            <w:r w:rsidRPr="005D0703">
              <w:rPr>
                <w:rFonts w:eastAsia="Calibri" w:cs="Times New Roman"/>
                <w:sz w:val="20"/>
                <w:szCs w:val="20"/>
                <w:lang w:val="fr-CA"/>
              </w:rPr>
              <w:t>Requête en prorogation du délai de signification et le dépôt de la demande d'autorisation d'appel et demande autorisation d'appel, déposées</w:t>
            </w:r>
          </w:p>
        </w:tc>
      </w:tr>
    </w:tbl>
    <w:p w:rsidR="00814F7A" w:rsidRPr="005D0703" w:rsidRDefault="00814F7A" w:rsidP="00814F7A">
      <w:pPr>
        <w:rPr>
          <w:rFonts w:cs="Times New Roman"/>
          <w:sz w:val="20"/>
          <w:szCs w:val="20"/>
          <w:lang w:val="fr-CA"/>
        </w:rPr>
      </w:pPr>
    </w:p>
    <w:p w:rsidR="00814F7A" w:rsidRPr="005D0703" w:rsidRDefault="008A6550" w:rsidP="00814F7A">
      <w:pPr>
        <w:rPr>
          <w:rFonts w:cs="Times New Roman"/>
          <w:sz w:val="20"/>
          <w:szCs w:val="20"/>
        </w:rPr>
      </w:pPr>
      <w:r w:rsidRPr="008A6550">
        <w:rPr>
          <w:rFonts w:cs="Times New Roman"/>
          <w:sz w:val="20"/>
          <w:szCs w:val="20"/>
          <w:lang w:val="fr-CA"/>
        </w:rPr>
        <w:pict>
          <v:rect id="_x0000_i1083" style="width:2in;height:1pt" o:hrpct="0" o:hralign="center" o:hrstd="t" o:hrnoshade="t" o:hr="t" fillcolor="black [3213]" stroked="f"/>
        </w:pict>
      </w:r>
    </w:p>
    <w:p w:rsidR="00814F7A" w:rsidRPr="005D0703" w:rsidRDefault="00814F7A" w:rsidP="00814F7A">
      <w:pPr>
        <w:rPr>
          <w:rFonts w:cs="Times New Roman"/>
          <w:sz w:val="20"/>
          <w:szCs w:val="20"/>
        </w:rPr>
      </w:pPr>
    </w:p>
    <w:tbl>
      <w:tblPr>
        <w:tblStyle w:val="TableGrid2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A0A95" w:rsidRPr="00C04C40" w:rsidTr="007A0A95">
        <w:trPr>
          <w:cantSplit/>
        </w:trPr>
        <w:tc>
          <w:tcPr>
            <w:tcW w:w="1458" w:type="dxa"/>
          </w:tcPr>
          <w:p w:rsidR="007A0A95" w:rsidRPr="005D0703" w:rsidRDefault="007A0A95" w:rsidP="007A0A95">
            <w:pPr>
              <w:rPr>
                <w:rFonts w:cs="Times New Roman"/>
                <w:sz w:val="20"/>
                <w:szCs w:val="20"/>
              </w:rPr>
            </w:pPr>
            <w:r w:rsidRPr="005D0703">
              <w:rPr>
                <w:rFonts w:cs="Times New Roman"/>
                <w:b/>
                <w:sz w:val="20"/>
                <w:szCs w:val="20"/>
                <w:lang w:val="fr-CA"/>
              </w:rPr>
              <w:t>344</w:t>
            </w:r>
            <w:r w:rsidR="000D0641" w:rsidRPr="005D0703">
              <w:rPr>
                <w:rFonts w:cs="Times New Roman"/>
                <w:b/>
                <w:sz w:val="20"/>
                <w:szCs w:val="20"/>
                <w:lang w:val="fr-CA"/>
              </w:rPr>
              <w:t>74</w:t>
            </w:r>
          </w:p>
          <w:p w:rsidR="007A0A95" w:rsidRPr="005D0703" w:rsidRDefault="007A0A95" w:rsidP="007A0A95">
            <w:pPr>
              <w:rPr>
                <w:rFonts w:cs="Times New Roman"/>
                <w:b/>
                <w:sz w:val="20"/>
                <w:szCs w:val="20"/>
                <w:lang w:val="fr-CA"/>
              </w:rPr>
            </w:pPr>
          </w:p>
        </w:tc>
        <w:tc>
          <w:tcPr>
            <w:tcW w:w="8118" w:type="dxa"/>
          </w:tcPr>
          <w:p w:rsidR="007A0A95" w:rsidRPr="005D0703" w:rsidRDefault="007A0A95" w:rsidP="007A0A95">
            <w:pPr>
              <w:jc w:val="both"/>
              <w:rPr>
                <w:rFonts w:cs="Times New Roman"/>
                <w:sz w:val="20"/>
                <w:szCs w:val="20"/>
                <w:lang w:val="fr-CA"/>
              </w:rPr>
            </w:pPr>
            <w:r w:rsidRPr="005D0703">
              <w:rPr>
                <w:rFonts w:cs="Times New Roman"/>
                <w:b/>
                <w:bCs/>
                <w:sz w:val="20"/>
                <w:szCs w:val="20"/>
                <w:u w:val="single"/>
                <w:lang w:val="fr-CA"/>
              </w:rPr>
              <w:t xml:space="preserve">D.L. </w:t>
            </w:r>
            <w:r w:rsidR="000D0641" w:rsidRPr="005D0703">
              <w:rPr>
                <w:rFonts w:cs="Times New Roman"/>
                <w:b/>
                <w:bCs/>
                <w:sz w:val="20"/>
                <w:szCs w:val="20"/>
                <w:u w:val="single"/>
                <w:lang w:val="fr-CA"/>
              </w:rPr>
              <w:t>c</w:t>
            </w:r>
            <w:r w:rsidR="003733E3" w:rsidRPr="005D0703">
              <w:rPr>
                <w:rFonts w:cs="Times New Roman"/>
                <w:b/>
                <w:bCs/>
                <w:sz w:val="20"/>
                <w:szCs w:val="20"/>
                <w:u w:val="single"/>
                <w:lang w:val="fr-CA"/>
              </w:rPr>
              <w:t>. P.M. – et – Procureur général du Canada</w:t>
            </w:r>
            <w:r w:rsidR="00F7528C" w:rsidRPr="005D0703">
              <w:rPr>
                <w:rFonts w:cs="Times New Roman"/>
                <w:b/>
                <w:bCs/>
                <w:sz w:val="20"/>
                <w:szCs w:val="20"/>
                <w:u w:val="single"/>
                <w:lang w:val="fr-CA"/>
              </w:rPr>
              <w:t xml:space="preserve">, </w:t>
            </w:r>
            <w:r w:rsidR="003733E3" w:rsidRPr="005D0703">
              <w:rPr>
                <w:rFonts w:cs="Times New Roman"/>
                <w:b/>
                <w:bCs/>
                <w:sz w:val="20"/>
                <w:szCs w:val="20"/>
                <w:u w:val="single"/>
                <w:lang w:val="fr-CA"/>
              </w:rPr>
              <w:t>Procureur général du Québec</w:t>
            </w:r>
            <w:r w:rsidRPr="005D0703">
              <w:rPr>
                <w:rFonts w:cs="Times New Roman"/>
                <w:b/>
                <w:bCs/>
                <w:sz w:val="20"/>
                <w:szCs w:val="20"/>
                <w:lang w:val="fr-CA"/>
              </w:rPr>
              <w:t xml:space="preserve"> </w:t>
            </w:r>
            <w:r w:rsidRPr="005D0703">
              <w:rPr>
                <w:rFonts w:cs="Times New Roman"/>
                <w:sz w:val="20"/>
                <w:szCs w:val="20"/>
                <w:lang w:val="fr-CA"/>
              </w:rPr>
              <w:t>(Q</w:t>
            </w:r>
            <w:r w:rsidR="003733E3" w:rsidRPr="005D0703">
              <w:rPr>
                <w:rFonts w:cs="Times New Roman"/>
                <w:sz w:val="20"/>
                <w:szCs w:val="20"/>
                <w:lang w:val="fr-CA"/>
              </w:rPr>
              <w:t>c</w:t>
            </w:r>
            <w:r w:rsidRPr="005D0703">
              <w:rPr>
                <w:rFonts w:cs="Times New Roman"/>
                <w:sz w:val="20"/>
                <w:szCs w:val="20"/>
                <w:lang w:val="fr-CA"/>
              </w:rPr>
              <w:t>) (Civil</w:t>
            </w:r>
            <w:r w:rsidR="003733E3" w:rsidRPr="005D0703">
              <w:rPr>
                <w:rFonts w:cs="Times New Roman"/>
                <w:sz w:val="20"/>
                <w:szCs w:val="20"/>
                <w:lang w:val="fr-CA"/>
              </w:rPr>
              <w:t>e</w:t>
            </w:r>
            <w:r w:rsidRPr="005D0703">
              <w:rPr>
                <w:rFonts w:cs="Times New Roman"/>
                <w:sz w:val="20"/>
                <w:szCs w:val="20"/>
                <w:lang w:val="fr-CA"/>
              </w:rPr>
              <w:t>) (</w:t>
            </w:r>
            <w:r w:rsidR="003733E3" w:rsidRPr="005D0703">
              <w:rPr>
                <w:rFonts w:cs="Times New Roman"/>
                <w:sz w:val="20"/>
                <w:szCs w:val="20"/>
                <w:lang w:val="fr-CA"/>
              </w:rPr>
              <w:t>Autorisation</w:t>
            </w:r>
            <w:r w:rsidRPr="005D0703">
              <w:rPr>
                <w:rFonts w:cs="Times New Roman"/>
                <w:sz w:val="20"/>
                <w:szCs w:val="20"/>
                <w:lang w:val="fr-CA"/>
              </w:rPr>
              <w:t>)</w:t>
            </w:r>
          </w:p>
          <w:p w:rsidR="007A0A95" w:rsidRPr="005D0703" w:rsidRDefault="007A0A95" w:rsidP="007A0A95">
            <w:pPr>
              <w:rPr>
                <w:rFonts w:cs="Times New Roman"/>
                <w:sz w:val="20"/>
                <w:szCs w:val="20"/>
                <w:lang w:val="fr-CA"/>
              </w:rPr>
            </w:pPr>
          </w:p>
        </w:tc>
      </w:tr>
      <w:tr w:rsidR="007A0A95" w:rsidRPr="00C04C40" w:rsidTr="007A0A95">
        <w:trPr>
          <w:cantSplit/>
        </w:trPr>
        <w:tc>
          <w:tcPr>
            <w:tcW w:w="1458" w:type="dxa"/>
          </w:tcPr>
          <w:p w:rsidR="007A0A95" w:rsidRPr="005D0703" w:rsidRDefault="007A0A95" w:rsidP="007A0A95">
            <w:pPr>
              <w:rPr>
                <w:rFonts w:cs="Times New Roman"/>
                <w:sz w:val="20"/>
                <w:szCs w:val="20"/>
              </w:rPr>
            </w:pPr>
            <w:r w:rsidRPr="005D0703">
              <w:rPr>
                <w:rFonts w:cs="Times New Roman"/>
                <w:sz w:val="20"/>
                <w:szCs w:val="20"/>
              </w:rPr>
              <w:t>Coram :</w:t>
            </w:r>
          </w:p>
        </w:tc>
        <w:tc>
          <w:tcPr>
            <w:tcW w:w="8118" w:type="dxa"/>
          </w:tcPr>
          <w:p w:rsidR="003733E3" w:rsidRPr="005D0703" w:rsidRDefault="003733E3" w:rsidP="003733E3">
            <w:pPr>
              <w:rPr>
                <w:rFonts w:cs="Times New Roman"/>
                <w:sz w:val="20"/>
                <w:szCs w:val="20"/>
                <w:u w:val="single"/>
                <w:lang w:val="fr-CA"/>
              </w:rPr>
            </w:pPr>
            <w:r w:rsidRPr="005D0703">
              <w:rPr>
                <w:rFonts w:cs="Times New Roman"/>
                <w:sz w:val="20"/>
                <w:szCs w:val="20"/>
                <w:u w:val="single"/>
                <w:lang w:val="fr-CA"/>
              </w:rPr>
              <w:t>Les juges LeBel, Abella et Cromwell</w:t>
            </w:r>
          </w:p>
          <w:p w:rsidR="007A0A95" w:rsidRPr="005D0703" w:rsidRDefault="007A0A95" w:rsidP="003733E3">
            <w:pPr>
              <w:rPr>
                <w:rFonts w:cs="Times New Roman"/>
                <w:sz w:val="20"/>
                <w:szCs w:val="20"/>
                <w:u w:val="single"/>
                <w:lang w:val="fr-CA"/>
              </w:rPr>
            </w:pPr>
          </w:p>
        </w:tc>
      </w:tr>
      <w:tr w:rsidR="007A0A95" w:rsidRPr="005D0703" w:rsidTr="007A0A95">
        <w:trPr>
          <w:cantSplit/>
        </w:trPr>
        <w:tc>
          <w:tcPr>
            <w:tcW w:w="9576" w:type="dxa"/>
            <w:gridSpan w:val="2"/>
          </w:tcPr>
          <w:p w:rsidR="003733E3" w:rsidRPr="005D0703" w:rsidRDefault="003733E3" w:rsidP="003733E3">
            <w:pPr>
              <w:ind w:firstLine="720"/>
              <w:jc w:val="both"/>
              <w:rPr>
                <w:rFonts w:cs="Times New Roman"/>
                <w:sz w:val="20"/>
                <w:szCs w:val="20"/>
                <w:lang w:val="fr-CA"/>
              </w:rPr>
            </w:pPr>
            <w:r w:rsidRPr="005D0703">
              <w:rPr>
                <w:rFonts w:cs="Times New Roman"/>
                <w:sz w:val="20"/>
                <w:szCs w:val="20"/>
                <w:lang w:val="fr-CA"/>
              </w:rPr>
              <w:t>La requête en prorogation du délai de signification et de dépôt de la demande d’autorisation d’appel de l’arrêt de la Cour d’appel du Québec (Montréal), numéro 500-09-018969-089, 2009 QCCA 1712, daté du 16 septembre 2009, est rejetée sans dépens.</w:t>
            </w:r>
          </w:p>
          <w:p w:rsidR="003733E3" w:rsidRPr="005D0703" w:rsidRDefault="003733E3" w:rsidP="003733E3">
            <w:pPr>
              <w:ind w:firstLine="720"/>
              <w:jc w:val="both"/>
              <w:rPr>
                <w:rFonts w:cs="Times New Roman"/>
                <w:sz w:val="20"/>
                <w:szCs w:val="20"/>
                <w:lang w:val="fr-CA"/>
              </w:rPr>
            </w:pPr>
          </w:p>
          <w:p w:rsidR="007A0A95" w:rsidRPr="00473523" w:rsidRDefault="003733E3" w:rsidP="00342AFC">
            <w:pPr>
              <w:ind w:firstLine="720"/>
              <w:jc w:val="both"/>
              <w:rPr>
                <w:rFonts w:cs="Times New Roman"/>
                <w:sz w:val="20"/>
                <w:szCs w:val="20"/>
                <w:lang w:val="en-US"/>
              </w:rPr>
            </w:pPr>
            <w:r w:rsidRPr="005D0703">
              <w:rPr>
                <w:rFonts w:cs="Times New Roman"/>
                <w:sz w:val="20"/>
                <w:szCs w:val="20"/>
              </w:rPr>
              <w:t>The motion for an extension of time to serve and file the application for leave to appeal from the judgment of the</w:t>
            </w:r>
            <w:bookmarkStart w:id="4" w:name="BM_1_"/>
            <w:bookmarkEnd w:id="4"/>
            <w:r w:rsidRPr="005D0703">
              <w:rPr>
                <w:rFonts w:cs="Times New Roman"/>
                <w:sz w:val="20"/>
                <w:szCs w:val="20"/>
              </w:rPr>
              <w:t xml:space="preserve"> </w:t>
            </w:r>
            <w:r w:rsidRPr="005D0703">
              <w:rPr>
                <w:rFonts w:cs="Times New Roman"/>
                <w:sz w:val="20"/>
                <w:szCs w:val="20"/>
                <w:lang w:val="en-US"/>
              </w:rPr>
              <w:t>Court of Appeal of Quebec (Montréal)</w:t>
            </w:r>
            <w:r w:rsidRPr="005D0703">
              <w:rPr>
                <w:rFonts w:cs="Times New Roman"/>
                <w:sz w:val="20"/>
                <w:szCs w:val="20"/>
              </w:rPr>
              <w:t xml:space="preserve">, Number </w:t>
            </w:r>
            <w:r w:rsidRPr="005D0703">
              <w:rPr>
                <w:rFonts w:cs="Times New Roman"/>
                <w:sz w:val="20"/>
                <w:szCs w:val="20"/>
                <w:lang w:val="en-US"/>
              </w:rPr>
              <w:t>500-09-018969-089</w:t>
            </w:r>
            <w:r w:rsidRPr="005D0703">
              <w:rPr>
                <w:rFonts w:cs="Times New Roman"/>
                <w:sz w:val="20"/>
                <w:szCs w:val="20"/>
              </w:rPr>
              <w:t xml:space="preserve">, 2009 QCCA 1712, dated </w:t>
            </w:r>
            <w:r w:rsidRPr="005D0703">
              <w:rPr>
                <w:rFonts w:cs="Times New Roman"/>
                <w:sz w:val="20"/>
                <w:szCs w:val="20"/>
                <w:lang w:val="en-US"/>
              </w:rPr>
              <w:t>September 16, 2009,</w:t>
            </w:r>
            <w:r w:rsidRPr="005D0703">
              <w:rPr>
                <w:rFonts w:cs="Times New Roman"/>
                <w:sz w:val="20"/>
                <w:szCs w:val="20"/>
              </w:rPr>
              <w:t xml:space="preserve"> is dismissed without costs. </w:t>
            </w:r>
          </w:p>
        </w:tc>
      </w:tr>
    </w:tbl>
    <w:p w:rsidR="00814F7A" w:rsidRPr="00473523" w:rsidRDefault="00814F7A" w:rsidP="00814F7A">
      <w:pPr>
        <w:rPr>
          <w:rFonts w:cs="Times New Roman"/>
          <w:sz w:val="20"/>
          <w:szCs w:val="20"/>
          <w:lang w:val="en-US"/>
        </w:rPr>
      </w:pPr>
    </w:p>
    <w:p w:rsidR="00814F7A" w:rsidRPr="005D0703" w:rsidRDefault="00814F7A" w:rsidP="00814F7A">
      <w:pPr>
        <w:rPr>
          <w:rFonts w:cs="Times New Roman"/>
          <w:sz w:val="20"/>
          <w:szCs w:val="20"/>
          <w:u w:val="single"/>
        </w:rPr>
      </w:pPr>
      <w:r w:rsidRPr="005D0703">
        <w:rPr>
          <w:rFonts w:cs="Times New Roman"/>
          <w:sz w:val="20"/>
          <w:szCs w:val="20"/>
          <w:u w:val="single"/>
        </w:rPr>
        <w:t>CASE SUMMARY</w:t>
      </w:r>
    </w:p>
    <w:p w:rsidR="00814F7A" w:rsidRPr="005D0703" w:rsidRDefault="00814F7A" w:rsidP="00814F7A">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7179EE" w:rsidRPr="005D0703" w:rsidTr="007179EE">
        <w:tc>
          <w:tcPr>
            <w:tcW w:w="5000" w:type="pct"/>
            <w:gridSpan w:val="3"/>
          </w:tcPr>
          <w:p w:rsidR="007179EE" w:rsidRPr="005D0703" w:rsidRDefault="007179EE" w:rsidP="007179EE">
            <w:pPr>
              <w:jc w:val="both"/>
              <w:rPr>
                <w:rFonts w:eastAsia="Calibri" w:cs="Times New Roman"/>
                <w:smallCaps/>
                <w:sz w:val="20"/>
                <w:szCs w:val="20"/>
              </w:rPr>
            </w:pPr>
            <w:r w:rsidRPr="005D0703">
              <w:rPr>
                <w:rFonts w:eastAsia="Calibri" w:cs="Times New Roman"/>
                <w:smallCaps/>
                <w:sz w:val="20"/>
                <w:szCs w:val="20"/>
              </w:rPr>
              <w:t>(Publication Ban in Case) (Publication Ban on Party)</w:t>
            </w:r>
          </w:p>
          <w:p w:rsidR="007179EE" w:rsidRPr="005D0703" w:rsidRDefault="007179EE" w:rsidP="007179EE">
            <w:pPr>
              <w:jc w:val="both"/>
              <w:rPr>
                <w:rFonts w:eastAsia="Calibri" w:cs="Times New Roman"/>
                <w:sz w:val="20"/>
                <w:szCs w:val="20"/>
              </w:rPr>
            </w:pPr>
          </w:p>
        </w:tc>
      </w:tr>
      <w:tr w:rsidR="007179EE" w:rsidRPr="005D0703" w:rsidTr="007179EE">
        <w:tc>
          <w:tcPr>
            <w:tcW w:w="5000" w:type="pct"/>
            <w:gridSpan w:val="3"/>
          </w:tcPr>
          <w:p w:rsidR="007179EE" w:rsidRPr="005D0703" w:rsidRDefault="007179EE" w:rsidP="007179EE">
            <w:pPr>
              <w:jc w:val="both"/>
              <w:rPr>
                <w:rFonts w:eastAsia="Calibri" w:cs="Times New Roman"/>
                <w:sz w:val="20"/>
                <w:szCs w:val="20"/>
              </w:rPr>
            </w:pPr>
            <w:r w:rsidRPr="005D0703">
              <w:rPr>
                <w:rFonts w:eastAsia="Calibri" w:cs="Times New Roman"/>
                <w:i/>
                <w:sz w:val="20"/>
                <w:szCs w:val="20"/>
              </w:rPr>
              <w:t xml:space="preserve">Charter of rights </w:t>
            </w:r>
            <w:r w:rsidRPr="005D0703">
              <w:rPr>
                <w:rFonts w:eastAsia="Calibri" w:cs="Times New Roman"/>
                <w:sz w:val="20"/>
                <w:szCs w:val="20"/>
              </w:rPr>
              <w:t xml:space="preserve">— Family law — Support — Child support — Family assets — Whether Court of Appeal erred in allowing motion by Attorney General of Quebec and motion by Attorney General of Canada to be removed from case — In support cases, whether it is unconstitutional not to take account of adult’s responsibility toward children living with adult in order to determine adult’s responsibility toward biological children of whom adult does not have custody — Whether </w:t>
            </w:r>
            <w:r w:rsidRPr="005D0703">
              <w:rPr>
                <w:rFonts w:eastAsia="Calibri" w:cs="Times New Roman"/>
                <w:i/>
                <w:sz w:val="20"/>
                <w:szCs w:val="20"/>
              </w:rPr>
              <w:t>in loco parentis</w:t>
            </w:r>
            <w:r w:rsidRPr="005D0703">
              <w:rPr>
                <w:rFonts w:eastAsia="Calibri" w:cs="Times New Roman"/>
                <w:sz w:val="20"/>
                <w:szCs w:val="20"/>
              </w:rPr>
              <w:t xml:space="preserve"> concept meant that applicant had legal parental responsibility toward his wife’s children — Whether Court of Appeal erred in concluding that applicant’s marriage and responsibility for his wife’s children were not new facts justifying review of his support obligations toward his two biological children — Whether family patrimony is established in </w:t>
            </w:r>
            <w:r w:rsidRPr="005D0703">
              <w:rPr>
                <w:rFonts w:eastAsia="Calibri" w:cs="Times New Roman"/>
                <w:i/>
                <w:sz w:val="20"/>
                <w:szCs w:val="20"/>
              </w:rPr>
              <w:t>de facto</w:t>
            </w:r>
            <w:r w:rsidRPr="005D0703">
              <w:rPr>
                <w:rFonts w:eastAsia="Calibri" w:cs="Times New Roman"/>
                <w:sz w:val="20"/>
                <w:szCs w:val="20"/>
              </w:rPr>
              <w:t xml:space="preserve"> union in which adults give birth to children.</w:t>
            </w:r>
          </w:p>
          <w:p w:rsidR="007179EE" w:rsidRPr="005D0703" w:rsidRDefault="007179EE" w:rsidP="007179EE">
            <w:pPr>
              <w:jc w:val="both"/>
              <w:rPr>
                <w:rFonts w:eastAsia="Calibri" w:cs="Times New Roman"/>
                <w:sz w:val="20"/>
                <w:szCs w:val="20"/>
              </w:rPr>
            </w:pPr>
          </w:p>
        </w:tc>
      </w:tr>
      <w:tr w:rsidR="007179EE" w:rsidRPr="005D0703" w:rsidTr="007179EE">
        <w:tc>
          <w:tcPr>
            <w:tcW w:w="5000" w:type="pct"/>
            <w:gridSpan w:val="3"/>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 xml:space="preserve">The applicant and the respondent were </w:t>
            </w:r>
            <w:r w:rsidRPr="005D0703">
              <w:rPr>
                <w:rFonts w:eastAsia="Calibri" w:cs="Times New Roman"/>
                <w:i/>
                <w:sz w:val="20"/>
                <w:szCs w:val="20"/>
              </w:rPr>
              <w:t>de facto</w:t>
            </w:r>
            <w:r w:rsidRPr="005D0703">
              <w:rPr>
                <w:rFonts w:eastAsia="Calibri" w:cs="Times New Roman"/>
                <w:sz w:val="20"/>
                <w:szCs w:val="20"/>
              </w:rPr>
              <w:t xml:space="preserve"> spouses from 1980 to 2002.  In June 2003, the two children born of their union chose to reside permanently with their mother.  In May 2005, Déziel J. of the Superior Court dismissed the applicant’s application for shared custody, awarded the respondent custody of the minor child and granted the applicant access rights.  He ordered the applicant to pay the respondent support for the two children, who were still dependent, retroactive to June 20, 2003.  He set the amount of the support at about $1,100 a month as of September 2005.  In doing so, he took account of the income of the applicant and the respondent, but he refused to take account of the income of the parties’ new </w:t>
            </w:r>
            <w:r w:rsidRPr="005D0703">
              <w:rPr>
                <w:rFonts w:eastAsia="Calibri" w:cs="Times New Roman"/>
                <w:i/>
                <w:sz w:val="20"/>
                <w:szCs w:val="20"/>
              </w:rPr>
              <w:t>de facto</w:t>
            </w:r>
            <w:r w:rsidRPr="005D0703">
              <w:rPr>
                <w:rFonts w:eastAsia="Calibri" w:cs="Times New Roman"/>
                <w:sz w:val="20"/>
                <w:szCs w:val="20"/>
              </w:rPr>
              <w:t xml:space="preserve"> spouses, since such income was not included in the definition of “annual income” in s. 9 of the </w:t>
            </w:r>
            <w:r w:rsidRPr="005D0703">
              <w:rPr>
                <w:rFonts w:eastAsia="Calibri" w:cs="Times New Roman"/>
                <w:i/>
                <w:sz w:val="20"/>
                <w:szCs w:val="20"/>
              </w:rPr>
              <w:t>Regulation respecting the determination of child support payments</w:t>
            </w:r>
            <w:r w:rsidRPr="005D0703">
              <w:rPr>
                <w:rFonts w:eastAsia="Calibri" w:cs="Times New Roman"/>
                <w:sz w:val="20"/>
                <w:szCs w:val="20"/>
              </w:rPr>
              <w:t>, R.R.Q., c. C</w:t>
            </w:r>
            <w:r w:rsidRPr="005D0703">
              <w:rPr>
                <w:rFonts w:eastAsia="Calibri" w:cs="Times New Roman"/>
                <w:sz w:val="20"/>
                <w:szCs w:val="20"/>
              </w:rPr>
              <w:noBreakHyphen/>
              <w:t xml:space="preserve">25, r. 6. </w:t>
            </w:r>
          </w:p>
          <w:p w:rsidR="007179EE" w:rsidRPr="005D0703" w:rsidRDefault="007179EE" w:rsidP="007179EE">
            <w:pPr>
              <w:jc w:val="both"/>
              <w:rPr>
                <w:rFonts w:eastAsia="Calibri" w:cs="Times New Roman"/>
                <w:sz w:val="20"/>
                <w:szCs w:val="20"/>
              </w:rPr>
            </w:pPr>
          </w:p>
          <w:p w:rsidR="007179EE" w:rsidRPr="005D0703" w:rsidRDefault="007179EE" w:rsidP="007179EE">
            <w:pPr>
              <w:jc w:val="both"/>
              <w:rPr>
                <w:rFonts w:eastAsia="Calibri" w:cs="Times New Roman"/>
                <w:sz w:val="20"/>
                <w:szCs w:val="20"/>
              </w:rPr>
            </w:pPr>
            <w:r w:rsidRPr="005D0703">
              <w:rPr>
                <w:rFonts w:eastAsia="Calibri" w:cs="Times New Roman"/>
                <w:sz w:val="20"/>
                <w:szCs w:val="20"/>
              </w:rPr>
              <w:t xml:space="preserve">In October 2005, the applicant married his new </w:t>
            </w:r>
            <w:r w:rsidRPr="005D0703">
              <w:rPr>
                <w:rFonts w:eastAsia="Calibri" w:cs="Times New Roman"/>
                <w:i/>
                <w:sz w:val="20"/>
                <w:szCs w:val="20"/>
              </w:rPr>
              <w:t>de facto</w:t>
            </w:r>
            <w:r w:rsidRPr="005D0703">
              <w:rPr>
                <w:rFonts w:eastAsia="Calibri" w:cs="Times New Roman"/>
                <w:sz w:val="20"/>
                <w:szCs w:val="20"/>
              </w:rPr>
              <w:t xml:space="preserve"> spouse, who had five children, four of whom were living with her at that time.  In January 2006, the applicant filed a motion to vary custody and support.  He argued that the support payable for his two children should be reduced to take account of his new financial obligations resulting from his marriage and of the fact that his adult son had not been living with the respondent since September 2005.  Amendments were subsequently made to the motion, including the addition of the applicant’s wife as co</w:t>
            </w:r>
            <w:r w:rsidRPr="005D0703">
              <w:rPr>
                <w:rFonts w:eastAsia="Calibri" w:cs="Times New Roman"/>
                <w:sz w:val="20"/>
                <w:szCs w:val="20"/>
              </w:rPr>
              <w:noBreakHyphen/>
              <w:t xml:space="preserve">applicant, an application for a declaration that numerous articles of the </w:t>
            </w:r>
            <w:r w:rsidRPr="005D0703">
              <w:rPr>
                <w:rFonts w:eastAsia="Calibri" w:cs="Times New Roman"/>
                <w:i/>
                <w:sz w:val="20"/>
                <w:szCs w:val="20"/>
              </w:rPr>
              <w:t>Civil Code of Québec</w:t>
            </w:r>
            <w:r w:rsidRPr="005D0703">
              <w:rPr>
                <w:rFonts w:eastAsia="Calibri" w:cs="Times New Roman"/>
                <w:sz w:val="20"/>
                <w:szCs w:val="20"/>
              </w:rPr>
              <w:t>, as well as the principle that support was neither taxable nor deductible, were unconstitutional and an order for the partition of the respondent’s pension plan.</w:t>
            </w:r>
          </w:p>
          <w:p w:rsidR="007179EE" w:rsidRPr="005D0703" w:rsidRDefault="007179EE" w:rsidP="007179EE">
            <w:pPr>
              <w:jc w:val="both"/>
              <w:rPr>
                <w:rFonts w:eastAsia="Calibri" w:cs="Times New Roman"/>
                <w:sz w:val="20"/>
                <w:szCs w:val="20"/>
              </w:rPr>
            </w:pPr>
          </w:p>
          <w:p w:rsidR="007179EE" w:rsidRPr="005D0703" w:rsidRDefault="007179EE" w:rsidP="007179EE">
            <w:pPr>
              <w:jc w:val="both"/>
              <w:rPr>
                <w:rFonts w:eastAsia="Calibri" w:cs="Times New Roman"/>
                <w:sz w:val="20"/>
                <w:szCs w:val="20"/>
              </w:rPr>
            </w:pPr>
            <w:r w:rsidRPr="005D0703">
              <w:rPr>
                <w:rFonts w:eastAsia="Calibri" w:cs="Times New Roman"/>
                <w:sz w:val="20"/>
                <w:szCs w:val="20"/>
              </w:rPr>
              <w:t xml:space="preserve">Ruling from the bench, Béliveau J. of the Superior Court terminated all support for the older child and set the support payable for the younger child at $680.78 a month.  Since no notice had been given to the Attorney General of Quebec and the Attorney General of Canada as required by art. 95 of the </w:t>
            </w:r>
            <w:r w:rsidRPr="005D0703">
              <w:rPr>
                <w:rFonts w:eastAsia="Calibri" w:cs="Times New Roman"/>
                <w:i/>
                <w:sz w:val="20"/>
                <w:szCs w:val="20"/>
              </w:rPr>
              <w:t>Code of Civil Procedure</w:t>
            </w:r>
            <w:r w:rsidRPr="005D0703">
              <w:rPr>
                <w:rFonts w:eastAsia="Calibri" w:cs="Times New Roman"/>
                <w:sz w:val="20"/>
                <w:szCs w:val="20"/>
              </w:rPr>
              <w:t>, the judge dismissed the application for a declaration of unconstitutionality.  The Court of Appeal affirmed that decision.</w:t>
            </w:r>
          </w:p>
          <w:p w:rsidR="007179EE" w:rsidRPr="005D0703" w:rsidRDefault="007179EE" w:rsidP="007179EE">
            <w:pPr>
              <w:jc w:val="both"/>
              <w:rPr>
                <w:rFonts w:eastAsia="Calibri" w:cs="Times New Roman"/>
                <w:sz w:val="20"/>
                <w:szCs w:val="20"/>
              </w:rPr>
            </w:pPr>
          </w:p>
        </w:tc>
      </w:tr>
      <w:tr w:rsidR="007179EE" w:rsidRPr="005D0703" w:rsidTr="007179EE">
        <w:tc>
          <w:tcPr>
            <w:tcW w:w="2427"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July 15, 2008</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Quebec Superior Court</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(Béliveau J.)</w:t>
            </w:r>
          </w:p>
          <w:p w:rsidR="007179EE" w:rsidRPr="005D0703" w:rsidRDefault="007179EE" w:rsidP="007179EE">
            <w:pPr>
              <w:jc w:val="both"/>
              <w:rPr>
                <w:rFonts w:eastAsia="Calibri" w:cs="Times New Roman"/>
                <w:sz w:val="20"/>
                <w:szCs w:val="20"/>
              </w:rPr>
            </w:pPr>
          </w:p>
        </w:tc>
        <w:tc>
          <w:tcPr>
            <w:tcW w:w="243" w:type="pct"/>
          </w:tcPr>
          <w:p w:rsidR="007179EE" w:rsidRPr="005D0703" w:rsidRDefault="007179EE" w:rsidP="007179EE">
            <w:pPr>
              <w:jc w:val="both"/>
              <w:rPr>
                <w:rFonts w:eastAsia="Calibri" w:cs="Times New Roman"/>
                <w:sz w:val="20"/>
                <w:szCs w:val="20"/>
              </w:rPr>
            </w:pPr>
          </w:p>
        </w:tc>
        <w:tc>
          <w:tcPr>
            <w:tcW w:w="2330"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Applicant’s motion to vary support payable for his children allowed in part</w:t>
            </w:r>
          </w:p>
          <w:p w:rsidR="007179EE" w:rsidRPr="005D0703" w:rsidRDefault="007179EE" w:rsidP="007179EE">
            <w:pPr>
              <w:jc w:val="both"/>
              <w:rPr>
                <w:rFonts w:eastAsia="Calibri" w:cs="Times New Roman"/>
                <w:sz w:val="20"/>
                <w:szCs w:val="20"/>
              </w:rPr>
            </w:pPr>
          </w:p>
        </w:tc>
      </w:tr>
      <w:tr w:rsidR="007179EE" w:rsidRPr="005D0703" w:rsidTr="007179EE">
        <w:tc>
          <w:tcPr>
            <w:tcW w:w="2427"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September 16, 2009</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Quebec Court of Appeal (Montréal)</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(Dalphond, Vézina and Léger JJ.A.)</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Neutral citation: 2009 QCCA 1712</w:t>
            </w:r>
          </w:p>
          <w:p w:rsidR="007179EE" w:rsidRPr="005D0703" w:rsidRDefault="007179EE" w:rsidP="007179EE">
            <w:pPr>
              <w:jc w:val="both"/>
              <w:rPr>
                <w:rFonts w:eastAsia="Calibri" w:cs="Times New Roman"/>
                <w:sz w:val="20"/>
                <w:szCs w:val="20"/>
              </w:rPr>
            </w:pPr>
          </w:p>
        </w:tc>
        <w:tc>
          <w:tcPr>
            <w:tcW w:w="243" w:type="pct"/>
          </w:tcPr>
          <w:p w:rsidR="007179EE" w:rsidRPr="005D0703" w:rsidRDefault="007179EE" w:rsidP="007179EE">
            <w:pPr>
              <w:jc w:val="both"/>
              <w:rPr>
                <w:rFonts w:eastAsia="Calibri" w:cs="Times New Roman"/>
                <w:sz w:val="20"/>
                <w:szCs w:val="20"/>
              </w:rPr>
            </w:pPr>
          </w:p>
        </w:tc>
        <w:tc>
          <w:tcPr>
            <w:tcW w:w="2330"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Applicant’s appeal dismissed; respondent’s motion to have applicant declared quarrelsome litigant dismissed</w:t>
            </w:r>
          </w:p>
          <w:p w:rsidR="007179EE" w:rsidRPr="005D0703" w:rsidRDefault="007179EE" w:rsidP="007179EE">
            <w:pPr>
              <w:jc w:val="both"/>
              <w:rPr>
                <w:rFonts w:eastAsia="Calibri" w:cs="Times New Roman"/>
                <w:sz w:val="20"/>
                <w:szCs w:val="20"/>
              </w:rPr>
            </w:pPr>
          </w:p>
        </w:tc>
      </w:tr>
      <w:tr w:rsidR="007179EE" w:rsidRPr="005D0703" w:rsidTr="007179EE">
        <w:tc>
          <w:tcPr>
            <w:tcW w:w="2427"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September 27, 2011</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7179EE" w:rsidRPr="005D0703" w:rsidRDefault="007179EE" w:rsidP="007179EE">
            <w:pPr>
              <w:jc w:val="both"/>
              <w:rPr>
                <w:rFonts w:eastAsia="Calibri" w:cs="Times New Roman"/>
                <w:sz w:val="20"/>
                <w:szCs w:val="20"/>
              </w:rPr>
            </w:pPr>
          </w:p>
        </w:tc>
        <w:tc>
          <w:tcPr>
            <w:tcW w:w="2330"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Motion to extend time and application for leave to appeal filed</w:t>
            </w:r>
          </w:p>
        </w:tc>
      </w:tr>
    </w:tbl>
    <w:p w:rsidR="00814F7A" w:rsidRPr="005D0703" w:rsidRDefault="00814F7A" w:rsidP="00814F7A">
      <w:pPr>
        <w:rPr>
          <w:rFonts w:cs="Times New Roman"/>
          <w:sz w:val="20"/>
          <w:szCs w:val="20"/>
        </w:rPr>
      </w:pPr>
    </w:p>
    <w:p w:rsidR="00814F7A" w:rsidRPr="005D0703" w:rsidRDefault="008A6550" w:rsidP="00814F7A">
      <w:pPr>
        <w:rPr>
          <w:rFonts w:cs="Times New Roman"/>
          <w:sz w:val="20"/>
          <w:szCs w:val="20"/>
        </w:rPr>
      </w:pPr>
      <w:r w:rsidRPr="008A6550">
        <w:rPr>
          <w:rFonts w:cs="Times New Roman"/>
          <w:sz w:val="20"/>
          <w:szCs w:val="20"/>
          <w:lang w:val="fr-CA"/>
        </w:rPr>
        <w:pict>
          <v:rect id="_x0000_i1084" style="width:2in;height:1pt" o:hrpct="0" o:hralign="center" o:hrstd="t" o:hrnoshade="t" o:hr="t" fillcolor="black [3213]" stroked="f"/>
        </w:pict>
      </w:r>
    </w:p>
    <w:p w:rsidR="00814F7A" w:rsidRPr="005D0703" w:rsidRDefault="00814F7A" w:rsidP="00814F7A">
      <w:pPr>
        <w:rPr>
          <w:rFonts w:cs="Times New Roman"/>
          <w:sz w:val="20"/>
          <w:szCs w:val="20"/>
        </w:rPr>
      </w:pPr>
    </w:p>
    <w:p w:rsidR="00814F7A" w:rsidRPr="005D0703" w:rsidRDefault="00814F7A" w:rsidP="00814F7A">
      <w:pPr>
        <w:rPr>
          <w:rFonts w:cs="Times New Roman"/>
          <w:sz w:val="20"/>
          <w:szCs w:val="20"/>
          <w:u w:val="single"/>
          <w:lang w:val="fr-CA"/>
        </w:rPr>
      </w:pPr>
      <w:r w:rsidRPr="005D0703">
        <w:rPr>
          <w:rFonts w:cs="Times New Roman"/>
          <w:sz w:val="20"/>
          <w:szCs w:val="20"/>
          <w:u w:val="single"/>
          <w:lang w:val="fr-CA"/>
        </w:rPr>
        <w:t>RÉSUMÉ DE L’AFFAIRE</w:t>
      </w:r>
    </w:p>
    <w:p w:rsidR="00814F7A" w:rsidRPr="005D0703" w:rsidRDefault="00814F7A" w:rsidP="00814F7A">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7179EE" w:rsidRPr="00C04C40" w:rsidTr="007179EE">
        <w:tc>
          <w:tcPr>
            <w:tcW w:w="5000" w:type="pct"/>
            <w:gridSpan w:val="3"/>
          </w:tcPr>
          <w:p w:rsidR="007179EE" w:rsidRPr="005D0703" w:rsidRDefault="007179EE" w:rsidP="007179EE">
            <w:pPr>
              <w:jc w:val="both"/>
              <w:rPr>
                <w:rFonts w:eastAsia="Calibri" w:cs="Times New Roman"/>
                <w:smallCaps/>
                <w:sz w:val="20"/>
                <w:szCs w:val="20"/>
                <w:lang w:val="fr-CA"/>
              </w:rPr>
            </w:pPr>
            <w:r w:rsidRPr="005D0703">
              <w:rPr>
                <w:rFonts w:eastAsia="Calibri" w:cs="Times New Roman"/>
                <w:smallCaps/>
                <w:sz w:val="20"/>
                <w:szCs w:val="20"/>
                <w:lang w:val="fr-CA"/>
              </w:rPr>
              <w:t>(Ordonnance de non</w:t>
            </w:r>
            <w:r w:rsidRPr="005D0703">
              <w:rPr>
                <w:rFonts w:eastAsia="Calibri" w:cs="Times New Roman"/>
                <w:smallCaps/>
                <w:sz w:val="20"/>
                <w:szCs w:val="20"/>
                <w:lang w:val="fr-CA"/>
              </w:rPr>
              <w:noBreakHyphen/>
              <w:t>publication dans le dossier) (Ordonnance de non</w:t>
            </w:r>
            <w:r w:rsidRPr="005D0703">
              <w:rPr>
                <w:rFonts w:eastAsia="Calibri" w:cs="Times New Roman"/>
                <w:smallCaps/>
                <w:sz w:val="20"/>
                <w:szCs w:val="20"/>
                <w:lang w:val="fr-CA"/>
              </w:rPr>
              <w:noBreakHyphen/>
              <w:t>publication visant une partie)</w:t>
            </w:r>
          </w:p>
          <w:p w:rsidR="007179EE" w:rsidRPr="005D0703" w:rsidRDefault="007179EE" w:rsidP="007179EE">
            <w:pPr>
              <w:jc w:val="both"/>
              <w:rPr>
                <w:rFonts w:eastAsia="Calibri" w:cs="Times New Roman"/>
                <w:sz w:val="20"/>
                <w:szCs w:val="20"/>
                <w:lang w:val="fr-CA"/>
              </w:rPr>
            </w:pPr>
          </w:p>
        </w:tc>
      </w:tr>
      <w:tr w:rsidR="007179EE" w:rsidRPr="00C04C40" w:rsidTr="007179EE">
        <w:tc>
          <w:tcPr>
            <w:tcW w:w="5000" w:type="pct"/>
            <w:gridSpan w:val="3"/>
          </w:tcPr>
          <w:p w:rsidR="007179EE" w:rsidRPr="005D0703" w:rsidRDefault="007179EE" w:rsidP="007179EE">
            <w:pPr>
              <w:jc w:val="both"/>
              <w:rPr>
                <w:rFonts w:eastAsia="Calibri" w:cs="Times New Roman"/>
                <w:sz w:val="20"/>
                <w:szCs w:val="20"/>
                <w:lang w:val="fr-CA"/>
              </w:rPr>
            </w:pPr>
            <w:r w:rsidRPr="005D0703">
              <w:rPr>
                <w:rFonts w:eastAsia="Calibri" w:cs="Times New Roman"/>
                <w:i/>
                <w:sz w:val="20"/>
                <w:szCs w:val="20"/>
                <w:lang w:val="fr-CA"/>
              </w:rPr>
              <w:t xml:space="preserve">Charte des droits </w:t>
            </w:r>
            <w:r w:rsidRPr="005D0703">
              <w:rPr>
                <w:rFonts w:eastAsia="Calibri" w:cs="Times New Roman"/>
                <w:sz w:val="20"/>
                <w:szCs w:val="20"/>
                <w:lang w:val="fr-CA"/>
              </w:rPr>
              <w:t>— Droit de la famille — Aliments — Pension alimentaire pour enfants — Biens familiaux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erré en accueillant la requête du Procureur général du Québec et celle du Procureur général du Canada pour être mis hors de cause? — En matière d’aliments, est</w:t>
            </w:r>
            <w:r w:rsidRPr="005D0703">
              <w:rPr>
                <w:rFonts w:eastAsia="Calibri" w:cs="Times New Roman"/>
                <w:sz w:val="20"/>
                <w:szCs w:val="20"/>
                <w:lang w:val="fr-CA"/>
              </w:rPr>
              <w:noBreakHyphen/>
              <w:t xml:space="preserve">il inconstitutionnel de ne pas tenir compte de la responsabilité d’un adulte envers les enfants avec qui il vit afin de déterminer sa responsabilité envers ses enfants biologiques dont il n’a pas la garde? — La notion </w:t>
            </w:r>
            <w:r w:rsidRPr="005D0703">
              <w:rPr>
                <w:rFonts w:eastAsia="Calibri" w:cs="Times New Roman"/>
                <w:i/>
                <w:sz w:val="20"/>
                <w:szCs w:val="20"/>
                <w:lang w:val="fr-CA"/>
              </w:rPr>
              <w:t>in loco parentis</w:t>
            </w:r>
            <w:r w:rsidRPr="005D0703">
              <w:rPr>
                <w:rFonts w:eastAsia="Calibri" w:cs="Times New Roman"/>
                <w:sz w:val="20"/>
                <w:szCs w:val="20"/>
                <w:lang w:val="fr-CA"/>
              </w:rPr>
              <w:t xml:space="preserve"> entraîne</w:t>
            </w:r>
            <w:r w:rsidRPr="005D0703">
              <w:rPr>
                <w:rFonts w:eastAsia="Calibri" w:cs="Times New Roman"/>
                <w:sz w:val="20"/>
                <w:szCs w:val="20"/>
                <w:lang w:val="fr-CA"/>
              </w:rPr>
              <w:noBreakHyphen/>
              <w:t>t</w:t>
            </w:r>
            <w:r w:rsidRPr="005D0703">
              <w:rPr>
                <w:rFonts w:eastAsia="Calibri" w:cs="Times New Roman"/>
                <w:sz w:val="20"/>
                <w:szCs w:val="20"/>
                <w:lang w:val="fr-CA"/>
              </w:rPr>
              <w:noBreakHyphen/>
              <w:t>elle une responsabilité parentale légale du demandeur envers les enfants de son épouse? — La Cour d’appel a</w:t>
            </w:r>
            <w:r w:rsidRPr="005D0703">
              <w:rPr>
                <w:rFonts w:eastAsia="Calibri" w:cs="Times New Roman"/>
                <w:sz w:val="20"/>
                <w:szCs w:val="20"/>
                <w:lang w:val="fr-CA"/>
              </w:rPr>
              <w:noBreakHyphen/>
              <w:t>t</w:t>
            </w:r>
            <w:r w:rsidRPr="005D0703">
              <w:rPr>
                <w:rFonts w:eastAsia="Calibri" w:cs="Times New Roman"/>
                <w:sz w:val="20"/>
                <w:szCs w:val="20"/>
                <w:lang w:val="fr-CA"/>
              </w:rPr>
              <w:noBreakHyphen/>
              <w:t>elle erré en concluant que le mariage du demandeur et la prise en charge des enfants de son épouse ne constituaient pas des faits nouveaux justifiant la révision de ses obligations alimentaires envers ses deux enfants biologiques? — Y a</w:t>
            </w:r>
            <w:r w:rsidRPr="005D0703">
              <w:rPr>
                <w:rFonts w:eastAsia="Calibri" w:cs="Times New Roman"/>
                <w:sz w:val="20"/>
                <w:szCs w:val="20"/>
                <w:lang w:val="fr-CA"/>
              </w:rPr>
              <w:noBreakHyphen/>
              <w:t>t</w:t>
            </w:r>
            <w:r w:rsidRPr="005D0703">
              <w:rPr>
                <w:rFonts w:eastAsia="Calibri" w:cs="Times New Roman"/>
                <w:sz w:val="20"/>
                <w:szCs w:val="20"/>
                <w:lang w:val="fr-CA"/>
              </w:rPr>
              <w:noBreakHyphen/>
              <w:t>il constitution d’un patrimoine familial dans une union de fait où les adultes donnent naissance à des enfants?</w:t>
            </w:r>
          </w:p>
          <w:p w:rsidR="007179EE" w:rsidRPr="005D0703" w:rsidRDefault="007179EE" w:rsidP="007179EE">
            <w:pPr>
              <w:jc w:val="both"/>
              <w:rPr>
                <w:rFonts w:eastAsia="Calibri" w:cs="Times New Roman"/>
                <w:sz w:val="20"/>
                <w:szCs w:val="20"/>
                <w:lang w:val="fr-CA"/>
              </w:rPr>
            </w:pPr>
          </w:p>
        </w:tc>
      </w:tr>
      <w:tr w:rsidR="007179EE" w:rsidRPr="005D0703" w:rsidTr="007179EE">
        <w:tc>
          <w:tcPr>
            <w:tcW w:w="5000" w:type="pct"/>
            <w:gridSpan w:val="3"/>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 xml:space="preserve">Le demandeur et l’intimée ont été des conjoints de fait de 1980 à 2002.  En juin 2003, les deux enfants nés de leur union choisissent de résider en permanence avec leur mère.  En mai 2005, le juge Déziel de la Cour supérieure rejette la demande de garde partagée présentée par le demandeur et il confie la garde de l’enfant mineur à l’intimée tout en accordant des droits d’accès au demandeur.  Il ordonne au demandeur de verser une pension alimentaire à l'intimée au bénéfice des deux enfants encore à charge, rétroactivement au 20 juin 2003.  Il établit cette pension à quelque 1 100$ par mois à compter de septembre 2005.  Il tient compte pour ce faire du revenu du demandeur et de l'intimée.  Le juge Déziel refuse de tenir compte du revenu des nouveaux conjoints de fait des parties puisqu’un tel revenu n’est pas inclus dans la définition de « revenu annuel » à l’art. 9 du </w:t>
            </w:r>
            <w:r w:rsidRPr="005D0703">
              <w:rPr>
                <w:rFonts w:eastAsia="Calibri" w:cs="Times New Roman"/>
                <w:i/>
                <w:sz w:val="20"/>
                <w:szCs w:val="20"/>
                <w:lang w:val="fr-CA"/>
              </w:rPr>
              <w:t>Règlement sur la fixation des pensions alimentaires</w:t>
            </w:r>
            <w:r w:rsidRPr="005D0703">
              <w:rPr>
                <w:rFonts w:eastAsia="Calibri" w:cs="Times New Roman"/>
                <w:sz w:val="20"/>
                <w:szCs w:val="20"/>
                <w:lang w:val="fr-CA"/>
              </w:rPr>
              <w:t>, R.R.Q., ch. C</w:t>
            </w:r>
            <w:r w:rsidRPr="005D0703">
              <w:rPr>
                <w:rFonts w:eastAsia="Calibri" w:cs="Times New Roman"/>
                <w:sz w:val="20"/>
                <w:szCs w:val="20"/>
                <w:lang w:val="fr-CA"/>
              </w:rPr>
              <w:noBreakHyphen/>
              <w:t xml:space="preserve">25, r. 6. </w:t>
            </w:r>
          </w:p>
          <w:p w:rsidR="007179EE" w:rsidRPr="005D0703" w:rsidRDefault="007179EE" w:rsidP="007179EE">
            <w:pPr>
              <w:jc w:val="both"/>
              <w:rPr>
                <w:rFonts w:eastAsia="Calibri" w:cs="Times New Roman"/>
                <w:sz w:val="20"/>
                <w:szCs w:val="20"/>
                <w:lang w:val="fr-CA"/>
              </w:rPr>
            </w:pP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 xml:space="preserve">En octobre 2005, le demandeur se marie avec sa nouvelle conjointe de fait, qui est mère de cinq enfants dont quatre vivent alors avec elle.  En janvier 2006, le demandeur dépose une requête en modification de la garde et en modification de la pension alimentaire.  Il prétend que la pension payable pour ses deux enfants devrait être réduite pour tenir compte de ses nouvelles obligations financières découlant de son mariage et du fait que son fils majeur ne réside plus avec l'intimée depuis septembre 2005.  Cette requête fait ensuite l’objet d’amendements, dont l’ajout de son épouse comme corequérante, une demande de déclaration d'inconstitutionnalité de nombreux articles du </w:t>
            </w:r>
            <w:r w:rsidRPr="005D0703">
              <w:rPr>
                <w:rFonts w:eastAsia="Calibri" w:cs="Times New Roman"/>
                <w:i/>
                <w:sz w:val="20"/>
                <w:szCs w:val="20"/>
                <w:lang w:val="fr-CA"/>
              </w:rPr>
              <w:t>Code civil du Québec</w:t>
            </w:r>
            <w:r w:rsidRPr="005D0703">
              <w:rPr>
                <w:rFonts w:eastAsia="Calibri" w:cs="Times New Roman"/>
                <w:sz w:val="20"/>
                <w:szCs w:val="20"/>
                <w:lang w:val="fr-CA"/>
              </w:rPr>
              <w:t xml:space="preserve"> et du principe de la défiscalisation des pensions alimentaires et une ordonnance de partage du régime de retraite de l'intimée.</w:t>
            </w:r>
          </w:p>
          <w:p w:rsidR="007179EE" w:rsidRPr="005D0703" w:rsidRDefault="007179EE" w:rsidP="007179EE">
            <w:pPr>
              <w:jc w:val="both"/>
              <w:rPr>
                <w:rFonts w:eastAsia="Calibri" w:cs="Times New Roman"/>
                <w:sz w:val="20"/>
                <w:szCs w:val="20"/>
                <w:lang w:val="fr-CA"/>
              </w:rPr>
            </w:pP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 xml:space="preserve">Se prononçant séance tenante, le juge Béliveau de la Cour supérieure met fin à toute pension alimentaire pour l’aîné et fixe celle payable pour le cadet à 680,78$ par mois.  Vu l’absence d’avis au Procureur général du Québec et au Procureur général du Canada tel que le requiert l’art. 95 du </w:t>
            </w:r>
            <w:r w:rsidRPr="005D0703">
              <w:rPr>
                <w:rFonts w:eastAsia="Calibri" w:cs="Times New Roman"/>
                <w:i/>
                <w:sz w:val="20"/>
                <w:szCs w:val="20"/>
                <w:lang w:val="fr-CA"/>
              </w:rPr>
              <w:t>Code de procédure civile</w:t>
            </w:r>
            <w:r w:rsidRPr="005D0703">
              <w:rPr>
                <w:rFonts w:eastAsia="Calibri" w:cs="Times New Roman"/>
                <w:sz w:val="20"/>
                <w:szCs w:val="20"/>
                <w:lang w:val="fr-CA"/>
              </w:rPr>
              <w:t>, le juge rejette la demande de déclaration d’inconstitutionnalité.  La Cour d’appel confirme cette décision.</w:t>
            </w:r>
          </w:p>
          <w:p w:rsidR="007179EE" w:rsidRPr="005D0703" w:rsidRDefault="007179EE" w:rsidP="007179EE">
            <w:pPr>
              <w:jc w:val="both"/>
              <w:rPr>
                <w:rFonts w:eastAsia="Calibri" w:cs="Times New Roman"/>
                <w:sz w:val="20"/>
                <w:szCs w:val="20"/>
                <w:lang w:val="fr-CA"/>
              </w:rPr>
            </w:pPr>
          </w:p>
        </w:tc>
      </w:tr>
      <w:tr w:rsidR="007179EE" w:rsidRPr="00C04C40" w:rsidTr="007179EE">
        <w:tc>
          <w:tcPr>
            <w:tcW w:w="2427"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Le 15 juillet 2008</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Cour supérieure du Québec</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(Le juge Béliveau)</w:t>
            </w:r>
          </w:p>
          <w:p w:rsidR="007179EE" w:rsidRPr="005D0703" w:rsidRDefault="007179EE" w:rsidP="007179EE">
            <w:pPr>
              <w:jc w:val="both"/>
              <w:rPr>
                <w:rFonts w:eastAsia="Calibri" w:cs="Times New Roman"/>
                <w:sz w:val="20"/>
                <w:szCs w:val="20"/>
              </w:rPr>
            </w:pPr>
          </w:p>
        </w:tc>
        <w:tc>
          <w:tcPr>
            <w:tcW w:w="243" w:type="pct"/>
          </w:tcPr>
          <w:p w:rsidR="007179EE" w:rsidRPr="005D0703" w:rsidRDefault="007179EE" w:rsidP="007179EE">
            <w:pPr>
              <w:jc w:val="both"/>
              <w:rPr>
                <w:rFonts w:eastAsia="Calibri" w:cs="Times New Roman"/>
                <w:sz w:val="20"/>
                <w:szCs w:val="20"/>
              </w:rPr>
            </w:pPr>
          </w:p>
        </w:tc>
        <w:tc>
          <w:tcPr>
            <w:tcW w:w="2330"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Requête du demandeur en modification de la pension alimentaire payable pour ses enfants accueillie en partie</w:t>
            </w:r>
          </w:p>
          <w:p w:rsidR="007179EE" w:rsidRPr="005D0703" w:rsidRDefault="007179EE" w:rsidP="007179EE">
            <w:pPr>
              <w:jc w:val="both"/>
              <w:rPr>
                <w:rFonts w:eastAsia="Calibri" w:cs="Times New Roman"/>
                <w:sz w:val="20"/>
                <w:szCs w:val="20"/>
                <w:lang w:val="fr-CA"/>
              </w:rPr>
            </w:pPr>
          </w:p>
        </w:tc>
      </w:tr>
      <w:tr w:rsidR="007179EE" w:rsidRPr="00C04C40" w:rsidTr="007179EE">
        <w:tc>
          <w:tcPr>
            <w:tcW w:w="2427"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Le 16 septembre 2009</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Cour d’appel du Québec (Montréal)</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(Les juges Dalphond, Vézina et Léger)</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Référence neutre : 2009 QCCA 1712</w:t>
            </w:r>
          </w:p>
          <w:p w:rsidR="007179EE" w:rsidRPr="005D0703" w:rsidRDefault="007179EE" w:rsidP="007179EE">
            <w:pPr>
              <w:jc w:val="both"/>
              <w:rPr>
                <w:rFonts w:eastAsia="Calibri" w:cs="Times New Roman"/>
                <w:sz w:val="20"/>
                <w:szCs w:val="20"/>
                <w:lang w:val="fr-FR"/>
              </w:rPr>
            </w:pPr>
          </w:p>
        </w:tc>
        <w:tc>
          <w:tcPr>
            <w:tcW w:w="243" w:type="pct"/>
          </w:tcPr>
          <w:p w:rsidR="007179EE" w:rsidRPr="005D0703" w:rsidRDefault="007179EE" w:rsidP="007179EE">
            <w:pPr>
              <w:jc w:val="both"/>
              <w:rPr>
                <w:rFonts w:eastAsia="Calibri" w:cs="Times New Roman"/>
                <w:sz w:val="20"/>
                <w:szCs w:val="20"/>
                <w:lang w:val="fr-FR"/>
              </w:rPr>
            </w:pPr>
          </w:p>
        </w:tc>
        <w:tc>
          <w:tcPr>
            <w:tcW w:w="2330"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Pourvoi du demandeur rejeté; requête de l’intimée pour faire déclarer le demandeur plaideur quérulent rejetée</w:t>
            </w:r>
          </w:p>
          <w:p w:rsidR="007179EE" w:rsidRPr="005D0703" w:rsidRDefault="007179EE" w:rsidP="007179EE">
            <w:pPr>
              <w:jc w:val="both"/>
              <w:rPr>
                <w:rFonts w:eastAsia="Calibri" w:cs="Times New Roman"/>
                <w:sz w:val="20"/>
                <w:szCs w:val="20"/>
                <w:lang w:val="fr-CA"/>
              </w:rPr>
            </w:pPr>
          </w:p>
        </w:tc>
      </w:tr>
      <w:tr w:rsidR="007179EE" w:rsidRPr="00C04C40" w:rsidTr="007179EE">
        <w:tc>
          <w:tcPr>
            <w:tcW w:w="2427"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Le 27 septembre 2011</w:t>
            </w:r>
          </w:p>
          <w:p w:rsidR="007179EE" w:rsidRPr="005D0703" w:rsidRDefault="007179EE" w:rsidP="007179EE">
            <w:pPr>
              <w:jc w:val="both"/>
              <w:rPr>
                <w:rFonts w:eastAsia="Calibri" w:cs="Times New Roman"/>
                <w:sz w:val="20"/>
                <w:szCs w:val="20"/>
                <w:lang w:val="fr-FR"/>
              </w:rPr>
            </w:pPr>
            <w:r w:rsidRPr="005D0703">
              <w:rPr>
                <w:rFonts w:eastAsia="Calibri" w:cs="Times New Roman"/>
                <w:sz w:val="20"/>
                <w:szCs w:val="20"/>
                <w:lang w:val="fr-CA"/>
              </w:rPr>
              <w:t>Cour suprême du Canada</w:t>
            </w:r>
          </w:p>
        </w:tc>
        <w:tc>
          <w:tcPr>
            <w:tcW w:w="243" w:type="pct"/>
          </w:tcPr>
          <w:p w:rsidR="007179EE" w:rsidRPr="005D0703" w:rsidRDefault="007179EE" w:rsidP="007179EE">
            <w:pPr>
              <w:jc w:val="both"/>
              <w:rPr>
                <w:rFonts w:eastAsia="Calibri" w:cs="Times New Roman"/>
                <w:sz w:val="20"/>
                <w:szCs w:val="20"/>
                <w:lang w:val="fr-FR"/>
              </w:rPr>
            </w:pPr>
          </w:p>
        </w:tc>
        <w:tc>
          <w:tcPr>
            <w:tcW w:w="2330"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Requête en prorogation de délai et demande d'autorisation d'appel déposée</w:t>
            </w:r>
          </w:p>
        </w:tc>
      </w:tr>
    </w:tbl>
    <w:p w:rsidR="007179EE" w:rsidRPr="005D0703" w:rsidRDefault="007179EE" w:rsidP="007179EE">
      <w:pPr>
        <w:rPr>
          <w:rFonts w:cs="Times New Roman"/>
          <w:sz w:val="20"/>
          <w:szCs w:val="20"/>
          <w:lang w:val="fr-CA"/>
        </w:rPr>
      </w:pPr>
    </w:p>
    <w:p w:rsidR="007179EE" w:rsidRPr="005D0703" w:rsidRDefault="008A6550" w:rsidP="007179EE">
      <w:pPr>
        <w:rPr>
          <w:rFonts w:cs="Times New Roman"/>
          <w:sz w:val="20"/>
          <w:szCs w:val="20"/>
        </w:rPr>
      </w:pPr>
      <w:r w:rsidRPr="008A6550">
        <w:rPr>
          <w:rFonts w:cs="Times New Roman"/>
          <w:sz w:val="20"/>
          <w:szCs w:val="20"/>
          <w:lang w:val="fr-CA"/>
        </w:rPr>
        <w:pict>
          <v:rect id="_x0000_i1085" style="width:2in;height:1pt" o:hrpct="0" o:hralign="center" o:hrstd="t" o:hrnoshade="t" o:hr="t" fillcolor="black [3213]" stroked="f"/>
        </w:pict>
      </w:r>
    </w:p>
    <w:p w:rsidR="007179EE" w:rsidRPr="005D0703" w:rsidRDefault="007179EE" w:rsidP="007179EE">
      <w:pPr>
        <w:rPr>
          <w:rFonts w:cs="Times New Roman"/>
          <w:sz w:val="20"/>
          <w:szCs w:val="20"/>
        </w:rPr>
      </w:pPr>
    </w:p>
    <w:tbl>
      <w:tblPr>
        <w:tblStyle w:val="TableGrid1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61130" w:rsidRPr="005D0703" w:rsidTr="007A0A95">
        <w:trPr>
          <w:cantSplit/>
        </w:trPr>
        <w:tc>
          <w:tcPr>
            <w:tcW w:w="1458" w:type="dxa"/>
          </w:tcPr>
          <w:p w:rsidR="00361130" w:rsidRPr="005D0703" w:rsidRDefault="00361130" w:rsidP="00361130">
            <w:pPr>
              <w:jc w:val="both"/>
              <w:rPr>
                <w:rFonts w:cs="Times New Roman"/>
                <w:sz w:val="20"/>
                <w:szCs w:val="20"/>
              </w:rPr>
            </w:pPr>
            <w:r w:rsidRPr="005D0703">
              <w:rPr>
                <w:rFonts w:cs="Times New Roman"/>
                <w:b/>
                <w:sz w:val="20"/>
                <w:szCs w:val="20"/>
                <w:lang w:val="fr-CA"/>
              </w:rPr>
              <w:t>34482</w:t>
            </w:r>
          </w:p>
          <w:p w:rsidR="00361130" w:rsidRPr="005D0703" w:rsidRDefault="00361130" w:rsidP="00361130">
            <w:pPr>
              <w:jc w:val="both"/>
              <w:rPr>
                <w:rFonts w:cs="Times New Roman"/>
                <w:b/>
                <w:sz w:val="20"/>
                <w:szCs w:val="20"/>
                <w:lang w:val="fr-CA"/>
              </w:rPr>
            </w:pPr>
          </w:p>
        </w:tc>
        <w:tc>
          <w:tcPr>
            <w:tcW w:w="8118" w:type="dxa"/>
          </w:tcPr>
          <w:p w:rsidR="00361130" w:rsidRPr="005D0703" w:rsidRDefault="00361130" w:rsidP="00361130">
            <w:pPr>
              <w:jc w:val="both"/>
              <w:rPr>
                <w:rFonts w:cs="Times New Roman"/>
                <w:sz w:val="20"/>
                <w:szCs w:val="20"/>
              </w:rPr>
            </w:pPr>
            <w:r w:rsidRPr="005D0703">
              <w:rPr>
                <w:rFonts w:cs="Times New Roman"/>
                <w:b/>
                <w:sz w:val="20"/>
                <w:szCs w:val="20"/>
                <w:u w:val="single"/>
                <w:lang w:val="en-US"/>
              </w:rPr>
              <w:t>John C. Turmel v. CBC (Dragons' Den)</w:t>
            </w:r>
            <w:r w:rsidRPr="005D0703">
              <w:rPr>
                <w:rFonts w:cs="Times New Roman"/>
                <w:sz w:val="20"/>
                <w:szCs w:val="20"/>
              </w:rPr>
              <w:t xml:space="preserve"> (Ont.) (Civil) (By Leave)</w:t>
            </w:r>
          </w:p>
          <w:p w:rsidR="00361130" w:rsidRPr="005D0703" w:rsidRDefault="00361130" w:rsidP="00361130">
            <w:pPr>
              <w:jc w:val="both"/>
              <w:rPr>
                <w:rFonts w:cs="Times New Roman"/>
                <w:sz w:val="20"/>
                <w:szCs w:val="20"/>
              </w:rPr>
            </w:pPr>
          </w:p>
        </w:tc>
      </w:tr>
      <w:tr w:rsidR="00361130" w:rsidRPr="005D0703" w:rsidTr="007A0A95">
        <w:trPr>
          <w:cantSplit/>
        </w:trPr>
        <w:tc>
          <w:tcPr>
            <w:tcW w:w="1458" w:type="dxa"/>
          </w:tcPr>
          <w:p w:rsidR="00361130" w:rsidRPr="005D0703" w:rsidRDefault="00361130" w:rsidP="00361130">
            <w:pPr>
              <w:jc w:val="both"/>
              <w:rPr>
                <w:rFonts w:cs="Times New Roman"/>
                <w:sz w:val="20"/>
                <w:szCs w:val="20"/>
              </w:rPr>
            </w:pPr>
            <w:r w:rsidRPr="005D0703">
              <w:rPr>
                <w:rFonts w:cs="Times New Roman"/>
                <w:sz w:val="20"/>
                <w:szCs w:val="20"/>
              </w:rPr>
              <w:t>Coram :</w:t>
            </w:r>
          </w:p>
        </w:tc>
        <w:tc>
          <w:tcPr>
            <w:tcW w:w="8118" w:type="dxa"/>
          </w:tcPr>
          <w:p w:rsidR="00361130" w:rsidRPr="005D0703" w:rsidRDefault="00361130" w:rsidP="00361130">
            <w:pPr>
              <w:jc w:val="both"/>
              <w:rPr>
                <w:rFonts w:cs="Times New Roman"/>
                <w:sz w:val="20"/>
                <w:szCs w:val="20"/>
              </w:rPr>
            </w:pPr>
            <w:r w:rsidRPr="005D0703">
              <w:rPr>
                <w:rFonts w:cs="Times New Roman"/>
                <w:sz w:val="20"/>
                <w:szCs w:val="20"/>
                <w:u w:val="single"/>
                <w:lang w:val="en-US"/>
              </w:rPr>
              <w:t>Deschamps, Fish and Karakatsanis JJ.</w:t>
            </w:r>
          </w:p>
          <w:p w:rsidR="00361130" w:rsidRPr="005D0703" w:rsidRDefault="00361130" w:rsidP="00361130">
            <w:pPr>
              <w:jc w:val="both"/>
              <w:rPr>
                <w:rFonts w:cs="Times New Roman"/>
                <w:sz w:val="20"/>
                <w:szCs w:val="20"/>
                <w:u w:val="single"/>
              </w:rPr>
            </w:pPr>
          </w:p>
        </w:tc>
      </w:tr>
      <w:tr w:rsidR="00361130" w:rsidRPr="00C04C40" w:rsidTr="007A0A95">
        <w:trPr>
          <w:cantSplit/>
        </w:trPr>
        <w:tc>
          <w:tcPr>
            <w:tcW w:w="9576" w:type="dxa"/>
            <w:gridSpan w:val="2"/>
          </w:tcPr>
          <w:p w:rsidR="00361130" w:rsidRPr="005D0703" w:rsidRDefault="00361130" w:rsidP="00361130">
            <w:pPr>
              <w:ind w:firstLine="720"/>
              <w:jc w:val="both"/>
              <w:rPr>
                <w:rFonts w:cs="Times New Roman"/>
                <w:sz w:val="20"/>
                <w:szCs w:val="20"/>
              </w:rPr>
            </w:pPr>
            <w:r w:rsidRPr="005D0703">
              <w:rPr>
                <w:rFonts w:cs="Times New Roman"/>
                <w:sz w:val="20"/>
                <w:szCs w:val="20"/>
              </w:rPr>
              <w:t>The application for leave to appeal from the judgment of the Court of Appeal for Ontario, Numbers C53732 and C52849, 2011 ONCA 519, dated July 12, 2011, is dismissed with costs.</w:t>
            </w:r>
          </w:p>
          <w:p w:rsidR="00361130" w:rsidRPr="005D0703" w:rsidRDefault="00361130" w:rsidP="00361130">
            <w:pPr>
              <w:jc w:val="both"/>
              <w:rPr>
                <w:rFonts w:cs="Times New Roman"/>
                <w:sz w:val="20"/>
                <w:szCs w:val="20"/>
              </w:rPr>
            </w:pPr>
          </w:p>
          <w:p w:rsidR="00361130" w:rsidRPr="005D0703" w:rsidRDefault="00361130" w:rsidP="00361130">
            <w:pPr>
              <w:ind w:firstLine="720"/>
              <w:jc w:val="both"/>
              <w:rPr>
                <w:rFonts w:cs="Times New Roman"/>
                <w:sz w:val="20"/>
                <w:szCs w:val="20"/>
                <w:lang w:val="fr-CA"/>
              </w:rPr>
            </w:pPr>
            <w:r w:rsidRPr="005D0703">
              <w:rPr>
                <w:rFonts w:cs="Times New Roman"/>
                <w:sz w:val="20"/>
                <w:szCs w:val="20"/>
                <w:lang w:val="fr-CA"/>
              </w:rPr>
              <w:t>La demande d’autorisation d’appel de l’arrêt de la Cour d’appel de l’Ontario, numéros C53732 et C52849, 2011 ONCA 519, daté du 12 juillet 2011, est rejetée avec dépens.</w:t>
            </w:r>
          </w:p>
        </w:tc>
      </w:tr>
    </w:tbl>
    <w:p w:rsidR="007179EE" w:rsidRPr="005D0703" w:rsidRDefault="007179EE" w:rsidP="007179EE">
      <w:pPr>
        <w:rPr>
          <w:rFonts w:cs="Times New Roman"/>
          <w:sz w:val="20"/>
          <w:szCs w:val="20"/>
          <w:lang w:val="fr-CA"/>
        </w:rPr>
      </w:pPr>
    </w:p>
    <w:p w:rsidR="007179EE" w:rsidRPr="005D0703" w:rsidRDefault="007179EE" w:rsidP="007179EE">
      <w:pPr>
        <w:rPr>
          <w:rFonts w:cs="Times New Roman"/>
          <w:sz w:val="20"/>
          <w:szCs w:val="20"/>
          <w:u w:val="single"/>
        </w:rPr>
      </w:pPr>
      <w:r w:rsidRPr="005D0703">
        <w:rPr>
          <w:rFonts w:cs="Times New Roman"/>
          <w:sz w:val="20"/>
          <w:szCs w:val="20"/>
          <w:u w:val="single"/>
        </w:rPr>
        <w:t>CASE SUMMARY</w:t>
      </w:r>
    </w:p>
    <w:p w:rsidR="007179EE" w:rsidRPr="005D0703" w:rsidRDefault="007179EE" w:rsidP="007179EE">
      <w:pPr>
        <w:rPr>
          <w:rFonts w:cs="Times New Roman"/>
          <w:sz w:val="20"/>
          <w:szCs w:val="20"/>
          <w:lang w:val="en-US"/>
        </w:rPr>
      </w:pPr>
    </w:p>
    <w:tbl>
      <w:tblPr>
        <w:tblW w:w="4952" w:type="pct"/>
        <w:tblLayout w:type="fixed"/>
        <w:tblCellMar>
          <w:left w:w="0" w:type="dxa"/>
          <w:bottom w:w="99" w:type="dxa"/>
          <w:right w:w="0" w:type="dxa"/>
        </w:tblCellMar>
        <w:tblLook w:val="04A0"/>
      </w:tblPr>
      <w:tblGrid>
        <w:gridCol w:w="4624"/>
        <w:gridCol w:w="463"/>
        <w:gridCol w:w="4440"/>
      </w:tblGrid>
      <w:tr w:rsidR="007179EE" w:rsidRPr="005D0703" w:rsidTr="007179EE">
        <w:tc>
          <w:tcPr>
            <w:tcW w:w="5000" w:type="pct"/>
            <w:gridSpan w:val="3"/>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 xml:space="preserve">Torts — Libel and slander — Consent — Applicant signing consent prior to taping of a television show — Edited version later broadcast on two occasions and posted on respondent’s website — Whether consent trumps original offer to appear on show — Whether consent was obtained under unconscionable duress —Whether consent improperly includes exculpatory clause for defamation — Whether first tort may be raised in the second action under the </w:t>
            </w:r>
            <w:r w:rsidRPr="005D0703">
              <w:rPr>
                <w:rFonts w:eastAsia="Calibri" w:cs="Times New Roman"/>
                <w:i/>
                <w:sz w:val="20"/>
                <w:szCs w:val="20"/>
              </w:rPr>
              <w:t>Libel and Slander Act</w:t>
            </w:r>
            <w:r w:rsidRPr="005D0703">
              <w:rPr>
                <w:rFonts w:eastAsia="Calibri" w:cs="Times New Roman"/>
                <w:sz w:val="20"/>
                <w:szCs w:val="20"/>
              </w:rPr>
              <w:t>, R.S.O. 1990, c. L</w:t>
            </w:r>
            <w:r w:rsidRPr="005D0703">
              <w:rPr>
                <w:rFonts w:eastAsia="Calibri" w:cs="Times New Roman"/>
                <w:sz w:val="20"/>
                <w:szCs w:val="20"/>
              </w:rPr>
              <w:noBreakHyphen/>
              <w:t>12 — Whether rebroadcast required a new consent</w:t>
            </w:r>
          </w:p>
          <w:p w:rsidR="007179EE" w:rsidRPr="005D0703" w:rsidRDefault="007179EE" w:rsidP="007179EE">
            <w:pPr>
              <w:jc w:val="both"/>
              <w:rPr>
                <w:rFonts w:eastAsia="Calibri" w:cs="Times New Roman"/>
                <w:sz w:val="20"/>
                <w:szCs w:val="20"/>
              </w:rPr>
            </w:pPr>
          </w:p>
        </w:tc>
      </w:tr>
      <w:tr w:rsidR="007179EE" w:rsidRPr="005D0703" w:rsidTr="007179EE">
        <w:tc>
          <w:tcPr>
            <w:tcW w:w="5000" w:type="pct"/>
            <w:gridSpan w:val="3"/>
          </w:tcPr>
          <w:p w:rsidR="007179EE" w:rsidRPr="005D0703" w:rsidRDefault="007179EE" w:rsidP="007179EE">
            <w:pPr>
              <w:ind w:right="90"/>
              <w:jc w:val="both"/>
              <w:rPr>
                <w:rFonts w:eastAsia="Calibri" w:cs="Times New Roman"/>
                <w:sz w:val="20"/>
                <w:szCs w:val="20"/>
              </w:rPr>
            </w:pPr>
            <w:r w:rsidRPr="005D0703">
              <w:rPr>
                <w:rFonts w:eastAsia="Calibri" w:cs="Times New Roman"/>
                <w:sz w:val="20"/>
                <w:szCs w:val="20"/>
              </w:rPr>
              <w:t xml:space="preserve">In 2009, Mr. Turmel was contacted by one of the producers of the CBC television show, Dragon’s Den, to pitch a business proposal to the panel of Canadian business people, who offer advice and financing to participants based on their assessment of the financial viability of the proposals.  Mr. Turmel agreed to participate in a taping of the show.  In advance, he was given a contestant guidebook to review that advised the contestant of some of the rules and that there was </w:t>
            </w:r>
            <w:proofErr w:type="gramStart"/>
            <w:r w:rsidRPr="005D0703">
              <w:rPr>
                <w:rFonts w:eastAsia="Calibri" w:cs="Times New Roman"/>
                <w:sz w:val="20"/>
                <w:szCs w:val="20"/>
              </w:rPr>
              <w:t>a consent</w:t>
            </w:r>
            <w:proofErr w:type="gramEnd"/>
            <w:r w:rsidRPr="005D0703">
              <w:rPr>
                <w:rFonts w:eastAsia="Calibri" w:cs="Times New Roman"/>
                <w:sz w:val="20"/>
                <w:szCs w:val="20"/>
              </w:rPr>
              <w:t xml:space="preserve"> form to read and sign.  Prior to taping, Mr. Turmel was given the consent form and he signed it without asking any questions.  Mr. Turmel pitched a proposal seeking a $100,000 investment from the Dragons to start up a local currency system in Brantford, Ontario.  He did not get the investment.  In January 2010, the CBC aired a one minute segment of Mr. Turmel’s pitch that conveyed the message that his pitch was confusing.  A week later, Mr. Turmel commenced an action against the CBC for defamation.  He did not serve a notice of claim before commencing the action or within six weeks of the broadcast in accordance with s. 5(1) of the </w:t>
            </w:r>
            <w:r w:rsidRPr="005D0703">
              <w:rPr>
                <w:rFonts w:eastAsia="Calibri" w:cs="Times New Roman"/>
                <w:i/>
                <w:sz w:val="20"/>
                <w:szCs w:val="20"/>
              </w:rPr>
              <w:t>Libel and Slander Act</w:t>
            </w:r>
            <w:r w:rsidRPr="005D0703">
              <w:rPr>
                <w:rFonts w:eastAsia="Calibri" w:cs="Times New Roman"/>
                <w:sz w:val="20"/>
                <w:szCs w:val="20"/>
              </w:rPr>
              <w:t>.  The CBC obtained an order for summary judgment and the action was dismissed.  In August, 2010, the same segment was rebroadcast and Mr. Turmel brought a second action for breach of contract and defamation.  On this occasion, he did provide the CBC with a notice of action.  The CBC brought a motion for summary judgment.</w:t>
            </w:r>
          </w:p>
          <w:p w:rsidR="007179EE" w:rsidRPr="005D0703" w:rsidRDefault="007179EE" w:rsidP="007179EE">
            <w:pPr>
              <w:ind w:right="90"/>
              <w:jc w:val="both"/>
              <w:rPr>
                <w:rFonts w:eastAsia="Calibri" w:cs="Times New Roman"/>
                <w:sz w:val="20"/>
                <w:szCs w:val="20"/>
              </w:rPr>
            </w:pPr>
          </w:p>
        </w:tc>
      </w:tr>
      <w:tr w:rsidR="007179EE" w:rsidRPr="005D0703" w:rsidTr="007179EE">
        <w:tc>
          <w:tcPr>
            <w:tcW w:w="2427"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September 27, 2010</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Ontario Superior Court of Justice</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(Lofchik J.)</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2010 ONSC 5318</w:t>
            </w:r>
          </w:p>
          <w:p w:rsidR="007179EE" w:rsidRPr="005D0703" w:rsidRDefault="007179EE" w:rsidP="007179EE">
            <w:pPr>
              <w:jc w:val="both"/>
              <w:rPr>
                <w:rFonts w:eastAsia="Calibri" w:cs="Times New Roman"/>
                <w:sz w:val="20"/>
                <w:szCs w:val="20"/>
              </w:rPr>
            </w:pPr>
          </w:p>
        </w:tc>
        <w:tc>
          <w:tcPr>
            <w:tcW w:w="243" w:type="pct"/>
          </w:tcPr>
          <w:p w:rsidR="007179EE" w:rsidRPr="005D0703" w:rsidRDefault="007179EE" w:rsidP="007179EE">
            <w:pPr>
              <w:jc w:val="both"/>
              <w:rPr>
                <w:rFonts w:eastAsia="Calibri" w:cs="Times New Roman"/>
                <w:sz w:val="20"/>
                <w:szCs w:val="20"/>
              </w:rPr>
            </w:pPr>
          </w:p>
        </w:tc>
        <w:tc>
          <w:tcPr>
            <w:tcW w:w="2330"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Respondent’s motion for summary judgment granted</w:t>
            </w:r>
          </w:p>
          <w:p w:rsidR="007179EE" w:rsidRPr="005D0703" w:rsidRDefault="007179EE" w:rsidP="007179EE">
            <w:pPr>
              <w:jc w:val="both"/>
              <w:rPr>
                <w:rFonts w:eastAsia="Calibri" w:cs="Times New Roman"/>
                <w:sz w:val="20"/>
                <w:szCs w:val="20"/>
              </w:rPr>
            </w:pPr>
          </w:p>
          <w:p w:rsidR="007179EE" w:rsidRPr="005D0703" w:rsidRDefault="007179EE" w:rsidP="007179EE">
            <w:pPr>
              <w:jc w:val="both"/>
              <w:rPr>
                <w:rFonts w:eastAsia="Calibri" w:cs="Times New Roman"/>
                <w:sz w:val="20"/>
                <w:szCs w:val="20"/>
              </w:rPr>
            </w:pPr>
          </w:p>
        </w:tc>
      </w:tr>
      <w:tr w:rsidR="007179EE" w:rsidRPr="005D0703" w:rsidTr="007179EE">
        <w:tc>
          <w:tcPr>
            <w:tcW w:w="2427"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April 19, 2011</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Ontario Superior Court of Justice</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(Arrell J.)</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 xml:space="preserve">2011 ONSC 2400 </w:t>
            </w:r>
          </w:p>
          <w:p w:rsidR="007179EE" w:rsidRPr="005D0703" w:rsidRDefault="007179EE" w:rsidP="007179EE">
            <w:pPr>
              <w:jc w:val="both"/>
              <w:rPr>
                <w:rFonts w:eastAsia="Calibri" w:cs="Times New Roman"/>
                <w:sz w:val="20"/>
                <w:szCs w:val="20"/>
              </w:rPr>
            </w:pPr>
          </w:p>
        </w:tc>
        <w:tc>
          <w:tcPr>
            <w:tcW w:w="243" w:type="pct"/>
          </w:tcPr>
          <w:p w:rsidR="007179EE" w:rsidRPr="005D0703" w:rsidRDefault="007179EE" w:rsidP="007179EE">
            <w:pPr>
              <w:jc w:val="both"/>
              <w:rPr>
                <w:rFonts w:eastAsia="Calibri" w:cs="Times New Roman"/>
                <w:sz w:val="20"/>
                <w:szCs w:val="20"/>
              </w:rPr>
            </w:pPr>
          </w:p>
        </w:tc>
        <w:tc>
          <w:tcPr>
            <w:tcW w:w="2330"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Respondent’s motion for summary judgment granted</w:t>
            </w:r>
          </w:p>
          <w:p w:rsidR="007179EE" w:rsidRPr="005D0703" w:rsidRDefault="007179EE" w:rsidP="007179EE">
            <w:pPr>
              <w:jc w:val="both"/>
              <w:rPr>
                <w:rFonts w:eastAsia="Calibri" w:cs="Times New Roman"/>
                <w:sz w:val="20"/>
                <w:szCs w:val="20"/>
              </w:rPr>
            </w:pPr>
          </w:p>
          <w:p w:rsidR="007179EE" w:rsidRPr="005D0703" w:rsidRDefault="007179EE" w:rsidP="007179EE">
            <w:pPr>
              <w:ind w:firstLine="720"/>
              <w:jc w:val="both"/>
              <w:rPr>
                <w:rFonts w:eastAsia="Calibri" w:cs="Times New Roman"/>
                <w:sz w:val="20"/>
                <w:szCs w:val="20"/>
              </w:rPr>
            </w:pPr>
          </w:p>
        </w:tc>
      </w:tr>
      <w:tr w:rsidR="007179EE" w:rsidRPr="005D0703" w:rsidTr="007179EE">
        <w:tc>
          <w:tcPr>
            <w:tcW w:w="2427"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July 12, 2011</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Court of Appeal for Ontario</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(Doherty, Laskin and Simmons JJ.A.)</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2011 ONCA 519</w:t>
            </w:r>
          </w:p>
          <w:p w:rsidR="007179EE" w:rsidRPr="005D0703" w:rsidRDefault="007179EE" w:rsidP="007179EE">
            <w:pPr>
              <w:jc w:val="both"/>
              <w:rPr>
                <w:rFonts w:eastAsia="Calibri" w:cs="Times New Roman"/>
                <w:sz w:val="20"/>
                <w:szCs w:val="20"/>
              </w:rPr>
            </w:pPr>
          </w:p>
        </w:tc>
        <w:tc>
          <w:tcPr>
            <w:tcW w:w="243" w:type="pct"/>
          </w:tcPr>
          <w:p w:rsidR="007179EE" w:rsidRPr="005D0703" w:rsidRDefault="007179EE" w:rsidP="007179EE">
            <w:pPr>
              <w:jc w:val="both"/>
              <w:rPr>
                <w:rFonts w:eastAsia="Calibri" w:cs="Times New Roman"/>
                <w:sz w:val="20"/>
                <w:szCs w:val="20"/>
              </w:rPr>
            </w:pPr>
          </w:p>
        </w:tc>
        <w:tc>
          <w:tcPr>
            <w:tcW w:w="2330"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Appeals dismissed</w:t>
            </w:r>
          </w:p>
          <w:p w:rsidR="007179EE" w:rsidRPr="005D0703" w:rsidRDefault="007179EE" w:rsidP="007179EE">
            <w:pPr>
              <w:jc w:val="both"/>
              <w:rPr>
                <w:rFonts w:eastAsia="Calibri" w:cs="Times New Roman"/>
                <w:sz w:val="20"/>
                <w:szCs w:val="20"/>
              </w:rPr>
            </w:pPr>
          </w:p>
        </w:tc>
      </w:tr>
      <w:tr w:rsidR="007179EE" w:rsidRPr="005D0703" w:rsidTr="007179EE">
        <w:tc>
          <w:tcPr>
            <w:tcW w:w="2427"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September 29, 2011</w:t>
            </w:r>
          </w:p>
          <w:p w:rsidR="007179EE" w:rsidRPr="005D0703" w:rsidRDefault="007179EE" w:rsidP="007179EE">
            <w:pPr>
              <w:jc w:val="both"/>
              <w:rPr>
                <w:rFonts w:eastAsia="Calibri" w:cs="Times New Roman"/>
                <w:sz w:val="20"/>
                <w:szCs w:val="20"/>
              </w:rPr>
            </w:pPr>
            <w:r w:rsidRPr="005D0703">
              <w:rPr>
                <w:rFonts w:eastAsia="Calibri" w:cs="Times New Roman"/>
                <w:sz w:val="20"/>
                <w:szCs w:val="20"/>
              </w:rPr>
              <w:t>Supreme Court of Canada</w:t>
            </w:r>
          </w:p>
        </w:tc>
        <w:tc>
          <w:tcPr>
            <w:tcW w:w="243" w:type="pct"/>
          </w:tcPr>
          <w:p w:rsidR="007179EE" w:rsidRPr="005D0703" w:rsidRDefault="007179EE" w:rsidP="007179EE">
            <w:pPr>
              <w:jc w:val="both"/>
              <w:rPr>
                <w:rFonts w:eastAsia="Calibri" w:cs="Times New Roman"/>
                <w:sz w:val="20"/>
                <w:szCs w:val="20"/>
              </w:rPr>
            </w:pPr>
          </w:p>
        </w:tc>
        <w:tc>
          <w:tcPr>
            <w:tcW w:w="2330" w:type="pct"/>
          </w:tcPr>
          <w:p w:rsidR="007179EE" w:rsidRPr="005D0703" w:rsidRDefault="007179EE" w:rsidP="007179EE">
            <w:pPr>
              <w:jc w:val="both"/>
              <w:rPr>
                <w:rFonts w:eastAsia="Calibri" w:cs="Times New Roman"/>
                <w:sz w:val="20"/>
                <w:szCs w:val="20"/>
              </w:rPr>
            </w:pPr>
            <w:r w:rsidRPr="005D0703">
              <w:rPr>
                <w:rFonts w:eastAsia="Calibri" w:cs="Times New Roman"/>
                <w:sz w:val="20"/>
                <w:szCs w:val="20"/>
              </w:rPr>
              <w:t>Application for leave to appeal filed</w:t>
            </w:r>
          </w:p>
          <w:p w:rsidR="007179EE" w:rsidRPr="005D0703" w:rsidRDefault="007179EE" w:rsidP="007179EE">
            <w:pPr>
              <w:jc w:val="both"/>
              <w:rPr>
                <w:rFonts w:eastAsia="Calibri" w:cs="Times New Roman"/>
                <w:sz w:val="20"/>
                <w:szCs w:val="20"/>
              </w:rPr>
            </w:pPr>
          </w:p>
        </w:tc>
      </w:tr>
    </w:tbl>
    <w:p w:rsidR="007179EE" w:rsidRPr="005D0703" w:rsidRDefault="007179EE" w:rsidP="007179EE">
      <w:pPr>
        <w:rPr>
          <w:rFonts w:cs="Times New Roman"/>
          <w:sz w:val="20"/>
          <w:szCs w:val="20"/>
        </w:rPr>
      </w:pPr>
    </w:p>
    <w:p w:rsidR="007179EE" w:rsidRPr="005D0703" w:rsidRDefault="008A6550" w:rsidP="007179EE">
      <w:pPr>
        <w:rPr>
          <w:rFonts w:cs="Times New Roman"/>
          <w:sz w:val="20"/>
          <w:szCs w:val="20"/>
        </w:rPr>
      </w:pPr>
      <w:r w:rsidRPr="008A6550">
        <w:rPr>
          <w:rFonts w:cs="Times New Roman"/>
          <w:sz w:val="20"/>
          <w:szCs w:val="20"/>
          <w:lang w:val="fr-CA"/>
        </w:rPr>
        <w:pict>
          <v:rect id="_x0000_i1086" style="width:2in;height:1pt" o:hrpct="0" o:hralign="center" o:hrstd="t" o:hrnoshade="t" o:hr="t" fillcolor="black [3213]" stroked="f"/>
        </w:pict>
      </w:r>
    </w:p>
    <w:p w:rsidR="007179EE" w:rsidRPr="005D0703" w:rsidRDefault="007179EE" w:rsidP="007179EE">
      <w:pPr>
        <w:rPr>
          <w:rFonts w:cs="Times New Roman"/>
          <w:sz w:val="20"/>
          <w:szCs w:val="20"/>
        </w:rPr>
      </w:pPr>
    </w:p>
    <w:p w:rsidR="007179EE" w:rsidRPr="005D0703" w:rsidRDefault="007179EE" w:rsidP="007179EE">
      <w:pPr>
        <w:rPr>
          <w:rFonts w:cs="Times New Roman"/>
          <w:sz w:val="20"/>
          <w:szCs w:val="20"/>
          <w:u w:val="single"/>
          <w:lang w:val="fr-CA"/>
        </w:rPr>
      </w:pPr>
      <w:r w:rsidRPr="005D0703">
        <w:rPr>
          <w:rFonts w:cs="Times New Roman"/>
          <w:sz w:val="20"/>
          <w:szCs w:val="20"/>
          <w:u w:val="single"/>
          <w:lang w:val="fr-CA"/>
        </w:rPr>
        <w:t>RÉSUMÉ DE L’AFFAIRE</w:t>
      </w:r>
    </w:p>
    <w:p w:rsidR="007179EE" w:rsidRPr="005D0703" w:rsidRDefault="007179EE" w:rsidP="007179EE">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7179EE" w:rsidRPr="00C04C40" w:rsidTr="007179EE">
        <w:tc>
          <w:tcPr>
            <w:tcW w:w="5000" w:type="pct"/>
            <w:gridSpan w:val="3"/>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Responsabilité délictuelle — Diffamation — Consentement — Le demandeur a signé une formule de consentement avant l'enregistrement d'une émission télévisée — Une version montée a par la suite été diffusée à deux occasions et affichée sur le site Web de l'intimée — Le consentement prime</w:t>
            </w:r>
            <w:r w:rsidRPr="005D0703">
              <w:rPr>
                <w:rFonts w:eastAsia="Calibri" w:cs="Times New Roman"/>
                <w:sz w:val="20"/>
                <w:szCs w:val="20"/>
                <w:lang w:val="fr-CA"/>
              </w:rPr>
              <w:noBreakHyphen/>
              <w:t>t</w:t>
            </w:r>
            <w:r w:rsidRPr="005D0703">
              <w:rPr>
                <w:rFonts w:eastAsia="Calibri" w:cs="Times New Roman"/>
                <w:sz w:val="20"/>
                <w:szCs w:val="20"/>
                <w:lang w:val="fr-CA"/>
              </w:rPr>
              <w:noBreakHyphen/>
              <w:t>il l’offre initiale d'apparaître à l'émission? — Le consentement a</w:t>
            </w:r>
            <w:r w:rsidRPr="005D0703">
              <w:rPr>
                <w:rFonts w:eastAsia="Calibri" w:cs="Times New Roman"/>
                <w:sz w:val="20"/>
                <w:szCs w:val="20"/>
                <w:lang w:val="fr-CA"/>
              </w:rPr>
              <w:noBreakHyphen/>
              <w:t>t</w:t>
            </w:r>
            <w:r w:rsidRPr="005D0703">
              <w:rPr>
                <w:rFonts w:eastAsia="Calibri" w:cs="Times New Roman"/>
                <w:sz w:val="20"/>
                <w:szCs w:val="20"/>
                <w:lang w:val="fr-CA"/>
              </w:rPr>
              <w:noBreakHyphen/>
              <w:t>il été obtenu par la contrainte lésionnaire? — Le consentement inclut</w:t>
            </w:r>
            <w:r w:rsidRPr="005D0703">
              <w:rPr>
                <w:rFonts w:eastAsia="Calibri" w:cs="Times New Roman"/>
                <w:sz w:val="20"/>
                <w:szCs w:val="20"/>
                <w:lang w:val="fr-CA"/>
              </w:rPr>
              <w:noBreakHyphen/>
              <w:t>il indûment la clause d’exonération de diffamation? — Le premier délit civil peut</w:t>
            </w:r>
            <w:r w:rsidRPr="005D0703">
              <w:rPr>
                <w:rFonts w:eastAsia="Calibri" w:cs="Times New Roman"/>
                <w:sz w:val="20"/>
                <w:szCs w:val="20"/>
                <w:lang w:val="fr-CA"/>
              </w:rPr>
              <w:noBreakHyphen/>
              <w:t>il être soulevé dans la deuxième action intentée sous le régime de la</w:t>
            </w:r>
            <w:r w:rsidRPr="005D0703">
              <w:rPr>
                <w:rFonts w:eastAsia="Calibri" w:cs="Times New Roman"/>
                <w:i/>
                <w:sz w:val="20"/>
                <w:szCs w:val="20"/>
                <w:lang w:val="fr-CA"/>
              </w:rPr>
              <w:t xml:space="preserve"> Loi sur la diffamation</w:t>
            </w:r>
            <w:r w:rsidRPr="005D0703">
              <w:rPr>
                <w:rFonts w:eastAsia="Calibri" w:cs="Times New Roman"/>
                <w:sz w:val="20"/>
                <w:szCs w:val="20"/>
                <w:lang w:val="fr-CA"/>
              </w:rPr>
              <w:t>, L.R.O. 1990, ch. L</w:t>
            </w:r>
            <w:r w:rsidRPr="005D0703">
              <w:rPr>
                <w:rFonts w:eastAsia="Calibri" w:cs="Times New Roman"/>
                <w:sz w:val="20"/>
                <w:szCs w:val="20"/>
                <w:lang w:val="fr-CA"/>
              </w:rPr>
              <w:noBreakHyphen/>
              <w:t>12? — Fallait</w:t>
            </w:r>
            <w:r w:rsidRPr="005D0703">
              <w:rPr>
                <w:rFonts w:eastAsia="Calibri" w:cs="Times New Roman"/>
                <w:sz w:val="20"/>
                <w:szCs w:val="20"/>
                <w:lang w:val="fr-CA"/>
              </w:rPr>
              <w:noBreakHyphen/>
              <w:t xml:space="preserve">il obtenir un nouveau consentement pour la rediffusion? </w:t>
            </w:r>
          </w:p>
          <w:p w:rsidR="007179EE" w:rsidRPr="005D0703" w:rsidRDefault="007179EE" w:rsidP="007179EE">
            <w:pPr>
              <w:jc w:val="both"/>
              <w:rPr>
                <w:rFonts w:eastAsia="Calibri" w:cs="Times New Roman"/>
                <w:sz w:val="20"/>
                <w:szCs w:val="20"/>
                <w:lang w:val="fr-CA"/>
              </w:rPr>
            </w:pPr>
          </w:p>
        </w:tc>
      </w:tr>
      <w:tr w:rsidR="007179EE" w:rsidRPr="005D0703" w:rsidTr="007179EE">
        <w:tc>
          <w:tcPr>
            <w:tcW w:w="5000" w:type="pct"/>
            <w:gridSpan w:val="3"/>
          </w:tcPr>
          <w:p w:rsidR="007179EE" w:rsidRPr="005D0703" w:rsidRDefault="007179EE" w:rsidP="007179EE">
            <w:pPr>
              <w:ind w:right="90"/>
              <w:jc w:val="both"/>
              <w:rPr>
                <w:rFonts w:eastAsia="Calibri" w:cs="Times New Roman"/>
                <w:sz w:val="20"/>
                <w:szCs w:val="20"/>
                <w:lang w:val="fr-CA"/>
              </w:rPr>
            </w:pPr>
            <w:r w:rsidRPr="005D0703">
              <w:rPr>
                <w:rFonts w:eastAsia="Calibri" w:cs="Times New Roman"/>
                <w:sz w:val="20"/>
                <w:szCs w:val="20"/>
                <w:lang w:val="fr-CA"/>
              </w:rPr>
              <w:t>En 2009, un des producteurs de l'émission télévisée Dragon’s Den, du réseau anglais de la SRC, a communiqué avec M. Turmel pour l'inviter à présenter un projet d’entreprise à un panel de gens d'affaires canadiens qui offrent des conseils et du financement aux participants en se fondant sur leur évaluation de la viabilité financière des projets.  Monsieur Turmel a accepté de participer à un enregistrement de l'émission.  À l'avance, il s'est vu remettre un guide du concurrent à examiner qui informait les concurrents de certaines règles et qui renfermait une formule de consentement à lire et à signer.  Avant l'enregistrement, on a remis la formule de consentement à M. Turmel qui l’a signée sans poser de questions.  Monsieur Turmel a présenté un projet dans lequel il demandait aux Dragons un investissement de 100 000 $ pour démarrer un système de monnaie locale à Brantford (Ontario).  Il n'a pas obtenu l'investissement.  En janvier 2010, le réseau anglais de la SRC a diffusé un extrait d'une minute de la présentation de M. Turmel qui donnait l'impression que sa présentation était déroutante.  Une semaine plus tard, M. Turmel a intenté une action en diffamation contre la SRC.  Il n'a pas signifié d'avis de demande avant d'intenter l'action ou dans un délai de six semaines de la diffusion conformément au par. 5(1) de la</w:t>
            </w:r>
            <w:r w:rsidRPr="005D0703">
              <w:rPr>
                <w:rFonts w:eastAsia="Calibri" w:cs="Times New Roman"/>
                <w:i/>
                <w:sz w:val="20"/>
                <w:szCs w:val="20"/>
                <w:lang w:val="fr-CA"/>
              </w:rPr>
              <w:t xml:space="preserve"> Loi sur la diffamation</w:t>
            </w:r>
            <w:r w:rsidRPr="005D0703">
              <w:rPr>
                <w:rFonts w:eastAsia="Calibri" w:cs="Times New Roman"/>
                <w:sz w:val="20"/>
                <w:szCs w:val="20"/>
                <w:lang w:val="fr-CA"/>
              </w:rPr>
              <w:t>. La SRC a obtenu une ordonnance de jugement sommaire et l'action a été rejetée.  En août 2010, le même extrait a été rediffusé et M. Turmel a intenté une deuxième action en rupture de contrat et en diffamation. À cette occasion, il a transmis un avis de l’action à la SRC.  La SRC a présenté une motion en jugement sommaire.</w:t>
            </w:r>
          </w:p>
          <w:p w:rsidR="007179EE" w:rsidRPr="005D0703" w:rsidRDefault="007179EE" w:rsidP="007179EE">
            <w:pPr>
              <w:ind w:right="90"/>
              <w:jc w:val="both"/>
              <w:rPr>
                <w:rFonts w:eastAsia="Calibri" w:cs="Times New Roman"/>
                <w:sz w:val="20"/>
                <w:szCs w:val="20"/>
                <w:lang w:val="fr-CA"/>
              </w:rPr>
            </w:pPr>
          </w:p>
        </w:tc>
      </w:tr>
      <w:tr w:rsidR="007179EE" w:rsidRPr="00C04C40" w:rsidTr="007179EE">
        <w:tc>
          <w:tcPr>
            <w:tcW w:w="2427"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27 septembre 2010</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(Juge Lofchik)</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2010 ONSC 5318</w:t>
            </w:r>
          </w:p>
          <w:p w:rsidR="007179EE" w:rsidRPr="005D0703" w:rsidRDefault="007179EE" w:rsidP="007179EE">
            <w:pPr>
              <w:jc w:val="both"/>
              <w:rPr>
                <w:rFonts w:eastAsia="Calibri" w:cs="Times New Roman"/>
                <w:sz w:val="20"/>
                <w:szCs w:val="20"/>
                <w:lang w:val="fr-CA"/>
              </w:rPr>
            </w:pPr>
          </w:p>
        </w:tc>
        <w:tc>
          <w:tcPr>
            <w:tcW w:w="243" w:type="pct"/>
          </w:tcPr>
          <w:p w:rsidR="007179EE" w:rsidRPr="005D0703" w:rsidRDefault="007179EE" w:rsidP="007179EE">
            <w:pPr>
              <w:jc w:val="both"/>
              <w:rPr>
                <w:rFonts w:eastAsia="Calibri" w:cs="Times New Roman"/>
                <w:sz w:val="20"/>
                <w:szCs w:val="20"/>
                <w:lang w:val="fr-CA"/>
              </w:rPr>
            </w:pPr>
          </w:p>
        </w:tc>
        <w:tc>
          <w:tcPr>
            <w:tcW w:w="2330"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Motion de l'intimé en jugement sommaire, accueillie</w:t>
            </w:r>
          </w:p>
          <w:p w:rsidR="007179EE" w:rsidRPr="005D0703" w:rsidRDefault="007179EE" w:rsidP="007179EE">
            <w:pPr>
              <w:jc w:val="both"/>
              <w:rPr>
                <w:rFonts w:eastAsia="Calibri" w:cs="Times New Roman"/>
                <w:sz w:val="20"/>
                <w:szCs w:val="20"/>
                <w:lang w:val="fr-CA"/>
              </w:rPr>
            </w:pPr>
          </w:p>
          <w:p w:rsidR="007179EE" w:rsidRPr="005D0703" w:rsidRDefault="007179EE" w:rsidP="007179EE">
            <w:pPr>
              <w:jc w:val="both"/>
              <w:rPr>
                <w:rFonts w:eastAsia="Calibri" w:cs="Times New Roman"/>
                <w:sz w:val="20"/>
                <w:szCs w:val="20"/>
                <w:lang w:val="fr-CA"/>
              </w:rPr>
            </w:pPr>
          </w:p>
        </w:tc>
      </w:tr>
      <w:tr w:rsidR="007179EE" w:rsidRPr="00C04C40" w:rsidTr="007179EE">
        <w:tc>
          <w:tcPr>
            <w:tcW w:w="2427"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19 avril 2011</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 xml:space="preserve">Cour supérieure de justice de l'Ontario </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(Juge Arrell)</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 xml:space="preserve">2011 ONSC 2400 </w:t>
            </w:r>
          </w:p>
          <w:p w:rsidR="007179EE" w:rsidRPr="005D0703" w:rsidRDefault="007179EE" w:rsidP="007179EE">
            <w:pPr>
              <w:jc w:val="both"/>
              <w:rPr>
                <w:rFonts w:eastAsia="Calibri" w:cs="Times New Roman"/>
                <w:sz w:val="20"/>
                <w:szCs w:val="20"/>
                <w:lang w:val="fr-CA"/>
              </w:rPr>
            </w:pPr>
          </w:p>
        </w:tc>
        <w:tc>
          <w:tcPr>
            <w:tcW w:w="243" w:type="pct"/>
          </w:tcPr>
          <w:p w:rsidR="007179EE" w:rsidRPr="005D0703" w:rsidRDefault="007179EE" w:rsidP="007179EE">
            <w:pPr>
              <w:jc w:val="both"/>
              <w:rPr>
                <w:rFonts w:eastAsia="Calibri" w:cs="Times New Roman"/>
                <w:sz w:val="20"/>
                <w:szCs w:val="20"/>
                <w:lang w:val="fr-CA"/>
              </w:rPr>
            </w:pPr>
          </w:p>
        </w:tc>
        <w:tc>
          <w:tcPr>
            <w:tcW w:w="2330"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Motion de l'intimé en jugement sommaire, accueillie</w:t>
            </w:r>
          </w:p>
          <w:p w:rsidR="007179EE" w:rsidRPr="005D0703" w:rsidRDefault="007179EE" w:rsidP="007179EE">
            <w:pPr>
              <w:jc w:val="both"/>
              <w:rPr>
                <w:rFonts w:eastAsia="Calibri" w:cs="Times New Roman"/>
                <w:sz w:val="20"/>
                <w:szCs w:val="20"/>
                <w:lang w:val="fr-CA"/>
              </w:rPr>
            </w:pPr>
          </w:p>
          <w:p w:rsidR="007179EE" w:rsidRPr="005D0703" w:rsidRDefault="007179EE" w:rsidP="007179EE">
            <w:pPr>
              <w:ind w:firstLine="720"/>
              <w:jc w:val="both"/>
              <w:rPr>
                <w:rFonts w:eastAsia="Calibri" w:cs="Times New Roman"/>
                <w:sz w:val="20"/>
                <w:szCs w:val="20"/>
                <w:lang w:val="fr-CA"/>
              </w:rPr>
            </w:pPr>
          </w:p>
        </w:tc>
      </w:tr>
      <w:tr w:rsidR="007179EE" w:rsidRPr="005D0703" w:rsidTr="007179EE">
        <w:tc>
          <w:tcPr>
            <w:tcW w:w="2427"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12 juillet 2011</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Cour d'appel de l'Ontario</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(Juges Doherty, Laskin et Simmons)</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2011 ONCA 519</w:t>
            </w:r>
          </w:p>
          <w:p w:rsidR="007179EE" w:rsidRPr="005D0703" w:rsidRDefault="007179EE" w:rsidP="007179EE">
            <w:pPr>
              <w:jc w:val="both"/>
              <w:rPr>
                <w:rFonts w:eastAsia="Calibri" w:cs="Times New Roman"/>
                <w:sz w:val="20"/>
                <w:szCs w:val="20"/>
                <w:lang w:val="fr-CA"/>
              </w:rPr>
            </w:pPr>
          </w:p>
        </w:tc>
        <w:tc>
          <w:tcPr>
            <w:tcW w:w="243" w:type="pct"/>
          </w:tcPr>
          <w:p w:rsidR="007179EE" w:rsidRPr="005D0703" w:rsidRDefault="007179EE" w:rsidP="007179EE">
            <w:pPr>
              <w:jc w:val="both"/>
              <w:rPr>
                <w:rFonts w:eastAsia="Calibri" w:cs="Times New Roman"/>
                <w:sz w:val="20"/>
                <w:szCs w:val="20"/>
                <w:lang w:val="fr-CA"/>
              </w:rPr>
            </w:pPr>
          </w:p>
        </w:tc>
        <w:tc>
          <w:tcPr>
            <w:tcW w:w="2330"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Appels rejetés</w:t>
            </w:r>
          </w:p>
          <w:p w:rsidR="007179EE" w:rsidRPr="005D0703" w:rsidRDefault="007179EE" w:rsidP="007179EE">
            <w:pPr>
              <w:jc w:val="both"/>
              <w:rPr>
                <w:rFonts w:eastAsia="Calibri" w:cs="Times New Roman"/>
                <w:sz w:val="20"/>
                <w:szCs w:val="20"/>
                <w:lang w:val="fr-CA"/>
              </w:rPr>
            </w:pPr>
          </w:p>
        </w:tc>
      </w:tr>
      <w:tr w:rsidR="007179EE" w:rsidRPr="005D0703" w:rsidTr="007179EE">
        <w:tc>
          <w:tcPr>
            <w:tcW w:w="2427"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29 septembre 2011</w:t>
            </w:r>
          </w:p>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Cour suprême du Canada</w:t>
            </w:r>
          </w:p>
        </w:tc>
        <w:tc>
          <w:tcPr>
            <w:tcW w:w="243" w:type="pct"/>
          </w:tcPr>
          <w:p w:rsidR="007179EE" w:rsidRPr="005D0703" w:rsidRDefault="007179EE" w:rsidP="007179EE">
            <w:pPr>
              <w:jc w:val="both"/>
              <w:rPr>
                <w:rFonts w:eastAsia="Calibri" w:cs="Times New Roman"/>
                <w:sz w:val="20"/>
                <w:szCs w:val="20"/>
                <w:lang w:val="fr-CA"/>
              </w:rPr>
            </w:pPr>
          </w:p>
        </w:tc>
        <w:tc>
          <w:tcPr>
            <w:tcW w:w="2330" w:type="pct"/>
          </w:tcPr>
          <w:p w:rsidR="007179EE" w:rsidRPr="005D0703" w:rsidRDefault="007179EE" w:rsidP="007179EE">
            <w:pPr>
              <w:jc w:val="both"/>
              <w:rPr>
                <w:rFonts w:eastAsia="Calibri" w:cs="Times New Roman"/>
                <w:sz w:val="20"/>
                <w:szCs w:val="20"/>
                <w:lang w:val="fr-CA"/>
              </w:rPr>
            </w:pPr>
            <w:r w:rsidRPr="005D0703">
              <w:rPr>
                <w:rFonts w:eastAsia="Calibri" w:cs="Times New Roman"/>
                <w:sz w:val="20"/>
                <w:szCs w:val="20"/>
                <w:lang w:val="fr-CA"/>
              </w:rPr>
              <w:t>Demande d’autorisation d’appel, déposée</w:t>
            </w:r>
          </w:p>
          <w:p w:rsidR="007179EE" w:rsidRPr="005D0703" w:rsidRDefault="007179EE" w:rsidP="007179EE">
            <w:pPr>
              <w:jc w:val="both"/>
              <w:rPr>
                <w:rFonts w:eastAsia="Calibri" w:cs="Times New Roman"/>
                <w:sz w:val="20"/>
                <w:szCs w:val="20"/>
                <w:lang w:val="fr-CA"/>
              </w:rPr>
            </w:pPr>
          </w:p>
        </w:tc>
      </w:tr>
    </w:tbl>
    <w:p w:rsidR="007179EE" w:rsidRPr="005D0703" w:rsidRDefault="007179EE" w:rsidP="007179EE">
      <w:pPr>
        <w:rPr>
          <w:rFonts w:cs="Times New Roman"/>
          <w:sz w:val="20"/>
          <w:szCs w:val="20"/>
        </w:rPr>
      </w:pPr>
    </w:p>
    <w:p w:rsidR="007179EE" w:rsidRPr="005D0703" w:rsidRDefault="008A6550" w:rsidP="007179EE">
      <w:pPr>
        <w:rPr>
          <w:rFonts w:cs="Times New Roman"/>
          <w:sz w:val="20"/>
          <w:szCs w:val="20"/>
        </w:rPr>
      </w:pPr>
      <w:r w:rsidRPr="008A6550">
        <w:rPr>
          <w:rFonts w:cs="Times New Roman"/>
          <w:sz w:val="20"/>
          <w:szCs w:val="20"/>
          <w:lang w:val="fr-CA"/>
        </w:rPr>
        <w:pict>
          <v:rect id="_x0000_i1087" style="width:2in;height:1pt" o:hrpct="0" o:hralign="center" o:hrstd="t" o:hrnoshade="t" o:hr="t" fillcolor="black [3213]" stroked="f"/>
        </w:pict>
      </w:r>
    </w:p>
    <w:p w:rsidR="007179EE" w:rsidRPr="005D0703" w:rsidRDefault="007179EE" w:rsidP="007179EE">
      <w:pPr>
        <w:rPr>
          <w:rFonts w:cs="Times New Roman"/>
          <w:sz w:val="20"/>
          <w:szCs w:val="20"/>
        </w:rPr>
      </w:pPr>
    </w:p>
    <w:p w:rsidR="00692BC9" w:rsidRPr="00C20D8D" w:rsidRDefault="00692BC9" w:rsidP="008D292F">
      <w:pPr>
        <w:rPr>
          <w:sz w:val="20"/>
          <w:szCs w:val="20"/>
          <w:lang w:val="en-US"/>
        </w:rPr>
      </w:pPr>
    </w:p>
    <w:p w:rsidR="00890FEB" w:rsidRPr="00C20D8D" w:rsidRDefault="00890FEB" w:rsidP="008D292F">
      <w:pPr>
        <w:rPr>
          <w:b/>
          <w:sz w:val="20"/>
          <w:szCs w:val="20"/>
          <w:lang w:val="en-US"/>
        </w:rPr>
        <w:sectPr w:rsidR="00890FEB" w:rsidRPr="00C20D8D"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Default="00890FEB" w:rsidP="00890FEB">
      <w:pPr>
        <w:tabs>
          <w:tab w:val="left" w:pos="-1440"/>
          <w:tab w:val="left" w:pos="-720"/>
        </w:tabs>
        <w:spacing w:line="-19" w:lineRule="auto"/>
        <w:jc w:val="both"/>
        <w:rPr>
          <w:sz w:val="20"/>
          <w:szCs w:val="20"/>
        </w:rPr>
      </w:pPr>
    </w:p>
    <w:p w:rsidR="00C375B5" w:rsidRPr="002D5CEA" w:rsidRDefault="00C375B5" w:rsidP="00C375B5">
      <w:pPr>
        <w:tabs>
          <w:tab w:val="left" w:pos="-1440"/>
          <w:tab w:val="left" w:pos="-720"/>
        </w:tabs>
        <w:jc w:val="both"/>
        <w:rPr>
          <w:rFonts w:eastAsia="Times New Roman" w:cs="Times New Roman"/>
          <w:sz w:val="20"/>
          <w:szCs w:val="20"/>
          <w:lang w:eastAsia="en-CA"/>
        </w:rPr>
      </w:pPr>
      <w:r w:rsidRPr="002D5CEA">
        <w:rPr>
          <w:rFonts w:eastAsia="Times New Roman" w:cs="Times New Roman"/>
          <w:sz w:val="20"/>
          <w:szCs w:val="20"/>
          <w:lang w:eastAsia="en-CA"/>
        </w:rPr>
        <w:t>29.11.2011</w:t>
      </w:r>
    </w:p>
    <w:p w:rsidR="00C375B5" w:rsidRPr="002D5CEA" w:rsidRDefault="00C375B5" w:rsidP="00C375B5">
      <w:pPr>
        <w:tabs>
          <w:tab w:val="left" w:pos="-1440"/>
          <w:tab w:val="left" w:pos="-720"/>
        </w:tabs>
        <w:jc w:val="both"/>
        <w:rPr>
          <w:rFonts w:eastAsia="Times New Roman" w:cs="Times New Roman"/>
          <w:sz w:val="20"/>
          <w:szCs w:val="20"/>
          <w:lang w:eastAsia="en-CA"/>
        </w:rPr>
      </w:pPr>
    </w:p>
    <w:p w:rsidR="00C375B5" w:rsidRPr="002D5CEA" w:rsidRDefault="00C375B5" w:rsidP="00C375B5">
      <w:pPr>
        <w:tabs>
          <w:tab w:val="left" w:pos="-1440"/>
          <w:tab w:val="left" w:pos="-720"/>
        </w:tabs>
        <w:jc w:val="both"/>
        <w:rPr>
          <w:rFonts w:eastAsia="Times New Roman" w:cs="Times New Roman"/>
          <w:sz w:val="20"/>
          <w:szCs w:val="20"/>
          <w:lang w:eastAsia="en-CA"/>
        </w:rPr>
      </w:pPr>
      <w:r w:rsidRPr="002D5CEA">
        <w:rPr>
          <w:rFonts w:eastAsia="Times New Roman" w:cs="Times New Roman"/>
          <w:sz w:val="20"/>
          <w:szCs w:val="20"/>
          <w:lang w:eastAsia="en-CA"/>
        </w:rPr>
        <w:t xml:space="preserve">Before / </w:t>
      </w:r>
      <w:proofErr w:type="gramStart"/>
      <w:r w:rsidRPr="002D5CEA">
        <w:rPr>
          <w:rFonts w:eastAsia="Times New Roman" w:cs="Times New Roman"/>
          <w:sz w:val="20"/>
          <w:szCs w:val="20"/>
          <w:lang w:eastAsia="en-CA"/>
        </w:rPr>
        <w:t>Devant :</w:t>
      </w:r>
      <w:proofErr w:type="gramEnd"/>
      <w:r w:rsidRPr="002D5CEA">
        <w:rPr>
          <w:rFonts w:eastAsia="Times New Roman" w:cs="Times New Roman"/>
          <w:sz w:val="20"/>
          <w:szCs w:val="20"/>
          <w:lang w:eastAsia="en-CA"/>
        </w:rPr>
        <w:t xml:space="preserve">   THE REGISTRAR / LE REGISTRAIRE</w:t>
      </w:r>
    </w:p>
    <w:p w:rsidR="00C375B5" w:rsidRPr="002D5CEA" w:rsidRDefault="00C375B5" w:rsidP="00C375B5">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C375B5" w:rsidRPr="00C04C40" w:rsidTr="00C375B5">
        <w:tc>
          <w:tcPr>
            <w:tcW w:w="4338" w:type="dxa"/>
          </w:tcPr>
          <w:p w:rsidR="00C375B5" w:rsidRPr="002D5CEA" w:rsidRDefault="008A6550" w:rsidP="00C375B5">
            <w:pPr>
              <w:tabs>
                <w:tab w:val="left" w:pos="-1440"/>
                <w:tab w:val="left" w:pos="-720"/>
              </w:tabs>
              <w:jc w:val="both"/>
              <w:rPr>
                <w:b/>
              </w:rPr>
            </w:pPr>
            <w:r w:rsidRPr="002D5CEA">
              <w:rPr>
                <w:lang w:val="en-US"/>
              </w:rPr>
              <w:fldChar w:fldCharType="begin"/>
            </w:r>
            <w:r w:rsidR="00C375B5" w:rsidRPr="002D5CEA">
              <w:rPr>
                <w:lang w:val="en-US"/>
              </w:rPr>
              <w:instrText xml:space="preserve"> SEQ CHAPTER \h \r 1</w:instrText>
            </w:r>
            <w:r w:rsidRPr="002D5CEA">
              <w:rPr>
                <w:lang w:val="en-US"/>
              </w:rPr>
              <w:fldChar w:fldCharType="end"/>
            </w:r>
            <w:r w:rsidRPr="002D5CEA">
              <w:rPr>
                <w:lang w:val="en-US"/>
              </w:rPr>
              <w:fldChar w:fldCharType="begin"/>
            </w:r>
            <w:r w:rsidR="00C375B5" w:rsidRPr="002D5CEA">
              <w:rPr>
                <w:lang w:val="en-US"/>
              </w:rPr>
              <w:instrText xml:space="preserve"> SEQ CHAPTER \h \r 1</w:instrText>
            </w:r>
            <w:r w:rsidRPr="002D5CEA">
              <w:rPr>
                <w:lang w:val="en-US"/>
              </w:rPr>
              <w:fldChar w:fldCharType="end"/>
            </w:r>
            <w:r w:rsidR="00C375B5" w:rsidRPr="002D5CEA">
              <w:rPr>
                <w:b/>
                <w:bCs/>
                <w:lang w:val="en-US"/>
              </w:rPr>
              <w:t>Motion to extend the time to serve and file the response and book of authorities of the respondent M_d.S. to November 21, 2011</w:t>
            </w:r>
          </w:p>
        </w:tc>
        <w:tc>
          <w:tcPr>
            <w:tcW w:w="1170" w:type="dxa"/>
          </w:tcPr>
          <w:p w:rsidR="00C375B5" w:rsidRPr="002D5CEA" w:rsidRDefault="00C375B5" w:rsidP="00C375B5">
            <w:pPr>
              <w:tabs>
                <w:tab w:val="left" w:pos="-1440"/>
                <w:tab w:val="left" w:pos="-720"/>
              </w:tabs>
              <w:jc w:val="both"/>
            </w:pPr>
          </w:p>
          <w:p w:rsidR="00C375B5" w:rsidRPr="002D5CEA" w:rsidRDefault="00C375B5" w:rsidP="00C375B5">
            <w:pPr>
              <w:tabs>
                <w:tab w:val="left" w:pos="-1440"/>
                <w:tab w:val="left" w:pos="-720"/>
              </w:tabs>
              <w:jc w:val="both"/>
            </w:pPr>
          </w:p>
          <w:p w:rsidR="00C375B5" w:rsidRPr="002D5CEA" w:rsidRDefault="00C375B5" w:rsidP="00C375B5">
            <w:pPr>
              <w:tabs>
                <w:tab w:val="left" w:pos="-1440"/>
                <w:tab w:val="left" w:pos="-720"/>
              </w:tabs>
              <w:jc w:val="both"/>
            </w:pPr>
          </w:p>
          <w:p w:rsidR="00C375B5" w:rsidRPr="002D5CEA" w:rsidRDefault="00C375B5" w:rsidP="00C375B5">
            <w:pPr>
              <w:tabs>
                <w:tab w:val="left" w:pos="-1440"/>
                <w:tab w:val="left" w:pos="-720"/>
              </w:tabs>
              <w:jc w:val="both"/>
            </w:pPr>
          </w:p>
          <w:p w:rsidR="00C375B5" w:rsidRPr="002D5CEA" w:rsidRDefault="00C375B5" w:rsidP="00C375B5">
            <w:pPr>
              <w:tabs>
                <w:tab w:val="left" w:pos="-1440"/>
                <w:tab w:val="left" w:pos="-720"/>
              </w:tabs>
              <w:jc w:val="both"/>
            </w:pPr>
          </w:p>
        </w:tc>
        <w:tc>
          <w:tcPr>
            <w:tcW w:w="4327" w:type="dxa"/>
          </w:tcPr>
          <w:p w:rsidR="00C375B5" w:rsidRPr="002D5CEA" w:rsidRDefault="008A6550" w:rsidP="00C375B5">
            <w:pPr>
              <w:tabs>
                <w:tab w:val="left" w:pos="-1440"/>
                <w:tab w:val="left" w:pos="-720"/>
              </w:tabs>
              <w:jc w:val="both"/>
              <w:rPr>
                <w:lang w:val="fr-CA"/>
              </w:rPr>
            </w:pPr>
            <w:r w:rsidRPr="002D5CEA">
              <w:rPr>
                <w:lang w:val="en-US"/>
              </w:rPr>
              <w:fldChar w:fldCharType="begin"/>
            </w:r>
            <w:r w:rsidR="00C375B5" w:rsidRPr="002D5CEA">
              <w:rPr>
                <w:lang w:val="fr-CA"/>
              </w:rPr>
              <w:instrText xml:space="preserve"> SEQ CHAPTER \h \r 1</w:instrText>
            </w:r>
            <w:r w:rsidRPr="002D5CEA">
              <w:rPr>
                <w:lang w:val="en-US"/>
              </w:rPr>
              <w:fldChar w:fldCharType="end"/>
            </w:r>
            <w:r w:rsidRPr="002D5CEA">
              <w:rPr>
                <w:lang w:val="en-US"/>
              </w:rPr>
              <w:fldChar w:fldCharType="begin"/>
            </w:r>
            <w:r w:rsidR="00C375B5" w:rsidRPr="002D5CEA">
              <w:rPr>
                <w:lang w:val="fr-CA"/>
              </w:rPr>
              <w:instrText xml:space="preserve"> SEQ CHAPTER \h \r 1</w:instrText>
            </w:r>
            <w:r w:rsidRPr="002D5CEA">
              <w:rPr>
                <w:lang w:val="en-US"/>
              </w:rPr>
              <w:fldChar w:fldCharType="end"/>
            </w:r>
            <w:r w:rsidR="00C375B5" w:rsidRPr="002D5CEA">
              <w:rPr>
                <w:b/>
                <w:bCs/>
                <w:lang w:val="fr-CA"/>
              </w:rPr>
              <w:t>Requête en prorogation du délai de signification et de dépôt de la réponse et du recueil de sources</w:t>
            </w:r>
            <w:r w:rsidR="00C375B5" w:rsidRPr="002D5CEA">
              <w:rPr>
                <w:lang w:val="fr-CA"/>
              </w:rPr>
              <w:t xml:space="preserve"> </w:t>
            </w:r>
            <w:r w:rsidR="00C375B5" w:rsidRPr="002D5CEA">
              <w:rPr>
                <w:b/>
                <w:bCs/>
                <w:lang w:val="fr-CA"/>
              </w:rPr>
              <w:t>de l’intimé M_d.S. jusqu’au 21 novembre 2011</w:t>
            </w:r>
            <w:r w:rsidRPr="002D5CEA">
              <w:rPr>
                <w:lang w:val="en-US"/>
              </w:rPr>
              <w:fldChar w:fldCharType="begin"/>
            </w:r>
            <w:r w:rsidR="00C375B5" w:rsidRPr="002D5CEA">
              <w:rPr>
                <w:lang w:val="fr-CA"/>
              </w:rPr>
              <w:instrText xml:space="preserve"> SEQ CHAPTER \h \r 1</w:instrText>
            </w:r>
            <w:r w:rsidRPr="002D5CEA">
              <w:rPr>
                <w:lang w:val="en-US"/>
              </w:rPr>
              <w:fldChar w:fldCharType="end"/>
            </w:r>
            <w:r w:rsidRPr="002D5CEA">
              <w:rPr>
                <w:lang w:val="en-US"/>
              </w:rPr>
              <w:fldChar w:fldCharType="begin"/>
            </w:r>
            <w:r w:rsidR="00C375B5" w:rsidRPr="002D5CEA">
              <w:rPr>
                <w:lang w:val="fr-CA"/>
              </w:rPr>
              <w:instrText xml:space="preserve"> SEQ CHAPTER \h \r 1</w:instrText>
            </w:r>
            <w:r w:rsidRPr="002D5CEA">
              <w:rPr>
                <w:lang w:val="en-US"/>
              </w:rPr>
              <w:fldChar w:fldCharType="end"/>
            </w:r>
          </w:p>
        </w:tc>
      </w:tr>
      <w:tr w:rsidR="00C375B5" w:rsidRPr="002D5CEA" w:rsidTr="00C375B5">
        <w:tc>
          <w:tcPr>
            <w:tcW w:w="4338" w:type="dxa"/>
          </w:tcPr>
          <w:p w:rsidR="00C375B5" w:rsidRPr="002D5CEA" w:rsidRDefault="00C375B5" w:rsidP="00C375B5">
            <w:pPr>
              <w:tabs>
                <w:tab w:val="left" w:pos="-1440"/>
                <w:tab w:val="left" w:pos="-720"/>
              </w:tabs>
              <w:jc w:val="both"/>
              <w:rPr>
                <w:lang w:val="en-US"/>
              </w:rPr>
            </w:pPr>
            <w:r w:rsidRPr="002D5CEA">
              <w:rPr>
                <w:lang w:val="en-US"/>
              </w:rPr>
              <w:t>N.S.</w:t>
            </w:r>
          </w:p>
          <w:p w:rsidR="00C375B5" w:rsidRPr="002D5CEA" w:rsidRDefault="00C375B5" w:rsidP="00C375B5">
            <w:pPr>
              <w:tabs>
                <w:tab w:val="left" w:pos="-1440"/>
                <w:tab w:val="left" w:pos="-720"/>
              </w:tabs>
              <w:jc w:val="both"/>
              <w:rPr>
                <w:lang w:val="en-US"/>
              </w:rPr>
            </w:pPr>
          </w:p>
          <w:p w:rsidR="00C375B5" w:rsidRPr="002D5CEA" w:rsidRDefault="00C375B5" w:rsidP="00C375B5">
            <w:pPr>
              <w:tabs>
                <w:tab w:val="left" w:pos="-1440"/>
                <w:tab w:val="left" w:pos="-720"/>
              </w:tabs>
              <w:jc w:val="both"/>
              <w:rPr>
                <w:lang w:val="en-US"/>
              </w:rPr>
            </w:pPr>
            <w:r w:rsidRPr="002D5CEA">
              <w:rPr>
                <w:lang w:val="en-US"/>
              </w:rPr>
              <w:tab/>
              <w:t>v. (33989)</w:t>
            </w:r>
          </w:p>
          <w:p w:rsidR="00C375B5" w:rsidRPr="002D5CEA" w:rsidRDefault="00C375B5" w:rsidP="00C375B5">
            <w:pPr>
              <w:tabs>
                <w:tab w:val="left" w:pos="-1440"/>
                <w:tab w:val="left" w:pos="-720"/>
              </w:tabs>
              <w:jc w:val="both"/>
              <w:rPr>
                <w:lang w:val="en-US"/>
              </w:rPr>
            </w:pPr>
          </w:p>
          <w:p w:rsidR="00C375B5" w:rsidRPr="002D5CEA" w:rsidRDefault="00C375B5" w:rsidP="00C375B5">
            <w:pPr>
              <w:tabs>
                <w:tab w:val="left" w:pos="-1440"/>
                <w:tab w:val="left" w:pos="-720"/>
              </w:tabs>
              <w:jc w:val="both"/>
              <w:rPr>
                <w:lang w:val="fr-CA"/>
              </w:rPr>
            </w:pPr>
            <w:r w:rsidRPr="002D5CEA">
              <w:rPr>
                <w:lang w:val="en-US"/>
              </w:rPr>
              <w:t xml:space="preserve">Her Majesty the Queen et al. </w:t>
            </w:r>
            <w:r w:rsidRPr="002D5CEA">
              <w:rPr>
                <w:lang w:val="fr-CA"/>
              </w:rPr>
              <w:t>(Crim.) (Ont.)</w:t>
            </w:r>
          </w:p>
        </w:tc>
        <w:tc>
          <w:tcPr>
            <w:tcW w:w="1170" w:type="dxa"/>
          </w:tcPr>
          <w:p w:rsidR="00C375B5" w:rsidRPr="002D5CEA" w:rsidRDefault="00C375B5" w:rsidP="00C375B5">
            <w:pPr>
              <w:tabs>
                <w:tab w:val="left" w:pos="-1440"/>
                <w:tab w:val="left" w:pos="-720"/>
              </w:tabs>
              <w:jc w:val="both"/>
              <w:rPr>
                <w:lang w:val="fr-CA"/>
              </w:rPr>
            </w:pPr>
          </w:p>
        </w:tc>
        <w:tc>
          <w:tcPr>
            <w:tcW w:w="4327" w:type="dxa"/>
          </w:tcPr>
          <w:p w:rsidR="00C375B5" w:rsidRPr="002D5CEA" w:rsidRDefault="00C375B5" w:rsidP="00C375B5">
            <w:pPr>
              <w:tabs>
                <w:tab w:val="left" w:pos="-1440"/>
                <w:tab w:val="left" w:pos="-720"/>
              </w:tabs>
              <w:jc w:val="both"/>
              <w:rPr>
                <w:lang w:val="fr-CA"/>
              </w:rPr>
            </w:pPr>
          </w:p>
        </w:tc>
      </w:tr>
    </w:tbl>
    <w:p w:rsidR="00C375B5" w:rsidRPr="002D5CEA" w:rsidRDefault="00C375B5" w:rsidP="00C375B5">
      <w:pPr>
        <w:tabs>
          <w:tab w:val="left" w:pos="-1440"/>
          <w:tab w:val="left" w:pos="-720"/>
        </w:tabs>
        <w:jc w:val="both"/>
        <w:rPr>
          <w:rFonts w:eastAsia="Times New Roman" w:cs="Times New Roman"/>
          <w:sz w:val="20"/>
          <w:szCs w:val="20"/>
          <w:lang w:val="fr-CA" w:eastAsia="en-CA"/>
        </w:rPr>
      </w:pPr>
    </w:p>
    <w:p w:rsidR="00C375B5" w:rsidRDefault="00C375B5" w:rsidP="00C375B5">
      <w:pPr>
        <w:tabs>
          <w:tab w:val="left" w:pos="-1440"/>
          <w:tab w:val="left" w:pos="-720"/>
        </w:tabs>
        <w:jc w:val="both"/>
        <w:rPr>
          <w:rFonts w:eastAsia="Times New Roman" w:cs="Times New Roman"/>
          <w:b/>
          <w:sz w:val="20"/>
          <w:szCs w:val="20"/>
          <w:lang w:val="fr-CA" w:eastAsia="en-CA"/>
        </w:rPr>
      </w:pPr>
      <w:r w:rsidRPr="002D5CEA">
        <w:rPr>
          <w:rFonts w:eastAsia="Times New Roman" w:cs="Times New Roman"/>
          <w:b/>
          <w:sz w:val="20"/>
          <w:szCs w:val="20"/>
          <w:lang w:val="fr-CA" w:eastAsia="en-CA"/>
        </w:rPr>
        <w:t>GRANTED / ACCORDÉE</w:t>
      </w:r>
    </w:p>
    <w:p w:rsidR="00C375B5" w:rsidRPr="002D5CEA" w:rsidRDefault="00C375B5" w:rsidP="00C375B5">
      <w:pPr>
        <w:tabs>
          <w:tab w:val="left" w:pos="-1440"/>
          <w:tab w:val="left" w:pos="-720"/>
        </w:tabs>
        <w:jc w:val="both"/>
        <w:rPr>
          <w:rFonts w:eastAsia="Times New Roman" w:cs="Times New Roman"/>
          <w:sz w:val="20"/>
          <w:szCs w:val="20"/>
          <w:lang w:val="fr-CA" w:eastAsia="en-CA"/>
        </w:rPr>
      </w:pPr>
    </w:p>
    <w:p w:rsidR="00C375B5" w:rsidRPr="002D5CEA" w:rsidRDefault="008A6550" w:rsidP="00C375B5">
      <w:pPr>
        <w:tabs>
          <w:tab w:val="left" w:pos="-1440"/>
          <w:tab w:val="left" w:pos="-720"/>
        </w:tabs>
        <w:jc w:val="both"/>
        <w:rPr>
          <w:rFonts w:eastAsia="Times New Roman" w:cs="Times New Roman"/>
          <w:sz w:val="20"/>
          <w:szCs w:val="20"/>
          <w:lang w:eastAsia="en-CA"/>
        </w:rPr>
      </w:pPr>
      <w:r w:rsidRPr="008A6550">
        <w:rPr>
          <w:rFonts w:eastAsia="Times New Roman" w:cs="Times New Roman"/>
          <w:sz w:val="20"/>
          <w:szCs w:val="20"/>
          <w:lang w:val="fr-CA" w:eastAsia="en-CA"/>
        </w:rPr>
        <w:pict>
          <v:rect id="_x0000_i1090" style="width:2in;height:1pt" o:hrpct="0" o:hralign="center" o:hrstd="t" o:hrnoshade="t" o:hr="t" fillcolor="black [3213]" stroked="f"/>
        </w:pict>
      </w:r>
    </w:p>
    <w:p w:rsidR="00C375B5" w:rsidRDefault="00C375B5"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r w:rsidRPr="002D5CEA">
        <w:rPr>
          <w:rFonts w:eastAsia="Times New Roman" w:cs="Times New Roman"/>
          <w:sz w:val="20"/>
          <w:szCs w:val="20"/>
          <w:lang w:val="fr-CA" w:eastAsia="en-CA"/>
        </w:rPr>
        <w:t>28.11.2011</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r w:rsidRPr="002D5CEA">
        <w:rPr>
          <w:rFonts w:eastAsia="Times New Roman" w:cs="Times New Roman"/>
          <w:sz w:val="20"/>
          <w:szCs w:val="20"/>
          <w:lang w:val="fr-CA" w:eastAsia="en-CA"/>
        </w:rPr>
        <w:t>Before / Devant :   DESCHAMPS J. / LA JUGE DESCHAMPS</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D5CEA" w:rsidRPr="00C04C40" w:rsidTr="006E0EF4">
        <w:tc>
          <w:tcPr>
            <w:tcW w:w="4338" w:type="dxa"/>
            <w:gridSpan w:val="2"/>
          </w:tcPr>
          <w:p w:rsidR="002D5CEA" w:rsidRPr="002D5CEA" w:rsidRDefault="002D5CEA" w:rsidP="002D5CEA">
            <w:pPr>
              <w:rPr>
                <w:b/>
              </w:rPr>
            </w:pPr>
            <w:r w:rsidRPr="002D5CEA">
              <w:rPr>
                <w:b/>
                <w:lang w:val="en-US"/>
              </w:rPr>
              <w:t xml:space="preserve">Order on intervention with respect to oral argument </w:t>
            </w:r>
            <w:r w:rsidR="008A6550" w:rsidRPr="002D5CEA">
              <w:rPr>
                <w:b/>
                <w:lang w:val="en-US"/>
              </w:rPr>
              <w:fldChar w:fldCharType="begin"/>
            </w:r>
            <w:r w:rsidRPr="002D5CEA">
              <w:rPr>
                <w:b/>
              </w:rPr>
              <w:instrText xml:space="preserve"> SEQ CHAPTER \h \r 1</w:instrText>
            </w:r>
            <w:r w:rsidR="008A6550" w:rsidRPr="002D5CEA">
              <w:rPr>
                <w:b/>
                <w:lang w:val="en-US"/>
              </w:rPr>
              <w:fldChar w:fldCharType="end"/>
            </w:r>
          </w:p>
        </w:tc>
        <w:tc>
          <w:tcPr>
            <w:tcW w:w="1170" w:type="dxa"/>
          </w:tcPr>
          <w:p w:rsidR="002D5CEA" w:rsidRPr="002D5CEA" w:rsidRDefault="002D5CEA" w:rsidP="002D5CEA"/>
          <w:p w:rsidR="002D5CEA" w:rsidRPr="002D5CEA" w:rsidRDefault="002D5CEA" w:rsidP="002D5CEA"/>
          <w:p w:rsidR="002D5CEA" w:rsidRPr="002D5CEA" w:rsidRDefault="002D5CEA" w:rsidP="002D5CEA"/>
        </w:tc>
        <w:tc>
          <w:tcPr>
            <w:tcW w:w="4327" w:type="dxa"/>
          </w:tcPr>
          <w:p w:rsidR="002D5CEA" w:rsidRPr="002D5CEA" w:rsidRDefault="002D5CEA" w:rsidP="002D5CEA">
            <w:pPr>
              <w:rPr>
                <w:b/>
                <w:lang w:val="fr-CA"/>
              </w:rPr>
            </w:pPr>
            <w:r w:rsidRPr="002D5CEA">
              <w:rPr>
                <w:b/>
                <w:lang w:val="fr-CA"/>
              </w:rPr>
              <w:t>Ordonnance relative à la présentation d’une plaidoirie orale par l’intervenante</w:t>
            </w:r>
            <w:r w:rsidR="008A6550" w:rsidRPr="002D5CEA">
              <w:rPr>
                <w:b/>
                <w:lang w:val="en-US"/>
              </w:rPr>
              <w:fldChar w:fldCharType="begin"/>
            </w:r>
            <w:r w:rsidRPr="002D5CEA">
              <w:rPr>
                <w:b/>
                <w:lang w:val="fr-CA"/>
              </w:rPr>
              <w:instrText xml:space="preserve"> SEQ CHAPTER \h \r 1</w:instrText>
            </w:r>
            <w:r w:rsidR="008A6550" w:rsidRPr="002D5CEA">
              <w:rPr>
                <w:b/>
                <w:lang w:val="en-US"/>
              </w:rPr>
              <w:fldChar w:fldCharType="end"/>
            </w:r>
          </w:p>
        </w:tc>
      </w:tr>
      <w:tr w:rsidR="002D5CEA" w:rsidRPr="002D5CEA" w:rsidTr="006E0EF4">
        <w:tc>
          <w:tcPr>
            <w:tcW w:w="1368" w:type="dxa"/>
          </w:tcPr>
          <w:p w:rsidR="002D5CEA" w:rsidRPr="002D5CEA" w:rsidRDefault="002D5CEA" w:rsidP="002D5CEA">
            <w:r w:rsidRPr="002D5CEA">
              <w:t>RE:</w:t>
            </w:r>
          </w:p>
        </w:tc>
        <w:tc>
          <w:tcPr>
            <w:tcW w:w="2970" w:type="dxa"/>
          </w:tcPr>
          <w:p w:rsidR="002D5CEA" w:rsidRPr="002D5CEA" w:rsidRDefault="002D5CEA" w:rsidP="002D5CEA">
            <w:r w:rsidRPr="002D5CEA">
              <w:t>Samuelson-Glushko Canadian Internet Policy and Public Interest Clinic</w:t>
            </w:r>
          </w:p>
        </w:tc>
        <w:tc>
          <w:tcPr>
            <w:tcW w:w="1170" w:type="dxa"/>
          </w:tcPr>
          <w:p w:rsidR="002D5CEA" w:rsidRPr="002D5CEA" w:rsidRDefault="002D5CEA" w:rsidP="002D5CEA"/>
        </w:tc>
        <w:tc>
          <w:tcPr>
            <w:tcW w:w="4327" w:type="dxa"/>
          </w:tcPr>
          <w:p w:rsidR="002D5CEA" w:rsidRPr="002D5CEA" w:rsidRDefault="002D5CEA" w:rsidP="002D5CEA"/>
        </w:tc>
      </w:tr>
      <w:tr w:rsidR="002D5CEA" w:rsidRPr="002D5CEA" w:rsidTr="006E0EF4">
        <w:tc>
          <w:tcPr>
            <w:tcW w:w="1368" w:type="dxa"/>
          </w:tcPr>
          <w:p w:rsidR="002D5CEA" w:rsidRPr="002D5CEA" w:rsidRDefault="002D5CEA" w:rsidP="002D5CEA"/>
        </w:tc>
        <w:tc>
          <w:tcPr>
            <w:tcW w:w="2970" w:type="dxa"/>
          </w:tcPr>
          <w:p w:rsidR="002D5CEA" w:rsidRPr="002D5CEA" w:rsidRDefault="002D5CEA" w:rsidP="002D5CEA"/>
        </w:tc>
        <w:tc>
          <w:tcPr>
            <w:tcW w:w="1170" w:type="dxa"/>
          </w:tcPr>
          <w:p w:rsidR="002D5CEA" w:rsidRPr="002D5CEA" w:rsidRDefault="002D5CEA" w:rsidP="002D5CEA"/>
        </w:tc>
        <w:tc>
          <w:tcPr>
            <w:tcW w:w="4327" w:type="dxa"/>
          </w:tcPr>
          <w:p w:rsidR="002D5CEA" w:rsidRPr="002D5CEA" w:rsidRDefault="002D5CEA" w:rsidP="002D5CEA"/>
        </w:tc>
      </w:tr>
      <w:tr w:rsidR="002D5CEA" w:rsidRPr="002D5CEA" w:rsidTr="006E0EF4">
        <w:tc>
          <w:tcPr>
            <w:tcW w:w="1368" w:type="dxa"/>
          </w:tcPr>
          <w:p w:rsidR="002D5CEA" w:rsidRPr="002D5CEA" w:rsidRDefault="002D5CEA" w:rsidP="002D5CEA">
            <w:r w:rsidRPr="002D5CEA">
              <w:t>IN / DANS :</w:t>
            </w:r>
          </w:p>
        </w:tc>
        <w:tc>
          <w:tcPr>
            <w:tcW w:w="2970" w:type="dxa"/>
          </w:tcPr>
          <w:p w:rsidR="002D5CEA" w:rsidRPr="002D5CEA" w:rsidRDefault="002D5CEA" w:rsidP="002D5CEA">
            <w:r w:rsidRPr="002D5CEA">
              <w:t>Re:Sound</w:t>
            </w:r>
          </w:p>
          <w:p w:rsidR="002D5CEA" w:rsidRPr="002D5CEA" w:rsidRDefault="002D5CEA" w:rsidP="002D5CEA"/>
        </w:tc>
        <w:tc>
          <w:tcPr>
            <w:tcW w:w="1170" w:type="dxa"/>
          </w:tcPr>
          <w:p w:rsidR="002D5CEA" w:rsidRPr="002D5CEA" w:rsidRDefault="002D5CEA" w:rsidP="002D5CEA"/>
        </w:tc>
        <w:tc>
          <w:tcPr>
            <w:tcW w:w="4327" w:type="dxa"/>
          </w:tcPr>
          <w:p w:rsidR="002D5CEA" w:rsidRPr="002D5CEA" w:rsidRDefault="002D5CEA" w:rsidP="002D5CEA"/>
        </w:tc>
      </w:tr>
      <w:tr w:rsidR="002D5CEA" w:rsidRPr="002D5CEA" w:rsidTr="006E0EF4">
        <w:tc>
          <w:tcPr>
            <w:tcW w:w="1368" w:type="dxa"/>
          </w:tcPr>
          <w:p w:rsidR="002D5CEA" w:rsidRPr="002D5CEA" w:rsidRDefault="002D5CEA" w:rsidP="002D5CEA"/>
        </w:tc>
        <w:tc>
          <w:tcPr>
            <w:tcW w:w="2970" w:type="dxa"/>
          </w:tcPr>
          <w:p w:rsidR="002D5CEA" w:rsidRPr="002D5CEA" w:rsidRDefault="002D5CEA" w:rsidP="002D5CEA">
            <w:r w:rsidRPr="002D5CEA">
              <w:tab/>
              <w:t>v. (34210)</w:t>
            </w:r>
          </w:p>
          <w:p w:rsidR="002D5CEA" w:rsidRPr="002D5CEA" w:rsidRDefault="002D5CEA" w:rsidP="002D5CEA"/>
        </w:tc>
        <w:tc>
          <w:tcPr>
            <w:tcW w:w="1170" w:type="dxa"/>
          </w:tcPr>
          <w:p w:rsidR="002D5CEA" w:rsidRPr="002D5CEA" w:rsidRDefault="002D5CEA" w:rsidP="002D5CEA"/>
        </w:tc>
        <w:tc>
          <w:tcPr>
            <w:tcW w:w="4327" w:type="dxa"/>
          </w:tcPr>
          <w:p w:rsidR="002D5CEA" w:rsidRPr="002D5CEA" w:rsidRDefault="002D5CEA" w:rsidP="002D5CEA"/>
        </w:tc>
      </w:tr>
      <w:tr w:rsidR="002D5CEA" w:rsidRPr="002D5CEA" w:rsidTr="006E0EF4">
        <w:tc>
          <w:tcPr>
            <w:tcW w:w="1368" w:type="dxa"/>
          </w:tcPr>
          <w:p w:rsidR="002D5CEA" w:rsidRPr="002D5CEA" w:rsidRDefault="002D5CEA" w:rsidP="002D5CEA"/>
        </w:tc>
        <w:tc>
          <w:tcPr>
            <w:tcW w:w="2970" w:type="dxa"/>
          </w:tcPr>
          <w:p w:rsidR="002D5CEA" w:rsidRPr="002D5CEA" w:rsidRDefault="002D5CEA" w:rsidP="002D5CEA">
            <w:pPr>
              <w:rPr>
                <w:lang w:val="fr-CA"/>
              </w:rPr>
            </w:pPr>
            <w:r w:rsidRPr="002D5CEA">
              <w:rPr>
                <w:lang w:val="en-US"/>
              </w:rPr>
              <w:t xml:space="preserve">Motion Picture Theatre Associations of Canada et al. </w:t>
            </w:r>
            <w:r w:rsidRPr="002D5CEA">
              <w:rPr>
                <w:lang w:val="fr-CA"/>
              </w:rPr>
              <w:t>(F.C.)</w:t>
            </w:r>
          </w:p>
        </w:tc>
        <w:tc>
          <w:tcPr>
            <w:tcW w:w="1170" w:type="dxa"/>
          </w:tcPr>
          <w:p w:rsidR="002D5CEA" w:rsidRPr="002D5CEA" w:rsidRDefault="002D5CEA" w:rsidP="002D5CEA">
            <w:pPr>
              <w:rPr>
                <w:lang w:val="fr-CA"/>
              </w:rPr>
            </w:pPr>
          </w:p>
        </w:tc>
        <w:tc>
          <w:tcPr>
            <w:tcW w:w="4327" w:type="dxa"/>
          </w:tcPr>
          <w:p w:rsidR="002D5CEA" w:rsidRPr="002D5CEA" w:rsidRDefault="002D5CEA" w:rsidP="002D5CEA">
            <w:pPr>
              <w:rPr>
                <w:lang w:val="fr-CA"/>
              </w:rPr>
            </w:pPr>
          </w:p>
        </w:tc>
      </w:tr>
    </w:tbl>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spacing w:line="233" w:lineRule="auto"/>
        <w:jc w:val="both"/>
        <w:rPr>
          <w:rFonts w:eastAsia="Times New Roman" w:cs="Times New Roman"/>
          <w:sz w:val="20"/>
          <w:szCs w:val="20"/>
          <w:lang w:val="en-US" w:eastAsia="en-CA"/>
        </w:rPr>
      </w:pPr>
      <w:r w:rsidRPr="002D5CEA">
        <w:rPr>
          <w:rFonts w:eastAsia="Times New Roman" w:cs="Times New Roman"/>
          <w:b/>
          <w:bCs/>
          <w:sz w:val="20"/>
          <w:szCs w:val="20"/>
          <w:lang w:val="en-US" w:eastAsia="en-CA"/>
        </w:rPr>
        <w:t>FURTHER TO THE ORDER</w:t>
      </w:r>
      <w:r w:rsidRPr="002D5CEA">
        <w:rPr>
          <w:rFonts w:eastAsia="Times New Roman" w:cs="Times New Roman"/>
          <w:sz w:val="20"/>
          <w:szCs w:val="20"/>
          <w:lang w:val="en-US" w:eastAsia="en-CA"/>
        </w:rPr>
        <w:t xml:space="preserve"> dated November 9, 2011, granting leave to intervene to </w:t>
      </w:r>
      <w:r w:rsidRPr="002D5CEA">
        <w:rPr>
          <w:rFonts w:eastAsia="Times New Roman" w:cs="Times New Roman"/>
          <w:sz w:val="20"/>
          <w:szCs w:val="20"/>
          <w:lang w:eastAsia="en-CA"/>
        </w:rPr>
        <w:t>the Samuelson-Glushko Canadian Internet Policy and Public Interest Clinic</w:t>
      </w:r>
      <w:r w:rsidRPr="002D5CEA">
        <w:rPr>
          <w:rFonts w:eastAsia="Times New Roman" w:cs="Times New Roman"/>
          <w:sz w:val="20"/>
          <w:szCs w:val="20"/>
          <w:lang w:val="en-US" w:eastAsia="en-CA"/>
        </w:rPr>
        <w:t>;</w:t>
      </w:r>
    </w:p>
    <w:p w:rsidR="002D5CEA" w:rsidRPr="002D5CEA" w:rsidRDefault="002D5CEA" w:rsidP="002D5CEA">
      <w:pPr>
        <w:spacing w:line="233" w:lineRule="auto"/>
        <w:jc w:val="both"/>
        <w:rPr>
          <w:rFonts w:eastAsia="Times New Roman" w:cs="Times New Roman"/>
          <w:sz w:val="20"/>
          <w:szCs w:val="20"/>
          <w:lang w:val="en-US" w:eastAsia="en-CA"/>
        </w:rPr>
      </w:pPr>
    </w:p>
    <w:p w:rsidR="002D5CEA" w:rsidRPr="002D5CEA" w:rsidRDefault="002D5CEA" w:rsidP="002D5CEA">
      <w:pPr>
        <w:spacing w:line="233" w:lineRule="auto"/>
        <w:jc w:val="both"/>
        <w:rPr>
          <w:rFonts w:eastAsia="Times New Roman" w:cs="Times New Roman"/>
          <w:sz w:val="20"/>
          <w:szCs w:val="20"/>
          <w:lang w:eastAsia="en-CA"/>
        </w:rPr>
      </w:pPr>
      <w:r w:rsidRPr="002D5CEA">
        <w:rPr>
          <w:rFonts w:eastAsia="Times New Roman" w:cs="Times New Roman"/>
          <w:b/>
          <w:sz w:val="20"/>
          <w:szCs w:val="20"/>
          <w:lang w:val="en-US" w:eastAsia="en-CA"/>
        </w:rPr>
        <w:t xml:space="preserve">AND UPON </w:t>
      </w:r>
      <w:r w:rsidRPr="002D5CEA">
        <w:rPr>
          <w:rFonts w:eastAsia="Times New Roman" w:cs="Times New Roman"/>
          <w:b/>
          <w:bCs/>
          <w:sz w:val="20"/>
          <w:szCs w:val="20"/>
          <w:lang w:val="en-US" w:eastAsia="en-CA"/>
        </w:rPr>
        <w:t xml:space="preserve">APPLICATION </w:t>
      </w:r>
      <w:r w:rsidRPr="002D5CEA">
        <w:rPr>
          <w:rFonts w:eastAsia="Times New Roman" w:cs="Times New Roman"/>
          <w:bCs/>
          <w:sz w:val="20"/>
          <w:szCs w:val="20"/>
          <w:lang w:val="en-US" w:eastAsia="en-CA"/>
        </w:rPr>
        <w:t xml:space="preserve">by </w:t>
      </w:r>
      <w:r w:rsidRPr="002D5CEA">
        <w:rPr>
          <w:rFonts w:eastAsia="Times New Roman" w:cs="Times New Roman"/>
          <w:sz w:val="20"/>
          <w:szCs w:val="20"/>
          <w:lang w:val="en-US" w:eastAsia="en-CA"/>
        </w:rPr>
        <w:t>the Samuelson-Glushko Canadian Internet Policy and Public Interest Clinic for an extension of time to serve and file its factum to November 23, 2011 and to make oral argument at the hearing of the appeal;</w:t>
      </w:r>
    </w:p>
    <w:p w:rsidR="002D5CEA" w:rsidRPr="002D5CEA" w:rsidRDefault="002D5CEA" w:rsidP="002D5CEA">
      <w:pPr>
        <w:spacing w:line="233" w:lineRule="auto"/>
        <w:jc w:val="both"/>
        <w:rPr>
          <w:rFonts w:eastAsia="Times New Roman" w:cs="Times New Roman"/>
          <w:sz w:val="20"/>
          <w:szCs w:val="20"/>
          <w:lang w:val="en-US" w:eastAsia="en-CA"/>
        </w:rPr>
      </w:pPr>
    </w:p>
    <w:p w:rsidR="002D5CEA" w:rsidRPr="002D5CEA" w:rsidRDefault="002D5CEA" w:rsidP="002D5CEA">
      <w:pPr>
        <w:spacing w:line="233" w:lineRule="auto"/>
        <w:jc w:val="both"/>
        <w:rPr>
          <w:rFonts w:eastAsia="Times New Roman" w:cs="Times New Roman"/>
          <w:sz w:val="20"/>
          <w:szCs w:val="20"/>
          <w:lang w:eastAsia="en-CA"/>
        </w:rPr>
      </w:pPr>
      <w:r w:rsidRPr="002D5CEA">
        <w:rPr>
          <w:rFonts w:eastAsia="Times New Roman" w:cs="Times New Roman"/>
          <w:b/>
          <w:bCs/>
          <w:sz w:val="20"/>
          <w:szCs w:val="20"/>
          <w:lang w:val="en-US" w:eastAsia="en-CA"/>
        </w:rPr>
        <w:t>IT IS HEREBY FURTHER ORDERED THAT</w:t>
      </w:r>
      <w:r w:rsidRPr="002D5CEA">
        <w:rPr>
          <w:rFonts w:eastAsia="Times New Roman" w:cs="Times New Roman"/>
          <w:sz w:val="20"/>
          <w:szCs w:val="20"/>
          <w:lang w:val="en-US" w:eastAsia="en-CA"/>
        </w:rPr>
        <w:t xml:space="preserve"> the extension of time </w:t>
      </w:r>
      <w:r w:rsidRPr="002D5CEA">
        <w:rPr>
          <w:rFonts w:eastAsia="Times New Roman" w:cs="Times New Roman"/>
          <w:sz w:val="20"/>
          <w:szCs w:val="20"/>
          <w:lang w:eastAsia="en-CA"/>
        </w:rPr>
        <w:t>is granted and the permission to present oral argument at the hearing of the appeal is denied.</w:t>
      </w: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widowControl w:val="0"/>
        <w:autoSpaceDE w:val="0"/>
        <w:autoSpaceDN w:val="0"/>
        <w:adjustRightInd w:val="0"/>
        <w:spacing w:line="233" w:lineRule="auto"/>
        <w:jc w:val="both"/>
        <w:rPr>
          <w:rFonts w:eastAsiaTheme="minorEastAsia" w:cs="Times New Roman"/>
          <w:sz w:val="20"/>
          <w:szCs w:val="20"/>
          <w:lang w:val="fr-FR"/>
        </w:rPr>
      </w:pPr>
      <w:r w:rsidRPr="002D5CEA">
        <w:rPr>
          <w:rFonts w:eastAsiaTheme="minorEastAsia" w:cs="Times New Roman"/>
          <w:b/>
          <w:sz w:val="20"/>
          <w:szCs w:val="20"/>
          <w:lang w:val="fr-FR"/>
        </w:rPr>
        <w:t>À LA SUITE DE L'ORDONNANCE</w:t>
      </w:r>
      <w:r w:rsidRPr="002D5CEA">
        <w:rPr>
          <w:rFonts w:eastAsiaTheme="minorEastAsia" w:cs="Times New Roman"/>
          <w:sz w:val="20"/>
          <w:szCs w:val="20"/>
          <w:lang w:val="fr-FR"/>
        </w:rPr>
        <w:t xml:space="preserve"> datée du 9 novembre 2011 autorisant la Clinique d’intérêt public et de politique d’internet du Canada Samuelson-Glushko à intervenir;</w:t>
      </w:r>
    </w:p>
    <w:p w:rsidR="002D5CEA" w:rsidRPr="002D5CEA" w:rsidRDefault="002D5CEA" w:rsidP="002D5CEA">
      <w:pPr>
        <w:widowControl w:val="0"/>
        <w:autoSpaceDE w:val="0"/>
        <w:autoSpaceDN w:val="0"/>
        <w:adjustRightInd w:val="0"/>
        <w:spacing w:line="233" w:lineRule="auto"/>
        <w:jc w:val="both"/>
        <w:rPr>
          <w:rFonts w:eastAsiaTheme="minorEastAsia" w:cs="Times New Roman"/>
          <w:sz w:val="20"/>
          <w:szCs w:val="20"/>
          <w:lang w:val="fr-FR"/>
        </w:rPr>
      </w:pPr>
    </w:p>
    <w:p w:rsidR="002D5CEA" w:rsidRPr="002D5CEA" w:rsidRDefault="002D5CEA" w:rsidP="002D5CEA">
      <w:pPr>
        <w:widowControl w:val="0"/>
        <w:autoSpaceDE w:val="0"/>
        <w:autoSpaceDN w:val="0"/>
        <w:adjustRightInd w:val="0"/>
        <w:spacing w:line="233" w:lineRule="auto"/>
        <w:jc w:val="both"/>
        <w:rPr>
          <w:rFonts w:eastAsiaTheme="minorEastAsia" w:cs="Times New Roman"/>
          <w:sz w:val="20"/>
          <w:szCs w:val="20"/>
          <w:lang w:val="fr-FR"/>
        </w:rPr>
      </w:pPr>
      <w:r w:rsidRPr="002D5CEA">
        <w:rPr>
          <w:rFonts w:eastAsiaTheme="minorEastAsia" w:cs="Times New Roman"/>
          <w:b/>
          <w:sz w:val="20"/>
          <w:szCs w:val="20"/>
          <w:lang w:val="fr-FR"/>
        </w:rPr>
        <w:t>ET À LA SUITE DE LA DEMANDE</w:t>
      </w:r>
      <w:r w:rsidRPr="002D5CEA">
        <w:rPr>
          <w:rFonts w:eastAsiaTheme="minorEastAsia" w:cs="Times New Roman"/>
          <w:sz w:val="20"/>
          <w:szCs w:val="20"/>
          <w:lang w:val="fr-FR"/>
        </w:rPr>
        <w:t xml:space="preserve"> présentée par la Clinique d’intérêt public et de politique d’internet du Canada Samuelson-Glushko en vue d'obtenir la prorogation du délai de signification et de dépôt de son mémoire jusqu’au 23 novembre 2011 et d’être autorisée à présenter une plaidoirie orale lors de l’audition de l’appel; </w:t>
      </w:r>
    </w:p>
    <w:p w:rsidR="002D5CEA" w:rsidRPr="002D5CEA" w:rsidRDefault="002D5CEA" w:rsidP="002D5CEA">
      <w:pPr>
        <w:widowControl w:val="0"/>
        <w:autoSpaceDE w:val="0"/>
        <w:autoSpaceDN w:val="0"/>
        <w:adjustRightInd w:val="0"/>
        <w:spacing w:line="233" w:lineRule="auto"/>
        <w:jc w:val="both"/>
        <w:rPr>
          <w:rFonts w:eastAsiaTheme="minorEastAsia" w:cs="Times New Roman"/>
          <w:sz w:val="20"/>
          <w:szCs w:val="20"/>
          <w:lang w:val="fr-FR"/>
        </w:rPr>
      </w:pPr>
    </w:p>
    <w:p w:rsidR="002D5CEA" w:rsidRPr="002D5CEA" w:rsidRDefault="002D5CEA" w:rsidP="002D5CEA">
      <w:pPr>
        <w:widowControl w:val="0"/>
        <w:autoSpaceDE w:val="0"/>
        <w:autoSpaceDN w:val="0"/>
        <w:adjustRightInd w:val="0"/>
        <w:spacing w:line="233" w:lineRule="auto"/>
        <w:jc w:val="both"/>
        <w:rPr>
          <w:rFonts w:eastAsiaTheme="minorEastAsia" w:cs="Times New Roman"/>
          <w:sz w:val="20"/>
          <w:szCs w:val="20"/>
          <w:lang w:val="fr-FR"/>
        </w:rPr>
      </w:pPr>
      <w:r w:rsidRPr="002D5CEA">
        <w:rPr>
          <w:rFonts w:eastAsiaTheme="minorEastAsia" w:cs="Times New Roman"/>
          <w:b/>
          <w:sz w:val="20"/>
          <w:szCs w:val="20"/>
          <w:lang w:val="fr-FR"/>
        </w:rPr>
        <w:t>IL EST EN OUTRE ORDONNÉ QUE</w:t>
      </w:r>
      <w:r w:rsidRPr="002D5CEA">
        <w:rPr>
          <w:rFonts w:eastAsiaTheme="minorEastAsia" w:cs="Times New Roman"/>
          <w:sz w:val="20"/>
          <w:szCs w:val="20"/>
          <w:lang w:val="fr-FR"/>
        </w:rPr>
        <w:t xml:space="preserve"> la demande de prorogation du délai </w:t>
      </w:r>
      <w:proofErr w:type="gramStart"/>
      <w:r w:rsidRPr="002D5CEA">
        <w:rPr>
          <w:rFonts w:eastAsiaTheme="minorEastAsia" w:cs="Times New Roman"/>
          <w:sz w:val="20"/>
          <w:szCs w:val="20"/>
          <w:lang w:val="fr-FR"/>
        </w:rPr>
        <w:t>est</w:t>
      </w:r>
      <w:proofErr w:type="gramEnd"/>
      <w:r w:rsidRPr="002D5CEA">
        <w:rPr>
          <w:rFonts w:eastAsiaTheme="minorEastAsia" w:cs="Times New Roman"/>
          <w:sz w:val="20"/>
          <w:szCs w:val="20"/>
          <w:lang w:val="fr-FR"/>
        </w:rPr>
        <w:t xml:space="preserve"> accordée mais que celle visant la présentation d’une plaidoirie orale est rejetée. </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8A6550" w:rsidP="002D5CEA">
      <w:pPr>
        <w:tabs>
          <w:tab w:val="left" w:pos="-1440"/>
          <w:tab w:val="left" w:pos="-720"/>
        </w:tabs>
        <w:jc w:val="both"/>
        <w:rPr>
          <w:rFonts w:eastAsia="Times New Roman" w:cs="Times New Roman"/>
          <w:sz w:val="20"/>
          <w:szCs w:val="20"/>
          <w:lang w:eastAsia="en-CA"/>
        </w:rPr>
      </w:pPr>
      <w:r w:rsidRPr="008A6550">
        <w:rPr>
          <w:rFonts w:eastAsia="Times New Roman" w:cs="Times New Roman"/>
          <w:sz w:val="20"/>
          <w:szCs w:val="20"/>
          <w:lang w:val="fr-CA" w:eastAsia="en-CA"/>
        </w:rPr>
        <w:pict>
          <v:rect id="_x0000_i1091" style="width:2in;height:1pt" o:hrpct="0" o:hralign="center" o:hrstd="t" o:hrnoshade="t" o:hr="t" fillcolor="black [3213]" stroked="f"/>
        </w:pict>
      </w: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r w:rsidRPr="002D5CEA">
        <w:rPr>
          <w:rFonts w:eastAsia="Times New Roman" w:cs="Times New Roman"/>
          <w:sz w:val="20"/>
          <w:szCs w:val="20"/>
          <w:lang w:val="fr-CA" w:eastAsia="en-CA"/>
        </w:rPr>
        <w:t>28.11.2011</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r w:rsidRPr="002D5CEA">
        <w:rPr>
          <w:rFonts w:eastAsia="Times New Roman" w:cs="Times New Roman"/>
          <w:sz w:val="20"/>
          <w:szCs w:val="20"/>
          <w:lang w:val="fr-CA" w:eastAsia="en-CA"/>
        </w:rPr>
        <w:t>Before / Devant :   DESCHAMPS J. / LA JUGE DESCHAMPS</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D5CEA" w:rsidRPr="00C04C40" w:rsidTr="006E0EF4">
        <w:tc>
          <w:tcPr>
            <w:tcW w:w="4338" w:type="dxa"/>
            <w:gridSpan w:val="2"/>
          </w:tcPr>
          <w:p w:rsidR="002D5CEA" w:rsidRPr="002D5CEA" w:rsidRDefault="002D5CEA" w:rsidP="002D5CEA">
            <w:pPr>
              <w:rPr>
                <w:b/>
              </w:rPr>
            </w:pPr>
            <w:r w:rsidRPr="002D5CEA">
              <w:rPr>
                <w:b/>
                <w:lang w:val="en-US"/>
              </w:rPr>
              <w:t xml:space="preserve">Order on intervention with respect to oral argument </w:t>
            </w:r>
            <w:r w:rsidR="008A6550" w:rsidRPr="002D5CEA">
              <w:rPr>
                <w:b/>
                <w:lang w:val="en-US"/>
              </w:rPr>
              <w:fldChar w:fldCharType="begin"/>
            </w:r>
            <w:r w:rsidRPr="002D5CEA">
              <w:rPr>
                <w:b/>
              </w:rPr>
              <w:instrText xml:space="preserve"> SEQ CHAPTER \h \r 1</w:instrText>
            </w:r>
            <w:r w:rsidR="008A6550" w:rsidRPr="002D5CEA">
              <w:rPr>
                <w:b/>
                <w:lang w:val="en-US"/>
              </w:rPr>
              <w:fldChar w:fldCharType="end"/>
            </w:r>
          </w:p>
        </w:tc>
        <w:tc>
          <w:tcPr>
            <w:tcW w:w="1170" w:type="dxa"/>
          </w:tcPr>
          <w:p w:rsidR="002D5CEA" w:rsidRPr="002D5CEA" w:rsidRDefault="002D5CEA" w:rsidP="002D5CEA"/>
          <w:p w:rsidR="002D5CEA" w:rsidRPr="002D5CEA" w:rsidRDefault="002D5CEA" w:rsidP="002D5CEA"/>
          <w:p w:rsidR="002D5CEA" w:rsidRPr="002D5CEA" w:rsidRDefault="002D5CEA" w:rsidP="002D5CEA"/>
        </w:tc>
        <w:tc>
          <w:tcPr>
            <w:tcW w:w="4327" w:type="dxa"/>
          </w:tcPr>
          <w:p w:rsidR="002D5CEA" w:rsidRPr="002D5CEA" w:rsidRDefault="002D5CEA" w:rsidP="002D5CEA">
            <w:pPr>
              <w:rPr>
                <w:b/>
                <w:lang w:val="fr-CA"/>
              </w:rPr>
            </w:pPr>
            <w:r w:rsidRPr="002D5CEA">
              <w:rPr>
                <w:b/>
                <w:lang w:val="fr-CA"/>
              </w:rPr>
              <w:t>Ordonnance relative à la présentation d’une plaidoirie orale par l’intervenante</w:t>
            </w:r>
            <w:r w:rsidR="008A6550" w:rsidRPr="002D5CEA">
              <w:rPr>
                <w:b/>
                <w:lang w:val="en-US"/>
              </w:rPr>
              <w:fldChar w:fldCharType="begin"/>
            </w:r>
            <w:r w:rsidRPr="002D5CEA">
              <w:rPr>
                <w:b/>
                <w:lang w:val="fr-CA"/>
              </w:rPr>
              <w:instrText xml:space="preserve"> SEQ CHAPTER \h \r 1</w:instrText>
            </w:r>
            <w:r w:rsidR="008A6550" w:rsidRPr="002D5CEA">
              <w:rPr>
                <w:b/>
                <w:lang w:val="en-US"/>
              </w:rPr>
              <w:fldChar w:fldCharType="end"/>
            </w:r>
          </w:p>
        </w:tc>
      </w:tr>
      <w:tr w:rsidR="002D5CEA" w:rsidRPr="002D5CEA" w:rsidTr="006E0EF4">
        <w:tc>
          <w:tcPr>
            <w:tcW w:w="1368" w:type="dxa"/>
          </w:tcPr>
          <w:p w:rsidR="002D5CEA" w:rsidRPr="002D5CEA" w:rsidRDefault="002D5CEA" w:rsidP="002D5CEA">
            <w:r w:rsidRPr="002D5CEA">
              <w:t>RE:</w:t>
            </w:r>
          </w:p>
        </w:tc>
        <w:tc>
          <w:tcPr>
            <w:tcW w:w="2970" w:type="dxa"/>
          </w:tcPr>
          <w:p w:rsidR="002D5CEA" w:rsidRPr="002D5CEA" w:rsidRDefault="002D5CEA" w:rsidP="002D5CEA">
            <w:r w:rsidRPr="002D5CEA">
              <w:rPr>
                <w:lang w:val="en-US"/>
              </w:rPr>
              <w:t>Samuelson-Glushko Canadian Internet Policy and Public Interest Clinic</w:t>
            </w:r>
          </w:p>
        </w:tc>
        <w:tc>
          <w:tcPr>
            <w:tcW w:w="1170" w:type="dxa"/>
          </w:tcPr>
          <w:p w:rsidR="002D5CEA" w:rsidRPr="002D5CEA" w:rsidRDefault="002D5CEA" w:rsidP="002D5CEA"/>
        </w:tc>
        <w:tc>
          <w:tcPr>
            <w:tcW w:w="4327" w:type="dxa"/>
          </w:tcPr>
          <w:p w:rsidR="002D5CEA" w:rsidRPr="002D5CEA" w:rsidRDefault="002D5CEA" w:rsidP="002D5CEA"/>
        </w:tc>
      </w:tr>
      <w:tr w:rsidR="002D5CEA" w:rsidRPr="002D5CEA" w:rsidTr="006E0EF4">
        <w:tc>
          <w:tcPr>
            <w:tcW w:w="1368" w:type="dxa"/>
          </w:tcPr>
          <w:p w:rsidR="002D5CEA" w:rsidRPr="002D5CEA" w:rsidRDefault="002D5CEA" w:rsidP="002D5CEA"/>
        </w:tc>
        <w:tc>
          <w:tcPr>
            <w:tcW w:w="2970" w:type="dxa"/>
          </w:tcPr>
          <w:p w:rsidR="002D5CEA" w:rsidRPr="002D5CEA" w:rsidRDefault="002D5CEA" w:rsidP="002D5CEA"/>
        </w:tc>
        <w:tc>
          <w:tcPr>
            <w:tcW w:w="1170" w:type="dxa"/>
          </w:tcPr>
          <w:p w:rsidR="002D5CEA" w:rsidRPr="002D5CEA" w:rsidRDefault="002D5CEA" w:rsidP="002D5CEA"/>
        </w:tc>
        <w:tc>
          <w:tcPr>
            <w:tcW w:w="4327" w:type="dxa"/>
          </w:tcPr>
          <w:p w:rsidR="002D5CEA" w:rsidRPr="002D5CEA" w:rsidRDefault="002D5CEA" w:rsidP="002D5CEA"/>
        </w:tc>
      </w:tr>
      <w:tr w:rsidR="002D5CEA" w:rsidRPr="002D5CEA" w:rsidTr="006E0EF4">
        <w:tc>
          <w:tcPr>
            <w:tcW w:w="1368" w:type="dxa"/>
          </w:tcPr>
          <w:p w:rsidR="002D5CEA" w:rsidRPr="002D5CEA" w:rsidRDefault="002D5CEA" w:rsidP="002D5CEA">
            <w:r w:rsidRPr="002D5CEA">
              <w:t>IN / DANS :</w:t>
            </w:r>
          </w:p>
        </w:tc>
        <w:tc>
          <w:tcPr>
            <w:tcW w:w="2970" w:type="dxa"/>
          </w:tcPr>
          <w:p w:rsidR="002D5CEA" w:rsidRPr="002D5CEA" w:rsidRDefault="002D5CEA" w:rsidP="002D5CEA">
            <w:r w:rsidRPr="002D5CEA">
              <w:t>Province of Alberta as represented by the Minister of Education et al.</w:t>
            </w:r>
          </w:p>
          <w:p w:rsidR="002D5CEA" w:rsidRPr="002D5CEA" w:rsidRDefault="002D5CEA" w:rsidP="002D5CEA"/>
        </w:tc>
        <w:tc>
          <w:tcPr>
            <w:tcW w:w="1170" w:type="dxa"/>
          </w:tcPr>
          <w:p w:rsidR="002D5CEA" w:rsidRPr="002D5CEA" w:rsidRDefault="002D5CEA" w:rsidP="002D5CEA"/>
        </w:tc>
        <w:tc>
          <w:tcPr>
            <w:tcW w:w="4327" w:type="dxa"/>
          </w:tcPr>
          <w:p w:rsidR="002D5CEA" w:rsidRPr="002D5CEA" w:rsidRDefault="002D5CEA" w:rsidP="002D5CEA"/>
        </w:tc>
      </w:tr>
      <w:tr w:rsidR="002D5CEA" w:rsidRPr="002D5CEA" w:rsidTr="006E0EF4">
        <w:tc>
          <w:tcPr>
            <w:tcW w:w="1368" w:type="dxa"/>
          </w:tcPr>
          <w:p w:rsidR="002D5CEA" w:rsidRPr="002D5CEA" w:rsidRDefault="002D5CEA" w:rsidP="002D5CEA"/>
        </w:tc>
        <w:tc>
          <w:tcPr>
            <w:tcW w:w="2970" w:type="dxa"/>
          </w:tcPr>
          <w:p w:rsidR="002D5CEA" w:rsidRPr="002D5CEA" w:rsidRDefault="002D5CEA" w:rsidP="002D5CEA">
            <w:r w:rsidRPr="002D5CEA">
              <w:tab/>
              <w:t>c. (33888)</w:t>
            </w:r>
          </w:p>
          <w:p w:rsidR="002D5CEA" w:rsidRPr="002D5CEA" w:rsidRDefault="002D5CEA" w:rsidP="002D5CEA"/>
        </w:tc>
        <w:tc>
          <w:tcPr>
            <w:tcW w:w="1170" w:type="dxa"/>
          </w:tcPr>
          <w:p w:rsidR="002D5CEA" w:rsidRPr="002D5CEA" w:rsidRDefault="002D5CEA" w:rsidP="002D5CEA"/>
        </w:tc>
        <w:tc>
          <w:tcPr>
            <w:tcW w:w="4327" w:type="dxa"/>
          </w:tcPr>
          <w:p w:rsidR="002D5CEA" w:rsidRPr="002D5CEA" w:rsidRDefault="002D5CEA" w:rsidP="002D5CEA"/>
        </w:tc>
      </w:tr>
      <w:tr w:rsidR="002D5CEA" w:rsidRPr="002D5CEA" w:rsidTr="006E0EF4">
        <w:tc>
          <w:tcPr>
            <w:tcW w:w="1368" w:type="dxa"/>
          </w:tcPr>
          <w:p w:rsidR="002D5CEA" w:rsidRPr="002D5CEA" w:rsidRDefault="002D5CEA" w:rsidP="002D5CEA"/>
        </w:tc>
        <w:tc>
          <w:tcPr>
            <w:tcW w:w="2970" w:type="dxa"/>
          </w:tcPr>
          <w:p w:rsidR="002D5CEA" w:rsidRPr="002D5CEA" w:rsidRDefault="002D5CEA" w:rsidP="002D5CEA">
            <w:pPr>
              <w:jc w:val="both"/>
            </w:pPr>
            <w:r w:rsidRPr="002D5CEA">
              <w:t>Canadian Copyright Licensing Agency Operating as "Access Copyright" (F.C.)</w:t>
            </w:r>
          </w:p>
        </w:tc>
        <w:tc>
          <w:tcPr>
            <w:tcW w:w="1170" w:type="dxa"/>
          </w:tcPr>
          <w:p w:rsidR="002D5CEA" w:rsidRPr="002D5CEA" w:rsidRDefault="002D5CEA" w:rsidP="002D5CEA"/>
        </w:tc>
        <w:tc>
          <w:tcPr>
            <w:tcW w:w="4327" w:type="dxa"/>
          </w:tcPr>
          <w:p w:rsidR="002D5CEA" w:rsidRPr="002D5CEA" w:rsidRDefault="002D5CEA" w:rsidP="002D5CEA"/>
        </w:tc>
      </w:tr>
    </w:tbl>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spacing w:line="233" w:lineRule="auto"/>
        <w:jc w:val="both"/>
        <w:rPr>
          <w:rFonts w:eastAsia="Times New Roman" w:cs="Times New Roman"/>
          <w:sz w:val="20"/>
          <w:szCs w:val="20"/>
          <w:lang w:eastAsia="en-CA"/>
        </w:rPr>
      </w:pPr>
      <w:r w:rsidRPr="002D5CEA">
        <w:rPr>
          <w:rFonts w:eastAsia="Times New Roman" w:cs="Times New Roman"/>
          <w:b/>
          <w:bCs/>
          <w:sz w:val="20"/>
          <w:szCs w:val="20"/>
          <w:lang w:val="en-US" w:eastAsia="en-CA"/>
        </w:rPr>
        <w:t>FURTHER TO THE ORDER</w:t>
      </w:r>
      <w:r w:rsidRPr="002D5CEA">
        <w:rPr>
          <w:rFonts w:eastAsia="Times New Roman" w:cs="Times New Roman"/>
          <w:sz w:val="20"/>
          <w:szCs w:val="20"/>
          <w:lang w:val="en-US" w:eastAsia="en-CA"/>
        </w:rPr>
        <w:t xml:space="preserve"> dated October 4, 2011, granting leave to intervene to the Samuelson-Glushko Canadian Internet Policy and Public Interest Clinic;</w:t>
      </w:r>
    </w:p>
    <w:p w:rsidR="002D5CEA" w:rsidRPr="002D5CEA" w:rsidRDefault="002D5CEA" w:rsidP="002D5CEA">
      <w:pPr>
        <w:spacing w:line="233" w:lineRule="auto"/>
        <w:jc w:val="both"/>
        <w:rPr>
          <w:rFonts w:eastAsia="Times New Roman" w:cs="Times New Roman"/>
          <w:sz w:val="20"/>
          <w:szCs w:val="20"/>
          <w:lang w:val="en-US" w:eastAsia="en-CA"/>
        </w:rPr>
      </w:pPr>
    </w:p>
    <w:p w:rsidR="002D5CEA" w:rsidRPr="002D5CEA" w:rsidRDefault="002D5CEA" w:rsidP="002D5CEA">
      <w:pPr>
        <w:spacing w:line="233" w:lineRule="auto"/>
        <w:jc w:val="both"/>
        <w:rPr>
          <w:rFonts w:eastAsia="Times New Roman" w:cs="Times New Roman"/>
          <w:sz w:val="20"/>
          <w:szCs w:val="20"/>
          <w:lang w:eastAsia="en-CA"/>
        </w:rPr>
      </w:pPr>
      <w:r w:rsidRPr="002D5CEA">
        <w:rPr>
          <w:rFonts w:eastAsia="Times New Roman" w:cs="Times New Roman"/>
          <w:b/>
          <w:sz w:val="20"/>
          <w:szCs w:val="20"/>
          <w:lang w:val="en-US" w:eastAsia="en-CA"/>
        </w:rPr>
        <w:t xml:space="preserve">AND UPON </w:t>
      </w:r>
      <w:r w:rsidRPr="002D5CEA">
        <w:rPr>
          <w:rFonts w:eastAsia="Times New Roman" w:cs="Times New Roman"/>
          <w:b/>
          <w:bCs/>
          <w:sz w:val="20"/>
          <w:szCs w:val="20"/>
          <w:lang w:val="en-US" w:eastAsia="en-CA"/>
        </w:rPr>
        <w:t xml:space="preserve">APPLICATION </w:t>
      </w:r>
      <w:r w:rsidRPr="002D5CEA">
        <w:rPr>
          <w:rFonts w:eastAsia="Times New Roman" w:cs="Times New Roman"/>
          <w:bCs/>
          <w:sz w:val="20"/>
          <w:szCs w:val="20"/>
          <w:lang w:val="en-US" w:eastAsia="en-CA"/>
        </w:rPr>
        <w:t xml:space="preserve">by </w:t>
      </w:r>
      <w:r w:rsidRPr="002D5CEA">
        <w:rPr>
          <w:rFonts w:eastAsia="Times New Roman" w:cs="Times New Roman"/>
          <w:sz w:val="20"/>
          <w:szCs w:val="20"/>
          <w:lang w:val="en-US" w:eastAsia="en-CA"/>
        </w:rPr>
        <w:t>the Samuelson-Glushko Canadian Internet Policy and Public Interest Clinic for an extension of time to serve and file its factum to November 23, 2011 and to make oral argument at the hearing of the appeal;</w:t>
      </w:r>
    </w:p>
    <w:p w:rsidR="002D5CEA" w:rsidRPr="002D5CEA" w:rsidRDefault="002D5CEA" w:rsidP="002D5CEA">
      <w:pPr>
        <w:spacing w:line="233" w:lineRule="auto"/>
        <w:jc w:val="both"/>
        <w:rPr>
          <w:rFonts w:eastAsia="Times New Roman" w:cs="Times New Roman"/>
          <w:sz w:val="20"/>
          <w:szCs w:val="20"/>
          <w:lang w:val="en-US" w:eastAsia="en-CA"/>
        </w:rPr>
      </w:pPr>
    </w:p>
    <w:p w:rsidR="002D5CEA" w:rsidRPr="002D5CEA" w:rsidRDefault="002D5CEA" w:rsidP="002D5CEA">
      <w:pPr>
        <w:spacing w:line="233" w:lineRule="auto"/>
        <w:jc w:val="both"/>
        <w:rPr>
          <w:rFonts w:eastAsia="Times New Roman" w:cs="Times New Roman"/>
          <w:sz w:val="20"/>
          <w:szCs w:val="20"/>
          <w:lang w:val="en-US" w:eastAsia="en-CA"/>
        </w:rPr>
      </w:pPr>
      <w:r w:rsidRPr="002D5CEA">
        <w:rPr>
          <w:rFonts w:eastAsia="Times New Roman" w:cs="Times New Roman"/>
          <w:b/>
          <w:bCs/>
          <w:sz w:val="20"/>
          <w:szCs w:val="20"/>
          <w:lang w:val="en-US" w:eastAsia="en-CA"/>
        </w:rPr>
        <w:t>IT IS HEREBY FURTHER ORDERED THAT</w:t>
      </w:r>
      <w:r w:rsidRPr="002D5CEA">
        <w:rPr>
          <w:rFonts w:eastAsia="Times New Roman" w:cs="Times New Roman"/>
          <w:sz w:val="20"/>
          <w:szCs w:val="20"/>
          <w:lang w:val="en-US" w:eastAsia="en-CA"/>
        </w:rPr>
        <w:t xml:space="preserve"> the extension of time </w:t>
      </w:r>
      <w:r w:rsidRPr="002D5CEA">
        <w:rPr>
          <w:rFonts w:eastAsia="Times New Roman" w:cs="Times New Roman"/>
          <w:sz w:val="20"/>
          <w:szCs w:val="20"/>
          <w:lang w:eastAsia="en-CA"/>
        </w:rPr>
        <w:t>is granted and the permission to present oral argument at the hearing of the appeal is denied.</w:t>
      </w:r>
    </w:p>
    <w:p w:rsidR="002D5CEA" w:rsidRPr="002D5CEA" w:rsidRDefault="002D5CEA" w:rsidP="002D5CEA">
      <w:pPr>
        <w:tabs>
          <w:tab w:val="left" w:pos="-1440"/>
          <w:tab w:val="left" w:pos="-720"/>
        </w:tabs>
        <w:jc w:val="both"/>
        <w:rPr>
          <w:rFonts w:eastAsia="Times New Roman" w:cs="Times New Roman"/>
          <w:sz w:val="20"/>
          <w:szCs w:val="20"/>
          <w:lang w:val="en-US" w:eastAsia="en-CA"/>
        </w:rPr>
      </w:pP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spacing w:line="233" w:lineRule="auto"/>
        <w:jc w:val="both"/>
        <w:rPr>
          <w:rFonts w:eastAsia="Times New Roman" w:cs="Times New Roman"/>
          <w:sz w:val="20"/>
          <w:szCs w:val="20"/>
          <w:lang w:val="fr-FR" w:eastAsia="en-CA"/>
        </w:rPr>
      </w:pPr>
      <w:r w:rsidRPr="002D5CEA">
        <w:rPr>
          <w:rFonts w:eastAsia="Times New Roman" w:cs="Times New Roman"/>
          <w:b/>
          <w:sz w:val="20"/>
          <w:szCs w:val="20"/>
          <w:lang w:val="fr-FR" w:eastAsia="en-CA"/>
        </w:rPr>
        <w:t>À LA SUITE DE L'ORDONNANCE</w:t>
      </w:r>
      <w:r w:rsidRPr="002D5CEA">
        <w:rPr>
          <w:rFonts w:eastAsia="Times New Roman" w:cs="Times New Roman"/>
          <w:sz w:val="20"/>
          <w:szCs w:val="20"/>
          <w:lang w:val="fr-FR" w:eastAsia="en-CA"/>
        </w:rPr>
        <w:t xml:space="preserve"> datée du 4 octobre 2011 autorisant la Clinique d’intérêt public et de politique d’internet du Canada Samuelson-Glushko à intervenir;</w:t>
      </w:r>
    </w:p>
    <w:p w:rsidR="002D5CEA" w:rsidRPr="002D5CEA" w:rsidRDefault="002D5CEA" w:rsidP="002D5CEA">
      <w:pPr>
        <w:spacing w:line="233" w:lineRule="auto"/>
        <w:jc w:val="both"/>
        <w:rPr>
          <w:rFonts w:eastAsia="Times New Roman" w:cs="Times New Roman"/>
          <w:sz w:val="20"/>
          <w:szCs w:val="20"/>
          <w:lang w:val="fr-FR" w:eastAsia="en-CA"/>
        </w:rPr>
      </w:pPr>
    </w:p>
    <w:p w:rsidR="002D5CEA" w:rsidRPr="002D5CEA" w:rsidRDefault="002D5CEA" w:rsidP="002D5CEA">
      <w:pPr>
        <w:spacing w:line="233" w:lineRule="auto"/>
        <w:jc w:val="both"/>
        <w:rPr>
          <w:rFonts w:eastAsia="Times New Roman" w:cs="Times New Roman"/>
          <w:sz w:val="20"/>
          <w:szCs w:val="20"/>
          <w:lang w:val="fr-FR" w:eastAsia="en-CA"/>
        </w:rPr>
      </w:pPr>
      <w:r w:rsidRPr="002D5CEA">
        <w:rPr>
          <w:rFonts w:eastAsia="Times New Roman" w:cs="Times New Roman"/>
          <w:b/>
          <w:sz w:val="20"/>
          <w:szCs w:val="20"/>
          <w:lang w:val="fr-FR" w:eastAsia="en-CA"/>
        </w:rPr>
        <w:t>ET À LA SUITE DE LA DEMANDE</w:t>
      </w:r>
      <w:r w:rsidRPr="002D5CEA">
        <w:rPr>
          <w:rFonts w:eastAsia="Times New Roman" w:cs="Times New Roman"/>
          <w:sz w:val="20"/>
          <w:szCs w:val="20"/>
          <w:lang w:val="fr-FR" w:eastAsia="en-CA"/>
        </w:rPr>
        <w:t xml:space="preserve"> présentée par la Clinique d’intérêt public et de politique d’internet du Canada Samuelson-Glushko en vue d'obtenir la prorogation du délai de signification et de dépôt de son mémoire jusqu’au 23 novembre 2011 et d’être autorisée à présenter une plaidoirie orale lors de l’audition de l’appel; </w:t>
      </w:r>
    </w:p>
    <w:p w:rsidR="002D5CEA" w:rsidRPr="002D5CEA" w:rsidRDefault="002D5CEA" w:rsidP="002D5CEA">
      <w:pPr>
        <w:spacing w:line="233" w:lineRule="auto"/>
        <w:jc w:val="both"/>
        <w:rPr>
          <w:rFonts w:eastAsia="Times New Roman" w:cs="Times New Roman"/>
          <w:sz w:val="20"/>
          <w:szCs w:val="20"/>
          <w:lang w:val="fr-FR" w:eastAsia="en-CA"/>
        </w:rPr>
      </w:pPr>
    </w:p>
    <w:p w:rsidR="002D5CEA" w:rsidRPr="002D5CEA" w:rsidRDefault="002D5CEA" w:rsidP="002D5CEA">
      <w:pPr>
        <w:spacing w:line="233" w:lineRule="auto"/>
        <w:jc w:val="both"/>
        <w:rPr>
          <w:rFonts w:eastAsia="Times New Roman" w:cs="Times New Roman"/>
          <w:sz w:val="20"/>
          <w:szCs w:val="20"/>
          <w:lang w:val="fr-FR" w:eastAsia="en-CA"/>
        </w:rPr>
      </w:pPr>
      <w:r w:rsidRPr="002D5CEA">
        <w:rPr>
          <w:rFonts w:eastAsia="Times New Roman" w:cs="Times New Roman"/>
          <w:b/>
          <w:sz w:val="20"/>
          <w:szCs w:val="20"/>
          <w:lang w:val="fr-FR" w:eastAsia="en-CA"/>
        </w:rPr>
        <w:t>IL EST EN OUTRE ORDONNÉ QUE</w:t>
      </w:r>
      <w:r w:rsidRPr="002D5CEA">
        <w:rPr>
          <w:rFonts w:eastAsia="Times New Roman" w:cs="Times New Roman"/>
          <w:sz w:val="20"/>
          <w:szCs w:val="20"/>
          <w:lang w:val="fr-FR" w:eastAsia="en-CA"/>
        </w:rPr>
        <w:t xml:space="preserve"> la demande de prorogation du délai </w:t>
      </w:r>
      <w:proofErr w:type="gramStart"/>
      <w:r w:rsidRPr="002D5CEA">
        <w:rPr>
          <w:rFonts w:eastAsia="Times New Roman" w:cs="Times New Roman"/>
          <w:sz w:val="20"/>
          <w:szCs w:val="20"/>
          <w:lang w:val="fr-FR" w:eastAsia="en-CA"/>
        </w:rPr>
        <w:t>est</w:t>
      </w:r>
      <w:proofErr w:type="gramEnd"/>
      <w:r w:rsidRPr="002D5CEA">
        <w:rPr>
          <w:rFonts w:eastAsia="Times New Roman" w:cs="Times New Roman"/>
          <w:sz w:val="20"/>
          <w:szCs w:val="20"/>
          <w:lang w:val="fr-FR" w:eastAsia="en-CA"/>
        </w:rPr>
        <w:t xml:space="preserve"> accordée mais que celle visant la présentation d’une plaidoirie orale est rejetée. </w:t>
      </w:r>
    </w:p>
    <w:p w:rsidR="002D5CEA" w:rsidRPr="002D5CEA" w:rsidRDefault="002D5CEA" w:rsidP="002D5CEA">
      <w:pPr>
        <w:tabs>
          <w:tab w:val="left" w:pos="-1440"/>
          <w:tab w:val="left" w:pos="-720"/>
        </w:tabs>
        <w:jc w:val="both"/>
        <w:rPr>
          <w:rFonts w:eastAsia="Times New Roman" w:cs="Times New Roman"/>
          <w:sz w:val="20"/>
          <w:szCs w:val="20"/>
          <w:lang w:val="fr-FR" w:eastAsia="en-CA"/>
        </w:rPr>
      </w:pPr>
    </w:p>
    <w:p w:rsidR="002D5CEA" w:rsidRPr="002D5CEA" w:rsidRDefault="008A6550" w:rsidP="002D5CEA">
      <w:pPr>
        <w:tabs>
          <w:tab w:val="left" w:pos="-1440"/>
          <w:tab w:val="left" w:pos="-720"/>
        </w:tabs>
        <w:jc w:val="both"/>
        <w:rPr>
          <w:rFonts w:eastAsia="Times New Roman" w:cs="Times New Roman"/>
          <w:sz w:val="20"/>
          <w:szCs w:val="20"/>
          <w:lang w:eastAsia="en-CA"/>
        </w:rPr>
      </w:pPr>
      <w:r w:rsidRPr="008A6550">
        <w:rPr>
          <w:rFonts w:eastAsia="Times New Roman" w:cs="Times New Roman"/>
          <w:sz w:val="20"/>
          <w:szCs w:val="20"/>
          <w:lang w:val="fr-CA" w:eastAsia="en-CA"/>
        </w:rPr>
        <w:pict>
          <v:rect id="_x0000_i1092" style="width:2in;height:1pt" o:hrpct="0" o:hralign="center" o:hrstd="t" o:hrnoshade="t" o:hr="t" fillcolor="black [3213]" stroked="f"/>
        </w:pict>
      </w:r>
    </w:p>
    <w:p w:rsidR="00DE5138" w:rsidRDefault="00DE5138">
      <w:pPr>
        <w:rPr>
          <w:rFonts w:eastAsia="Times New Roman" w:cs="Times New Roman"/>
          <w:sz w:val="20"/>
          <w:szCs w:val="20"/>
          <w:lang w:eastAsia="en-CA"/>
        </w:rPr>
      </w:pPr>
      <w:r>
        <w:rPr>
          <w:rFonts w:eastAsia="Times New Roman" w:cs="Times New Roman"/>
          <w:sz w:val="20"/>
          <w:szCs w:val="20"/>
          <w:lang w:eastAsia="en-CA"/>
        </w:rPr>
        <w:br w:type="page"/>
      </w: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r w:rsidRPr="002D5CEA">
        <w:rPr>
          <w:rFonts w:eastAsia="Times New Roman" w:cs="Times New Roman"/>
          <w:sz w:val="20"/>
          <w:szCs w:val="20"/>
          <w:lang w:val="fr-CA" w:eastAsia="en-CA"/>
        </w:rPr>
        <w:t>29.11.2011</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r w:rsidRPr="002D5CEA">
        <w:rPr>
          <w:rFonts w:eastAsia="Times New Roman" w:cs="Times New Roman"/>
          <w:sz w:val="20"/>
          <w:szCs w:val="20"/>
          <w:lang w:val="fr-CA" w:eastAsia="en-CA"/>
        </w:rPr>
        <w:t>Before / Devant :   LEBEL J. / LE JUGE LEBEL</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D5CEA" w:rsidRPr="00C04C40" w:rsidTr="006E0EF4">
        <w:tc>
          <w:tcPr>
            <w:tcW w:w="4338" w:type="dxa"/>
          </w:tcPr>
          <w:p w:rsidR="002D5CEA" w:rsidRPr="002D5CEA" w:rsidRDefault="008A6550" w:rsidP="002D5CEA">
            <w:pPr>
              <w:tabs>
                <w:tab w:val="left" w:pos="-1440"/>
                <w:tab w:val="left" w:pos="-720"/>
              </w:tabs>
              <w:jc w:val="both"/>
              <w:rPr>
                <w:b/>
              </w:rPr>
            </w:pPr>
            <w:r w:rsidRPr="002D5CEA">
              <w:rPr>
                <w:lang w:val="en-US"/>
              </w:rPr>
              <w:fldChar w:fldCharType="begin"/>
            </w:r>
            <w:r w:rsidR="002D5CEA" w:rsidRPr="002D5CEA">
              <w:rPr>
                <w:lang w:val="en-US"/>
              </w:rPr>
              <w:instrText xml:space="preserve"> SEQ CHAPTER \h \r 1</w:instrText>
            </w:r>
            <w:r w:rsidRPr="002D5CEA">
              <w:rPr>
                <w:lang w:val="en-US"/>
              </w:rPr>
              <w:fldChar w:fldCharType="end"/>
            </w:r>
            <w:r w:rsidRPr="002D5CEA">
              <w:rPr>
                <w:lang w:val="en-US"/>
              </w:rPr>
              <w:fldChar w:fldCharType="begin"/>
            </w:r>
            <w:r w:rsidR="002D5CEA" w:rsidRPr="002D5CEA">
              <w:rPr>
                <w:lang w:val="en-US"/>
              </w:rPr>
              <w:instrText xml:space="preserve"> SEQ CHAPTER \h \r 1</w:instrText>
            </w:r>
            <w:r w:rsidRPr="002D5CEA">
              <w:rPr>
                <w:lang w:val="en-US"/>
              </w:rPr>
              <w:fldChar w:fldCharType="end"/>
            </w:r>
            <w:r w:rsidRPr="002D5CEA">
              <w:rPr>
                <w:lang w:val="en-US"/>
              </w:rPr>
              <w:fldChar w:fldCharType="begin"/>
            </w:r>
            <w:r w:rsidR="002D5CEA" w:rsidRPr="002D5CEA">
              <w:rPr>
                <w:lang w:val="en-US"/>
              </w:rPr>
              <w:instrText xml:space="preserve"> SEQ CHAPTER \h \r 1</w:instrText>
            </w:r>
            <w:r w:rsidRPr="002D5CEA">
              <w:rPr>
                <w:lang w:val="en-US"/>
              </w:rPr>
              <w:fldChar w:fldCharType="end"/>
            </w:r>
            <w:r w:rsidR="002D5CEA" w:rsidRPr="002D5CEA">
              <w:rPr>
                <w:b/>
                <w:bCs/>
                <w:lang w:val="en-US"/>
              </w:rPr>
              <w:t>Motion to extend the time to serve and file the application for leave to appeal</w:t>
            </w:r>
          </w:p>
        </w:tc>
        <w:tc>
          <w:tcPr>
            <w:tcW w:w="1170" w:type="dxa"/>
          </w:tcPr>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tc>
        <w:tc>
          <w:tcPr>
            <w:tcW w:w="4327" w:type="dxa"/>
          </w:tcPr>
          <w:p w:rsidR="002D5CEA" w:rsidRPr="002D5CEA" w:rsidRDefault="008A6550" w:rsidP="002D5CEA">
            <w:pPr>
              <w:tabs>
                <w:tab w:val="left" w:pos="-1440"/>
                <w:tab w:val="left" w:pos="-720"/>
              </w:tabs>
              <w:jc w:val="both"/>
              <w:rPr>
                <w:lang w:val="fr-CA"/>
              </w:rPr>
            </w:pPr>
            <w:r w:rsidRPr="002D5CEA">
              <w:rPr>
                <w:lang w:val="en-US"/>
              </w:rPr>
              <w:fldChar w:fldCharType="begin"/>
            </w:r>
            <w:r w:rsidR="002D5CEA" w:rsidRPr="002D5CEA">
              <w:rPr>
                <w:lang w:val="fr-CA"/>
              </w:rPr>
              <w:instrText xml:space="preserve"> SEQ CHAPTER \h \r 1</w:instrText>
            </w:r>
            <w:r w:rsidRPr="002D5CEA">
              <w:rPr>
                <w:lang w:val="en-US"/>
              </w:rPr>
              <w:fldChar w:fldCharType="end"/>
            </w:r>
            <w:r w:rsidRPr="002D5CEA">
              <w:rPr>
                <w:lang w:val="en-US"/>
              </w:rPr>
              <w:fldChar w:fldCharType="begin"/>
            </w:r>
            <w:r w:rsidR="002D5CEA" w:rsidRPr="002D5CEA">
              <w:rPr>
                <w:lang w:val="fr-CA"/>
              </w:rPr>
              <w:instrText xml:space="preserve"> SEQ CHAPTER \h \r 1</w:instrText>
            </w:r>
            <w:r w:rsidRPr="002D5CEA">
              <w:rPr>
                <w:lang w:val="en-US"/>
              </w:rPr>
              <w:fldChar w:fldCharType="end"/>
            </w:r>
            <w:r w:rsidRPr="002D5CEA">
              <w:rPr>
                <w:lang w:val="en-US"/>
              </w:rPr>
              <w:fldChar w:fldCharType="begin"/>
            </w:r>
            <w:r w:rsidR="002D5CEA" w:rsidRPr="002D5CEA">
              <w:rPr>
                <w:lang w:val="fr-CA"/>
              </w:rPr>
              <w:instrText xml:space="preserve"> SEQ CHAPTER \h \r 1</w:instrText>
            </w:r>
            <w:r w:rsidRPr="002D5CEA">
              <w:rPr>
                <w:lang w:val="en-US"/>
              </w:rPr>
              <w:fldChar w:fldCharType="end"/>
            </w:r>
            <w:r w:rsidR="002D5CEA" w:rsidRPr="002D5CEA">
              <w:rPr>
                <w:b/>
                <w:bCs/>
                <w:lang w:val="fr-CA"/>
              </w:rPr>
              <w:t xml:space="preserve">Requête </w:t>
            </w:r>
            <w:r w:rsidRPr="002D5CEA">
              <w:rPr>
                <w:lang w:val="en-US"/>
              </w:rPr>
              <w:fldChar w:fldCharType="begin"/>
            </w:r>
            <w:r w:rsidR="002D5CEA" w:rsidRPr="002D5CEA">
              <w:rPr>
                <w:lang w:val="fr-CA"/>
              </w:rPr>
              <w:instrText xml:space="preserve"> SEQ CHAPTER \h \r 1</w:instrText>
            </w:r>
            <w:r w:rsidRPr="002D5CEA">
              <w:rPr>
                <w:lang w:val="en-US"/>
              </w:rPr>
              <w:fldChar w:fldCharType="end"/>
            </w:r>
            <w:r w:rsidR="002D5CEA" w:rsidRPr="002D5CEA">
              <w:rPr>
                <w:b/>
                <w:bCs/>
                <w:lang w:val="fr-CA"/>
              </w:rPr>
              <w:t>en prorogation du délai de signification et de dépôt de la demande d’autorisation d’appel</w:t>
            </w:r>
            <w:r w:rsidR="002D5CEA" w:rsidRPr="002D5CEA">
              <w:rPr>
                <w:lang w:val="fr-CA"/>
              </w:rPr>
              <w:t xml:space="preserve"> </w:t>
            </w:r>
            <w:r w:rsidRPr="002D5CEA">
              <w:rPr>
                <w:lang w:val="en-US"/>
              </w:rPr>
              <w:fldChar w:fldCharType="begin"/>
            </w:r>
            <w:r w:rsidR="002D5CEA" w:rsidRPr="002D5CEA">
              <w:rPr>
                <w:lang w:val="fr-CA"/>
              </w:rPr>
              <w:instrText xml:space="preserve"> SEQ CHAPTER \h \r 1</w:instrText>
            </w:r>
            <w:r w:rsidRPr="002D5CEA">
              <w:rPr>
                <w:lang w:val="en-US"/>
              </w:rPr>
              <w:fldChar w:fldCharType="end"/>
            </w:r>
          </w:p>
        </w:tc>
      </w:tr>
      <w:tr w:rsidR="002D5CEA" w:rsidRPr="002D5CEA" w:rsidTr="006E0EF4">
        <w:tc>
          <w:tcPr>
            <w:tcW w:w="4338" w:type="dxa"/>
          </w:tcPr>
          <w:p w:rsidR="002D5CEA" w:rsidRPr="002D5CEA" w:rsidRDefault="002D5CEA" w:rsidP="002D5CEA">
            <w:pPr>
              <w:tabs>
                <w:tab w:val="left" w:pos="-1440"/>
                <w:tab w:val="left" w:pos="-720"/>
              </w:tabs>
              <w:jc w:val="both"/>
            </w:pPr>
            <w:r w:rsidRPr="002D5CEA">
              <w:t>Doug Nagel</w:t>
            </w: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r w:rsidRPr="002D5CEA">
              <w:tab/>
              <w:t>v. (34032)</w:t>
            </w: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r w:rsidRPr="002D5CEA">
              <w:t>Her Majesty the Queen (Sask.)</w:t>
            </w:r>
          </w:p>
        </w:tc>
        <w:tc>
          <w:tcPr>
            <w:tcW w:w="1170" w:type="dxa"/>
          </w:tcPr>
          <w:p w:rsidR="002D5CEA" w:rsidRPr="002D5CEA" w:rsidRDefault="002D5CEA" w:rsidP="002D5CEA">
            <w:pPr>
              <w:tabs>
                <w:tab w:val="left" w:pos="-1440"/>
                <w:tab w:val="left" w:pos="-720"/>
              </w:tabs>
              <w:jc w:val="both"/>
            </w:pPr>
          </w:p>
        </w:tc>
        <w:tc>
          <w:tcPr>
            <w:tcW w:w="4327" w:type="dxa"/>
          </w:tcPr>
          <w:p w:rsidR="002D5CEA" w:rsidRPr="002D5CEA" w:rsidRDefault="002D5CEA" w:rsidP="002D5CEA">
            <w:pPr>
              <w:tabs>
                <w:tab w:val="left" w:pos="-1440"/>
                <w:tab w:val="left" w:pos="-720"/>
              </w:tabs>
              <w:jc w:val="both"/>
            </w:pPr>
          </w:p>
        </w:tc>
      </w:tr>
    </w:tbl>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tabs>
          <w:tab w:val="left" w:pos="-1440"/>
          <w:tab w:val="left" w:pos="-720"/>
        </w:tabs>
        <w:jc w:val="both"/>
        <w:rPr>
          <w:rFonts w:eastAsia="Times New Roman" w:cs="Times New Roman"/>
          <w:b/>
          <w:sz w:val="20"/>
          <w:szCs w:val="20"/>
          <w:lang w:val="en-US" w:eastAsia="en-CA"/>
        </w:rPr>
      </w:pPr>
      <w:r w:rsidRPr="002D5CEA">
        <w:rPr>
          <w:rFonts w:eastAsia="Times New Roman" w:cs="Times New Roman"/>
          <w:b/>
          <w:sz w:val="20"/>
          <w:szCs w:val="20"/>
          <w:lang w:val="en-US" w:eastAsia="en-CA"/>
        </w:rPr>
        <w:t>DISMISSED / REJETÉE</w:t>
      </w:r>
    </w:p>
    <w:p w:rsidR="002D5CEA" w:rsidRPr="002D5CEA" w:rsidRDefault="002D5CEA" w:rsidP="002D5CEA">
      <w:pPr>
        <w:tabs>
          <w:tab w:val="left" w:pos="-1440"/>
          <w:tab w:val="left" w:pos="-720"/>
        </w:tabs>
        <w:jc w:val="both"/>
        <w:rPr>
          <w:rFonts w:eastAsia="Times New Roman" w:cs="Times New Roman"/>
          <w:sz w:val="20"/>
          <w:szCs w:val="20"/>
          <w:lang w:val="en-US" w:eastAsia="en-CA"/>
        </w:rPr>
      </w:pPr>
    </w:p>
    <w:p w:rsidR="002D5CEA" w:rsidRPr="002D5CEA" w:rsidRDefault="002D5CEA" w:rsidP="002D5CEA">
      <w:pPr>
        <w:spacing w:line="233" w:lineRule="auto"/>
        <w:jc w:val="both"/>
        <w:rPr>
          <w:rFonts w:eastAsia="Times New Roman" w:cs="Times New Roman"/>
          <w:sz w:val="20"/>
          <w:szCs w:val="20"/>
          <w:lang w:val="en-US" w:eastAsia="en-CA"/>
        </w:rPr>
      </w:pPr>
      <w:r w:rsidRPr="002D5CEA">
        <w:rPr>
          <w:rFonts w:eastAsia="Times New Roman" w:cs="Times New Roman"/>
          <w:b/>
          <w:bCs/>
          <w:sz w:val="20"/>
          <w:szCs w:val="20"/>
          <w:lang w:val="en-US" w:eastAsia="en-CA"/>
        </w:rPr>
        <w:t xml:space="preserve">UPON APPLICATION </w:t>
      </w:r>
      <w:r w:rsidRPr="002D5CEA">
        <w:rPr>
          <w:rFonts w:eastAsia="Times New Roman" w:cs="Times New Roman"/>
          <w:sz w:val="20"/>
          <w:szCs w:val="20"/>
          <w:lang w:val="en-US" w:eastAsia="en-CA"/>
        </w:rPr>
        <w:t>by the applicant for an order extending the time to serve and file an application for leave to appeal from the judgment of the Court of Appeal of Saskatchewan dated September 24</w:t>
      </w:r>
      <w:r w:rsidRPr="002D5CEA">
        <w:rPr>
          <w:rFonts w:eastAsia="Times New Roman" w:cs="Times New Roman"/>
          <w:sz w:val="20"/>
          <w:szCs w:val="20"/>
          <w:vertAlign w:val="superscript"/>
          <w:lang w:val="en-US" w:eastAsia="en-CA"/>
        </w:rPr>
        <w:t>th</w:t>
      </w:r>
      <w:r w:rsidRPr="002D5CEA">
        <w:rPr>
          <w:rFonts w:eastAsia="Times New Roman" w:cs="Times New Roman"/>
          <w:sz w:val="20"/>
          <w:szCs w:val="20"/>
          <w:lang w:val="en-US" w:eastAsia="en-CA"/>
        </w:rPr>
        <w:t>, 2010;</w:t>
      </w:r>
    </w:p>
    <w:p w:rsidR="002D5CEA" w:rsidRPr="002D5CEA" w:rsidRDefault="002D5CEA" w:rsidP="002D5CEA">
      <w:pPr>
        <w:spacing w:line="233" w:lineRule="auto"/>
        <w:jc w:val="both"/>
        <w:rPr>
          <w:rFonts w:eastAsia="Times New Roman" w:cs="Times New Roman"/>
          <w:sz w:val="20"/>
          <w:szCs w:val="20"/>
          <w:lang w:val="en-US" w:eastAsia="en-CA"/>
        </w:rPr>
      </w:pPr>
    </w:p>
    <w:p w:rsidR="002D5CEA" w:rsidRPr="002D5CEA" w:rsidRDefault="002D5CEA" w:rsidP="002D5CEA">
      <w:pPr>
        <w:spacing w:line="233" w:lineRule="auto"/>
        <w:jc w:val="both"/>
        <w:rPr>
          <w:rFonts w:eastAsia="Times New Roman" w:cs="Times New Roman"/>
          <w:sz w:val="20"/>
          <w:szCs w:val="20"/>
          <w:lang w:val="en-US" w:eastAsia="en-CA"/>
        </w:rPr>
      </w:pPr>
      <w:r w:rsidRPr="002D5CEA">
        <w:rPr>
          <w:rFonts w:eastAsia="Times New Roman" w:cs="Times New Roman"/>
          <w:b/>
          <w:bCs/>
          <w:sz w:val="20"/>
          <w:szCs w:val="20"/>
          <w:lang w:val="en-US" w:eastAsia="en-CA"/>
        </w:rPr>
        <w:t>THE MATERIAL FILED</w:t>
      </w:r>
      <w:r w:rsidRPr="002D5CEA">
        <w:rPr>
          <w:rFonts w:eastAsia="Times New Roman" w:cs="Times New Roman"/>
          <w:sz w:val="20"/>
          <w:szCs w:val="20"/>
          <w:lang w:val="en-US" w:eastAsia="en-CA"/>
        </w:rPr>
        <w:t xml:space="preserve"> having been read;</w:t>
      </w:r>
    </w:p>
    <w:p w:rsidR="002D5CEA" w:rsidRPr="002D5CEA" w:rsidRDefault="002D5CEA" w:rsidP="002D5CEA">
      <w:pPr>
        <w:spacing w:line="233" w:lineRule="auto"/>
        <w:jc w:val="both"/>
        <w:rPr>
          <w:rFonts w:eastAsia="Times New Roman" w:cs="Times New Roman"/>
          <w:sz w:val="20"/>
          <w:szCs w:val="20"/>
          <w:lang w:val="en-US" w:eastAsia="en-CA"/>
        </w:rPr>
      </w:pPr>
    </w:p>
    <w:p w:rsidR="002D5CEA" w:rsidRPr="002D5CEA" w:rsidRDefault="002D5CEA" w:rsidP="002D5CEA">
      <w:pPr>
        <w:spacing w:line="233" w:lineRule="auto"/>
        <w:jc w:val="both"/>
        <w:rPr>
          <w:rFonts w:eastAsia="Times New Roman" w:cs="Times New Roman"/>
          <w:sz w:val="20"/>
          <w:szCs w:val="20"/>
          <w:lang w:val="en-US" w:eastAsia="en-CA"/>
        </w:rPr>
      </w:pPr>
      <w:r w:rsidRPr="002D5CEA">
        <w:rPr>
          <w:rFonts w:eastAsia="Times New Roman" w:cs="Times New Roman"/>
          <w:b/>
          <w:bCs/>
          <w:sz w:val="20"/>
          <w:szCs w:val="20"/>
          <w:lang w:val="en-US" w:eastAsia="en-CA"/>
        </w:rPr>
        <w:t>IT IS HEREBY ORDERED THAT:</w:t>
      </w:r>
    </w:p>
    <w:p w:rsidR="002D5CEA" w:rsidRPr="002D5CEA" w:rsidRDefault="002D5CEA" w:rsidP="002D5CEA">
      <w:pPr>
        <w:spacing w:line="233" w:lineRule="auto"/>
        <w:jc w:val="both"/>
        <w:rPr>
          <w:rFonts w:eastAsia="Times New Roman" w:cs="Times New Roman"/>
          <w:sz w:val="20"/>
          <w:szCs w:val="20"/>
          <w:lang w:val="en-US" w:eastAsia="en-CA"/>
        </w:rPr>
      </w:pPr>
    </w:p>
    <w:p w:rsidR="002D5CEA" w:rsidRPr="002D5CEA" w:rsidRDefault="002D5CEA" w:rsidP="002D5CEA">
      <w:pPr>
        <w:spacing w:line="233" w:lineRule="auto"/>
        <w:jc w:val="both"/>
        <w:rPr>
          <w:rFonts w:eastAsia="Times New Roman" w:cs="Times New Roman"/>
          <w:sz w:val="20"/>
          <w:szCs w:val="20"/>
          <w:lang w:val="fr-CA" w:eastAsia="en-CA"/>
        </w:rPr>
      </w:pPr>
      <w:r w:rsidRPr="002D5CEA">
        <w:rPr>
          <w:rFonts w:eastAsia="Times New Roman" w:cs="Times New Roman"/>
          <w:sz w:val="20"/>
          <w:szCs w:val="20"/>
          <w:lang w:val="en-US" w:eastAsia="en-CA"/>
        </w:rPr>
        <w:tab/>
      </w:r>
      <w:r w:rsidRPr="002D5CEA">
        <w:rPr>
          <w:rFonts w:eastAsia="Times New Roman" w:cs="Times New Roman"/>
          <w:sz w:val="20"/>
          <w:szCs w:val="20"/>
          <w:lang w:val="fr-CA" w:eastAsia="en-CA"/>
        </w:rPr>
        <w:t>The motion is dismissed.</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rPr>
          <w:rFonts w:eastAsia="Times New Roman" w:cs="Times New Roman"/>
          <w:sz w:val="20"/>
          <w:szCs w:val="20"/>
          <w:lang w:val="fr-FR" w:eastAsia="en-CA"/>
        </w:rPr>
      </w:pPr>
      <w:r w:rsidRPr="002D5CEA">
        <w:rPr>
          <w:rFonts w:eastAsia="Times New Roman" w:cs="Times New Roman"/>
          <w:b/>
          <w:sz w:val="20"/>
          <w:szCs w:val="20"/>
          <w:lang w:val="fr-FR" w:eastAsia="en-CA"/>
        </w:rPr>
        <w:t>À LA SUITE DE LA REQUÊTE</w:t>
      </w:r>
      <w:r w:rsidRPr="002D5CEA">
        <w:rPr>
          <w:rFonts w:eastAsia="Times New Roman" w:cs="Times New Roman"/>
          <w:sz w:val="20"/>
          <w:szCs w:val="20"/>
          <w:lang w:val="fr-FR" w:eastAsia="en-CA"/>
        </w:rPr>
        <w:t xml:space="preserve"> présentée par le demandeur en vue d'obtenir la prorogation du délai de signification et de dépôt de la demande d’autorisation d’appel du jugement de la Cour d’appel de la Saskatchewan daté du 24 septembre 2010;</w:t>
      </w:r>
    </w:p>
    <w:p w:rsidR="002D5CEA" w:rsidRPr="002D5CEA" w:rsidRDefault="002D5CEA" w:rsidP="002D5CEA">
      <w:pPr>
        <w:rPr>
          <w:rFonts w:eastAsia="Times New Roman" w:cs="Times New Roman"/>
          <w:sz w:val="20"/>
          <w:szCs w:val="20"/>
          <w:lang w:val="fr-FR" w:eastAsia="en-CA"/>
        </w:rPr>
      </w:pPr>
    </w:p>
    <w:p w:rsidR="002D5CEA" w:rsidRPr="002D5CEA" w:rsidRDefault="002D5CEA" w:rsidP="002D5CEA">
      <w:pPr>
        <w:rPr>
          <w:rFonts w:eastAsia="Times New Roman" w:cs="Times New Roman"/>
          <w:sz w:val="20"/>
          <w:szCs w:val="20"/>
          <w:lang w:val="fr-FR" w:eastAsia="en-CA"/>
        </w:rPr>
      </w:pPr>
      <w:r w:rsidRPr="002D5CEA">
        <w:rPr>
          <w:rFonts w:eastAsia="Times New Roman" w:cs="Times New Roman"/>
          <w:b/>
          <w:sz w:val="20"/>
          <w:szCs w:val="20"/>
          <w:lang w:val="fr-FR" w:eastAsia="en-CA"/>
        </w:rPr>
        <w:t>ET APRÈS EXAMEN</w:t>
      </w:r>
      <w:r w:rsidRPr="002D5CEA">
        <w:rPr>
          <w:rFonts w:eastAsia="Times New Roman" w:cs="Times New Roman"/>
          <w:sz w:val="20"/>
          <w:szCs w:val="20"/>
          <w:lang w:val="fr-FR" w:eastAsia="en-CA"/>
        </w:rPr>
        <w:t xml:space="preserve"> des documents déposés; </w:t>
      </w:r>
    </w:p>
    <w:p w:rsidR="002D5CEA" w:rsidRPr="002D5CEA" w:rsidRDefault="002D5CEA" w:rsidP="002D5CEA">
      <w:pPr>
        <w:rPr>
          <w:rFonts w:eastAsia="Times New Roman" w:cs="Times New Roman"/>
          <w:sz w:val="20"/>
          <w:szCs w:val="20"/>
          <w:lang w:val="fr-FR" w:eastAsia="en-CA"/>
        </w:rPr>
      </w:pPr>
    </w:p>
    <w:p w:rsidR="002D5CEA" w:rsidRPr="002D5CEA" w:rsidRDefault="002D5CEA" w:rsidP="002D5CEA">
      <w:pPr>
        <w:rPr>
          <w:rFonts w:eastAsia="Times New Roman" w:cs="Times New Roman"/>
          <w:b/>
          <w:sz w:val="20"/>
          <w:szCs w:val="20"/>
          <w:lang w:val="fr-FR" w:eastAsia="en-CA"/>
        </w:rPr>
      </w:pPr>
      <w:r w:rsidRPr="002D5CEA">
        <w:rPr>
          <w:rFonts w:eastAsia="Times New Roman" w:cs="Times New Roman"/>
          <w:b/>
          <w:sz w:val="20"/>
          <w:szCs w:val="20"/>
          <w:lang w:val="fr-FR" w:eastAsia="en-CA"/>
        </w:rPr>
        <w:t>IL EST ORDONNÉ CE QUI SUIT :</w:t>
      </w:r>
    </w:p>
    <w:p w:rsidR="002D5CEA" w:rsidRPr="002D5CEA" w:rsidRDefault="002D5CEA" w:rsidP="002D5CEA">
      <w:pPr>
        <w:spacing w:line="233" w:lineRule="auto"/>
        <w:rPr>
          <w:rFonts w:eastAsia="Times New Roman" w:cs="Times New Roman"/>
          <w:sz w:val="20"/>
          <w:szCs w:val="20"/>
          <w:lang w:val="fr-FR" w:eastAsia="en-CA"/>
        </w:rPr>
      </w:pPr>
    </w:p>
    <w:p w:rsidR="002D5CEA" w:rsidRPr="002D5CEA" w:rsidRDefault="002D5CEA" w:rsidP="002D5CEA">
      <w:pPr>
        <w:spacing w:line="233" w:lineRule="auto"/>
        <w:rPr>
          <w:rFonts w:eastAsia="Times New Roman" w:cs="Times New Roman"/>
          <w:sz w:val="20"/>
          <w:szCs w:val="20"/>
          <w:lang w:val="fr-FR" w:eastAsia="en-CA"/>
        </w:rPr>
      </w:pPr>
      <w:r w:rsidRPr="002D5CEA">
        <w:rPr>
          <w:rFonts w:eastAsia="Times New Roman" w:cs="Times New Roman"/>
          <w:sz w:val="20"/>
          <w:szCs w:val="20"/>
          <w:lang w:val="fr-FR" w:eastAsia="en-CA"/>
        </w:rPr>
        <w:tab/>
        <w:t>La requête est rejetée.</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8A6550" w:rsidP="002D5CEA">
      <w:pPr>
        <w:tabs>
          <w:tab w:val="left" w:pos="-1440"/>
          <w:tab w:val="left" w:pos="-720"/>
        </w:tabs>
        <w:jc w:val="both"/>
        <w:rPr>
          <w:rFonts w:eastAsia="Times New Roman" w:cs="Times New Roman"/>
          <w:sz w:val="20"/>
          <w:szCs w:val="20"/>
          <w:lang w:val="fr-CA" w:eastAsia="en-CA"/>
        </w:rPr>
      </w:pPr>
      <w:r w:rsidRPr="008A6550">
        <w:rPr>
          <w:rFonts w:eastAsia="Times New Roman" w:cs="Times New Roman"/>
          <w:sz w:val="20"/>
          <w:szCs w:val="20"/>
          <w:lang w:val="fr-CA" w:eastAsia="en-CA"/>
        </w:rPr>
        <w:pict>
          <v:rect id="_x0000_i1093" style="width:2in;height:1pt" o:hrpct="0" o:hralign="center" o:hrstd="t" o:hrnoshade="t" o:hr="t" fillcolor="black [3213]" stroked="f"/>
        </w:pic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r w:rsidRPr="002D5CEA">
        <w:rPr>
          <w:rFonts w:eastAsia="Times New Roman" w:cs="Times New Roman"/>
          <w:sz w:val="20"/>
          <w:szCs w:val="20"/>
          <w:lang w:val="fr-CA" w:eastAsia="en-CA"/>
        </w:rPr>
        <w:t>29.11.2011</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sz w:val="20"/>
          <w:szCs w:val="20"/>
          <w:lang w:val="fr-CA" w:eastAsia="en-CA"/>
        </w:rPr>
      </w:pPr>
      <w:r w:rsidRPr="002D5CEA">
        <w:rPr>
          <w:rFonts w:eastAsia="Times New Roman" w:cs="Times New Roman"/>
          <w:sz w:val="20"/>
          <w:szCs w:val="20"/>
          <w:lang w:val="fr-CA" w:eastAsia="en-CA"/>
        </w:rPr>
        <w:t>Before / Devant :   LEBEL J. / LE JUGE LEBEL</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D5CEA" w:rsidRPr="00C04C40" w:rsidTr="006E0EF4">
        <w:tc>
          <w:tcPr>
            <w:tcW w:w="4338" w:type="dxa"/>
          </w:tcPr>
          <w:p w:rsidR="002D5CEA" w:rsidRPr="002D5CEA" w:rsidRDefault="008A6550" w:rsidP="002D5CEA">
            <w:pPr>
              <w:tabs>
                <w:tab w:val="left" w:pos="-1440"/>
                <w:tab w:val="left" w:pos="-720"/>
              </w:tabs>
              <w:jc w:val="both"/>
              <w:rPr>
                <w:b/>
              </w:rPr>
            </w:pPr>
            <w:r w:rsidRPr="002D5CEA">
              <w:rPr>
                <w:lang w:val="en-US"/>
              </w:rPr>
              <w:fldChar w:fldCharType="begin"/>
            </w:r>
            <w:r w:rsidR="002D5CEA" w:rsidRPr="002D5CEA">
              <w:rPr>
                <w:lang w:val="en-US"/>
              </w:rPr>
              <w:instrText xml:space="preserve"> SEQ CHAPTER \h \r 1</w:instrText>
            </w:r>
            <w:r w:rsidRPr="002D5CEA">
              <w:rPr>
                <w:lang w:val="en-US"/>
              </w:rPr>
              <w:fldChar w:fldCharType="end"/>
            </w:r>
            <w:r w:rsidRPr="002D5CEA">
              <w:rPr>
                <w:lang w:val="en-US"/>
              </w:rPr>
              <w:fldChar w:fldCharType="begin"/>
            </w:r>
            <w:r w:rsidR="002D5CEA" w:rsidRPr="002D5CEA">
              <w:rPr>
                <w:lang w:val="en-US"/>
              </w:rPr>
              <w:instrText xml:space="preserve"> SEQ CHAPTER \h \r 1</w:instrText>
            </w:r>
            <w:r w:rsidRPr="002D5CEA">
              <w:rPr>
                <w:lang w:val="en-US"/>
              </w:rPr>
              <w:fldChar w:fldCharType="end"/>
            </w:r>
            <w:r w:rsidR="002D5CEA" w:rsidRPr="002D5CEA">
              <w:rPr>
                <w:b/>
                <w:bCs/>
                <w:lang w:val="en-US"/>
              </w:rPr>
              <w:t xml:space="preserve">Motion to extend the time to serve </w:t>
            </w:r>
            <w:r w:rsidRPr="002D5CEA">
              <w:rPr>
                <w:lang w:val="en-US"/>
              </w:rPr>
              <w:fldChar w:fldCharType="begin"/>
            </w:r>
            <w:r w:rsidR="002D5CEA" w:rsidRPr="002D5CEA">
              <w:rPr>
                <w:lang w:val="en-US"/>
              </w:rPr>
              <w:instrText xml:space="preserve"> SEQ CHAPTER \h \r 1</w:instrText>
            </w:r>
            <w:r w:rsidRPr="002D5CEA">
              <w:rPr>
                <w:lang w:val="en-US"/>
              </w:rPr>
              <w:fldChar w:fldCharType="end"/>
            </w:r>
            <w:r w:rsidR="002D5CEA" w:rsidRPr="002D5CEA">
              <w:rPr>
                <w:b/>
                <w:bCs/>
                <w:lang w:val="en-US"/>
              </w:rPr>
              <w:t>the record of the respondent M_d.S. to November 29, 2011</w:t>
            </w:r>
          </w:p>
        </w:tc>
        <w:tc>
          <w:tcPr>
            <w:tcW w:w="1170" w:type="dxa"/>
          </w:tcPr>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tc>
        <w:tc>
          <w:tcPr>
            <w:tcW w:w="4327" w:type="dxa"/>
          </w:tcPr>
          <w:p w:rsidR="002D5CEA" w:rsidRPr="002D5CEA" w:rsidRDefault="008A6550" w:rsidP="002D5CEA">
            <w:pPr>
              <w:tabs>
                <w:tab w:val="left" w:pos="-1440"/>
                <w:tab w:val="left" w:pos="-720"/>
              </w:tabs>
              <w:jc w:val="both"/>
              <w:rPr>
                <w:lang w:val="fr-CA"/>
              </w:rPr>
            </w:pPr>
            <w:r w:rsidRPr="002D5CEA">
              <w:rPr>
                <w:lang w:val="en-US"/>
              </w:rPr>
              <w:fldChar w:fldCharType="begin"/>
            </w:r>
            <w:r w:rsidR="002D5CEA" w:rsidRPr="002D5CEA">
              <w:rPr>
                <w:lang w:val="fr-CA"/>
              </w:rPr>
              <w:instrText xml:space="preserve"> SEQ CHAPTER \h \r 1</w:instrText>
            </w:r>
            <w:r w:rsidRPr="002D5CEA">
              <w:rPr>
                <w:lang w:val="en-US"/>
              </w:rPr>
              <w:fldChar w:fldCharType="end"/>
            </w:r>
            <w:r w:rsidR="002D5CEA" w:rsidRPr="002D5CEA">
              <w:rPr>
                <w:b/>
                <w:bCs/>
                <w:lang w:val="fr-CA"/>
              </w:rPr>
              <w:t>Requête en prorogation du délai de signification et de dépôt du dossier de l’intimé M_d.S. jusqu’au 29 novembre 2011</w:t>
            </w:r>
            <w:r w:rsidRPr="002D5CEA">
              <w:rPr>
                <w:lang w:val="en-US"/>
              </w:rPr>
              <w:fldChar w:fldCharType="begin"/>
            </w:r>
            <w:r w:rsidR="002D5CEA" w:rsidRPr="002D5CEA">
              <w:rPr>
                <w:lang w:val="fr-CA"/>
              </w:rPr>
              <w:instrText xml:space="preserve"> SEQ CHAPTER \h \r 1</w:instrText>
            </w:r>
            <w:r w:rsidRPr="002D5CEA">
              <w:rPr>
                <w:lang w:val="en-US"/>
              </w:rPr>
              <w:fldChar w:fldCharType="end"/>
            </w:r>
            <w:r w:rsidRPr="002D5CEA">
              <w:rPr>
                <w:lang w:val="en-US"/>
              </w:rPr>
              <w:fldChar w:fldCharType="begin"/>
            </w:r>
            <w:r w:rsidR="002D5CEA" w:rsidRPr="002D5CEA">
              <w:rPr>
                <w:lang w:val="fr-CA"/>
              </w:rPr>
              <w:instrText xml:space="preserve"> SEQ CHAPTER \h \r 1</w:instrText>
            </w:r>
            <w:r w:rsidRPr="002D5CEA">
              <w:rPr>
                <w:lang w:val="en-US"/>
              </w:rPr>
              <w:fldChar w:fldCharType="end"/>
            </w:r>
          </w:p>
        </w:tc>
      </w:tr>
      <w:tr w:rsidR="002D5CEA" w:rsidRPr="002D5CEA" w:rsidTr="006E0EF4">
        <w:tc>
          <w:tcPr>
            <w:tcW w:w="4338" w:type="dxa"/>
          </w:tcPr>
          <w:p w:rsidR="002D5CEA" w:rsidRPr="002D5CEA" w:rsidRDefault="002D5CEA" w:rsidP="002D5CEA">
            <w:pPr>
              <w:tabs>
                <w:tab w:val="left" w:pos="-1440"/>
                <w:tab w:val="left" w:pos="-720"/>
              </w:tabs>
              <w:jc w:val="both"/>
            </w:pPr>
            <w:r w:rsidRPr="002D5CEA">
              <w:t>N.S.</w:t>
            </w: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r w:rsidRPr="002D5CEA">
              <w:tab/>
              <w:t>v. (33989)</w:t>
            </w: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rPr>
                <w:lang w:val="fr-CA"/>
              </w:rPr>
            </w:pPr>
            <w:r w:rsidRPr="002D5CEA">
              <w:t xml:space="preserve">Her Majesty the Queen et al. </w:t>
            </w:r>
            <w:r w:rsidRPr="002D5CEA">
              <w:rPr>
                <w:lang w:val="fr-CA"/>
              </w:rPr>
              <w:t>(Crim.) (Ont.)</w:t>
            </w:r>
          </w:p>
        </w:tc>
        <w:tc>
          <w:tcPr>
            <w:tcW w:w="1170" w:type="dxa"/>
          </w:tcPr>
          <w:p w:rsidR="002D5CEA" w:rsidRPr="002D5CEA" w:rsidRDefault="002D5CEA" w:rsidP="002D5CEA">
            <w:pPr>
              <w:tabs>
                <w:tab w:val="left" w:pos="-1440"/>
                <w:tab w:val="left" w:pos="-720"/>
              </w:tabs>
              <w:jc w:val="both"/>
              <w:rPr>
                <w:lang w:val="fr-CA"/>
              </w:rPr>
            </w:pPr>
          </w:p>
        </w:tc>
        <w:tc>
          <w:tcPr>
            <w:tcW w:w="4327" w:type="dxa"/>
          </w:tcPr>
          <w:p w:rsidR="002D5CEA" w:rsidRPr="002D5CEA" w:rsidRDefault="002D5CEA" w:rsidP="002D5CEA">
            <w:pPr>
              <w:tabs>
                <w:tab w:val="left" w:pos="-1440"/>
                <w:tab w:val="left" w:pos="-720"/>
              </w:tabs>
              <w:jc w:val="both"/>
              <w:rPr>
                <w:lang w:val="fr-CA"/>
              </w:rPr>
            </w:pPr>
          </w:p>
        </w:tc>
      </w:tr>
    </w:tbl>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b/>
          <w:sz w:val="20"/>
          <w:szCs w:val="20"/>
          <w:lang w:val="fr-CA" w:eastAsia="en-CA"/>
        </w:rPr>
      </w:pPr>
      <w:r w:rsidRPr="002D5CEA">
        <w:rPr>
          <w:rFonts w:eastAsia="Times New Roman" w:cs="Times New Roman"/>
          <w:b/>
          <w:sz w:val="20"/>
          <w:szCs w:val="20"/>
          <w:lang w:val="fr-CA" w:eastAsia="en-CA"/>
        </w:rPr>
        <w:t>GRANTED / ACCORDÉE</w: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8A6550" w:rsidP="002D5CEA">
      <w:pPr>
        <w:tabs>
          <w:tab w:val="left" w:pos="-1440"/>
          <w:tab w:val="left" w:pos="-720"/>
        </w:tabs>
        <w:jc w:val="both"/>
        <w:rPr>
          <w:rFonts w:eastAsia="Times New Roman" w:cs="Times New Roman"/>
          <w:sz w:val="20"/>
          <w:szCs w:val="20"/>
          <w:lang w:val="fr-CA" w:eastAsia="en-CA"/>
        </w:rPr>
      </w:pPr>
      <w:r w:rsidRPr="008A6550">
        <w:rPr>
          <w:rFonts w:eastAsia="Times New Roman" w:cs="Times New Roman"/>
          <w:sz w:val="20"/>
          <w:szCs w:val="20"/>
          <w:lang w:val="fr-CA" w:eastAsia="en-CA"/>
        </w:rPr>
        <w:pict>
          <v:rect id="_x0000_i1094" style="width:2in;height:1pt" o:hrpct="0" o:hralign="center" o:hrstd="t" o:hrnoshade="t" o:hr="t" fillcolor="black [3213]" stroked="f"/>
        </w:pict>
      </w:r>
    </w:p>
    <w:p w:rsidR="002D5CEA" w:rsidRPr="002D5CEA" w:rsidRDefault="002D5CEA" w:rsidP="002D5CEA">
      <w:pPr>
        <w:tabs>
          <w:tab w:val="left" w:pos="-1440"/>
          <w:tab w:val="left" w:pos="-720"/>
        </w:tabs>
        <w:jc w:val="both"/>
        <w:rPr>
          <w:rFonts w:eastAsia="Times New Roman" w:cs="Times New Roman"/>
          <w:sz w:val="20"/>
          <w:szCs w:val="20"/>
          <w:lang w:val="fr-CA" w:eastAsia="en-CA"/>
        </w:rPr>
      </w:pPr>
    </w:p>
    <w:p w:rsidR="002D5CEA" w:rsidRPr="002D5CEA" w:rsidRDefault="002D5CEA" w:rsidP="002D5CEA">
      <w:pPr>
        <w:tabs>
          <w:tab w:val="left" w:pos="-1440"/>
          <w:tab w:val="left" w:pos="-720"/>
        </w:tabs>
        <w:jc w:val="both"/>
        <w:rPr>
          <w:rFonts w:eastAsia="Times New Roman" w:cs="Times New Roman"/>
          <w:sz w:val="20"/>
          <w:szCs w:val="20"/>
          <w:lang w:eastAsia="en-CA"/>
        </w:rPr>
      </w:pPr>
      <w:r w:rsidRPr="002D5CEA">
        <w:rPr>
          <w:rFonts w:eastAsia="Times New Roman" w:cs="Times New Roman"/>
          <w:sz w:val="20"/>
          <w:szCs w:val="20"/>
          <w:lang w:eastAsia="en-CA"/>
        </w:rPr>
        <w:t>30.11.2011</w:t>
      </w: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tabs>
          <w:tab w:val="left" w:pos="-1440"/>
          <w:tab w:val="left" w:pos="-720"/>
        </w:tabs>
        <w:jc w:val="both"/>
        <w:rPr>
          <w:rFonts w:eastAsia="Times New Roman" w:cs="Times New Roman"/>
          <w:sz w:val="20"/>
          <w:szCs w:val="20"/>
          <w:lang w:eastAsia="en-CA"/>
        </w:rPr>
      </w:pPr>
      <w:r w:rsidRPr="002D5CEA">
        <w:rPr>
          <w:rFonts w:eastAsia="Times New Roman" w:cs="Times New Roman"/>
          <w:sz w:val="20"/>
          <w:szCs w:val="20"/>
          <w:lang w:eastAsia="en-CA"/>
        </w:rPr>
        <w:t xml:space="preserve">Before / </w:t>
      </w:r>
      <w:proofErr w:type="gramStart"/>
      <w:r w:rsidRPr="002D5CEA">
        <w:rPr>
          <w:rFonts w:eastAsia="Times New Roman" w:cs="Times New Roman"/>
          <w:sz w:val="20"/>
          <w:szCs w:val="20"/>
          <w:lang w:eastAsia="en-CA"/>
        </w:rPr>
        <w:t>Devant :</w:t>
      </w:r>
      <w:proofErr w:type="gramEnd"/>
      <w:r w:rsidRPr="002D5CEA">
        <w:rPr>
          <w:rFonts w:eastAsia="Times New Roman" w:cs="Times New Roman"/>
          <w:sz w:val="20"/>
          <w:szCs w:val="20"/>
          <w:lang w:eastAsia="en-CA"/>
        </w:rPr>
        <w:t xml:space="preserve">   THE REGISTRAR / LE REGISTRAIRE</w:t>
      </w:r>
    </w:p>
    <w:p w:rsidR="002D5CEA" w:rsidRPr="002D5CEA" w:rsidRDefault="002D5CEA" w:rsidP="002D5CEA">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D5CEA" w:rsidRPr="00C04C40" w:rsidTr="006E0EF4">
        <w:tc>
          <w:tcPr>
            <w:tcW w:w="4338" w:type="dxa"/>
          </w:tcPr>
          <w:p w:rsidR="002D5CEA" w:rsidRPr="002D5CEA" w:rsidRDefault="008A6550" w:rsidP="002D5CEA">
            <w:pPr>
              <w:tabs>
                <w:tab w:val="left" w:pos="-1440"/>
                <w:tab w:val="left" w:pos="-720"/>
              </w:tabs>
              <w:jc w:val="both"/>
            </w:pPr>
            <w:r w:rsidRPr="002D5CEA">
              <w:rPr>
                <w:lang w:val="en-US"/>
              </w:rPr>
              <w:fldChar w:fldCharType="begin"/>
            </w:r>
            <w:r w:rsidR="002D5CEA" w:rsidRPr="002D5CEA">
              <w:rPr>
                <w:lang w:val="en-US"/>
              </w:rPr>
              <w:instrText xml:space="preserve"> SEQ CHAPTER \h \r 1</w:instrText>
            </w:r>
            <w:r w:rsidRPr="002D5CEA">
              <w:rPr>
                <w:lang w:val="en-US"/>
              </w:rPr>
              <w:fldChar w:fldCharType="end"/>
            </w:r>
            <w:r w:rsidRPr="002D5CEA">
              <w:rPr>
                <w:lang w:val="en-US"/>
              </w:rPr>
              <w:fldChar w:fldCharType="begin"/>
            </w:r>
            <w:r w:rsidR="002D5CEA" w:rsidRPr="002D5CEA">
              <w:rPr>
                <w:lang w:val="en-US"/>
              </w:rPr>
              <w:instrText xml:space="preserve"> SEQ CHAPTER \h \r 1</w:instrText>
            </w:r>
            <w:r w:rsidRPr="002D5CEA">
              <w:rPr>
                <w:lang w:val="en-US"/>
              </w:rPr>
              <w:fldChar w:fldCharType="end"/>
            </w:r>
            <w:r w:rsidR="002D5CEA" w:rsidRPr="002D5CEA">
              <w:rPr>
                <w:b/>
                <w:bCs/>
                <w:lang w:val="en-US"/>
              </w:rPr>
              <w:t>Motion to extend the time to serve and file the respondent’s response to November 18, 2011</w:t>
            </w:r>
          </w:p>
        </w:tc>
        <w:tc>
          <w:tcPr>
            <w:tcW w:w="1170" w:type="dxa"/>
          </w:tcPr>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p>
        </w:tc>
        <w:tc>
          <w:tcPr>
            <w:tcW w:w="4327" w:type="dxa"/>
          </w:tcPr>
          <w:p w:rsidR="002D5CEA" w:rsidRPr="002D5CEA" w:rsidRDefault="008A6550" w:rsidP="002D5CEA">
            <w:pPr>
              <w:tabs>
                <w:tab w:val="left" w:pos="-1440"/>
                <w:tab w:val="left" w:pos="-720"/>
              </w:tabs>
              <w:jc w:val="both"/>
              <w:rPr>
                <w:b/>
                <w:bCs/>
                <w:lang w:val="fr-CA"/>
              </w:rPr>
            </w:pPr>
            <w:r w:rsidRPr="002D5CEA">
              <w:rPr>
                <w:lang w:val="en-US"/>
              </w:rPr>
              <w:fldChar w:fldCharType="begin"/>
            </w:r>
            <w:r w:rsidR="002D5CEA" w:rsidRPr="002D5CEA">
              <w:rPr>
                <w:lang w:val="fr-CA"/>
              </w:rPr>
              <w:instrText xml:space="preserve"> SEQ CHAPTER \h \r 1</w:instrText>
            </w:r>
            <w:r w:rsidRPr="002D5CEA">
              <w:rPr>
                <w:lang w:val="en-US"/>
              </w:rPr>
              <w:fldChar w:fldCharType="end"/>
            </w:r>
            <w:r w:rsidRPr="002D5CEA">
              <w:rPr>
                <w:lang w:val="en-US"/>
              </w:rPr>
              <w:fldChar w:fldCharType="begin"/>
            </w:r>
            <w:r w:rsidR="002D5CEA" w:rsidRPr="002D5CEA">
              <w:rPr>
                <w:lang w:val="fr-CA"/>
              </w:rPr>
              <w:instrText xml:space="preserve"> SEQ CHAPTER \h \r 1</w:instrText>
            </w:r>
            <w:r w:rsidRPr="002D5CEA">
              <w:rPr>
                <w:lang w:val="en-US"/>
              </w:rPr>
              <w:fldChar w:fldCharType="end"/>
            </w:r>
            <w:r w:rsidR="002D5CEA" w:rsidRPr="002D5CEA">
              <w:rPr>
                <w:b/>
                <w:bCs/>
                <w:lang w:val="fr-CA"/>
              </w:rPr>
              <w:t>Requête en prorogation du délai de signification et de dépôt de la réponse de l’intimée jusqu’au 18 novembre 2011</w:t>
            </w:r>
          </w:p>
        </w:tc>
      </w:tr>
      <w:tr w:rsidR="002D5CEA" w:rsidRPr="002D5CEA" w:rsidTr="006E0EF4">
        <w:tc>
          <w:tcPr>
            <w:tcW w:w="4338" w:type="dxa"/>
          </w:tcPr>
          <w:p w:rsidR="002D5CEA" w:rsidRPr="002D5CEA" w:rsidRDefault="002D5CEA" w:rsidP="002D5CEA">
            <w:pPr>
              <w:tabs>
                <w:tab w:val="left" w:pos="-1440"/>
                <w:tab w:val="left" w:pos="-720"/>
              </w:tabs>
              <w:jc w:val="both"/>
            </w:pPr>
            <w:r w:rsidRPr="002D5CEA">
              <w:t>Elva Bottineau</w:t>
            </w: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r w:rsidRPr="002D5CEA">
              <w:tab/>
              <w:t>v. (34491)</w:t>
            </w:r>
          </w:p>
          <w:p w:rsidR="002D5CEA" w:rsidRPr="002D5CEA" w:rsidRDefault="002D5CEA" w:rsidP="002D5CEA">
            <w:pPr>
              <w:tabs>
                <w:tab w:val="left" w:pos="-1440"/>
                <w:tab w:val="left" w:pos="-720"/>
              </w:tabs>
              <w:jc w:val="both"/>
            </w:pPr>
          </w:p>
          <w:p w:rsidR="002D5CEA" w:rsidRPr="002D5CEA" w:rsidRDefault="002D5CEA" w:rsidP="002D5CEA">
            <w:pPr>
              <w:tabs>
                <w:tab w:val="left" w:pos="-1440"/>
                <w:tab w:val="left" w:pos="-720"/>
              </w:tabs>
              <w:jc w:val="both"/>
            </w:pPr>
            <w:r w:rsidRPr="002D5CEA">
              <w:t>Her Majesty the Queen (Crim.) (Ont.)</w:t>
            </w:r>
          </w:p>
        </w:tc>
        <w:tc>
          <w:tcPr>
            <w:tcW w:w="1170" w:type="dxa"/>
          </w:tcPr>
          <w:p w:rsidR="002D5CEA" w:rsidRPr="002D5CEA" w:rsidRDefault="002D5CEA" w:rsidP="002D5CEA">
            <w:pPr>
              <w:tabs>
                <w:tab w:val="left" w:pos="-1440"/>
                <w:tab w:val="left" w:pos="-720"/>
              </w:tabs>
              <w:jc w:val="both"/>
            </w:pPr>
          </w:p>
        </w:tc>
        <w:tc>
          <w:tcPr>
            <w:tcW w:w="4327" w:type="dxa"/>
          </w:tcPr>
          <w:p w:rsidR="002D5CEA" w:rsidRPr="002D5CEA" w:rsidRDefault="002D5CEA" w:rsidP="002D5CEA">
            <w:pPr>
              <w:tabs>
                <w:tab w:val="left" w:pos="-1440"/>
                <w:tab w:val="left" w:pos="-720"/>
              </w:tabs>
              <w:jc w:val="both"/>
            </w:pPr>
          </w:p>
        </w:tc>
      </w:tr>
    </w:tbl>
    <w:p w:rsidR="002D5CEA" w:rsidRPr="002D5CEA" w:rsidRDefault="002D5CEA" w:rsidP="002D5CEA">
      <w:pPr>
        <w:tabs>
          <w:tab w:val="left" w:pos="-1440"/>
          <w:tab w:val="left" w:pos="-720"/>
        </w:tabs>
        <w:jc w:val="both"/>
        <w:rPr>
          <w:rFonts w:eastAsia="Times New Roman" w:cs="Times New Roman"/>
          <w:b/>
          <w:sz w:val="20"/>
          <w:szCs w:val="20"/>
          <w:lang w:eastAsia="en-CA"/>
        </w:rPr>
      </w:pPr>
    </w:p>
    <w:p w:rsidR="002D5CEA" w:rsidRPr="002D5CEA" w:rsidRDefault="002D5CEA" w:rsidP="002D5CEA">
      <w:pPr>
        <w:tabs>
          <w:tab w:val="left" w:pos="-1440"/>
          <w:tab w:val="left" w:pos="-720"/>
        </w:tabs>
        <w:jc w:val="both"/>
        <w:rPr>
          <w:rFonts w:eastAsia="Times New Roman" w:cs="Times New Roman"/>
          <w:sz w:val="20"/>
          <w:szCs w:val="20"/>
          <w:lang w:eastAsia="en-CA"/>
        </w:rPr>
      </w:pPr>
      <w:r w:rsidRPr="002D5CEA">
        <w:rPr>
          <w:rFonts w:eastAsia="Times New Roman" w:cs="Times New Roman"/>
          <w:b/>
          <w:sz w:val="20"/>
          <w:szCs w:val="20"/>
          <w:lang w:eastAsia="en-CA"/>
        </w:rPr>
        <w:t>GRANTED / ACCORDÉE</w:t>
      </w: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2D5CEA" w:rsidRDefault="002D5CEA" w:rsidP="002D5CEA">
      <w:pPr>
        <w:tabs>
          <w:tab w:val="left" w:pos="-1440"/>
          <w:tab w:val="left" w:pos="-720"/>
        </w:tabs>
        <w:spacing w:line="-19" w:lineRule="auto"/>
        <w:jc w:val="both"/>
        <w:rPr>
          <w:rFonts w:eastAsia="Times New Roman" w:cs="Times New Roman"/>
          <w:sz w:val="20"/>
          <w:szCs w:val="20"/>
          <w:lang w:eastAsia="en-CA"/>
        </w:rPr>
      </w:pPr>
    </w:p>
    <w:p w:rsidR="002D5CEA" w:rsidRPr="002D5CEA" w:rsidRDefault="008A6550" w:rsidP="002D5CEA">
      <w:pPr>
        <w:tabs>
          <w:tab w:val="left" w:pos="-1440"/>
          <w:tab w:val="left" w:pos="-720"/>
        </w:tabs>
        <w:jc w:val="both"/>
        <w:rPr>
          <w:rFonts w:eastAsia="Times New Roman" w:cs="Times New Roman"/>
          <w:sz w:val="20"/>
          <w:szCs w:val="20"/>
          <w:lang w:eastAsia="en-CA"/>
        </w:rPr>
      </w:pPr>
      <w:r w:rsidRPr="008A6550">
        <w:rPr>
          <w:rFonts w:eastAsia="Times New Roman" w:cs="Times New Roman"/>
          <w:sz w:val="20"/>
          <w:szCs w:val="20"/>
          <w:lang w:val="fr-CA" w:eastAsia="en-CA"/>
        </w:rPr>
        <w:pict>
          <v:rect id="_x0000_i1095" style="width:2in;height:1pt" o:hrpct="0" o:hralign="center" o:hrstd="t" o:hrnoshade="t" o:hr="t" fillcolor="black [3213]" stroked="f"/>
        </w:pict>
      </w:r>
    </w:p>
    <w:p w:rsidR="002D5CEA" w:rsidRPr="002D5CEA" w:rsidRDefault="002D5CEA" w:rsidP="002D5CEA">
      <w:pPr>
        <w:tabs>
          <w:tab w:val="left" w:pos="-1440"/>
          <w:tab w:val="left" w:pos="-720"/>
        </w:tabs>
        <w:jc w:val="both"/>
        <w:rPr>
          <w:rFonts w:eastAsia="Times New Roman" w:cs="Times New Roman"/>
          <w:sz w:val="20"/>
          <w:szCs w:val="20"/>
          <w:lang w:eastAsia="en-CA"/>
        </w:rPr>
      </w:pPr>
    </w:p>
    <w:p w:rsidR="002D5CEA" w:rsidRPr="00C50A5C" w:rsidRDefault="002D5CEA" w:rsidP="00890FEB">
      <w:pPr>
        <w:tabs>
          <w:tab w:val="left" w:pos="-1440"/>
          <w:tab w:val="left" w:pos="-720"/>
        </w:tabs>
        <w:spacing w:line="-19" w:lineRule="auto"/>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C04C40"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6E0EF4" w:rsidRDefault="006E0EF4" w:rsidP="00732DB7">
      <w:pPr>
        <w:widowControl w:val="0"/>
        <w:rPr>
          <w:sz w:val="20"/>
          <w:szCs w:val="20"/>
        </w:rPr>
      </w:pPr>
      <w:r>
        <w:rPr>
          <w:sz w:val="20"/>
          <w:szCs w:val="20"/>
        </w:rPr>
        <w:t>06.12.2011</w:t>
      </w:r>
    </w:p>
    <w:p w:rsidR="006E0EF4" w:rsidRDefault="006E0EF4" w:rsidP="00732DB7">
      <w:pPr>
        <w:widowControl w:val="0"/>
        <w:rPr>
          <w:sz w:val="20"/>
          <w:szCs w:val="20"/>
        </w:rPr>
      </w:pPr>
    </w:p>
    <w:p w:rsidR="006E0EF4" w:rsidRDefault="006E0EF4" w:rsidP="00732DB7">
      <w:pPr>
        <w:widowControl w:val="0"/>
        <w:rPr>
          <w:sz w:val="20"/>
          <w:szCs w:val="20"/>
        </w:rPr>
      </w:pPr>
      <w:r>
        <w:rPr>
          <w:sz w:val="20"/>
          <w:szCs w:val="20"/>
        </w:rPr>
        <w:t xml:space="preserve">Coram: </w:t>
      </w:r>
      <w:r w:rsidRPr="006E0EF4">
        <w:rPr>
          <w:sz w:val="20"/>
          <w:szCs w:val="20"/>
          <w:u w:val="single"/>
          <w:lang w:val="en-US"/>
        </w:rPr>
        <w:t>McLachlin C.J. and LeBel, Deschamps, Fish, Abella, Rothstein, Cromwell, Moldaver and Karakatsanis JJ.</w:t>
      </w:r>
    </w:p>
    <w:p w:rsidR="006E0EF4" w:rsidRDefault="006E0EF4"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660A94" w:rsidP="00C1697B">
            <w:pPr>
              <w:widowControl w:val="0"/>
              <w:jc w:val="both"/>
              <w:rPr>
                <w:b/>
                <w:sz w:val="20"/>
                <w:szCs w:val="20"/>
              </w:rPr>
            </w:pPr>
            <w:r w:rsidRPr="00047EC6">
              <w:rPr>
                <w:rStyle w:val="SCCSsocChar"/>
                <w:b/>
                <w:i w:val="0"/>
                <w:szCs w:val="24"/>
              </w:rPr>
              <w:t xml:space="preserve">Entertainment Software Association et al. </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(33</w:t>
            </w:r>
            <w:r w:rsidR="00660A94">
              <w:rPr>
                <w:b/>
                <w:sz w:val="20"/>
                <w:szCs w:val="20"/>
              </w:rPr>
              <w:t>921</w:t>
            </w:r>
            <w:r w:rsidRPr="00C50A5C">
              <w:rPr>
                <w:b/>
                <w:sz w:val="20"/>
                <w:szCs w:val="20"/>
              </w:rPr>
              <w:t>)</w:t>
            </w:r>
          </w:p>
          <w:p w:rsidR="00732DB7" w:rsidRPr="00C50A5C" w:rsidRDefault="00732DB7" w:rsidP="00C1697B">
            <w:pPr>
              <w:widowControl w:val="0"/>
              <w:jc w:val="both"/>
              <w:rPr>
                <w:b/>
                <w:sz w:val="20"/>
                <w:szCs w:val="20"/>
              </w:rPr>
            </w:pPr>
          </w:p>
          <w:p w:rsidR="00732DB7" w:rsidRDefault="00660A94" w:rsidP="00660A94">
            <w:pPr>
              <w:widowControl w:val="0"/>
              <w:jc w:val="both"/>
              <w:rPr>
                <w:szCs w:val="24"/>
              </w:rPr>
            </w:pPr>
            <w:r w:rsidRPr="00047EC6">
              <w:rPr>
                <w:rStyle w:val="SCCSsocChar"/>
                <w:b/>
                <w:i w:val="0"/>
                <w:szCs w:val="24"/>
              </w:rPr>
              <w:t xml:space="preserve">Society of Composers, Authors and Music Publishers of </w:t>
            </w:r>
            <w:r w:rsidRPr="00660A94">
              <w:rPr>
                <w:rStyle w:val="SCCSsocChar"/>
                <w:b/>
                <w:i w:val="0"/>
              </w:rPr>
              <w:t>Canada</w:t>
            </w:r>
            <w:r w:rsidRPr="00660A94">
              <w:rPr>
                <w:b/>
                <w:sz w:val="20"/>
                <w:szCs w:val="20"/>
              </w:rPr>
              <w:t xml:space="preserve"> (F.C.) (Civil) (By Leave)</w:t>
            </w:r>
            <w:r w:rsidRPr="00047EC6">
              <w:rPr>
                <w:szCs w:val="24"/>
              </w:rPr>
              <w:t xml:space="preserve"> </w:t>
            </w:r>
          </w:p>
          <w:p w:rsidR="00D04563" w:rsidRDefault="00D04563" w:rsidP="00660A94">
            <w:pPr>
              <w:widowControl w:val="0"/>
              <w:jc w:val="both"/>
              <w:rPr>
                <w:szCs w:val="24"/>
              </w:rPr>
            </w:pPr>
          </w:p>
          <w:p w:rsidR="00D04563" w:rsidRPr="00975CDB" w:rsidRDefault="00D04563" w:rsidP="00D04563">
            <w:pPr>
              <w:widowControl w:val="0"/>
              <w:rPr>
                <w:b/>
                <w:sz w:val="20"/>
                <w:szCs w:val="20"/>
                <w:lang w:val="en-US"/>
              </w:rPr>
            </w:pPr>
            <w:r w:rsidRPr="0085476B">
              <w:rPr>
                <w:b/>
                <w:sz w:val="20"/>
                <w:szCs w:val="20"/>
              </w:rPr>
              <w:t xml:space="preserve">RESERVED / </w:t>
            </w:r>
            <w:r w:rsidRPr="00975CDB">
              <w:rPr>
                <w:b/>
                <w:sz w:val="20"/>
                <w:szCs w:val="20"/>
                <w:lang w:val="en-US"/>
              </w:rPr>
              <w:t>EN DÉLIBÉRÉ</w:t>
            </w:r>
          </w:p>
          <w:p w:rsidR="00D04563" w:rsidRPr="00975CDB" w:rsidRDefault="00D04563" w:rsidP="00D04563">
            <w:pPr>
              <w:widowControl w:val="0"/>
              <w:rPr>
                <w:b/>
                <w:sz w:val="20"/>
                <w:szCs w:val="20"/>
                <w:lang w:val="en-US"/>
              </w:rPr>
            </w:pPr>
          </w:p>
          <w:p w:rsidR="00D04563" w:rsidRPr="00975CDB" w:rsidRDefault="00D04563" w:rsidP="00D04563">
            <w:pPr>
              <w:widowControl w:val="0"/>
              <w:rPr>
                <w:b/>
                <w:sz w:val="20"/>
                <w:szCs w:val="20"/>
                <w:lang w:val="en-US"/>
              </w:rPr>
            </w:pPr>
          </w:p>
          <w:p w:rsidR="00D04563" w:rsidRPr="00975CDB" w:rsidRDefault="00D04563" w:rsidP="00D04563">
            <w:pPr>
              <w:widowControl w:val="0"/>
              <w:rPr>
                <w:b/>
                <w:sz w:val="20"/>
                <w:szCs w:val="20"/>
                <w:lang w:val="en-US"/>
              </w:rPr>
            </w:pPr>
          </w:p>
          <w:p w:rsidR="00D04563" w:rsidRPr="00975CDB" w:rsidRDefault="00D04563" w:rsidP="00D04563">
            <w:pPr>
              <w:widowControl w:val="0"/>
              <w:jc w:val="both"/>
              <w:rPr>
                <w:b/>
                <w:sz w:val="20"/>
                <w:szCs w:val="20"/>
                <w:lang w:val="en-US"/>
              </w:rPr>
            </w:pPr>
            <w:r w:rsidRPr="00975CDB">
              <w:rPr>
                <w:rFonts w:eastAsia="Calibri" w:cs="Times New Roman"/>
                <w:b/>
                <w:sz w:val="20"/>
                <w:szCs w:val="24"/>
                <w:lang w:val="en-US"/>
              </w:rPr>
              <w:t xml:space="preserve">Rogers Communications Inc. et al. </w:t>
            </w:r>
          </w:p>
          <w:p w:rsidR="00D04563" w:rsidRPr="00975CDB" w:rsidRDefault="00D04563" w:rsidP="00D04563">
            <w:pPr>
              <w:widowControl w:val="0"/>
              <w:jc w:val="both"/>
              <w:rPr>
                <w:b/>
                <w:sz w:val="20"/>
                <w:szCs w:val="20"/>
                <w:lang w:val="en-US"/>
              </w:rPr>
            </w:pPr>
          </w:p>
          <w:p w:rsidR="00D04563" w:rsidRPr="00C50A5C" w:rsidRDefault="00D04563" w:rsidP="00D04563">
            <w:pPr>
              <w:widowControl w:val="0"/>
              <w:tabs>
                <w:tab w:val="left" w:pos="736"/>
              </w:tabs>
              <w:jc w:val="both"/>
              <w:rPr>
                <w:b/>
                <w:sz w:val="20"/>
                <w:szCs w:val="20"/>
              </w:rPr>
            </w:pPr>
            <w:r w:rsidRPr="00975CDB">
              <w:rPr>
                <w:b/>
                <w:sz w:val="20"/>
                <w:szCs w:val="20"/>
                <w:lang w:val="en-US"/>
              </w:rPr>
              <w:tab/>
            </w:r>
            <w:r w:rsidRPr="00C50A5C">
              <w:rPr>
                <w:b/>
                <w:sz w:val="20"/>
                <w:szCs w:val="20"/>
              </w:rPr>
              <w:t>v. (33</w:t>
            </w:r>
            <w:r>
              <w:rPr>
                <w:b/>
                <w:sz w:val="20"/>
                <w:szCs w:val="20"/>
              </w:rPr>
              <w:t>922</w:t>
            </w:r>
            <w:r w:rsidRPr="00C50A5C">
              <w:rPr>
                <w:b/>
                <w:sz w:val="20"/>
                <w:szCs w:val="20"/>
              </w:rPr>
              <w:t>)</w:t>
            </w:r>
          </w:p>
          <w:p w:rsidR="00D04563" w:rsidRPr="00C50A5C" w:rsidRDefault="00D04563" w:rsidP="00D04563">
            <w:pPr>
              <w:widowControl w:val="0"/>
              <w:jc w:val="both"/>
              <w:rPr>
                <w:b/>
                <w:sz w:val="20"/>
                <w:szCs w:val="20"/>
              </w:rPr>
            </w:pPr>
          </w:p>
          <w:p w:rsidR="00D04563" w:rsidRDefault="00D04563" w:rsidP="00D04563">
            <w:pPr>
              <w:widowControl w:val="0"/>
              <w:rPr>
                <w:rFonts w:eastAsia="Calibri" w:cs="Times New Roman"/>
                <w:b/>
                <w:sz w:val="20"/>
                <w:szCs w:val="24"/>
              </w:rPr>
            </w:pPr>
            <w:r w:rsidRPr="002543ED">
              <w:rPr>
                <w:rFonts w:eastAsia="Calibri" w:cs="Times New Roman"/>
                <w:b/>
                <w:sz w:val="20"/>
                <w:szCs w:val="24"/>
              </w:rPr>
              <w:t>Society of Composers, Authors and Music Publishers of Canada (F.C.) (Civil) (By Leave)</w:t>
            </w:r>
          </w:p>
          <w:p w:rsidR="00D04563" w:rsidRDefault="00D04563" w:rsidP="00D04563">
            <w:pPr>
              <w:widowControl w:val="0"/>
              <w:rPr>
                <w:rFonts w:eastAsia="Calibri" w:cs="Times New Roman"/>
                <w:b/>
                <w:sz w:val="20"/>
                <w:szCs w:val="24"/>
              </w:rPr>
            </w:pPr>
          </w:p>
          <w:p w:rsidR="00D04563" w:rsidRDefault="00D04563" w:rsidP="00D04563">
            <w:pPr>
              <w:widowControl w:val="0"/>
              <w:rPr>
                <w:b/>
                <w:sz w:val="20"/>
                <w:szCs w:val="20"/>
                <w:lang w:val="fr-CA"/>
              </w:rPr>
            </w:pPr>
            <w:r w:rsidRPr="0085476B">
              <w:rPr>
                <w:b/>
                <w:sz w:val="20"/>
                <w:szCs w:val="20"/>
              </w:rPr>
              <w:t xml:space="preserve">RESERVED / </w:t>
            </w:r>
            <w:r w:rsidRPr="0085476B">
              <w:rPr>
                <w:b/>
                <w:sz w:val="20"/>
                <w:szCs w:val="20"/>
                <w:lang w:val="fr-CA"/>
              </w:rPr>
              <w:t>EN DÉLIBÉRÉ</w:t>
            </w:r>
          </w:p>
          <w:p w:rsidR="00D04563" w:rsidRPr="00D04563" w:rsidRDefault="00D04563" w:rsidP="00D04563">
            <w:pPr>
              <w:widowControl w:val="0"/>
              <w:rPr>
                <w:sz w:val="20"/>
                <w:szCs w:val="20"/>
              </w:rPr>
            </w:pPr>
          </w:p>
        </w:tc>
        <w:tc>
          <w:tcPr>
            <w:tcW w:w="720" w:type="dxa"/>
            <w:tcMar>
              <w:left w:w="0" w:type="dxa"/>
              <w:right w:w="0" w:type="dxa"/>
            </w:tcMar>
          </w:tcPr>
          <w:p w:rsidR="00732DB7" w:rsidRPr="00660A94" w:rsidRDefault="00732DB7" w:rsidP="00732DB7">
            <w:pPr>
              <w:widowControl w:val="0"/>
              <w:jc w:val="center"/>
              <w:rPr>
                <w:sz w:val="20"/>
                <w:szCs w:val="20"/>
                <w:lang w:val="en-US"/>
              </w:rPr>
            </w:pPr>
          </w:p>
        </w:tc>
        <w:tc>
          <w:tcPr>
            <w:tcW w:w="4380" w:type="dxa"/>
            <w:tcMar>
              <w:left w:w="0" w:type="dxa"/>
              <w:right w:w="0" w:type="dxa"/>
            </w:tcMar>
          </w:tcPr>
          <w:p w:rsidR="00BE01FE" w:rsidRPr="00F65293" w:rsidRDefault="00A11FA0" w:rsidP="00C1697B">
            <w:pPr>
              <w:widowControl w:val="0"/>
              <w:jc w:val="both"/>
              <w:rPr>
                <w:sz w:val="20"/>
                <w:szCs w:val="20"/>
                <w:lang w:val="en-US"/>
              </w:rPr>
            </w:pPr>
            <w:r w:rsidRPr="00A11FA0">
              <w:rPr>
                <w:sz w:val="20"/>
                <w:szCs w:val="20"/>
                <w:lang w:val="en-US"/>
              </w:rPr>
              <w:t>Ba</w:t>
            </w:r>
            <w:r w:rsidRPr="00F65293">
              <w:rPr>
                <w:sz w:val="20"/>
                <w:szCs w:val="20"/>
                <w:lang w:val="en-US"/>
              </w:rPr>
              <w:t>rry B. Sookman and Daniel Glover for the appellants</w:t>
            </w:r>
            <w:r w:rsidR="00C56C72" w:rsidRPr="00F65293">
              <w:rPr>
                <w:sz w:val="20"/>
                <w:szCs w:val="20"/>
                <w:lang w:val="en-US"/>
              </w:rPr>
              <w:t xml:space="preserve"> Entertainment Software Association et al.</w:t>
            </w:r>
          </w:p>
          <w:p w:rsidR="00BE01FE" w:rsidRPr="00F65293" w:rsidRDefault="00BE01FE" w:rsidP="00C1697B">
            <w:pPr>
              <w:widowControl w:val="0"/>
              <w:jc w:val="both"/>
              <w:rPr>
                <w:sz w:val="20"/>
                <w:szCs w:val="20"/>
                <w:lang w:val="en-US"/>
              </w:rPr>
            </w:pPr>
          </w:p>
          <w:p w:rsidR="00C56C72" w:rsidRPr="00F65293" w:rsidRDefault="00C56C72" w:rsidP="00C56C72">
            <w:pPr>
              <w:rPr>
                <w:sz w:val="20"/>
                <w:szCs w:val="20"/>
              </w:rPr>
            </w:pPr>
            <w:r w:rsidRPr="00F65293">
              <w:rPr>
                <w:sz w:val="20"/>
                <w:szCs w:val="20"/>
                <w:lang w:val="en-US"/>
              </w:rPr>
              <w:t>Gerald L. Kerr-Wilson, Ariel A. Thomas and Julia Kennedy for the appellants Rogers Communications Inc. et al.</w:t>
            </w:r>
          </w:p>
          <w:p w:rsidR="00C56C72" w:rsidRPr="00F65293" w:rsidRDefault="00C56C72" w:rsidP="00C1697B">
            <w:pPr>
              <w:widowControl w:val="0"/>
              <w:jc w:val="both"/>
              <w:rPr>
                <w:sz w:val="20"/>
                <w:szCs w:val="20"/>
                <w:lang w:val="en-US"/>
              </w:rPr>
            </w:pPr>
          </w:p>
          <w:p w:rsidR="00BE01FE" w:rsidRPr="00F65293" w:rsidRDefault="00BE01FE" w:rsidP="00BE01FE">
            <w:pPr>
              <w:rPr>
                <w:sz w:val="20"/>
                <w:szCs w:val="20"/>
                <w:lang w:val="en-US"/>
              </w:rPr>
            </w:pPr>
            <w:r w:rsidRPr="00F65293">
              <w:rPr>
                <w:sz w:val="20"/>
                <w:szCs w:val="20"/>
                <w:lang w:val="en-US"/>
              </w:rPr>
              <w:t>Gilles Daigle, Lynne Watt, Paul Spurgeon and Henry Brown, Q.C. for the respondents</w:t>
            </w:r>
            <w:r w:rsidR="00386DC4" w:rsidRPr="00F65293">
              <w:rPr>
                <w:sz w:val="20"/>
                <w:szCs w:val="20"/>
                <w:lang w:val="en-US"/>
              </w:rPr>
              <w:t>.</w:t>
            </w:r>
          </w:p>
          <w:p w:rsidR="00BB3A73" w:rsidRPr="00F65293" w:rsidRDefault="00BB3A73" w:rsidP="00BE01FE">
            <w:pPr>
              <w:rPr>
                <w:sz w:val="20"/>
                <w:szCs w:val="20"/>
                <w:lang w:val="en-US"/>
              </w:rPr>
            </w:pPr>
          </w:p>
          <w:p w:rsidR="00BB3A73" w:rsidRPr="00F65293" w:rsidRDefault="00386DC4" w:rsidP="00BB3A73">
            <w:pPr>
              <w:rPr>
                <w:sz w:val="20"/>
                <w:szCs w:val="20"/>
              </w:rPr>
            </w:pPr>
            <w:r w:rsidRPr="00F65293">
              <w:rPr>
                <w:sz w:val="20"/>
                <w:szCs w:val="20"/>
                <w:lang w:val="en-US"/>
              </w:rPr>
              <w:t xml:space="preserve">Written submission only by </w:t>
            </w:r>
            <w:r w:rsidR="00BB3A73" w:rsidRPr="00F65293">
              <w:rPr>
                <w:sz w:val="20"/>
                <w:szCs w:val="20"/>
                <w:lang w:val="en-US"/>
              </w:rPr>
              <w:t xml:space="preserve">Jeremy de Beer and David Fewer for the intervener </w:t>
            </w:r>
            <w:r w:rsidR="00BB3A73" w:rsidRPr="00F65293">
              <w:rPr>
                <w:sz w:val="20"/>
                <w:szCs w:val="20"/>
              </w:rPr>
              <w:t>Samuelson-Glushko Canadian Internet Policy and Public Interest Clinic</w:t>
            </w:r>
          </w:p>
          <w:p w:rsidR="00BB3A73" w:rsidRPr="00F65293" w:rsidRDefault="00BB3A73" w:rsidP="00BE01FE">
            <w:pPr>
              <w:rPr>
                <w:sz w:val="20"/>
                <w:szCs w:val="20"/>
                <w:lang w:val="en-US"/>
              </w:rPr>
            </w:pPr>
          </w:p>
          <w:p w:rsidR="00BB3A73" w:rsidRPr="00F65293" w:rsidRDefault="00386DC4" w:rsidP="00BB3A73">
            <w:pPr>
              <w:rPr>
                <w:sz w:val="20"/>
                <w:szCs w:val="20"/>
              </w:rPr>
            </w:pPr>
            <w:r w:rsidRPr="00F65293">
              <w:rPr>
                <w:sz w:val="20"/>
                <w:szCs w:val="20"/>
                <w:lang w:val="en-US"/>
              </w:rPr>
              <w:t xml:space="preserve">Written submission only by </w:t>
            </w:r>
            <w:r w:rsidR="00BB3A73" w:rsidRPr="00F65293">
              <w:rPr>
                <w:sz w:val="20"/>
                <w:szCs w:val="20"/>
                <w:lang w:val="en-US"/>
              </w:rPr>
              <w:t xml:space="preserve">Casey M. Chisick, Timothy Pinos and </w:t>
            </w:r>
            <w:r w:rsidR="00BB3A73" w:rsidRPr="00F65293">
              <w:rPr>
                <w:sz w:val="20"/>
                <w:szCs w:val="20"/>
              </w:rPr>
              <w:t xml:space="preserve">Jason Beitchman </w:t>
            </w:r>
            <w:r w:rsidR="00BB3A73" w:rsidRPr="00F65293">
              <w:rPr>
                <w:sz w:val="20"/>
                <w:szCs w:val="20"/>
                <w:lang w:val="en-US"/>
              </w:rPr>
              <w:t xml:space="preserve">for the intervener </w:t>
            </w:r>
            <w:r w:rsidR="00BB3A73" w:rsidRPr="00F65293">
              <w:rPr>
                <w:sz w:val="20"/>
                <w:szCs w:val="20"/>
              </w:rPr>
              <w:t>CMRRA/SODRAC Inc.</w:t>
            </w:r>
          </w:p>
          <w:p w:rsidR="00386DC4" w:rsidRPr="00F65293" w:rsidRDefault="00386DC4" w:rsidP="00BB3A73">
            <w:pPr>
              <w:rPr>
                <w:sz w:val="20"/>
                <w:szCs w:val="20"/>
              </w:rPr>
            </w:pPr>
          </w:p>
          <w:p w:rsidR="00386DC4" w:rsidRPr="00F65293" w:rsidRDefault="00386DC4" w:rsidP="00BB3A73">
            <w:pPr>
              <w:rPr>
                <w:sz w:val="20"/>
                <w:szCs w:val="20"/>
              </w:rPr>
            </w:pPr>
            <w:r w:rsidRPr="00F65293">
              <w:rPr>
                <w:sz w:val="20"/>
                <w:szCs w:val="20"/>
                <w:lang w:val="en-US"/>
              </w:rPr>
              <w:t xml:space="preserve">Written submission only for the intervener </w:t>
            </w:r>
            <w:r w:rsidR="00F65293" w:rsidRPr="00F65293">
              <w:rPr>
                <w:sz w:val="20"/>
                <w:szCs w:val="20"/>
              </w:rPr>
              <w:t>Cineplex Entertainment LP.</w:t>
            </w:r>
          </w:p>
          <w:p w:rsidR="00F65293" w:rsidRPr="00F65293" w:rsidRDefault="00F65293" w:rsidP="00BB3A73">
            <w:pPr>
              <w:rPr>
                <w:sz w:val="20"/>
                <w:szCs w:val="20"/>
              </w:rPr>
            </w:pPr>
          </w:p>
          <w:p w:rsidR="00732DB7" w:rsidRPr="00C50A5C" w:rsidRDefault="00F65293" w:rsidP="00F60F56">
            <w:pPr>
              <w:rPr>
                <w:sz w:val="20"/>
                <w:szCs w:val="20"/>
              </w:rPr>
            </w:pPr>
            <w:r w:rsidRPr="00F65293">
              <w:rPr>
                <w:sz w:val="20"/>
                <w:szCs w:val="20"/>
                <w:lang w:val="en-US"/>
              </w:rPr>
              <w:t>Written submission only by Michael Koch for the interveners Apple Canada Inc. et al.</w:t>
            </w:r>
          </w:p>
        </w:tc>
      </w:tr>
    </w:tbl>
    <w:p w:rsidR="00C1697B" w:rsidRDefault="00C1697B"/>
    <w:tbl>
      <w:tblPr>
        <w:tblW w:w="0" w:type="auto"/>
        <w:tblLayout w:type="fixed"/>
        <w:tblCellMar>
          <w:left w:w="0" w:type="dxa"/>
          <w:right w:w="0" w:type="dxa"/>
        </w:tblCellMar>
        <w:tblLook w:val="0000"/>
      </w:tblPr>
      <w:tblGrid>
        <w:gridCol w:w="4380"/>
        <w:gridCol w:w="720"/>
        <w:gridCol w:w="4380"/>
      </w:tblGrid>
      <w:tr w:rsidR="00C1697B" w:rsidRPr="002D5CEA" w:rsidTr="00C1697B">
        <w:tc>
          <w:tcPr>
            <w:tcW w:w="4380" w:type="dxa"/>
            <w:tcMar>
              <w:left w:w="0" w:type="dxa"/>
              <w:right w:w="0" w:type="dxa"/>
            </w:tcMar>
          </w:tcPr>
          <w:p w:rsidR="00C1697B" w:rsidRPr="00CC4D84" w:rsidRDefault="00D04563" w:rsidP="00C1697B">
            <w:pPr>
              <w:widowControl w:val="0"/>
              <w:jc w:val="both"/>
              <w:rPr>
                <w:b/>
                <w:sz w:val="20"/>
                <w:szCs w:val="20"/>
                <w:u w:val="single"/>
              </w:rPr>
            </w:pPr>
            <w:r>
              <w:rPr>
                <w:b/>
                <w:sz w:val="20"/>
                <w:szCs w:val="20"/>
                <w:u w:val="single"/>
              </w:rPr>
              <w:t xml:space="preserve">Nature of the case – 33921: </w:t>
            </w:r>
          </w:p>
          <w:p w:rsidR="00C1697B" w:rsidRPr="00C1697B" w:rsidRDefault="00C1697B" w:rsidP="00C1697B">
            <w:pPr>
              <w:widowControl w:val="0"/>
              <w:jc w:val="both"/>
              <w:rPr>
                <w:b/>
                <w:sz w:val="20"/>
                <w:szCs w:val="20"/>
              </w:rPr>
            </w:pPr>
          </w:p>
          <w:p w:rsidR="00D04563" w:rsidRPr="00C1697B" w:rsidRDefault="002543ED" w:rsidP="00841C7D">
            <w:pPr>
              <w:widowControl w:val="0"/>
              <w:jc w:val="both"/>
              <w:rPr>
                <w:b/>
                <w:sz w:val="20"/>
                <w:szCs w:val="20"/>
              </w:rPr>
            </w:pPr>
            <w:r w:rsidRPr="002543ED">
              <w:rPr>
                <w:rFonts w:eastAsia="Calibri" w:cs="Times New Roman"/>
                <w:sz w:val="20"/>
                <w:szCs w:val="20"/>
              </w:rPr>
              <w:t xml:space="preserve">Intellectual Property </w:t>
            </w:r>
            <w:r w:rsidRPr="002543ED">
              <w:rPr>
                <w:rFonts w:eastAsia="Calibri" w:cs="Times New Roman"/>
                <w:sz w:val="20"/>
                <w:szCs w:val="20"/>
              </w:rPr>
              <w:noBreakHyphen/>
              <w:t xml:space="preserve"> Copyright </w:t>
            </w:r>
            <w:r w:rsidRPr="002543ED">
              <w:rPr>
                <w:rFonts w:eastAsia="Calibri" w:cs="Times New Roman"/>
                <w:sz w:val="20"/>
                <w:szCs w:val="20"/>
              </w:rPr>
              <w:noBreakHyphen/>
              <w:t xml:space="preserve"> What is the standard of review? </w:t>
            </w:r>
            <w:r w:rsidRPr="002543ED">
              <w:rPr>
                <w:rFonts w:eastAsia="Calibri" w:cs="Times New Roman"/>
                <w:sz w:val="20"/>
                <w:szCs w:val="20"/>
              </w:rPr>
              <w:noBreakHyphen/>
              <w:t xml:space="preserve"> Is a transmission of a video game download a “communication to the public” within the meaning of </w:t>
            </w:r>
            <w:proofErr w:type="gramStart"/>
            <w:r w:rsidRPr="002543ED">
              <w:rPr>
                <w:rFonts w:eastAsia="Calibri" w:cs="Times New Roman"/>
                <w:sz w:val="20"/>
                <w:szCs w:val="20"/>
              </w:rPr>
              <w:t>para.</w:t>
            </w:r>
            <w:proofErr w:type="gramEnd"/>
            <w:r w:rsidRPr="002543ED">
              <w:rPr>
                <w:rFonts w:eastAsia="Calibri" w:cs="Times New Roman"/>
                <w:sz w:val="20"/>
                <w:szCs w:val="20"/>
              </w:rPr>
              <w:t> 3(1</w:t>
            </w:r>
            <w:proofErr w:type="gramStart"/>
            <w:r w:rsidRPr="002543ED">
              <w:rPr>
                <w:rFonts w:eastAsia="Calibri" w:cs="Times New Roman"/>
                <w:sz w:val="20"/>
                <w:szCs w:val="20"/>
              </w:rPr>
              <w:t>)(</w:t>
            </w:r>
            <w:proofErr w:type="gramEnd"/>
            <w:r w:rsidRPr="002543ED">
              <w:rPr>
                <w:rFonts w:eastAsia="Calibri" w:cs="Times New Roman"/>
                <w:sz w:val="20"/>
                <w:szCs w:val="20"/>
              </w:rPr>
              <w:t xml:space="preserve">f) of the </w:t>
            </w:r>
            <w:r w:rsidRPr="002543ED">
              <w:rPr>
                <w:rFonts w:eastAsia="Calibri" w:cs="Times New Roman"/>
                <w:i/>
                <w:sz w:val="20"/>
                <w:szCs w:val="20"/>
              </w:rPr>
              <w:t>Copyright Act</w:t>
            </w:r>
            <w:r w:rsidRPr="002543ED">
              <w:rPr>
                <w:rFonts w:eastAsia="Calibri" w:cs="Times New Roman"/>
                <w:sz w:val="20"/>
                <w:szCs w:val="20"/>
              </w:rPr>
              <w:t>, R.S.C. 1985, c. C</w:t>
            </w:r>
            <w:r w:rsidRPr="002543ED">
              <w:rPr>
                <w:rFonts w:eastAsia="Calibri" w:cs="Times New Roman"/>
                <w:sz w:val="20"/>
                <w:szCs w:val="20"/>
              </w:rPr>
              <w:noBreakHyphen/>
              <w:t>42?</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D04563" w:rsidP="00C1697B">
            <w:pPr>
              <w:widowControl w:val="0"/>
              <w:jc w:val="both"/>
              <w:rPr>
                <w:b/>
                <w:sz w:val="20"/>
                <w:szCs w:val="20"/>
                <w:u w:val="single"/>
                <w:lang w:val="fr-CA"/>
              </w:rPr>
            </w:pPr>
            <w:r>
              <w:rPr>
                <w:b/>
                <w:sz w:val="20"/>
                <w:szCs w:val="20"/>
                <w:u w:val="single"/>
                <w:lang w:val="fr-CA"/>
              </w:rPr>
              <w:t xml:space="preserve">Nature de la cause – 33921 </w:t>
            </w:r>
            <w:r w:rsidR="00C1697B" w:rsidRPr="00CC4D84">
              <w:rPr>
                <w:b/>
                <w:sz w:val="20"/>
                <w:szCs w:val="20"/>
                <w:u w:val="single"/>
                <w:lang w:val="fr-CA"/>
              </w:rPr>
              <w:t>:</w:t>
            </w:r>
          </w:p>
          <w:p w:rsidR="00C1697B" w:rsidRPr="00C1697B" w:rsidRDefault="00C1697B" w:rsidP="00C1697B">
            <w:pPr>
              <w:widowControl w:val="0"/>
              <w:jc w:val="both"/>
              <w:rPr>
                <w:sz w:val="20"/>
                <w:szCs w:val="20"/>
                <w:lang w:val="fr-CA"/>
              </w:rPr>
            </w:pPr>
          </w:p>
          <w:p w:rsidR="00C1697B" w:rsidRPr="00C1697B" w:rsidRDefault="002543ED" w:rsidP="00841C7D">
            <w:pPr>
              <w:widowControl w:val="0"/>
              <w:jc w:val="both"/>
              <w:rPr>
                <w:sz w:val="20"/>
                <w:szCs w:val="20"/>
                <w:lang w:val="fr-CA"/>
              </w:rPr>
            </w:pPr>
            <w:r w:rsidRPr="002543ED">
              <w:rPr>
                <w:rFonts w:eastAsia="Calibri" w:cs="Times New Roman"/>
                <w:sz w:val="20"/>
                <w:szCs w:val="20"/>
                <w:lang w:val="fr-CA"/>
              </w:rPr>
              <w:t xml:space="preserve">Propriété intellectuelle </w:t>
            </w:r>
            <w:r w:rsidRPr="002543ED">
              <w:rPr>
                <w:rFonts w:eastAsia="Calibri" w:cs="Times New Roman"/>
                <w:sz w:val="20"/>
                <w:szCs w:val="20"/>
                <w:lang w:val="fr-CA"/>
              </w:rPr>
              <w:noBreakHyphen/>
              <w:t xml:space="preserve"> Droit d’auteur </w:t>
            </w:r>
            <w:r w:rsidRPr="002543ED">
              <w:rPr>
                <w:rFonts w:eastAsia="Calibri" w:cs="Times New Roman"/>
                <w:sz w:val="20"/>
                <w:szCs w:val="20"/>
                <w:lang w:val="fr-CA"/>
              </w:rPr>
              <w:noBreakHyphen/>
              <w:t xml:space="preserve"> Quelle est la norme de contrôle? </w:t>
            </w:r>
            <w:r w:rsidRPr="002543ED">
              <w:rPr>
                <w:rFonts w:eastAsia="Calibri" w:cs="Times New Roman"/>
                <w:sz w:val="20"/>
                <w:szCs w:val="20"/>
                <w:lang w:val="fr-CA"/>
              </w:rPr>
              <w:noBreakHyphen/>
              <w:t xml:space="preserve"> La transmission du téléchargement d’un jeu vidéo est</w:t>
            </w:r>
            <w:r w:rsidRPr="002543ED">
              <w:rPr>
                <w:rFonts w:eastAsia="Calibri" w:cs="Times New Roman"/>
                <w:sz w:val="20"/>
                <w:szCs w:val="20"/>
                <w:lang w:val="fr-CA"/>
              </w:rPr>
              <w:noBreakHyphen/>
              <w:t>elle une « communication au public » au sens de l’al. 3(1)</w:t>
            </w:r>
            <w:r w:rsidRPr="002543ED">
              <w:rPr>
                <w:rFonts w:eastAsia="Calibri" w:cs="Times New Roman"/>
                <w:i/>
                <w:sz w:val="20"/>
                <w:szCs w:val="20"/>
                <w:lang w:val="fr-CA"/>
              </w:rPr>
              <w:t>f</w:t>
            </w:r>
            <w:r w:rsidRPr="002543ED">
              <w:rPr>
                <w:rFonts w:eastAsia="Calibri" w:cs="Times New Roman"/>
                <w:sz w:val="20"/>
                <w:szCs w:val="20"/>
                <w:lang w:val="fr-CA"/>
              </w:rPr>
              <w:t xml:space="preserve">) de la </w:t>
            </w:r>
            <w:r w:rsidRPr="002543ED">
              <w:rPr>
                <w:rFonts w:eastAsia="Calibri" w:cs="Times New Roman"/>
                <w:i/>
                <w:iCs/>
                <w:sz w:val="20"/>
                <w:szCs w:val="20"/>
                <w:lang w:val="fr-CA"/>
              </w:rPr>
              <w:t>Loi sur le droit d’auteur</w:t>
            </w:r>
            <w:r w:rsidRPr="002543ED">
              <w:rPr>
                <w:rFonts w:eastAsia="Calibri" w:cs="Times New Roman"/>
                <w:sz w:val="20"/>
                <w:szCs w:val="20"/>
                <w:lang w:val="fr-CA"/>
              </w:rPr>
              <w:t>, L.R.C. 1985, ch. C</w:t>
            </w:r>
            <w:r w:rsidRPr="002543ED">
              <w:rPr>
                <w:rFonts w:eastAsia="Calibri" w:cs="Times New Roman"/>
                <w:sz w:val="20"/>
                <w:szCs w:val="20"/>
                <w:lang w:val="fr-CA"/>
              </w:rPr>
              <w:noBreakHyphen/>
              <w:t>42?</w:t>
            </w:r>
          </w:p>
        </w:tc>
      </w:tr>
    </w:tbl>
    <w:p w:rsidR="00732DB7" w:rsidRDefault="00732DB7"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2543ED" w:rsidRPr="00C04C40" w:rsidTr="002543ED">
        <w:tc>
          <w:tcPr>
            <w:tcW w:w="4380" w:type="dxa"/>
            <w:tcMar>
              <w:left w:w="0" w:type="dxa"/>
              <w:right w:w="0" w:type="dxa"/>
            </w:tcMar>
          </w:tcPr>
          <w:p w:rsidR="002543ED" w:rsidRPr="00CC4D84" w:rsidRDefault="002543ED" w:rsidP="002543ED">
            <w:pPr>
              <w:widowControl w:val="0"/>
              <w:jc w:val="both"/>
              <w:rPr>
                <w:b/>
                <w:sz w:val="20"/>
                <w:szCs w:val="20"/>
                <w:u w:val="single"/>
              </w:rPr>
            </w:pPr>
            <w:r w:rsidRPr="00CC4D84">
              <w:rPr>
                <w:b/>
                <w:sz w:val="20"/>
                <w:szCs w:val="20"/>
                <w:u w:val="single"/>
              </w:rPr>
              <w:t>Nature of the case</w:t>
            </w:r>
            <w:r w:rsidR="00D04563">
              <w:rPr>
                <w:b/>
                <w:sz w:val="20"/>
                <w:szCs w:val="20"/>
                <w:u w:val="single"/>
              </w:rPr>
              <w:t xml:space="preserve"> – 33922</w:t>
            </w:r>
            <w:r w:rsidRPr="00CC4D84">
              <w:rPr>
                <w:b/>
                <w:sz w:val="20"/>
                <w:szCs w:val="20"/>
                <w:u w:val="single"/>
              </w:rPr>
              <w:t>:</w:t>
            </w:r>
          </w:p>
          <w:p w:rsidR="002543ED" w:rsidRPr="00C1697B" w:rsidRDefault="002543ED" w:rsidP="002543ED">
            <w:pPr>
              <w:widowControl w:val="0"/>
              <w:jc w:val="both"/>
              <w:rPr>
                <w:b/>
                <w:sz w:val="20"/>
                <w:szCs w:val="20"/>
              </w:rPr>
            </w:pPr>
          </w:p>
          <w:p w:rsidR="00404951" w:rsidRPr="00404951" w:rsidRDefault="00404951" w:rsidP="00404951">
            <w:pPr>
              <w:widowControl w:val="0"/>
              <w:jc w:val="both"/>
              <w:rPr>
                <w:rFonts w:eastAsia="Calibri" w:cs="Times New Roman"/>
                <w:sz w:val="20"/>
                <w:szCs w:val="20"/>
              </w:rPr>
            </w:pPr>
            <w:r w:rsidRPr="00404951">
              <w:rPr>
                <w:rFonts w:eastAsia="Calibri" w:cs="Times New Roman"/>
                <w:sz w:val="20"/>
                <w:szCs w:val="20"/>
              </w:rPr>
              <w:t xml:space="preserve">Intellectual Property </w:t>
            </w:r>
            <w:r w:rsidRPr="00404951">
              <w:rPr>
                <w:rFonts w:eastAsia="Calibri" w:cs="Times New Roman"/>
                <w:sz w:val="20"/>
                <w:szCs w:val="20"/>
              </w:rPr>
              <w:noBreakHyphen/>
              <w:t xml:space="preserve"> Copyright </w:t>
            </w:r>
            <w:r w:rsidRPr="00404951">
              <w:rPr>
                <w:rFonts w:eastAsia="Calibri" w:cs="Times New Roman"/>
                <w:sz w:val="20"/>
                <w:szCs w:val="20"/>
              </w:rPr>
              <w:noBreakHyphen/>
              <w:t xml:space="preserve"> Courts </w:t>
            </w:r>
            <w:r w:rsidRPr="00404951">
              <w:rPr>
                <w:rFonts w:eastAsia="Calibri" w:cs="Times New Roman"/>
                <w:sz w:val="20"/>
                <w:szCs w:val="20"/>
              </w:rPr>
              <w:noBreakHyphen/>
              <w:t xml:space="preserve"> Jurisdiction </w:t>
            </w:r>
            <w:r w:rsidRPr="00404951">
              <w:rPr>
                <w:rFonts w:eastAsia="Calibri" w:cs="Times New Roman"/>
                <w:sz w:val="20"/>
                <w:szCs w:val="20"/>
              </w:rPr>
              <w:noBreakHyphen/>
              <w:t xml:space="preserve"> Statutory Interpretation </w:t>
            </w:r>
            <w:r w:rsidRPr="00404951">
              <w:rPr>
                <w:rFonts w:eastAsia="Calibri" w:cs="Times New Roman"/>
                <w:sz w:val="20"/>
                <w:szCs w:val="20"/>
              </w:rPr>
              <w:noBreakHyphen/>
              <w:t xml:space="preserve"> Communication of a work to the public by telecommunication </w:t>
            </w:r>
            <w:r w:rsidRPr="00404951">
              <w:rPr>
                <w:rFonts w:eastAsia="Calibri" w:cs="Times New Roman"/>
                <w:sz w:val="20"/>
                <w:szCs w:val="20"/>
              </w:rPr>
              <w:noBreakHyphen/>
              <w:t xml:space="preserve"> Whether the point</w:t>
            </w:r>
            <w:r w:rsidRPr="00404951">
              <w:rPr>
                <w:rFonts w:eastAsia="Calibri" w:cs="Times New Roman"/>
                <w:sz w:val="20"/>
                <w:szCs w:val="20"/>
              </w:rPr>
              <w:noBreakHyphen/>
              <w:t>to</w:t>
            </w:r>
            <w:r w:rsidRPr="00404951">
              <w:rPr>
                <w:rFonts w:eastAsia="Calibri" w:cs="Times New Roman"/>
                <w:sz w:val="20"/>
                <w:szCs w:val="20"/>
              </w:rPr>
              <w:noBreakHyphen/>
              <w:t xml:space="preserve">point transmission of a discrete copy of a musical work to an individual by an online music service is a communication of that work “to the public” within the meaning of para. 3(1)(f) of the </w:t>
            </w:r>
            <w:r w:rsidRPr="00404951">
              <w:rPr>
                <w:rFonts w:eastAsia="Calibri" w:cs="Times New Roman"/>
                <w:i/>
                <w:sz w:val="20"/>
                <w:szCs w:val="20"/>
              </w:rPr>
              <w:t>Copyright Act</w:t>
            </w:r>
            <w:r w:rsidRPr="00404951">
              <w:rPr>
                <w:rFonts w:eastAsia="Calibri" w:cs="Times New Roman"/>
                <w:sz w:val="20"/>
                <w:szCs w:val="20"/>
              </w:rPr>
              <w:t>, R.S.C. 1985, c. C</w:t>
            </w:r>
            <w:r w:rsidRPr="00404951">
              <w:rPr>
                <w:rFonts w:eastAsia="Calibri" w:cs="Times New Roman"/>
                <w:sz w:val="20"/>
                <w:szCs w:val="20"/>
              </w:rPr>
              <w:noBreakHyphen/>
              <w:t xml:space="preserve">42 </w:t>
            </w:r>
            <w:r w:rsidRPr="00404951">
              <w:rPr>
                <w:rFonts w:eastAsia="Calibri" w:cs="Times New Roman"/>
                <w:sz w:val="20"/>
                <w:szCs w:val="20"/>
              </w:rPr>
              <w:noBreakHyphen/>
              <w:t xml:space="preserve"> Whether the appropriate standard of review of the Copyright Board’s interpretation of provisions of the </w:t>
            </w:r>
            <w:r w:rsidRPr="00404951">
              <w:rPr>
                <w:rFonts w:eastAsia="Calibri" w:cs="Times New Roman"/>
                <w:i/>
                <w:sz w:val="20"/>
                <w:szCs w:val="20"/>
              </w:rPr>
              <w:t>Copyright Act</w:t>
            </w:r>
            <w:r w:rsidRPr="00404951">
              <w:rPr>
                <w:rFonts w:eastAsia="Calibri" w:cs="Times New Roman"/>
                <w:sz w:val="20"/>
                <w:szCs w:val="20"/>
              </w:rPr>
              <w:t xml:space="preserve"> that are of general application and that do not fall within the Board’s exclusive jurisdiction is reasonableness or correctness.</w:t>
            </w:r>
          </w:p>
          <w:p w:rsidR="002543ED" w:rsidRPr="00C1697B" w:rsidRDefault="002543ED" w:rsidP="002543ED">
            <w:pPr>
              <w:widowControl w:val="0"/>
              <w:jc w:val="both"/>
              <w:rPr>
                <w:b/>
                <w:sz w:val="20"/>
                <w:szCs w:val="20"/>
              </w:rPr>
            </w:pPr>
          </w:p>
        </w:tc>
        <w:tc>
          <w:tcPr>
            <w:tcW w:w="720" w:type="dxa"/>
            <w:tcMar>
              <w:left w:w="0" w:type="dxa"/>
              <w:right w:w="0" w:type="dxa"/>
            </w:tcMar>
          </w:tcPr>
          <w:p w:rsidR="002543ED" w:rsidRPr="00C1697B" w:rsidRDefault="002543ED" w:rsidP="002543ED">
            <w:pPr>
              <w:widowControl w:val="0"/>
              <w:jc w:val="center"/>
              <w:rPr>
                <w:sz w:val="20"/>
                <w:szCs w:val="20"/>
              </w:rPr>
            </w:pPr>
          </w:p>
        </w:tc>
        <w:tc>
          <w:tcPr>
            <w:tcW w:w="4380" w:type="dxa"/>
            <w:tcMar>
              <w:left w:w="0" w:type="dxa"/>
              <w:right w:w="0" w:type="dxa"/>
            </w:tcMar>
          </w:tcPr>
          <w:p w:rsidR="002543ED" w:rsidRPr="00CC4D84" w:rsidRDefault="002543ED" w:rsidP="002543ED">
            <w:pPr>
              <w:widowControl w:val="0"/>
              <w:jc w:val="both"/>
              <w:rPr>
                <w:b/>
                <w:sz w:val="20"/>
                <w:szCs w:val="20"/>
                <w:u w:val="single"/>
                <w:lang w:val="fr-CA"/>
              </w:rPr>
            </w:pPr>
            <w:r w:rsidRPr="00CC4D84">
              <w:rPr>
                <w:b/>
                <w:sz w:val="20"/>
                <w:szCs w:val="20"/>
                <w:u w:val="single"/>
                <w:lang w:val="fr-CA"/>
              </w:rPr>
              <w:t>Nature de la cause</w:t>
            </w:r>
            <w:r w:rsidR="00D04563">
              <w:rPr>
                <w:b/>
                <w:sz w:val="20"/>
                <w:szCs w:val="20"/>
                <w:u w:val="single"/>
                <w:lang w:val="fr-CA"/>
              </w:rPr>
              <w:t xml:space="preserve"> – 33922 </w:t>
            </w:r>
            <w:r w:rsidRPr="00CC4D84">
              <w:rPr>
                <w:b/>
                <w:sz w:val="20"/>
                <w:szCs w:val="20"/>
                <w:u w:val="single"/>
                <w:lang w:val="fr-CA"/>
              </w:rPr>
              <w:t>:</w:t>
            </w:r>
          </w:p>
          <w:p w:rsidR="002543ED" w:rsidRPr="00C1697B" w:rsidRDefault="002543ED" w:rsidP="002543ED">
            <w:pPr>
              <w:widowControl w:val="0"/>
              <w:jc w:val="both"/>
              <w:rPr>
                <w:sz w:val="20"/>
                <w:szCs w:val="20"/>
                <w:lang w:val="fr-CA"/>
              </w:rPr>
            </w:pPr>
          </w:p>
          <w:p w:rsidR="002543ED" w:rsidRPr="00C1697B" w:rsidRDefault="00404951" w:rsidP="00841C7D">
            <w:pPr>
              <w:widowControl w:val="0"/>
              <w:jc w:val="both"/>
              <w:rPr>
                <w:sz w:val="20"/>
                <w:szCs w:val="20"/>
                <w:lang w:val="fr-CA"/>
              </w:rPr>
            </w:pPr>
            <w:r w:rsidRPr="00404951">
              <w:rPr>
                <w:rFonts w:eastAsia="Calibri" w:cs="Times New Roman"/>
                <w:sz w:val="20"/>
                <w:szCs w:val="20"/>
                <w:lang w:val="fr-CA"/>
              </w:rPr>
              <w:t xml:space="preserve">Propriété intellectuelle </w:t>
            </w:r>
            <w:r w:rsidRPr="00404951">
              <w:rPr>
                <w:rFonts w:eastAsia="Calibri" w:cs="Times New Roman"/>
                <w:sz w:val="20"/>
                <w:szCs w:val="20"/>
                <w:lang w:val="fr-CA"/>
              </w:rPr>
              <w:noBreakHyphen/>
              <w:t xml:space="preserve"> Droit d’auteur </w:t>
            </w:r>
            <w:r w:rsidRPr="00404951">
              <w:rPr>
                <w:rFonts w:eastAsia="Calibri" w:cs="Times New Roman"/>
                <w:sz w:val="20"/>
                <w:szCs w:val="20"/>
                <w:lang w:val="fr-CA"/>
              </w:rPr>
              <w:noBreakHyphen/>
              <w:t xml:space="preserve"> Tribunaux </w:t>
            </w:r>
            <w:r w:rsidRPr="00404951">
              <w:rPr>
                <w:rFonts w:eastAsia="Calibri" w:cs="Times New Roman"/>
                <w:sz w:val="20"/>
                <w:szCs w:val="20"/>
                <w:lang w:val="fr-CA"/>
              </w:rPr>
              <w:noBreakHyphen/>
              <w:t xml:space="preserve"> Compétence </w:t>
            </w:r>
            <w:r w:rsidRPr="00404951">
              <w:rPr>
                <w:rFonts w:eastAsia="Calibri" w:cs="Times New Roman"/>
                <w:sz w:val="20"/>
                <w:szCs w:val="20"/>
                <w:lang w:val="fr-CA"/>
              </w:rPr>
              <w:noBreakHyphen/>
              <w:t xml:space="preserve"> Interprétation des lois </w:t>
            </w:r>
            <w:r w:rsidRPr="00404951">
              <w:rPr>
                <w:rFonts w:eastAsia="Calibri" w:cs="Times New Roman"/>
                <w:sz w:val="20"/>
                <w:szCs w:val="20"/>
                <w:lang w:val="fr-CA"/>
              </w:rPr>
              <w:noBreakHyphen/>
              <w:t xml:space="preserve"> Communication d’une œuvre au public par télécommunication </w:t>
            </w:r>
            <w:r w:rsidRPr="00404951">
              <w:rPr>
                <w:rFonts w:eastAsia="Calibri" w:cs="Times New Roman"/>
                <w:sz w:val="20"/>
                <w:szCs w:val="20"/>
                <w:lang w:val="fr-CA"/>
              </w:rPr>
              <w:noBreakHyphen/>
              <w:t xml:space="preserve"> La transmission point à point d’une copie distincte d’une œuvre musicale à un particulier par un service de musique en ligne est</w:t>
            </w:r>
            <w:r w:rsidRPr="00404951">
              <w:rPr>
                <w:rFonts w:eastAsia="Calibri" w:cs="Times New Roman"/>
                <w:sz w:val="20"/>
                <w:szCs w:val="20"/>
                <w:lang w:val="fr-CA"/>
              </w:rPr>
              <w:noBreakHyphen/>
              <w:t>elle une communication de cette œuvre « au public » au sens de l’al. 3(1)</w:t>
            </w:r>
            <w:r w:rsidRPr="00404951">
              <w:rPr>
                <w:rFonts w:eastAsia="Calibri" w:cs="Times New Roman"/>
                <w:i/>
                <w:sz w:val="20"/>
                <w:szCs w:val="20"/>
                <w:lang w:val="fr-CA"/>
              </w:rPr>
              <w:t>f</w:t>
            </w:r>
            <w:r w:rsidRPr="00404951">
              <w:rPr>
                <w:rFonts w:eastAsia="Calibri" w:cs="Times New Roman"/>
                <w:sz w:val="20"/>
                <w:szCs w:val="20"/>
                <w:lang w:val="fr-CA"/>
              </w:rPr>
              <w:t xml:space="preserve">) de la </w:t>
            </w:r>
            <w:r w:rsidRPr="00404951">
              <w:rPr>
                <w:rFonts w:eastAsia="Calibri" w:cs="Times New Roman"/>
                <w:i/>
                <w:iCs/>
                <w:sz w:val="20"/>
                <w:szCs w:val="20"/>
                <w:lang w:val="fr-CA"/>
              </w:rPr>
              <w:t>Loi sur le droit d’auteur</w:t>
            </w:r>
            <w:r w:rsidRPr="00404951">
              <w:rPr>
                <w:rFonts w:eastAsia="Calibri" w:cs="Times New Roman"/>
                <w:sz w:val="20"/>
                <w:szCs w:val="20"/>
                <w:lang w:val="fr-CA"/>
              </w:rPr>
              <w:t>, L.R.C. 1985, ch. C</w:t>
            </w:r>
            <w:r w:rsidRPr="00404951">
              <w:rPr>
                <w:rFonts w:eastAsia="Calibri" w:cs="Times New Roman"/>
                <w:sz w:val="20"/>
                <w:szCs w:val="20"/>
                <w:lang w:val="fr-CA"/>
              </w:rPr>
              <w:noBreakHyphen/>
              <w:t xml:space="preserve">42? </w:t>
            </w:r>
            <w:r w:rsidRPr="00404951">
              <w:rPr>
                <w:rFonts w:eastAsia="Calibri" w:cs="Times New Roman"/>
                <w:sz w:val="20"/>
                <w:szCs w:val="20"/>
                <w:lang w:val="fr-CA"/>
              </w:rPr>
              <w:noBreakHyphen/>
              <w:t xml:space="preserve"> La norme de contrôle de l’interprétation par la Commission du droit d’auteur des dispositions de la </w:t>
            </w:r>
            <w:r w:rsidRPr="00404951">
              <w:rPr>
                <w:rFonts w:eastAsia="Calibri" w:cs="Times New Roman"/>
                <w:i/>
                <w:sz w:val="20"/>
                <w:szCs w:val="20"/>
                <w:lang w:val="fr-CA"/>
              </w:rPr>
              <w:t>Loi sur le droit d’auteur</w:t>
            </w:r>
            <w:r w:rsidRPr="00404951">
              <w:rPr>
                <w:rFonts w:eastAsia="Calibri" w:cs="Times New Roman"/>
                <w:sz w:val="20"/>
                <w:szCs w:val="20"/>
                <w:lang w:val="fr-CA"/>
              </w:rPr>
              <w:t xml:space="preserve"> qui sont d’application générale et qui ne relèvent pas de la compétence exclusive de la Commission est</w:t>
            </w:r>
            <w:r w:rsidRPr="00404951">
              <w:rPr>
                <w:rFonts w:eastAsia="Calibri" w:cs="Times New Roman"/>
                <w:sz w:val="20"/>
                <w:szCs w:val="20"/>
                <w:lang w:val="fr-CA"/>
              </w:rPr>
              <w:noBreakHyphen/>
              <w:t>elle la norme de la décision raisonnable ou celle de la décision correcte?</w:t>
            </w:r>
          </w:p>
        </w:tc>
      </w:tr>
    </w:tbl>
    <w:p w:rsidR="002543ED" w:rsidRPr="00404951" w:rsidRDefault="002543ED" w:rsidP="002A27D1">
      <w:pPr>
        <w:widowControl w:val="0"/>
        <w:rPr>
          <w:sz w:val="20"/>
          <w:szCs w:val="20"/>
          <w:lang w:val="fr-CA"/>
        </w:rPr>
      </w:pPr>
    </w:p>
    <w:p w:rsidR="00E940EB" w:rsidRPr="00C1697B" w:rsidRDefault="008A6550" w:rsidP="00732DB7">
      <w:pPr>
        <w:widowControl w:val="0"/>
        <w:rPr>
          <w:sz w:val="20"/>
          <w:szCs w:val="20"/>
          <w:lang w:val="fr-CA"/>
        </w:rPr>
      </w:pPr>
      <w:r w:rsidRPr="008A6550">
        <w:rPr>
          <w:sz w:val="20"/>
          <w:szCs w:val="20"/>
          <w:lang w:val="fr-CA"/>
        </w:rPr>
        <w:pict>
          <v:rect id="_x0000_i1098" style="width:2in;height:1pt" o:hrpct="0" o:hralign="center" o:hrstd="t" o:hrnoshade="t" o:hr="t" fillcolor="black [3213]" stroked="f"/>
        </w:pict>
      </w:r>
    </w:p>
    <w:p w:rsidR="00404951" w:rsidRDefault="00404951" w:rsidP="00404951">
      <w:pPr>
        <w:widowControl w:val="0"/>
        <w:rPr>
          <w:sz w:val="20"/>
          <w:szCs w:val="20"/>
        </w:rPr>
      </w:pPr>
    </w:p>
    <w:p w:rsidR="00404951" w:rsidRDefault="00404951" w:rsidP="00404951">
      <w:pPr>
        <w:widowControl w:val="0"/>
        <w:rPr>
          <w:sz w:val="20"/>
          <w:szCs w:val="20"/>
        </w:rPr>
      </w:pPr>
      <w:r>
        <w:rPr>
          <w:sz w:val="20"/>
          <w:szCs w:val="20"/>
        </w:rPr>
        <w:t>06.12.2011</w:t>
      </w:r>
    </w:p>
    <w:p w:rsidR="00404951" w:rsidRDefault="00404951" w:rsidP="00404951">
      <w:pPr>
        <w:widowControl w:val="0"/>
        <w:rPr>
          <w:sz w:val="20"/>
          <w:szCs w:val="20"/>
        </w:rPr>
      </w:pPr>
    </w:p>
    <w:p w:rsidR="00404951" w:rsidRDefault="00404951" w:rsidP="00404951">
      <w:pPr>
        <w:widowControl w:val="0"/>
        <w:rPr>
          <w:sz w:val="20"/>
          <w:szCs w:val="20"/>
        </w:rPr>
      </w:pPr>
      <w:r>
        <w:rPr>
          <w:sz w:val="20"/>
          <w:szCs w:val="20"/>
        </w:rPr>
        <w:t xml:space="preserve">Coram: </w:t>
      </w:r>
      <w:r w:rsidRPr="006E0EF4">
        <w:rPr>
          <w:sz w:val="20"/>
          <w:szCs w:val="20"/>
          <w:u w:val="single"/>
          <w:lang w:val="en-US"/>
        </w:rPr>
        <w:t>McLachlin C.J. and LeBel, Deschamps, Fish, Abella, Rothstein, Cromwell, Moldaver and Karakatsanis JJ.</w:t>
      </w:r>
    </w:p>
    <w:p w:rsidR="00404951" w:rsidRDefault="00404951" w:rsidP="0040495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404951" w:rsidRPr="00C50A5C" w:rsidTr="00404951">
        <w:tc>
          <w:tcPr>
            <w:tcW w:w="4380" w:type="dxa"/>
            <w:tcMar>
              <w:left w:w="0" w:type="dxa"/>
              <w:right w:w="0" w:type="dxa"/>
            </w:tcMar>
          </w:tcPr>
          <w:p w:rsidR="00404951" w:rsidRDefault="00AB743D" w:rsidP="00404951">
            <w:pPr>
              <w:widowControl w:val="0"/>
              <w:jc w:val="both"/>
              <w:rPr>
                <w:rStyle w:val="SCCSsocChar"/>
                <w:b/>
                <w:i w:val="0"/>
                <w:szCs w:val="24"/>
              </w:rPr>
            </w:pPr>
            <w:r w:rsidRPr="00047EC6">
              <w:rPr>
                <w:rStyle w:val="SCCSsocChar"/>
                <w:b/>
                <w:i w:val="0"/>
                <w:szCs w:val="24"/>
              </w:rPr>
              <w:t xml:space="preserve">Society of Composers, Authors and Music Publishers of Canada et al. </w:t>
            </w:r>
          </w:p>
          <w:p w:rsidR="00AB743D" w:rsidRPr="00AB743D" w:rsidRDefault="00AB743D" w:rsidP="00404951">
            <w:pPr>
              <w:widowControl w:val="0"/>
              <w:jc w:val="both"/>
              <w:rPr>
                <w:b/>
                <w:sz w:val="20"/>
                <w:szCs w:val="20"/>
                <w:lang w:val="en-US"/>
              </w:rPr>
            </w:pPr>
          </w:p>
          <w:p w:rsidR="00404951" w:rsidRPr="00AB743D" w:rsidRDefault="00404951" w:rsidP="00404951">
            <w:pPr>
              <w:widowControl w:val="0"/>
              <w:tabs>
                <w:tab w:val="left" w:pos="736"/>
              </w:tabs>
              <w:jc w:val="both"/>
              <w:rPr>
                <w:b/>
                <w:sz w:val="20"/>
                <w:szCs w:val="20"/>
                <w:lang w:val="fr-CA"/>
              </w:rPr>
            </w:pPr>
            <w:r w:rsidRPr="00AB743D">
              <w:rPr>
                <w:b/>
                <w:sz w:val="20"/>
                <w:szCs w:val="20"/>
                <w:lang w:val="en-US"/>
              </w:rPr>
              <w:tab/>
            </w:r>
            <w:r w:rsidRPr="00AB743D">
              <w:rPr>
                <w:b/>
                <w:sz w:val="20"/>
                <w:szCs w:val="20"/>
                <w:lang w:val="fr-CA"/>
              </w:rPr>
              <w:t>v. (33</w:t>
            </w:r>
            <w:r w:rsidR="00AB743D" w:rsidRPr="00AB743D">
              <w:rPr>
                <w:b/>
                <w:sz w:val="20"/>
                <w:szCs w:val="20"/>
                <w:lang w:val="fr-CA"/>
              </w:rPr>
              <w:t>800</w:t>
            </w:r>
            <w:r w:rsidRPr="00AB743D">
              <w:rPr>
                <w:b/>
                <w:sz w:val="20"/>
                <w:szCs w:val="20"/>
                <w:lang w:val="fr-CA"/>
              </w:rPr>
              <w:t>)</w:t>
            </w:r>
          </w:p>
          <w:p w:rsidR="00404951" w:rsidRPr="00AB743D" w:rsidRDefault="00404951" w:rsidP="00404951">
            <w:pPr>
              <w:widowControl w:val="0"/>
              <w:jc w:val="both"/>
              <w:rPr>
                <w:b/>
                <w:sz w:val="20"/>
                <w:szCs w:val="20"/>
                <w:lang w:val="fr-CA"/>
              </w:rPr>
            </w:pPr>
          </w:p>
          <w:p w:rsidR="00404951" w:rsidRPr="00660A94" w:rsidRDefault="00AB743D" w:rsidP="00AB743D">
            <w:pPr>
              <w:widowControl w:val="0"/>
              <w:jc w:val="both"/>
              <w:rPr>
                <w:sz w:val="20"/>
                <w:szCs w:val="20"/>
                <w:lang w:val="en-US"/>
              </w:rPr>
            </w:pPr>
            <w:r w:rsidRPr="00AB743D">
              <w:rPr>
                <w:rStyle w:val="SCCSsocChar"/>
                <w:b/>
                <w:i w:val="0"/>
                <w:lang w:val="fr-CA"/>
              </w:rPr>
              <w:t>Bell Canada et al.</w:t>
            </w:r>
            <w:r w:rsidRPr="00AB743D">
              <w:rPr>
                <w:b/>
                <w:sz w:val="20"/>
                <w:szCs w:val="20"/>
                <w:lang w:val="fr-CA"/>
              </w:rPr>
              <w:t xml:space="preserve"> </w:t>
            </w:r>
            <w:r w:rsidRPr="00AB743D">
              <w:rPr>
                <w:b/>
                <w:sz w:val="20"/>
                <w:szCs w:val="20"/>
              </w:rPr>
              <w:t>(F.C.) (Civil) (By Leave)</w:t>
            </w:r>
          </w:p>
        </w:tc>
        <w:tc>
          <w:tcPr>
            <w:tcW w:w="720" w:type="dxa"/>
            <w:tcMar>
              <w:left w:w="0" w:type="dxa"/>
              <w:right w:w="0" w:type="dxa"/>
            </w:tcMar>
          </w:tcPr>
          <w:p w:rsidR="00404951" w:rsidRPr="00660A94" w:rsidRDefault="00404951" w:rsidP="00404951">
            <w:pPr>
              <w:widowControl w:val="0"/>
              <w:jc w:val="center"/>
              <w:rPr>
                <w:sz w:val="20"/>
                <w:szCs w:val="20"/>
                <w:lang w:val="en-US"/>
              </w:rPr>
            </w:pPr>
          </w:p>
        </w:tc>
        <w:tc>
          <w:tcPr>
            <w:tcW w:w="4380" w:type="dxa"/>
            <w:tcMar>
              <w:left w:w="0" w:type="dxa"/>
              <w:right w:w="0" w:type="dxa"/>
            </w:tcMar>
          </w:tcPr>
          <w:p w:rsidR="00882776" w:rsidRPr="00CE77DD" w:rsidRDefault="00882776" w:rsidP="00882776">
            <w:pPr>
              <w:rPr>
                <w:sz w:val="20"/>
                <w:szCs w:val="20"/>
              </w:rPr>
            </w:pPr>
            <w:r w:rsidRPr="00CE77DD">
              <w:rPr>
                <w:sz w:val="20"/>
                <w:szCs w:val="20"/>
                <w:lang w:val="en-US"/>
              </w:rPr>
              <w:t xml:space="preserve">Gilles Daigle, Paul Spurgeon, </w:t>
            </w:r>
            <w:r w:rsidRPr="00CE77DD">
              <w:rPr>
                <w:sz w:val="20"/>
                <w:szCs w:val="20"/>
              </w:rPr>
              <w:t>Matthew Estabrooks and Henry Brown, Q.C. f</w:t>
            </w:r>
            <w:r w:rsidRPr="00CE77DD">
              <w:rPr>
                <w:sz w:val="20"/>
                <w:szCs w:val="20"/>
                <w:lang w:val="en-US"/>
              </w:rPr>
              <w:t xml:space="preserve">or the appellant </w:t>
            </w:r>
            <w:r w:rsidRPr="00CE77DD">
              <w:rPr>
                <w:rStyle w:val="SCCSsocChar"/>
                <w:i w:val="0"/>
              </w:rPr>
              <w:t>Society of Composers, Authors and Music Publishers of Canada</w:t>
            </w:r>
            <w:r w:rsidRPr="00CE77DD">
              <w:rPr>
                <w:sz w:val="20"/>
                <w:szCs w:val="20"/>
                <w:lang w:val="en-US"/>
              </w:rPr>
              <w:t>.</w:t>
            </w:r>
          </w:p>
          <w:p w:rsidR="00882776" w:rsidRPr="00882776" w:rsidRDefault="00882776" w:rsidP="00404951">
            <w:pPr>
              <w:widowControl w:val="0"/>
              <w:jc w:val="both"/>
              <w:rPr>
                <w:sz w:val="20"/>
                <w:szCs w:val="20"/>
              </w:rPr>
            </w:pPr>
          </w:p>
          <w:p w:rsidR="00CE77DD" w:rsidRPr="00E0036C" w:rsidRDefault="00CE77DD" w:rsidP="00CE77DD">
            <w:pPr>
              <w:rPr>
                <w:sz w:val="20"/>
                <w:szCs w:val="20"/>
              </w:rPr>
            </w:pPr>
            <w:r w:rsidRPr="00F65293">
              <w:rPr>
                <w:sz w:val="20"/>
                <w:szCs w:val="20"/>
                <w:lang w:val="en-US"/>
              </w:rPr>
              <w:t xml:space="preserve">Casey M. Chisick, Timothy Pinos and </w:t>
            </w:r>
            <w:r w:rsidRPr="00F65293">
              <w:rPr>
                <w:sz w:val="20"/>
                <w:szCs w:val="20"/>
              </w:rPr>
              <w:t xml:space="preserve">Jason </w:t>
            </w:r>
            <w:r w:rsidRPr="00E0036C">
              <w:rPr>
                <w:sz w:val="20"/>
                <w:szCs w:val="20"/>
              </w:rPr>
              <w:t xml:space="preserve">Beitchman </w:t>
            </w:r>
            <w:r w:rsidRPr="00E0036C">
              <w:rPr>
                <w:sz w:val="20"/>
                <w:szCs w:val="20"/>
                <w:lang w:val="en-US"/>
              </w:rPr>
              <w:t xml:space="preserve">for the appellant </w:t>
            </w:r>
            <w:r w:rsidRPr="00E0036C">
              <w:rPr>
                <w:sz w:val="20"/>
                <w:szCs w:val="20"/>
              </w:rPr>
              <w:t>CMRRA/SODRAC Inc.</w:t>
            </w:r>
          </w:p>
          <w:p w:rsidR="00882776" w:rsidRPr="00E0036C" w:rsidRDefault="00882776" w:rsidP="00404951">
            <w:pPr>
              <w:widowControl w:val="0"/>
              <w:jc w:val="both"/>
              <w:rPr>
                <w:sz w:val="20"/>
                <w:szCs w:val="20"/>
              </w:rPr>
            </w:pPr>
          </w:p>
          <w:p w:rsidR="00CE77DD" w:rsidRPr="00E0036C" w:rsidRDefault="00CE77DD" w:rsidP="00CE77DD">
            <w:pPr>
              <w:rPr>
                <w:sz w:val="20"/>
                <w:szCs w:val="20"/>
              </w:rPr>
            </w:pPr>
            <w:r w:rsidRPr="00E0036C">
              <w:rPr>
                <w:sz w:val="20"/>
                <w:szCs w:val="20"/>
                <w:lang w:val="en-US"/>
              </w:rPr>
              <w:t xml:space="preserve">Glen A. Bloom for the appellant </w:t>
            </w:r>
            <w:r w:rsidRPr="00E0036C">
              <w:rPr>
                <w:sz w:val="20"/>
                <w:szCs w:val="20"/>
              </w:rPr>
              <w:t>Canadian Recording Industry Association.</w:t>
            </w:r>
          </w:p>
          <w:p w:rsidR="00CE77DD" w:rsidRPr="00E0036C" w:rsidRDefault="00CE77DD" w:rsidP="00CE77DD">
            <w:pPr>
              <w:rPr>
                <w:sz w:val="20"/>
                <w:szCs w:val="20"/>
              </w:rPr>
            </w:pPr>
          </w:p>
          <w:p w:rsidR="00CE77DD" w:rsidRPr="00E0036C" w:rsidRDefault="00CE77DD" w:rsidP="00CE77DD">
            <w:pPr>
              <w:rPr>
                <w:sz w:val="20"/>
                <w:szCs w:val="20"/>
                <w:lang w:val="en-US"/>
              </w:rPr>
            </w:pPr>
            <w:r w:rsidRPr="00E0036C">
              <w:rPr>
                <w:sz w:val="20"/>
                <w:szCs w:val="20"/>
                <w:lang w:val="en-US"/>
              </w:rPr>
              <w:t>Michael Koch for the respondent Apple Canada Inc.</w:t>
            </w:r>
          </w:p>
          <w:p w:rsidR="00CE77DD" w:rsidRPr="00E0036C" w:rsidRDefault="00CE77DD" w:rsidP="00CE77DD">
            <w:pPr>
              <w:rPr>
                <w:sz w:val="20"/>
                <w:szCs w:val="20"/>
                <w:lang w:val="en-US"/>
              </w:rPr>
            </w:pPr>
          </w:p>
          <w:p w:rsidR="00CE77DD" w:rsidRPr="00E0036C" w:rsidRDefault="00CE77DD" w:rsidP="00CE77DD">
            <w:pPr>
              <w:rPr>
                <w:sz w:val="20"/>
                <w:szCs w:val="20"/>
                <w:lang w:val="en-US"/>
              </w:rPr>
            </w:pPr>
            <w:r w:rsidRPr="00E0036C">
              <w:rPr>
                <w:sz w:val="20"/>
                <w:szCs w:val="20"/>
                <w:lang w:val="en-US"/>
              </w:rPr>
              <w:t>Gerald L. Kerr-Wilson, Ariel A. Thomas</w:t>
            </w:r>
            <w:r w:rsidR="000947C6" w:rsidRPr="00E0036C">
              <w:rPr>
                <w:sz w:val="20"/>
                <w:szCs w:val="20"/>
                <w:lang w:val="en-US"/>
              </w:rPr>
              <w:t xml:space="preserve"> and </w:t>
            </w:r>
            <w:r w:rsidRPr="00E0036C">
              <w:rPr>
                <w:sz w:val="20"/>
                <w:szCs w:val="20"/>
                <w:lang w:val="en-US"/>
              </w:rPr>
              <w:t>Julia Kennedy</w:t>
            </w:r>
            <w:r w:rsidR="000947C6" w:rsidRPr="00E0036C">
              <w:rPr>
                <w:sz w:val="20"/>
                <w:szCs w:val="20"/>
                <w:lang w:val="en-US"/>
              </w:rPr>
              <w:t xml:space="preserve"> for the respondents Bell Canada et al.</w:t>
            </w:r>
          </w:p>
          <w:p w:rsidR="00CE77DD" w:rsidRPr="00E0036C" w:rsidRDefault="00CE77DD" w:rsidP="00CE77DD">
            <w:pPr>
              <w:rPr>
                <w:sz w:val="20"/>
                <w:szCs w:val="20"/>
              </w:rPr>
            </w:pPr>
          </w:p>
          <w:p w:rsidR="000947C6" w:rsidRPr="00E0036C" w:rsidRDefault="000947C6" w:rsidP="000947C6">
            <w:pPr>
              <w:rPr>
                <w:sz w:val="20"/>
                <w:szCs w:val="20"/>
              </w:rPr>
            </w:pPr>
            <w:r w:rsidRPr="00E0036C">
              <w:rPr>
                <w:sz w:val="20"/>
                <w:szCs w:val="20"/>
                <w:lang w:val="en-US"/>
              </w:rPr>
              <w:t xml:space="preserve">David Fewer and Jeremy de Beer for the intervener </w:t>
            </w:r>
            <w:r w:rsidRPr="00E0036C">
              <w:rPr>
                <w:sz w:val="20"/>
                <w:szCs w:val="20"/>
              </w:rPr>
              <w:t>Samuelson-Glushko Canadian Internet Policy and Public Interest Clinic</w:t>
            </w:r>
            <w:r w:rsidR="00B54480">
              <w:rPr>
                <w:sz w:val="20"/>
                <w:szCs w:val="20"/>
              </w:rPr>
              <w:t>.</w:t>
            </w:r>
          </w:p>
          <w:p w:rsidR="00CE77DD" w:rsidRPr="00E0036C" w:rsidRDefault="00CE77DD" w:rsidP="00CE77DD">
            <w:pPr>
              <w:rPr>
                <w:sz w:val="20"/>
                <w:szCs w:val="20"/>
              </w:rPr>
            </w:pPr>
          </w:p>
          <w:p w:rsidR="000947C6" w:rsidRPr="00E0036C" w:rsidRDefault="000947C6" w:rsidP="000947C6">
            <w:pPr>
              <w:rPr>
                <w:sz w:val="20"/>
                <w:szCs w:val="20"/>
              </w:rPr>
            </w:pPr>
            <w:r w:rsidRPr="00E0036C">
              <w:rPr>
                <w:sz w:val="20"/>
                <w:szCs w:val="20"/>
                <w:lang w:val="en-US"/>
              </w:rPr>
              <w:t xml:space="preserve">Wendy Matheson, Andrew Bernstein and Alexandra Peterson for the interveners </w:t>
            </w:r>
            <w:r w:rsidRPr="00E0036C">
              <w:rPr>
                <w:sz w:val="20"/>
                <w:szCs w:val="20"/>
              </w:rPr>
              <w:t xml:space="preserve">Canadian Association of University Teachers et al. </w:t>
            </w:r>
          </w:p>
          <w:p w:rsidR="00CE77DD" w:rsidRPr="00E0036C" w:rsidRDefault="00CE77DD" w:rsidP="00404951">
            <w:pPr>
              <w:widowControl w:val="0"/>
              <w:jc w:val="both"/>
              <w:rPr>
                <w:sz w:val="20"/>
                <w:szCs w:val="20"/>
              </w:rPr>
            </w:pPr>
          </w:p>
          <w:p w:rsidR="00E0036C" w:rsidRPr="00E0036C" w:rsidRDefault="00E0036C" w:rsidP="00E0036C">
            <w:pPr>
              <w:rPr>
                <w:sz w:val="20"/>
                <w:szCs w:val="20"/>
              </w:rPr>
            </w:pPr>
            <w:r w:rsidRPr="00E0036C">
              <w:rPr>
                <w:sz w:val="20"/>
                <w:szCs w:val="20"/>
                <w:lang w:val="en-US"/>
              </w:rPr>
              <w:t xml:space="preserve">Ronald E. Dimock and Sangeetha Punniyamoorthy for the interveners </w:t>
            </w:r>
            <w:r w:rsidRPr="00E0036C">
              <w:rPr>
                <w:sz w:val="20"/>
                <w:szCs w:val="20"/>
              </w:rPr>
              <w:t>Federation of Law Societies of Canada et al.</w:t>
            </w:r>
          </w:p>
          <w:p w:rsidR="00CE77DD" w:rsidRPr="00E0036C" w:rsidRDefault="00CE77DD" w:rsidP="00404951">
            <w:pPr>
              <w:widowControl w:val="0"/>
              <w:jc w:val="both"/>
              <w:rPr>
                <w:sz w:val="20"/>
                <w:szCs w:val="20"/>
              </w:rPr>
            </w:pPr>
          </w:p>
          <w:p w:rsidR="00404951" w:rsidRPr="00C50A5C" w:rsidRDefault="00E0036C" w:rsidP="00E0036C">
            <w:pPr>
              <w:rPr>
                <w:sz w:val="20"/>
                <w:szCs w:val="20"/>
              </w:rPr>
            </w:pPr>
            <w:r w:rsidRPr="00E0036C">
              <w:rPr>
                <w:sz w:val="20"/>
                <w:szCs w:val="20"/>
                <w:lang w:val="en-US"/>
              </w:rPr>
              <w:t xml:space="preserve">Andrea Rush for the intervener </w:t>
            </w:r>
            <w:r w:rsidRPr="00E0036C">
              <w:rPr>
                <w:sz w:val="20"/>
                <w:szCs w:val="20"/>
              </w:rPr>
              <w:t>Computer &amp; Communications Industry Association.</w:t>
            </w:r>
          </w:p>
        </w:tc>
      </w:tr>
    </w:tbl>
    <w:p w:rsidR="00404951" w:rsidRDefault="00404951" w:rsidP="00404951">
      <w:pPr>
        <w:widowControl w:val="0"/>
      </w:pPr>
    </w:p>
    <w:p w:rsidR="00404951" w:rsidRPr="0085476B" w:rsidRDefault="00404951" w:rsidP="00404951">
      <w:pPr>
        <w:widowControl w:val="0"/>
        <w:rPr>
          <w:sz w:val="20"/>
          <w:szCs w:val="20"/>
        </w:rPr>
      </w:pPr>
      <w:r w:rsidRPr="0085476B">
        <w:rPr>
          <w:b/>
          <w:sz w:val="20"/>
          <w:szCs w:val="20"/>
        </w:rPr>
        <w:t xml:space="preserve">RESERVED / </w:t>
      </w:r>
      <w:r w:rsidRPr="0085476B">
        <w:rPr>
          <w:b/>
          <w:sz w:val="20"/>
          <w:szCs w:val="20"/>
          <w:lang w:val="fr-CA"/>
        </w:rPr>
        <w:t>EN DÉLIBÉRÉ</w:t>
      </w:r>
    </w:p>
    <w:p w:rsidR="00404951" w:rsidRDefault="00404951" w:rsidP="00404951"/>
    <w:tbl>
      <w:tblPr>
        <w:tblW w:w="0" w:type="auto"/>
        <w:tblLayout w:type="fixed"/>
        <w:tblCellMar>
          <w:left w:w="0" w:type="dxa"/>
          <w:right w:w="0" w:type="dxa"/>
        </w:tblCellMar>
        <w:tblLook w:val="0000"/>
      </w:tblPr>
      <w:tblGrid>
        <w:gridCol w:w="4380"/>
        <w:gridCol w:w="720"/>
        <w:gridCol w:w="4380"/>
      </w:tblGrid>
      <w:tr w:rsidR="00404951" w:rsidRPr="00C04C40" w:rsidTr="00404951">
        <w:tc>
          <w:tcPr>
            <w:tcW w:w="4380" w:type="dxa"/>
            <w:tcMar>
              <w:left w:w="0" w:type="dxa"/>
              <w:right w:w="0" w:type="dxa"/>
            </w:tcMar>
          </w:tcPr>
          <w:p w:rsidR="00404951" w:rsidRPr="00CC4D84" w:rsidRDefault="00404951" w:rsidP="00404951">
            <w:pPr>
              <w:widowControl w:val="0"/>
              <w:jc w:val="both"/>
              <w:rPr>
                <w:b/>
                <w:sz w:val="20"/>
                <w:szCs w:val="20"/>
                <w:u w:val="single"/>
              </w:rPr>
            </w:pPr>
            <w:r w:rsidRPr="00CC4D84">
              <w:rPr>
                <w:b/>
                <w:sz w:val="20"/>
                <w:szCs w:val="20"/>
                <w:u w:val="single"/>
              </w:rPr>
              <w:t>Nature of the case:</w:t>
            </w:r>
          </w:p>
          <w:p w:rsidR="00404951" w:rsidRPr="00C1697B" w:rsidRDefault="00404951" w:rsidP="00404951">
            <w:pPr>
              <w:widowControl w:val="0"/>
              <w:jc w:val="both"/>
              <w:rPr>
                <w:b/>
                <w:sz w:val="20"/>
                <w:szCs w:val="20"/>
              </w:rPr>
            </w:pPr>
          </w:p>
          <w:p w:rsidR="00AB743D" w:rsidRPr="00AB743D" w:rsidRDefault="00AB743D" w:rsidP="00AB743D">
            <w:pPr>
              <w:widowControl w:val="0"/>
              <w:jc w:val="both"/>
              <w:rPr>
                <w:rFonts w:eastAsia="Calibri" w:cs="Times New Roman"/>
                <w:sz w:val="20"/>
                <w:szCs w:val="20"/>
              </w:rPr>
            </w:pPr>
            <w:r w:rsidRPr="00AB743D">
              <w:rPr>
                <w:rFonts w:eastAsia="Calibri" w:cs="Times New Roman"/>
                <w:sz w:val="20"/>
                <w:szCs w:val="20"/>
              </w:rPr>
              <w:t xml:space="preserve">Intellectual Property </w:t>
            </w:r>
            <w:r w:rsidRPr="00AB743D">
              <w:rPr>
                <w:rFonts w:eastAsia="Calibri" w:cs="Times New Roman"/>
                <w:sz w:val="20"/>
                <w:szCs w:val="20"/>
              </w:rPr>
              <w:noBreakHyphen/>
              <w:t xml:space="preserve"> Copyright </w:t>
            </w:r>
            <w:r w:rsidRPr="00AB743D">
              <w:rPr>
                <w:rFonts w:eastAsia="Calibri" w:cs="Times New Roman"/>
                <w:sz w:val="20"/>
                <w:szCs w:val="20"/>
              </w:rPr>
              <w:noBreakHyphen/>
              <w:t xml:space="preserve"> Whether the communication of previews of musical works by Online Music Services constitutes fair dealing for the purposes of “research” within the meaning of s. 29 of the </w:t>
            </w:r>
            <w:r w:rsidRPr="00AB743D">
              <w:rPr>
                <w:rFonts w:eastAsia="Calibri" w:cs="Times New Roman"/>
                <w:i/>
                <w:sz w:val="20"/>
                <w:szCs w:val="20"/>
              </w:rPr>
              <w:t>Copyright Act</w:t>
            </w:r>
            <w:r w:rsidRPr="00AB743D">
              <w:rPr>
                <w:rFonts w:eastAsia="Calibri" w:cs="Times New Roman"/>
                <w:sz w:val="20"/>
                <w:szCs w:val="20"/>
              </w:rPr>
              <w:t>, R.S.C. 1985, c. C</w:t>
            </w:r>
            <w:r w:rsidRPr="00AB743D">
              <w:rPr>
                <w:rFonts w:eastAsia="Calibri" w:cs="Times New Roman"/>
                <w:sz w:val="20"/>
                <w:szCs w:val="20"/>
              </w:rPr>
              <w:noBreakHyphen/>
              <w:t xml:space="preserve">42 </w:t>
            </w:r>
            <w:r w:rsidRPr="00AB743D">
              <w:rPr>
                <w:rFonts w:eastAsia="Calibri" w:cs="Times New Roman"/>
                <w:sz w:val="20"/>
                <w:szCs w:val="20"/>
              </w:rPr>
              <w:noBreakHyphen/>
              <w:t xml:space="preserve"> In the alternative, if the communication of music previews falls within the meaning of “research”, whether the Online Music Services’ dealing with the musical works for that purpose is “fair”.</w:t>
            </w:r>
          </w:p>
          <w:p w:rsidR="00404951" w:rsidRPr="00C1697B" w:rsidRDefault="00404951" w:rsidP="00404951">
            <w:pPr>
              <w:widowControl w:val="0"/>
              <w:jc w:val="both"/>
              <w:rPr>
                <w:b/>
                <w:sz w:val="20"/>
                <w:szCs w:val="20"/>
              </w:rPr>
            </w:pPr>
          </w:p>
        </w:tc>
        <w:tc>
          <w:tcPr>
            <w:tcW w:w="720" w:type="dxa"/>
            <w:tcMar>
              <w:left w:w="0" w:type="dxa"/>
              <w:right w:w="0" w:type="dxa"/>
            </w:tcMar>
          </w:tcPr>
          <w:p w:rsidR="00404951" w:rsidRPr="00C1697B" w:rsidRDefault="00404951" w:rsidP="00404951">
            <w:pPr>
              <w:widowControl w:val="0"/>
              <w:jc w:val="center"/>
              <w:rPr>
                <w:sz w:val="20"/>
                <w:szCs w:val="20"/>
              </w:rPr>
            </w:pPr>
          </w:p>
        </w:tc>
        <w:tc>
          <w:tcPr>
            <w:tcW w:w="4380" w:type="dxa"/>
            <w:tcMar>
              <w:left w:w="0" w:type="dxa"/>
              <w:right w:w="0" w:type="dxa"/>
            </w:tcMar>
          </w:tcPr>
          <w:p w:rsidR="00404951" w:rsidRPr="00CC4D84" w:rsidRDefault="00404951" w:rsidP="00404951">
            <w:pPr>
              <w:widowControl w:val="0"/>
              <w:jc w:val="both"/>
              <w:rPr>
                <w:b/>
                <w:sz w:val="20"/>
                <w:szCs w:val="20"/>
                <w:u w:val="single"/>
                <w:lang w:val="fr-CA"/>
              </w:rPr>
            </w:pPr>
            <w:r w:rsidRPr="00CC4D84">
              <w:rPr>
                <w:b/>
                <w:sz w:val="20"/>
                <w:szCs w:val="20"/>
                <w:u w:val="single"/>
                <w:lang w:val="fr-CA"/>
              </w:rPr>
              <w:t>Nature de la cause :</w:t>
            </w:r>
          </w:p>
          <w:p w:rsidR="00404951" w:rsidRPr="00C1697B" w:rsidRDefault="00404951" w:rsidP="00404951">
            <w:pPr>
              <w:widowControl w:val="0"/>
              <w:jc w:val="both"/>
              <w:rPr>
                <w:sz w:val="20"/>
                <w:szCs w:val="20"/>
                <w:lang w:val="fr-CA"/>
              </w:rPr>
            </w:pPr>
          </w:p>
          <w:p w:rsidR="00404951" w:rsidRPr="00C1697B" w:rsidRDefault="00AB743D" w:rsidP="00E0036C">
            <w:pPr>
              <w:widowControl w:val="0"/>
              <w:jc w:val="both"/>
              <w:rPr>
                <w:sz w:val="20"/>
                <w:szCs w:val="20"/>
                <w:lang w:val="fr-CA"/>
              </w:rPr>
            </w:pPr>
            <w:r w:rsidRPr="00AB743D">
              <w:rPr>
                <w:rFonts w:eastAsia="Calibri" w:cs="Times New Roman"/>
                <w:sz w:val="20"/>
                <w:szCs w:val="20"/>
                <w:lang w:val="fr-CA"/>
              </w:rPr>
              <w:t xml:space="preserve">Propriété intellectuelle </w:t>
            </w:r>
            <w:r w:rsidRPr="00AB743D">
              <w:rPr>
                <w:rFonts w:eastAsia="Calibri" w:cs="Times New Roman"/>
                <w:sz w:val="20"/>
                <w:szCs w:val="20"/>
                <w:lang w:val="fr-CA"/>
              </w:rPr>
              <w:noBreakHyphen/>
              <w:t xml:space="preserve"> Droit d’auteur </w:t>
            </w:r>
            <w:r w:rsidRPr="00AB743D">
              <w:rPr>
                <w:rFonts w:eastAsia="Calibri" w:cs="Times New Roman"/>
                <w:sz w:val="20"/>
                <w:szCs w:val="20"/>
                <w:lang w:val="fr-CA"/>
              </w:rPr>
              <w:noBreakHyphen/>
              <w:t xml:space="preserve"> La communication par des services de musique en ligne d’extraits d’œuvres musicales pour écoute préalable est</w:t>
            </w:r>
            <w:r w:rsidRPr="00AB743D">
              <w:rPr>
                <w:rFonts w:eastAsia="Calibri" w:cs="Times New Roman"/>
                <w:sz w:val="20"/>
                <w:szCs w:val="20"/>
                <w:lang w:val="fr-CA"/>
              </w:rPr>
              <w:noBreakHyphen/>
              <w:t xml:space="preserve">elle une utilisation équitable à des fins de « recherche » au sens de l’art. 29 de la </w:t>
            </w:r>
            <w:r w:rsidRPr="00AB743D">
              <w:rPr>
                <w:rFonts w:eastAsia="Calibri" w:cs="Times New Roman"/>
                <w:i/>
                <w:sz w:val="20"/>
                <w:szCs w:val="20"/>
                <w:lang w:val="fr-CA"/>
              </w:rPr>
              <w:t>Loi sur le droit d’auteur</w:t>
            </w:r>
            <w:r w:rsidRPr="00AB743D">
              <w:rPr>
                <w:rFonts w:eastAsia="Calibri" w:cs="Times New Roman"/>
                <w:sz w:val="20"/>
                <w:szCs w:val="20"/>
                <w:lang w:val="fr-CA"/>
              </w:rPr>
              <w:t>, L.R.C. 1985, ch. C</w:t>
            </w:r>
            <w:r w:rsidRPr="00AB743D">
              <w:rPr>
                <w:rFonts w:eastAsia="Calibri" w:cs="Times New Roman"/>
                <w:sz w:val="20"/>
                <w:szCs w:val="20"/>
                <w:lang w:val="fr-CA"/>
              </w:rPr>
              <w:noBreakHyphen/>
              <w:t xml:space="preserve">42? </w:t>
            </w:r>
            <w:r w:rsidRPr="00AB743D">
              <w:rPr>
                <w:rFonts w:eastAsia="Calibri" w:cs="Times New Roman"/>
                <w:sz w:val="20"/>
                <w:szCs w:val="20"/>
                <w:lang w:val="fr-CA"/>
              </w:rPr>
              <w:noBreakHyphen/>
              <w:t xml:space="preserve"> À titre subsidiaire, si la communication d’extraits d’œuvres musicales pour écoute préalable constitue de la « recherche » en ce sens, l’utilisation des œuvres musicales à cette fin par les services de musique en ligne est</w:t>
            </w:r>
            <w:r w:rsidRPr="00AB743D">
              <w:rPr>
                <w:rFonts w:eastAsia="Calibri" w:cs="Times New Roman"/>
                <w:sz w:val="20"/>
                <w:szCs w:val="20"/>
                <w:lang w:val="fr-CA"/>
              </w:rPr>
              <w:noBreakHyphen/>
              <w:t>elle « équitable »?</w:t>
            </w:r>
          </w:p>
        </w:tc>
      </w:tr>
    </w:tbl>
    <w:p w:rsidR="00404951" w:rsidRPr="00404951" w:rsidRDefault="00404951" w:rsidP="00404951">
      <w:pPr>
        <w:widowControl w:val="0"/>
        <w:rPr>
          <w:sz w:val="20"/>
          <w:szCs w:val="20"/>
          <w:lang w:val="fr-CA"/>
        </w:rPr>
      </w:pPr>
    </w:p>
    <w:p w:rsidR="00404951" w:rsidRPr="00C1697B" w:rsidRDefault="008A6550" w:rsidP="00404951">
      <w:pPr>
        <w:widowControl w:val="0"/>
        <w:rPr>
          <w:sz w:val="20"/>
          <w:szCs w:val="20"/>
          <w:lang w:val="fr-CA"/>
        </w:rPr>
      </w:pPr>
      <w:r w:rsidRPr="008A6550">
        <w:rPr>
          <w:sz w:val="20"/>
          <w:szCs w:val="20"/>
          <w:lang w:val="fr-CA"/>
        </w:rPr>
        <w:pict>
          <v:rect id="_x0000_i1099" style="width:2in;height:1pt" o:hrpct="0" o:hralign="center" o:hrstd="t" o:hrnoshade="t" o:hr="t" fillcolor="black [3213]" stroked="f"/>
        </w:pict>
      </w:r>
    </w:p>
    <w:p w:rsidR="00AC0E60" w:rsidRDefault="00AC0E60" w:rsidP="00AC0E60">
      <w:pPr>
        <w:widowControl w:val="0"/>
        <w:rPr>
          <w:sz w:val="20"/>
          <w:szCs w:val="20"/>
        </w:rPr>
      </w:pPr>
    </w:p>
    <w:p w:rsidR="00AC0E60" w:rsidRDefault="00AC0E60" w:rsidP="00AC0E60">
      <w:pPr>
        <w:widowControl w:val="0"/>
        <w:rPr>
          <w:sz w:val="20"/>
          <w:szCs w:val="20"/>
        </w:rPr>
      </w:pPr>
      <w:r>
        <w:rPr>
          <w:sz w:val="20"/>
          <w:szCs w:val="20"/>
        </w:rPr>
        <w:t>07.12.2011</w:t>
      </w:r>
    </w:p>
    <w:p w:rsidR="00AC0E60" w:rsidRDefault="00AC0E60" w:rsidP="00AC0E60">
      <w:pPr>
        <w:widowControl w:val="0"/>
        <w:rPr>
          <w:sz w:val="20"/>
          <w:szCs w:val="20"/>
        </w:rPr>
      </w:pPr>
    </w:p>
    <w:p w:rsidR="00AC0E60" w:rsidRDefault="00AC0E60" w:rsidP="00AC0E60">
      <w:pPr>
        <w:widowControl w:val="0"/>
        <w:rPr>
          <w:sz w:val="20"/>
          <w:szCs w:val="20"/>
        </w:rPr>
      </w:pPr>
      <w:r>
        <w:rPr>
          <w:sz w:val="20"/>
          <w:szCs w:val="20"/>
        </w:rPr>
        <w:t xml:space="preserve">Coram: </w:t>
      </w:r>
      <w:r w:rsidRPr="006E0EF4">
        <w:rPr>
          <w:sz w:val="20"/>
          <w:szCs w:val="20"/>
          <w:u w:val="single"/>
          <w:lang w:val="en-US"/>
        </w:rPr>
        <w:t>McLachlin C.J. and LeBel, Deschamps, Fish, Abella, Rothstein, Cromwell, Moldaver and Karakatsanis JJ.</w:t>
      </w:r>
    </w:p>
    <w:p w:rsidR="00AC0E60" w:rsidRDefault="00AC0E60" w:rsidP="00AC0E60">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AC0E60" w:rsidRPr="00C50A5C" w:rsidTr="00AC0E60">
        <w:tc>
          <w:tcPr>
            <w:tcW w:w="4380" w:type="dxa"/>
            <w:tcMar>
              <w:left w:w="0" w:type="dxa"/>
              <w:right w:w="0" w:type="dxa"/>
            </w:tcMar>
          </w:tcPr>
          <w:p w:rsidR="0068445B" w:rsidRDefault="0068445B" w:rsidP="0068445B">
            <w:pPr>
              <w:rPr>
                <w:rStyle w:val="SCCSsocChar"/>
                <w:b/>
                <w:i w:val="0"/>
                <w:szCs w:val="24"/>
              </w:rPr>
            </w:pPr>
            <w:r w:rsidRPr="003D7F40">
              <w:rPr>
                <w:rStyle w:val="SCCSsocChar"/>
                <w:b/>
                <w:i w:val="0"/>
                <w:szCs w:val="24"/>
              </w:rPr>
              <w:t xml:space="preserve">Province of Alberta as represented by the Minister of Education et al. </w:t>
            </w:r>
          </w:p>
          <w:p w:rsidR="0068445B" w:rsidRDefault="0068445B" w:rsidP="0068445B">
            <w:pPr>
              <w:rPr>
                <w:rStyle w:val="SCCSsocChar"/>
                <w:b/>
                <w:i w:val="0"/>
                <w:szCs w:val="24"/>
              </w:rPr>
            </w:pPr>
          </w:p>
          <w:p w:rsidR="0068445B" w:rsidRPr="0063214B" w:rsidRDefault="0068445B" w:rsidP="0068445B">
            <w:pPr>
              <w:widowControl w:val="0"/>
              <w:tabs>
                <w:tab w:val="left" w:pos="736"/>
              </w:tabs>
              <w:jc w:val="both"/>
              <w:rPr>
                <w:b/>
                <w:sz w:val="20"/>
                <w:szCs w:val="20"/>
                <w:lang w:val="en-US"/>
              </w:rPr>
            </w:pPr>
            <w:r w:rsidRPr="00AB743D">
              <w:rPr>
                <w:b/>
                <w:sz w:val="20"/>
                <w:szCs w:val="20"/>
                <w:lang w:val="en-US"/>
              </w:rPr>
              <w:tab/>
            </w:r>
            <w:r w:rsidRPr="0063214B">
              <w:rPr>
                <w:b/>
                <w:sz w:val="20"/>
                <w:szCs w:val="20"/>
                <w:lang w:val="en-US"/>
              </w:rPr>
              <w:t>v. (33888)</w:t>
            </w:r>
          </w:p>
          <w:p w:rsidR="0068445B" w:rsidRPr="0068445B" w:rsidRDefault="0068445B" w:rsidP="0068445B">
            <w:pPr>
              <w:rPr>
                <w:rStyle w:val="SCCSsocChar"/>
                <w:b/>
                <w:i w:val="0"/>
              </w:rPr>
            </w:pPr>
          </w:p>
          <w:p w:rsidR="0068445B" w:rsidRPr="0068445B" w:rsidRDefault="0068445B" w:rsidP="0068445B">
            <w:pPr>
              <w:rPr>
                <w:rFonts w:eastAsia="Calibri"/>
                <w:b/>
                <w:sz w:val="20"/>
                <w:szCs w:val="20"/>
              </w:rPr>
            </w:pPr>
            <w:r w:rsidRPr="0068445B">
              <w:rPr>
                <w:rStyle w:val="SCCSsocChar"/>
                <w:b/>
                <w:i w:val="0"/>
              </w:rPr>
              <w:t>Canadian Copyright Licensing Agency Operating as "Access Copyright"</w:t>
            </w:r>
            <w:r w:rsidRPr="0068445B">
              <w:rPr>
                <w:b/>
                <w:sz w:val="20"/>
                <w:szCs w:val="20"/>
              </w:rPr>
              <w:t xml:space="preserve"> (F.C.) (Civil) (By Leave) </w:t>
            </w:r>
          </w:p>
          <w:p w:rsidR="00AC0E60" w:rsidRPr="00660A94" w:rsidRDefault="00AC0E60" w:rsidP="00AC0E60">
            <w:pPr>
              <w:widowControl w:val="0"/>
              <w:jc w:val="both"/>
              <w:rPr>
                <w:sz w:val="20"/>
                <w:szCs w:val="20"/>
                <w:lang w:val="en-US"/>
              </w:rPr>
            </w:pPr>
          </w:p>
        </w:tc>
        <w:tc>
          <w:tcPr>
            <w:tcW w:w="720" w:type="dxa"/>
            <w:tcMar>
              <w:left w:w="0" w:type="dxa"/>
              <w:right w:w="0" w:type="dxa"/>
            </w:tcMar>
          </w:tcPr>
          <w:p w:rsidR="00AC0E60" w:rsidRPr="00660A94" w:rsidRDefault="00AC0E60" w:rsidP="00AC0E60">
            <w:pPr>
              <w:widowControl w:val="0"/>
              <w:jc w:val="center"/>
              <w:rPr>
                <w:sz w:val="20"/>
                <w:szCs w:val="20"/>
                <w:lang w:val="en-US"/>
              </w:rPr>
            </w:pPr>
          </w:p>
        </w:tc>
        <w:tc>
          <w:tcPr>
            <w:tcW w:w="4380" w:type="dxa"/>
            <w:tcMar>
              <w:left w:w="0" w:type="dxa"/>
              <w:right w:w="0" w:type="dxa"/>
            </w:tcMar>
          </w:tcPr>
          <w:p w:rsidR="00137F05" w:rsidRPr="00925C19" w:rsidRDefault="00137F05" w:rsidP="00137F05">
            <w:pPr>
              <w:rPr>
                <w:sz w:val="20"/>
                <w:szCs w:val="20"/>
              </w:rPr>
            </w:pPr>
            <w:r w:rsidRPr="00925C19">
              <w:rPr>
                <w:sz w:val="20"/>
                <w:szCs w:val="20"/>
                <w:lang w:val="en-US"/>
              </w:rPr>
              <w:t xml:space="preserve">Wanda Noel, James Aidan O’Neill and </w:t>
            </w:r>
          </w:p>
          <w:p w:rsidR="00137F05" w:rsidRPr="00925C19" w:rsidRDefault="00137F05" w:rsidP="00137F05">
            <w:pPr>
              <w:rPr>
                <w:sz w:val="20"/>
                <w:szCs w:val="20"/>
              </w:rPr>
            </w:pPr>
            <w:r w:rsidRPr="00925C19">
              <w:rPr>
                <w:sz w:val="20"/>
                <w:szCs w:val="20"/>
              </w:rPr>
              <w:t>Ariel A. Thomas f</w:t>
            </w:r>
            <w:r w:rsidRPr="00925C19">
              <w:rPr>
                <w:sz w:val="20"/>
                <w:szCs w:val="20"/>
                <w:lang w:val="en-US"/>
              </w:rPr>
              <w:t xml:space="preserve">or the appellant the </w:t>
            </w:r>
            <w:r w:rsidRPr="00925C19">
              <w:rPr>
                <w:sz w:val="20"/>
                <w:szCs w:val="20"/>
              </w:rPr>
              <w:t>Province of Alberta as represented by the Minister of Education et al.</w:t>
            </w:r>
          </w:p>
          <w:p w:rsidR="00AC0E60" w:rsidRPr="00925C19" w:rsidRDefault="00AC0E60" w:rsidP="00137F05">
            <w:pPr>
              <w:widowControl w:val="0"/>
              <w:jc w:val="both"/>
              <w:rPr>
                <w:sz w:val="20"/>
                <w:szCs w:val="20"/>
              </w:rPr>
            </w:pPr>
          </w:p>
          <w:p w:rsidR="00B54480" w:rsidRPr="00925C19" w:rsidRDefault="00B54480" w:rsidP="00B54480">
            <w:pPr>
              <w:rPr>
                <w:sz w:val="20"/>
                <w:szCs w:val="20"/>
                <w:lang w:val="en-US"/>
              </w:rPr>
            </w:pPr>
            <w:r w:rsidRPr="00925C19">
              <w:rPr>
                <w:sz w:val="20"/>
                <w:szCs w:val="20"/>
                <w:lang w:val="en-US"/>
              </w:rPr>
              <w:t>Neil Finkelstein and Claude Brunet for the respondent Canadian Copyright Licensing Agency.</w:t>
            </w:r>
          </w:p>
          <w:p w:rsidR="00B54480" w:rsidRPr="00925C19" w:rsidRDefault="00B54480" w:rsidP="00B54480">
            <w:pPr>
              <w:rPr>
                <w:sz w:val="20"/>
                <w:szCs w:val="20"/>
                <w:lang w:val="en-US"/>
              </w:rPr>
            </w:pPr>
          </w:p>
          <w:p w:rsidR="00B54480" w:rsidRPr="00925C19" w:rsidRDefault="00B54480" w:rsidP="00B54480">
            <w:pPr>
              <w:rPr>
                <w:sz w:val="20"/>
                <w:szCs w:val="20"/>
              </w:rPr>
            </w:pPr>
            <w:r w:rsidRPr="00925C19">
              <w:rPr>
                <w:sz w:val="20"/>
                <w:szCs w:val="20"/>
                <w:lang w:val="en-US"/>
              </w:rPr>
              <w:t xml:space="preserve">Marcus A. Klee for the intervener </w:t>
            </w:r>
            <w:r w:rsidRPr="00925C19">
              <w:rPr>
                <w:sz w:val="20"/>
                <w:szCs w:val="20"/>
              </w:rPr>
              <w:t>Association of Universities and Colleges of Canada.</w:t>
            </w:r>
          </w:p>
          <w:p w:rsidR="00B54480" w:rsidRPr="00925C19" w:rsidRDefault="00B54480" w:rsidP="00B54480">
            <w:pPr>
              <w:rPr>
                <w:sz w:val="20"/>
                <w:szCs w:val="20"/>
              </w:rPr>
            </w:pPr>
          </w:p>
          <w:p w:rsidR="00D7136E" w:rsidRPr="00925C19" w:rsidRDefault="00D7136E" w:rsidP="00D7136E">
            <w:pPr>
              <w:rPr>
                <w:sz w:val="20"/>
                <w:szCs w:val="20"/>
              </w:rPr>
            </w:pPr>
            <w:r w:rsidRPr="00925C19">
              <w:rPr>
                <w:sz w:val="20"/>
                <w:szCs w:val="20"/>
                <w:lang w:val="en-US"/>
              </w:rPr>
              <w:t xml:space="preserve">Timothy Pinos, Casey M. Chisick and </w:t>
            </w:r>
            <w:r w:rsidRPr="00925C19">
              <w:rPr>
                <w:sz w:val="20"/>
                <w:szCs w:val="20"/>
              </w:rPr>
              <w:t xml:space="preserve">Jason Beitchman </w:t>
            </w:r>
            <w:r w:rsidRPr="00925C19">
              <w:rPr>
                <w:sz w:val="20"/>
                <w:szCs w:val="20"/>
                <w:lang w:val="en-US"/>
              </w:rPr>
              <w:t xml:space="preserve">for the intervener </w:t>
            </w:r>
            <w:r w:rsidRPr="00925C19">
              <w:rPr>
                <w:sz w:val="20"/>
                <w:szCs w:val="20"/>
              </w:rPr>
              <w:t>CMRRA/SODRAC Inc.</w:t>
            </w:r>
          </w:p>
          <w:p w:rsidR="00D7136E" w:rsidRPr="00925C19" w:rsidRDefault="00D7136E" w:rsidP="00B54480">
            <w:pPr>
              <w:rPr>
                <w:sz w:val="20"/>
                <w:szCs w:val="20"/>
              </w:rPr>
            </w:pPr>
          </w:p>
          <w:p w:rsidR="00D7136E" w:rsidRPr="00925C19" w:rsidRDefault="00D7136E" w:rsidP="00D7136E">
            <w:pPr>
              <w:rPr>
                <w:sz w:val="20"/>
                <w:szCs w:val="20"/>
              </w:rPr>
            </w:pPr>
            <w:r w:rsidRPr="00925C19">
              <w:rPr>
                <w:sz w:val="20"/>
                <w:szCs w:val="20"/>
                <w:lang w:val="en-US"/>
              </w:rPr>
              <w:t xml:space="preserve">Barry B. Sookman and Daniel G.C. Glover for the interveners </w:t>
            </w:r>
            <w:r w:rsidRPr="00925C19">
              <w:rPr>
                <w:sz w:val="20"/>
                <w:szCs w:val="20"/>
              </w:rPr>
              <w:t>Canadian Publishers' Council et al.</w:t>
            </w:r>
          </w:p>
          <w:p w:rsidR="00D7136E" w:rsidRPr="00925C19" w:rsidRDefault="00D7136E" w:rsidP="00B54480">
            <w:pPr>
              <w:rPr>
                <w:sz w:val="20"/>
                <w:szCs w:val="20"/>
              </w:rPr>
            </w:pPr>
          </w:p>
          <w:p w:rsidR="00B54480" w:rsidRPr="00925C19" w:rsidRDefault="00B54480" w:rsidP="00B54480">
            <w:pPr>
              <w:rPr>
                <w:sz w:val="20"/>
                <w:szCs w:val="20"/>
              </w:rPr>
            </w:pPr>
            <w:r w:rsidRPr="00925C19">
              <w:rPr>
                <w:sz w:val="20"/>
                <w:szCs w:val="20"/>
                <w:lang w:val="en-US"/>
              </w:rPr>
              <w:t xml:space="preserve">Written submission only by David Fewer and Jeremy de Beer for the intervener </w:t>
            </w:r>
            <w:r w:rsidRPr="00925C19">
              <w:rPr>
                <w:sz w:val="20"/>
                <w:szCs w:val="20"/>
              </w:rPr>
              <w:t>Samuelson-Glushko Canadian Internet Policy and Public Interest Clinic</w:t>
            </w:r>
            <w:r w:rsidR="00A11A4C" w:rsidRPr="00925C19">
              <w:rPr>
                <w:sz w:val="20"/>
                <w:szCs w:val="20"/>
              </w:rPr>
              <w:t>.</w:t>
            </w:r>
          </w:p>
          <w:p w:rsidR="00A11A4C" w:rsidRPr="00925C19" w:rsidRDefault="00A11A4C" w:rsidP="00B54480">
            <w:pPr>
              <w:rPr>
                <w:sz w:val="20"/>
                <w:szCs w:val="20"/>
              </w:rPr>
            </w:pPr>
          </w:p>
          <w:p w:rsidR="00A11A4C" w:rsidRPr="00925C19" w:rsidRDefault="00A11A4C" w:rsidP="00A11A4C">
            <w:pPr>
              <w:rPr>
                <w:sz w:val="20"/>
                <w:szCs w:val="20"/>
              </w:rPr>
            </w:pPr>
            <w:r w:rsidRPr="00925C19">
              <w:rPr>
                <w:sz w:val="20"/>
                <w:szCs w:val="20"/>
                <w:lang w:val="en-US"/>
              </w:rPr>
              <w:t xml:space="preserve">Written submission only by Wendy Matheson, Andrew Bernstein and Alexandra Peterson for the interveners </w:t>
            </w:r>
            <w:r w:rsidRPr="00925C19">
              <w:rPr>
                <w:sz w:val="20"/>
                <w:szCs w:val="20"/>
              </w:rPr>
              <w:t xml:space="preserve">Canadian Association of University Teachers et al. </w:t>
            </w:r>
          </w:p>
          <w:p w:rsidR="00A11A4C" w:rsidRPr="00925C19" w:rsidRDefault="00A11A4C" w:rsidP="00B54480">
            <w:pPr>
              <w:rPr>
                <w:sz w:val="20"/>
                <w:szCs w:val="20"/>
              </w:rPr>
            </w:pPr>
          </w:p>
          <w:p w:rsidR="00B54480" w:rsidRPr="00925C19" w:rsidRDefault="00A11A4C" w:rsidP="00B54480">
            <w:pPr>
              <w:rPr>
                <w:sz w:val="20"/>
                <w:szCs w:val="20"/>
              </w:rPr>
            </w:pPr>
            <w:r w:rsidRPr="00925C19">
              <w:rPr>
                <w:sz w:val="20"/>
                <w:szCs w:val="20"/>
                <w:lang w:val="en-US"/>
              </w:rPr>
              <w:t xml:space="preserve">Written submission only by Howard P. Knopf and Ariel Katz for the intervener </w:t>
            </w:r>
            <w:r w:rsidRPr="00925C19">
              <w:rPr>
                <w:sz w:val="20"/>
                <w:szCs w:val="20"/>
              </w:rPr>
              <w:t>Centre for Innovation Law and Policy of the Faculty of Law University of Toronto.</w:t>
            </w:r>
          </w:p>
          <w:p w:rsidR="00A11A4C" w:rsidRPr="00925C19" w:rsidRDefault="00A11A4C" w:rsidP="00B54480">
            <w:pPr>
              <w:rPr>
                <w:sz w:val="20"/>
                <w:szCs w:val="20"/>
              </w:rPr>
            </w:pPr>
          </w:p>
          <w:p w:rsidR="00925C19" w:rsidRPr="00925C19" w:rsidRDefault="00925C19" w:rsidP="00925C19">
            <w:pPr>
              <w:rPr>
                <w:sz w:val="20"/>
                <w:szCs w:val="20"/>
              </w:rPr>
            </w:pPr>
            <w:r w:rsidRPr="00925C19">
              <w:rPr>
                <w:sz w:val="20"/>
                <w:szCs w:val="20"/>
                <w:lang w:val="en-US"/>
              </w:rPr>
              <w:t xml:space="preserve">Written submission only for the interveners </w:t>
            </w:r>
          </w:p>
          <w:p w:rsidR="00137F05" w:rsidRPr="00C50A5C" w:rsidRDefault="00925C19" w:rsidP="00CA7B5C">
            <w:pPr>
              <w:rPr>
                <w:sz w:val="20"/>
                <w:szCs w:val="20"/>
              </w:rPr>
            </w:pPr>
            <w:r w:rsidRPr="00925C19">
              <w:rPr>
                <w:sz w:val="20"/>
                <w:szCs w:val="20"/>
              </w:rPr>
              <w:t>Canadian Authors Association et al.</w:t>
            </w:r>
          </w:p>
        </w:tc>
      </w:tr>
    </w:tbl>
    <w:p w:rsidR="00AC0E60" w:rsidRDefault="00AC0E60" w:rsidP="00AC0E60">
      <w:pPr>
        <w:widowControl w:val="0"/>
      </w:pPr>
    </w:p>
    <w:p w:rsidR="00AC0E60" w:rsidRPr="0085476B" w:rsidRDefault="00AC0E60" w:rsidP="00AC0E60">
      <w:pPr>
        <w:widowControl w:val="0"/>
        <w:rPr>
          <w:sz w:val="20"/>
          <w:szCs w:val="20"/>
        </w:rPr>
      </w:pPr>
      <w:r w:rsidRPr="0085476B">
        <w:rPr>
          <w:b/>
          <w:sz w:val="20"/>
          <w:szCs w:val="20"/>
        </w:rPr>
        <w:t xml:space="preserve">RESERVED / </w:t>
      </w:r>
      <w:r w:rsidRPr="0085476B">
        <w:rPr>
          <w:b/>
          <w:sz w:val="20"/>
          <w:szCs w:val="20"/>
          <w:lang w:val="fr-CA"/>
        </w:rPr>
        <w:t>EN DÉLIBÉRÉ</w:t>
      </w:r>
    </w:p>
    <w:p w:rsidR="00AC0E60" w:rsidRDefault="00AC0E60" w:rsidP="00AC0E60"/>
    <w:tbl>
      <w:tblPr>
        <w:tblW w:w="0" w:type="auto"/>
        <w:tblLayout w:type="fixed"/>
        <w:tblCellMar>
          <w:left w:w="0" w:type="dxa"/>
          <w:right w:w="0" w:type="dxa"/>
        </w:tblCellMar>
        <w:tblLook w:val="0000"/>
      </w:tblPr>
      <w:tblGrid>
        <w:gridCol w:w="4380"/>
        <w:gridCol w:w="720"/>
        <w:gridCol w:w="4380"/>
      </w:tblGrid>
      <w:tr w:rsidR="00AC0E60" w:rsidRPr="0063214B" w:rsidTr="00AC0E60">
        <w:tc>
          <w:tcPr>
            <w:tcW w:w="4380" w:type="dxa"/>
            <w:tcMar>
              <w:left w:w="0" w:type="dxa"/>
              <w:right w:w="0" w:type="dxa"/>
            </w:tcMar>
          </w:tcPr>
          <w:p w:rsidR="00AC0E60" w:rsidRPr="00CC4D84" w:rsidRDefault="00AC0E60" w:rsidP="00AC0E60">
            <w:pPr>
              <w:widowControl w:val="0"/>
              <w:jc w:val="both"/>
              <w:rPr>
                <w:b/>
                <w:sz w:val="20"/>
                <w:szCs w:val="20"/>
                <w:u w:val="single"/>
              </w:rPr>
            </w:pPr>
            <w:r w:rsidRPr="00CC4D84">
              <w:rPr>
                <w:b/>
                <w:sz w:val="20"/>
                <w:szCs w:val="20"/>
                <w:u w:val="single"/>
              </w:rPr>
              <w:t>Nature of the case:</w:t>
            </w:r>
          </w:p>
          <w:p w:rsidR="00AC0E60" w:rsidRPr="00C1697B" w:rsidRDefault="00AC0E60" w:rsidP="00AC0E60">
            <w:pPr>
              <w:widowControl w:val="0"/>
              <w:jc w:val="both"/>
              <w:rPr>
                <w:b/>
                <w:sz w:val="20"/>
                <w:szCs w:val="20"/>
              </w:rPr>
            </w:pPr>
          </w:p>
          <w:p w:rsidR="00AC0E60" w:rsidRPr="00C1697B" w:rsidRDefault="0068445B" w:rsidP="00AC0E60">
            <w:pPr>
              <w:widowControl w:val="0"/>
              <w:jc w:val="both"/>
              <w:rPr>
                <w:b/>
                <w:sz w:val="20"/>
                <w:szCs w:val="20"/>
              </w:rPr>
            </w:pPr>
            <w:r w:rsidRPr="0068445B">
              <w:rPr>
                <w:rFonts w:eastAsia="Calibri" w:cs="Times New Roman"/>
                <w:sz w:val="20"/>
                <w:szCs w:val="20"/>
              </w:rPr>
              <w:t xml:space="preserve">Intellectual property </w:t>
            </w:r>
            <w:r w:rsidRPr="0068445B">
              <w:rPr>
                <w:rFonts w:eastAsia="Calibri" w:cs="Times New Roman"/>
                <w:sz w:val="20"/>
                <w:szCs w:val="20"/>
              </w:rPr>
              <w:noBreakHyphen/>
              <w:t xml:space="preserve"> Copyright </w:t>
            </w:r>
            <w:r w:rsidRPr="0068445B">
              <w:rPr>
                <w:rFonts w:eastAsia="Calibri" w:cs="Times New Roman"/>
                <w:sz w:val="20"/>
                <w:szCs w:val="20"/>
              </w:rPr>
              <w:noBreakHyphen/>
              <w:t xml:space="preserve"> Fair dealing </w:t>
            </w:r>
            <w:r w:rsidRPr="0068445B">
              <w:rPr>
                <w:rFonts w:eastAsia="Calibri" w:cs="Times New Roman"/>
                <w:sz w:val="20"/>
                <w:szCs w:val="20"/>
              </w:rPr>
              <w:noBreakHyphen/>
              <w:t xml:space="preserve"> Copyright Board approving tariff that included as remunerable use the photocopying of excerpts primarily from textbooks for use in classroom instruction for students in kindergarten to grade 12 </w:t>
            </w:r>
            <w:r w:rsidRPr="0068445B">
              <w:rPr>
                <w:rFonts w:eastAsia="Calibri" w:cs="Times New Roman"/>
                <w:sz w:val="20"/>
                <w:szCs w:val="20"/>
              </w:rPr>
              <w:noBreakHyphen/>
              <w:t xml:space="preserve"> Whether such copying constitutes fair dealing </w:t>
            </w:r>
            <w:r w:rsidRPr="0068445B">
              <w:rPr>
                <w:rFonts w:eastAsia="Calibri" w:cs="Times New Roman"/>
                <w:sz w:val="20"/>
                <w:szCs w:val="20"/>
              </w:rPr>
              <w:noBreakHyphen/>
              <w:t xml:space="preserve"> Whether the Federal Court of Appeal erred in upholding the Board’s finding that it is the copier’s purpose, and not the user’s purpose, that is the relevant consideration for fair dealing </w:t>
            </w:r>
            <w:r w:rsidRPr="0068445B">
              <w:rPr>
                <w:rFonts w:eastAsia="Calibri" w:cs="Times New Roman"/>
                <w:sz w:val="20"/>
                <w:szCs w:val="20"/>
              </w:rPr>
              <w:noBreakHyphen/>
              <w:t xml:space="preserve"> Whether the Federal Court of Appeal erred in upholding the Board’s decision to look at copying in aggregate, and not individually, in determining fairness </w:t>
            </w:r>
            <w:r w:rsidRPr="0068445B">
              <w:rPr>
                <w:rFonts w:eastAsia="Calibri" w:cs="Times New Roman"/>
                <w:sz w:val="20"/>
                <w:szCs w:val="20"/>
              </w:rPr>
              <w:noBreakHyphen/>
              <w:t xml:space="preserve"> Whether the Federal Court of Appeal erred by not applying the “not restrictive” interpretation that fair dealing warrants under the decision of this Court in </w:t>
            </w:r>
            <w:r w:rsidRPr="0068445B">
              <w:rPr>
                <w:rFonts w:eastAsia="Calibri" w:cs="Times New Roman"/>
                <w:i/>
                <w:sz w:val="20"/>
                <w:szCs w:val="20"/>
              </w:rPr>
              <w:t>CCH v. Law Society of Upper Canada</w:t>
            </w:r>
            <w:r w:rsidRPr="0068445B">
              <w:rPr>
                <w:rFonts w:eastAsia="Calibri" w:cs="Times New Roman"/>
                <w:sz w:val="20"/>
                <w:szCs w:val="20"/>
              </w:rPr>
              <w:t xml:space="preserve">, [2004] 1 S.C.R. 339 </w:t>
            </w:r>
            <w:r w:rsidRPr="0068445B">
              <w:rPr>
                <w:rFonts w:eastAsia="Calibri" w:cs="Times New Roman"/>
                <w:sz w:val="20"/>
                <w:szCs w:val="20"/>
              </w:rPr>
              <w:noBreakHyphen/>
              <w:t xml:space="preserve"> Whether the Federal Court of Appeal erred in applying the standard of reasonableness, and not correctness, in its judicial review </w:t>
            </w:r>
            <w:r w:rsidRPr="0068445B">
              <w:rPr>
                <w:rFonts w:eastAsia="Calibri" w:cs="Times New Roman"/>
                <w:sz w:val="20"/>
                <w:szCs w:val="20"/>
              </w:rPr>
              <w:noBreakHyphen/>
              <w:t xml:space="preserve"> Sections 29, 29.1 and 29.4 of the </w:t>
            </w:r>
            <w:r w:rsidRPr="0068445B">
              <w:rPr>
                <w:rFonts w:eastAsia="Calibri" w:cs="Times New Roman"/>
                <w:i/>
                <w:sz w:val="20"/>
                <w:szCs w:val="20"/>
              </w:rPr>
              <w:t>Copyright Act</w:t>
            </w:r>
            <w:r w:rsidRPr="0068445B">
              <w:rPr>
                <w:rFonts w:eastAsia="Calibri" w:cs="Times New Roman"/>
                <w:sz w:val="20"/>
                <w:szCs w:val="20"/>
              </w:rPr>
              <w:t>, R.S.C. 1985, c. C</w:t>
            </w:r>
            <w:r w:rsidRPr="0068445B">
              <w:rPr>
                <w:rFonts w:eastAsia="Calibri" w:cs="Times New Roman"/>
                <w:sz w:val="20"/>
                <w:szCs w:val="20"/>
              </w:rPr>
              <w:noBreakHyphen/>
              <w:t>42.</w:t>
            </w:r>
          </w:p>
        </w:tc>
        <w:tc>
          <w:tcPr>
            <w:tcW w:w="720" w:type="dxa"/>
            <w:tcMar>
              <w:left w:w="0" w:type="dxa"/>
              <w:right w:w="0" w:type="dxa"/>
            </w:tcMar>
          </w:tcPr>
          <w:p w:rsidR="00AC0E60" w:rsidRPr="00C1697B" w:rsidRDefault="00AC0E60" w:rsidP="00AC0E60">
            <w:pPr>
              <w:widowControl w:val="0"/>
              <w:jc w:val="center"/>
              <w:rPr>
                <w:sz w:val="20"/>
                <w:szCs w:val="20"/>
              </w:rPr>
            </w:pPr>
          </w:p>
        </w:tc>
        <w:tc>
          <w:tcPr>
            <w:tcW w:w="4380" w:type="dxa"/>
            <w:tcMar>
              <w:left w:w="0" w:type="dxa"/>
              <w:right w:w="0" w:type="dxa"/>
            </w:tcMar>
          </w:tcPr>
          <w:p w:rsidR="00AC0E60" w:rsidRPr="00CC4D84" w:rsidRDefault="00AC0E60" w:rsidP="00AC0E60">
            <w:pPr>
              <w:widowControl w:val="0"/>
              <w:jc w:val="both"/>
              <w:rPr>
                <w:b/>
                <w:sz w:val="20"/>
                <w:szCs w:val="20"/>
                <w:u w:val="single"/>
                <w:lang w:val="fr-CA"/>
              </w:rPr>
            </w:pPr>
            <w:r w:rsidRPr="00CC4D84">
              <w:rPr>
                <w:b/>
                <w:sz w:val="20"/>
                <w:szCs w:val="20"/>
                <w:u w:val="single"/>
                <w:lang w:val="fr-CA"/>
              </w:rPr>
              <w:t>Nature de la cause :</w:t>
            </w:r>
          </w:p>
          <w:p w:rsidR="00AC0E60" w:rsidRPr="00C1697B" w:rsidRDefault="00AC0E60" w:rsidP="00AC0E60">
            <w:pPr>
              <w:widowControl w:val="0"/>
              <w:jc w:val="both"/>
              <w:rPr>
                <w:sz w:val="20"/>
                <w:szCs w:val="20"/>
                <w:lang w:val="fr-CA"/>
              </w:rPr>
            </w:pPr>
          </w:p>
          <w:p w:rsidR="00AC0E60" w:rsidRPr="00CC2FB6" w:rsidRDefault="00CC2FB6" w:rsidP="00CC2FB6">
            <w:pPr>
              <w:widowControl w:val="0"/>
              <w:jc w:val="both"/>
              <w:rPr>
                <w:sz w:val="20"/>
                <w:szCs w:val="20"/>
                <w:lang w:val="fr-CA"/>
              </w:rPr>
            </w:pPr>
            <w:r w:rsidRPr="00CC2FB6">
              <w:rPr>
                <w:sz w:val="20"/>
                <w:szCs w:val="20"/>
                <w:lang w:val="fr-CA"/>
              </w:rPr>
              <w:t xml:space="preserve">Propriété intellectuelle </w:t>
            </w:r>
            <w:r w:rsidRPr="00CC2FB6">
              <w:rPr>
                <w:sz w:val="20"/>
                <w:szCs w:val="20"/>
                <w:lang w:val="fr-CA"/>
              </w:rPr>
              <w:noBreakHyphen/>
              <w:t xml:space="preserve"> Droit d’auteur </w:t>
            </w:r>
            <w:r w:rsidRPr="00CC2FB6">
              <w:rPr>
                <w:sz w:val="20"/>
                <w:szCs w:val="20"/>
                <w:lang w:val="fr-CA"/>
              </w:rPr>
              <w:noBreakHyphen/>
              <w:t xml:space="preserve"> Utilisation équitable </w:t>
            </w:r>
            <w:r w:rsidRPr="00CC2FB6">
              <w:rPr>
                <w:sz w:val="20"/>
                <w:szCs w:val="20"/>
                <w:lang w:val="fr-CA"/>
              </w:rPr>
              <w:noBreakHyphen/>
              <w:t xml:space="preserve"> Tarif homologué par la Commission du droit d’auteur, qui comprend parmi les utilisations ouvrant droit à rémunération la photocopie d’extraits de manuels scolaires destinés aux élèves de la maternelle à la 12</w:t>
            </w:r>
            <w:r w:rsidRPr="00CC2FB6">
              <w:rPr>
                <w:sz w:val="20"/>
                <w:szCs w:val="20"/>
                <w:vertAlign w:val="superscript"/>
                <w:lang w:val="fr-CA"/>
              </w:rPr>
              <w:t>e</w:t>
            </w:r>
            <w:r w:rsidRPr="00CC2FB6">
              <w:rPr>
                <w:sz w:val="20"/>
                <w:szCs w:val="20"/>
                <w:lang w:val="fr-CA"/>
              </w:rPr>
              <w:t xml:space="preserve"> année </w:t>
            </w:r>
            <w:r w:rsidRPr="00CC2FB6">
              <w:rPr>
                <w:sz w:val="20"/>
                <w:szCs w:val="20"/>
                <w:lang w:val="fr-CA"/>
              </w:rPr>
              <w:noBreakHyphen/>
              <w:t xml:space="preserve"> Ces photocopies constituent</w:t>
            </w:r>
            <w:r w:rsidRPr="00CC2FB6">
              <w:rPr>
                <w:sz w:val="20"/>
                <w:szCs w:val="20"/>
                <w:lang w:val="fr-CA"/>
              </w:rPr>
              <w:noBreakHyphen/>
              <w:t xml:space="preserve">elles une utilisation équitable? </w:t>
            </w:r>
            <w:r w:rsidRPr="00CC2FB6">
              <w:rPr>
                <w:sz w:val="20"/>
                <w:szCs w:val="20"/>
                <w:lang w:val="fr-CA"/>
              </w:rPr>
              <w:noBreakHyphen/>
              <w:t xml:space="preserve"> La Cour d’appel fédérale a</w:t>
            </w:r>
            <w:r w:rsidRPr="00CC2FB6">
              <w:rPr>
                <w:sz w:val="20"/>
                <w:szCs w:val="20"/>
                <w:lang w:val="fr-CA"/>
              </w:rPr>
              <w:noBreakHyphen/>
              <w:t>t</w:t>
            </w:r>
            <w:r w:rsidRPr="00CC2FB6">
              <w:rPr>
                <w:sz w:val="20"/>
                <w:szCs w:val="20"/>
                <w:lang w:val="fr-CA"/>
              </w:rPr>
              <w:noBreakHyphen/>
              <w:t xml:space="preserve">elle commis une erreur en confirmant la conclusion de la Commission selon laquelle c’est la fin poursuivie par la personne qui fait la photocopie et non pas la fin poursuivie par l’usager qui est la considération pertinente en matière d’utilisation équitable? </w:t>
            </w:r>
            <w:r w:rsidRPr="00CC2FB6">
              <w:rPr>
                <w:sz w:val="20"/>
                <w:szCs w:val="20"/>
                <w:lang w:val="fr-CA"/>
              </w:rPr>
              <w:noBreakHyphen/>
              <w:t xml:space="preserve"> La Cour d’appel fédérale a</w:t>
            </w:r>
            <w:r w:rsidRPr="00CC2FB6">
              <w:rPr>
                <w:sz w:val="20"/>
                <w:szCs w:val="20"/>
                <w:lang w:val="fr-CA"/>
              </w:rPr>
              <w:noBreakHyphen/>
              <w:t>t</w:t>
            </w:r>
            <w:r w:rsidRPr="00CC2FB6">
              <w:rPr>
                <w:sz w:val="20"/>
                <w:szCs w:val="20"/>
                <w:lang w:val="fr-CA"/>
              </w:rPr>
              <w:noBreakHyphen/>
              <w:t xml:space="preserve">elle commis une erreur, en traitant la question de l’équité, en confirmant la décision de la Commission d’examiner la reproduction dans son ensemble et non pas séparément? </w:t>
            </w:r>
            <w:r w:rsidRPr="00CC2FB6">
              <w:rPr>
                <w:sz w:val="20"/>
                <w:szCs w:val="20"/>
                <w:lang w:val="fr-CA"/>
              </w:rPr>
              <w:noBreakHyphen/>
              <w:t xml:space="preserve"> La Cour d’appel fédérale a</w:t>
            </w:r>
            <w:r w:rsidRPr="00CC2FB6">
              <w:rPr>
                <w:sz w:val="20"/>
                <w:szCs w:val="20"/>
                <w:lang w:val="fr-CA"/>
              </w:rPr>
              <w:noBreakHyphen/>
              <w:t>t</w:t>
            </w:r>
            <w:r w:rsidRPr="00CC2FB6">
              <w:rPr>
                <w:sz w:val="20"/>
                <w:szCs w:val="20"/>
                <w:lang w:val="fr-CA"/>
              </w:rPr>
              <w:noBreakHyphen/>
              <w:t xml:space="preserve">elle commis une erreur en n’appliquant pas l’interprétation « large et libérale » qui, selon la décision rendue par la Cour dans l’arrêt </w:t>
            </w:r>
            <w:r w:rsidRPr="00CC2FB6">
              <w:rPr>
                <w:i/>
                <w:sz w:val="20"/>
                <w:szCs w:val="20"/>
                <w:lang w:val="fr-CA"/>
              </w:rPr>
              <w:t>CCH c. Barreau du Haut</w:t>
            </w:r>
            <w:r w:rsidRPr="00CC2FB6">
              <w:rPr>
                <w:i/>
                <w:sz w:val="20"/>
                <w:szCs w:val="20"/>
                <w:lang w:val="fr-CA"/>
              </w:rPr>
              <w:noBreakHyphen/>
              <w:t>Canada</w:t>
            </w:r>
            <w:r w:rsidRPr="00CC2FB6">
              <w:rPr>
                <w:sz w:val="20"/>
                <w:szCs w:val="20"/>
                <w:lang w:val="fr-CA"/>
              </w:rPr>
              <w:t xml:space="preserve">, [2004] 1 R.C.S. 339, doit être appliquée en matière d’utilisation équitable? </w:t>
            </w:r>
            <w:r w:rsidRPr="00CC2FB6">
              <w:rPr>
                <w:sz w:val="20"/>
                <w:szCs w:val="20"/>
                <w:lang w:val="fr-CA"/>
              </w:rPr>
              <w:noBreakHyphen/>
              <w:t xml:space="preserve"> La Cour d’appel fédérale a</w:t>
            </w:r>
            <w:r w:rsidRPr="00CC2FB6">
              <w:rPr>
                <w:sz w:val="20"/>
                <w:szCs w:val="20"/>
                <w:lang w:val="fr-CA"/>
              </w:rPr>
              <w:noBreakHyphen/>
              <w:t>t</w:t>
            </w:r>
            <w:r w:rsidRPr="00CC2FB6">
              <w:rPr>
                <w:sz w:val="20"/>
                <w:szCs w:val="20"/>
                <w:lang w:val="fr-CA"/>
              </w:rPr>
              <w:noBreakHyphen/>
              <w:t xml:space="preserve">elle commis une erreur en appliquant, dans le cadre de son contrôle judiciaire, la norme de la décision raisonnable et non pas celle de la décision correcte? </w:t>
            </w:r>
            <w:r w:rsidRPr="00CC2FB6">
              <w:rPr>
                <w:sz w:val="20"/>
                <w:szCs w:val="20"/>
                <w:lang w:val="fr-CA"/>
              </w:rPr>
              <w:noBreakHyphen/>
              <w:t xml:space="preserve"> Articles 29, 29.1 et 29.4 de la </w:t>
            </w:r>
            <w:r w:rsidRPr="00CC2FB6">
              <w:rPr>
                <w:i/>
                <w:sz w:val="20"/>
                <w:szCs w:val="20"/>
                <w:lang w:val="fr-CA"/>
              </w:rPr>
              <w:t>Loi sur le droit d’auteur</w:t>
            </w:r>
            <w:r w:rsidRPr="00CC2FB6">
              <w:rPr>
                <w:sz w:val="20"/>
                <w:szCs w:val="20"/>
                <w:lang w:val="fr-CA"/>
              </w:rPr>
              <w:t>, L.R.C. 1985, ch. C</w:t>
            </w:r>
            <w:r w:rsidRPr="00CC2FB6">
              <w:rPr>
                <w:sz w:val="20"/>
                <w:szCs w:val="20"/>
                <w:lang w:val="fr-CA"/>
              </w:rPr>
              <w:noBreakHyphen/>
              <w:t>42.</w:t>
            </w:r>
          </w:p>
        </w:tc>
      </w:tr>
    </w:tbl>
    <w:p w:rsidR="00AC0E60" w:rsidRPr="00404951" w:rsidRDefault="00AC0E60" w:rsidP="00AC0E60">
      <w:pPr>
        <w:widowControl w:val="0"/>
        <w:rPr>
          <w:sz w:val="20"/>
          <w:szCs w:val="20"/>
          <w:lang w:val="fr-CA"/>
        </w:rPr>
      </w:pPr>
    </w:p>
    <w:p w:rsidR="00AC0E60" w:rsidRPr="00C1697B" w:rsidRDefault="008A6550" w:rsidP="00AC0E60">
      <w:pPr>
        <w:widowControl w:val="0"/>
        <w:rPr>
          <w:sz w:val="20"/>
          <w:szCs w:val="20"/>
          <w:lang w:val="fr-CA"/>
        </w:rPr>
      </w:pPr>
      <w:r w:rsidRPr="008A6550">
        <w:rPr>
          <w:sz w:val="20"/>
          <w:szCs w:val="20"/>
          <w:lang w:val="fr-CA"/>
        </w:rPr>
        <w:pict>
          <v:rect id="_x0000_i1100" style="width:2in;height:1pt" o:hrpct="0" o:hralign="center" o:hrstd="t" o:hrnoshade="t" o:hr="t" fillcolor="black [3213]" stroked="f"/>
        </w:pict>
      </w:r>
    </w:p>
    <w:p w:rsidR="0039793E" w:rsidRDefault="0039793E" w:rsidP="0039793E">
      <w:pPr>
        <w:widowControl w:val="0"/>
        <w:rPr>
          <w:sz w:val="20"/>
          <w:szCs w:val="20"/>
        </w:rPr>
      </w:pPr>
    </w:p>
    <w:p w:rsidR="0039793E" w:rsidRDefault="0039793E" w:rsidP="0039793E">
      <w:pPr>
        <w:widowControl w:val="0"/>
        <w:rPr>
          <w:sz w:val="20"/>
          <w:szCs w:val="20"/>
        </w:rPr>
      </w:pPr>
      <w:r>
        <w:rPr>
          <w:sz w:val="20"/>
          <w:szCs w:val="20"/>
        </w:rPr>
        <w:t>07.12.2011</w:t>
      </w:r>
    </w:p>
    <w:p w:rsidR="0039793E" w:rsidRDefault="0039793E" w:rsidP="0039793E">
      <w:pPr>
        <w:widowControl w:val="0"/>
        <w:rPr>
          <w:sz w:val="20"/>
          <w:szCs w:val="20"/>
        </w:rPr>
      </w:pPr>
    </w:p>
    <w:p w:rsidR="0039793E" w:rsidRDefault="0039793E" w:rsidP="0039793E">
      <w:pPr>
        <w:widowControl w:val="0"/>
        <w:rPr>
          <w:sz w:val="20"/>
          <w:szCs w:val="20"/>
        </w:rPr>
      </w:pPr>
      <w:r>
        <w:rPr>
          <w:sz w:val="20"/>
          <w:szCs w:val="20"/>
        </w:rPr>
        <w:t xml:space="preserve">Coram: </w:t>
      </w:r>
      <w:r w:rsidRPr="006E0EF4">
        <w:rPr>
          <w:sz w:val="20"/>
          <w:szCs w:val="20"/>
          <w:u w:val="single"/>
          <w:lang w:val="en-US"/>
        </w:rPr>
        <w:t>McLachlin C.J. and LeBel, Deschamps, Fish, Abella, Rothstein, Cromwell, Moldaver and Karakatsanis JJ.</w:t>
      </w:r>
    </w:p>
    <w:p w:rsidR="0039793E" w:rsidRDefault="0039793E" w:rsidP="0039793E">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39793E" w:rsidRPr="00C71799" w:rsidTr="0039793E">
        <w:tc>
          <w:tcPr>
            <w:tcW w:w="4380" w:type="dxa"/>
            <w:tcMar>
              <w:left w:w="0" w:type="dxa"/>
              <w:right w:w="0" w:type="dxa"/>
            </w:tcMar>
          </w:tcPr>
          <w:p w:rsidR="0039793E" w:rsidRPr="0039793E" w:rsidRDefault="0039793E" w:rsidP="0039793E">
            <w:pPr>
              <w:rPr>
                <w:rStyle w:val="SCCSsocChar"/>
                <w:b/>
                <w:i w:val="0"/>
              </w:rPr>
            </w:pPr>
            <w:r w:rsidRPr="003D7F40">
              <w:rPr>
                <w:rStyle w:val="SCCSsocChar"/>
                <w:b/>
                <w:i w:val="0"/>
                <w:szCs w:val="24"/>
              </w:rPr>
              <w:t>R</w:t>
            </w:r>
            <w:r w:rsidRPr="0039793E">
              <w:rPr>
                <w:rStyle w:val="SCCSsocChar"/>
                <w:b/>
                <w:i w:val="0"/>
              </w:rPr>
              <w:t xml:space="preserve">e:Sound </w:t>
            </w:r>
          </w:p>
          <w:p w:rsidR="0039793E" w:rsidRPr="0039793E" w:rsidRDefault="0039793E" w:rsidP="0039793E">
            <w:pPr>
              <w:rPr>
                <w:rStyle w:val="SCCSsocChar"/>
                <w:b/>
                <w:i w:val="0"/>
              </w:rPr>
            </w:pPr>
          </w:p>
          <w:p w:rsidR="0039793E" w:rsidRPr="0039793E" w:rsidRDefault="0039793E" w:rsidP="0039793E">
            <w:pPr>
              <w:widowControl w:val="0"/>
              <w:tabs>
                <w:tab w:val="left" w:pos="736"/>
              </w:tabs>
              <w:jc w:val="both"/>
              <w:rPr>
                <w:b/>
                <w:sz w:val="20"/>
                <w:szCs w:val="20"/>
                <w:lang w:val="en-US"/>
              </w:rPr>
            </w:pPr>
            <w:r w:rsidRPr="0039793E">
              <w:rPr>
                <w:b/>
                <w:sz w:val="20"/>
                <w:szCs w:val="20"/>
                <w:lang w:val="en-US"/>
              </w:rPr>
              <w:tab/>
              <w:t>v. (</w:t>
            </w:r>
            <w:r w:rsidRPr="0039793E">
              <w:rPr>
                <w:b/>
                <w:sz w:val="20"/>
                <w:szCs w:val="20"/>
              </w:rPr>
              <w:t>34210</w:t>
            </w:r>
            <w:r w:rsidRPr="0039793E">
              <w:rPr>
                <w:b/>
                <w:sz w:val="20"/>
                <w:szCs w:val="20"/>
                <w:lang w:val="en-US"/>
              </w:rPr>
              <w:t>)</w:t>
            </w:r>
          </w:p>
          <w:p w:rsidR="0039793E" w:rsidRPr="0039793E" w:rsidRDefault="0039793E" w:rsidP="0039793E">
            <w:pPr>
              <w:rPr>
                <w:rStyle w:val="SCCSsocChar"/>
                <w:b/>
                <w:i w:val="0"/>
              </w:rPr>
            </w:pPr>
          </w:p>
          <w:p w:rsidR="0039793E" w:rsidRPr="00660A94" w:rsidRDefault="0039793E" w:rsidP="0039793E">
            <w:pPr>
              <w:widowControl w:val="0"/>
              <w:jc w:val="both"/>
              <w:rPr>
                <w:sz w:val="20"/>
                <w:szCs w:val="20"/>
                <w:lang w:val="en-US"/>
              </w:rPr>
            </w:pPr>
            <w:r w:rsidRPr="0039793E">
              <w:rPr>
                <w:rStyle w:val="SCCSsocChar"/>
                <w:b/>
                <w:i w:val="0"/>
              </w:rPr>
              <w:t>Motion Picture Theatre Associations of Canada et al</w:t>
            </w:r>
            <w:r w:rsidRPr="0039793E">
              <w:rPr>
                <w:rStyle w:val="SCCSsocChar"/>
                <w:b/>
              </w:rPr>
              <w:t>.</w:t>
            </w:r>
            <w:r w:rsidRPr="0039793E">
              <w:rPr>
                <w:b/>
                <w:sz w:val="20"/>
                <w:szCs w:val="20"/>
              </w:rPr>
              <w:t xml:space="preserve"> (F.C.) (Civil) (By Leave)</w:t>
            </w:r>
            <w:r>
              <w:rPr>
                <w:szCs w:val="24"/>
              </w:rPr>
              <w:t xml:space="preserve"> </w:t>
            </w:r>
          </w:p>
        </w:tc>
        <w:tc>
          <w:tcPr>
            <w:tcW w:w="720" w:type="dxa"/>
            <w:tcMar>
              <w:left w:w="0" w:type="dxa"/>
              <w:right w:w="0" w:type="dxa"/>
            </w:tcMar>
          </w:tcPr>
          <w:p w:rsidR="0039793E" w:rsidRPr="00660A94" w:rsidRDefault="0039793E" w:rsidP="0039793E">
            <w:pPr>
              <w:widowControl w:val="0"/>
              <w:jc w:val="center"/>
              <w:rPr>
                <w:sz w:val="20"/>
                <w:szCs w:val="20"/>
                <w:lang w:val="en-US"/>
              </w:rPr>
            </w:pPr>
          </w:p>
        </w:tc>
        <w:tc>
          <w:tcPr>
            <w:tcW w:w="4380" w:type="dxa"/>
            <w:tcMar>
              <w:left w:w="0" w:type="dxa"/>
              <w:right w:w="0" w:type="dxa"/>
            </w:tcMar>
          </w:tcPr>
          <w:p w:rsidR="007C5D59" w:rsidRDefault="007C5D59" w:rsidP="007C5D59">
            <w:pPr>
              <w:widowControl w:val="0"/>
              <w:jc w:val="both"/>
              <w:rPr>
                <w:sz w:val="20"/>
                <w:szCs w:val="20"/>
              </w:rPr>
            </w:pPr>
            <w:r w:rsidRPr="007C5D59">
              <w:rPr>
                <w:sz w:val="20"/>
                <w:szCs w:val="20"/>
              </w:rPr>
              <w:t>Mahmud Jamal</w:t>
            </w:r>
            <w:r>
              <w:rPr>
                <w:sz w:val="20"/>
                <w:szCs w:val="20"/>
              </w:rPr>
              <w:t xml:space="preserve">, </w:t>
            </w:r>
            <w:r w:rsidRPr="007C5D59">
              <w:rPr>
                <w:sz w:val="20"/>
                <w:szCs w:val="20"/>
              </w:rPr>
              <w:t>Glen Bloom</w:t>
            </w:r>
            <w:r>
              <w:rPr>
                <w:sz w:val="20"/>
                <w:szCs w:val="20"/>
              </w:rPr>
              <w:t xml:space="preserve">, </w:t>
            </w:r>
            <w:r w:rsidRPr="007C5D59">
              <w:rPr>
                <w:sz w:val="20"/>
                <w:szCs w:val="20"/>
              </w:rPr>
              <w:t>Marcus Klee</w:t>
            </w:r>
            <w:r>
              <w:rPr>
                <w:sz w:val="20"/>
                <w:szCs w:val="20"/>
              </w:rPr>
              <w:t xml:space="preserve"> and </w:t>
            </w:r>
            <w:r w:rsidRPr="007C5D59">
              <w:rPr>
                <w:sz w:val="20"/>
                <w:szCs w:val="20"/>
              </w:rPr>
              <w:t>Jason MacLean</w:t>
            </w:r>
            <w:r>
              <w:rPr>
                <w:sz w:val="20"/>
                <w:szCs w:val="20"/>
              </w:rPr>
              <w:t xml:space="preserve"> f</w:t>
            </w:r>
            <w:r w:rsidRPr="007C5D59">
              <w:rPr>
                <w:sz w:val="20"/>
                <w:szCs w:val="20"/>
              </w:rPr>
              <w:t xml:space="preserve">or the </w:t>
            </w:r>
            <w:r>
              <w:rPr>
                <w:sz w:val="20"/>
                <w:szCs w:val="20"/>
              </w:rPr>
              <w:t>a</w:t>
            </w:r>
            <w:r w:rsidRPr="007C5D59">
              <w:rPr>
                <w:sz w:val="20"/>
                <w:szCs w:val="20"/>
              </w:rPr>
              <w:t>ppellant</w:t>
            </w:r>
            <w:r>
              <w:rPr>
                <w:sz w:val="20"/>
                <w:szCs w:val="20"/>
              </w:rPr>
              <w:t>.</w:t>
            </w:r>
          </w:p>
          <w:p w:rsidR="007C5D59" w:rsidRDefault="007C5D59" w:rsidP="007C5D59">
            <w:pPr>
              <w:widowControl w:val="0"/>
              <w:jc w:val="both"/>
              <w:rPr>
                <w:sz w:val="20"/>
                <w:szCs w:val="20"/>
              </w:rPr>
            </w:pPr>
          </w:p>
          <w:p w:rsidR="007C5D59" w:rsidRDefault="007C5D59" w:rsidP="007C5D59">
            <w:pPr>
              <w:widowControl w:val="0"/>
              <w:jc w:val="both"/>
              <w:rPr>
                <w:sz w:val="20"/>
                <w:szCs w:val="20"/>
              </w:rPr>
            </w:pPr>
            <w:r w:rsidRPr="007C5D59">
              <w:rPr>
                <w:sz w:val="20"/>
                <w:szCs w:val="20"/>
              </w:rPr>
              <w:t>Mark Hayes</w:t>
            </w:r>
            <w:r>
              <w:rPr>
                <w:sz w:val="20"/>
                <w:szCs w:val="20"/>
              </w:rPr>
              <w:t xml:space="preserve"> and </w:t>
            </w:r>
            <w:r w:rsidRPr="007C5D59">
              <w:rPr>
                <w:sz w:val="20"/>
                <w:szCs w:val="20"/>
              </w:rPr>
              <w:t>Debra L. Montgomery</w:t>
            </w:r>
            <w:r>
              <w:rPr>
                <w:sz w:val="20"/>
                <w:szCs w:val="20"/>
              </w:rPr>
              <w:t xml:space="preserve"> f</w:t>
            </w:r>
            <w:r w:rsidRPr="007C5D59">
              <w:rPr>
                <w:sz w:val="20"/>
                <w:szCs w:val="20"/>
              </w:rPr>
              <w:t xml:space="preserve">or the </w:t>
            </w:r>
            <w:r>
              <w:rPr>
                <w:sz w:val="20"/>
                <w:szCs w:val="20"/>
              </w:rPr>
              <w:t>r</w:t>
            </w:r>
            <w:r w:rsidRPr="007C5D59">
              <w:rPr>
                <w:sz w:val="20"/>
                <w:szCs w:val="20"/>
              </w:rPr>
              <w:t>espondent Canadian Association of Broadcasters</w:t>
            </w:r>
            <w:r>
              <w:rPr>
                <w:sz w:val="20"/>
                <w:szCs w:val="20"/>
              </w:rPr>
              <w:t>.</w:t>
            </w:r>
          </w:p>
          <w:p w:rsidR="007C5D59" w:rsidRDefault="007C5D59" w:rsidP="007C5D59">
            <w:pPr>
              <w:widowControl w:val="0"/>
              <w:jc w:val="both"/>
              <w:rPr>
                <w:sz w:val="20"/>
                <w:szCs w:val="20"/>
              </w:rPr>
            </w:pPr>
          </w:p>
          <w:p w:rsidR="007C5D59" w:rsidRDefault="00127861" w:rsidP="007C5D59">
            <w:pPr>
              <w:widowControl w:val="0"/>
              <w:jc w:val="both"/>
              <w:rPr>
                <w:sz w:val="20"/>
                <w:szCs w:val="20"/>
              </w:rPr>
            </w:pPr>
            <w:r w:rsidRPr="00127861">
              <w:rPr>
                <w:sz w:val="20"/>
                <w:szCs w:val="20"/>
              </w:rPr>
              <w:t>David W. Kent</w:t>
            </w:r>
            <w:r>
              <w:rPr>
                <w:sz w:val="20"/>
                <w:szCs w:val="20"/>
              </w:rPr>
              <w:t xml:space="preserve"> and </w:t>
            </w:r>
            <w:r w:rsidRPr="00127861">
              <w:rPr>
                <w:sz w:val="20"/>
                <w:szCs w:val="20"/>
              </w:rPr>
              <w:t>Sarah Kilpatrick</w:t>
            </w:r>
            <w:r>
              <w:rPr>
                <w:sz w:val="20"/>
                <w:szCs w:val="20"/>
              </w:rPr>
              <w:t xml:space="preserve"> f</w:t>
            </w:r>
            <w:r w:rsidRPr="00127861">
              <w:rPr>
                <w:sz w:val="20"/>
                <w:szCs w:val="20"/>
              </w:rPr>
              <w:t xml:space="preserve">or the </w:t>
            </w:r>
            <w:r>
              <w:rPr>
                <w:sz w:val="20"/>
                <w:szCs w:val="20"/>
              </w:rPr>
              <w:t>re</w:t>
            </w:r>
            <w:r w:rsidRPr="00127861">
              <w:rPr>
                <w:sz w:val="20"/>
                <w:szCs w:val="20"/>
              </w:rPr>
              <w:t>spondent</w:t>
            </w:r>
            <w:r>
              <w:rPr>
                <w:sz w:val="20"/>
                <w:szCs w:val="20"/>
              </w:rPr>
              <w:t xml:space="preserve"> </w:t>
            </w:r>
            <w:r w:rsidRPr="00127861">
              <w:rPr>
                <w:sz w:val="20"/>
                <w:szCs w:val="20"/>
              </w:rPr>
              <w:t>Motion Picture Theatre Associations of Canada</w:t>
            </w:r>
            <w:r>
              <w:rPr>
                <w:sz w:val="20"/>
                <w:szCs w:val="20"/>
              </w:rPr>
              <w:t>.</w:t>
            </w:r>
          </w:p>
          <w:p w:rsidR="00127861" w:rsidRDefault="00127861" w:rsidP="007C5D59">
            <w:pPr>
              <w:widowControl w:val="0"/>
              <w:jc w:val="both"/>
              <w:rPr>
                <w:sz w:val="20"/>
                <w:szCs w:val="20"/>
              </w:rPr>
            </w:pPr>
          </w:p>
          <w:p w:rsidR="00127861" w:rsidRDefault="00127861" w:rsidP="00127861">
            <w:pPr>
              <w:widowControl w:val="0"/>
              <w:jc w:val="both"/>
              <w:rPr>
                <w:sz w:val="20"/>
                <w:szCs w:val="20"/>
                <w:lang w:val="en-US"/>
              </w:rPr>
            </w:pPr>
            <w:r w:rsidRPr="00127861">
              <w:rPr>
                <w:sz w:val="20"/>
                <w:szCs w:val="20"/>
              </w:rPr>
              <w:t>Gerald L. Kerr-Wilson</w:t>
            </w:r>
            <w:r>
              <w:rPr>
                <w:sz w:val="20"/>
                <w:szCs w:val="20"/>
              </w:rPr>
              <w:t xml:space="preserve">, Julia Kennedy and </w:t>
            </w:r>
            <w:r w:rsidRPr="00127861">
              <w:rPr>
                <w:sz w:val="20"/>
                <w:szCs w:val="20"/>
              </w:rPr>
              <w:t>Marisa Victor</w:t>
            </w:r>
            <w:r>
              <w:rPr>
                <w:sz w:val="20"/>
                <w:szCs w:val="20"/>
              </w:rPr>
              <w:t xml:space="preserve"> f</w:t>
            </w:r>
            <w:r w:rsidRPr="00127861">
              <w:rPr>
                <w:sz w:val="20"/>
                <w:szCs w:val="20"/>
              </w:rPr>
              <w:t xml:space="preserve">or the </w:t>
            </w:r>
            <w:r>
              <w:rPr>
                <w:sz w:val="20"/>
                <w:szCs w:val="20"/>
              </w:rPr>
              <w:t>r</w:t>
            </w:r>
            <w:r w:rsidRPr="00127861">
              <w:rPr>
                <w:sz w:val="20"/>
                <w:szCs w:val="20"/>
              </w:rPr>
              <w:t xml:space="preserve">espondents </w:t>
            </w:r>
            <w:r w:rsidRPr="00127861">
              <w:rPr>
                <w:sz w:val="20"/>
                <w:szCs w:val="20"/>
                <w:lang w:val="en-US"/>
              </w:rPr>
              <w:t>Rogers Communications Inc. et al</w:t>
            </w:r>
            <w:r>
              <w:rPr>
                <w:sz w:val="20"/>
                <w:szCs w:val="20"/>
                <w:lang w:val="en-US"/>
              </w:rPr>
              <w:t>.</w:t>
            </w:r>
          </w:p>
          <w:p w:rsidR="00127861" w:rsidRDefault="00127861" w:rsidP="00127861">
            <w:pPr>
              <w:widowControl w:val="0"/>
              <w:jc w:val="both"/>
              <w:rPr>
                <w:sz w:val="20"/>
                <w:szCs w:val="20"/>
                <w:lang w:val="en-US"/>
              </w:rPr>
            </w:pPr>
          </w:p>
          <w:p w:rsidR="00127861" w:rsidRDefault="00127861" w:rsidP="007C5D59">
            <w:pPr>
              <w:widowControl w:val="0"/>
              <w:jc w:val="both"/>
              <w:rPr>
                <w:sz w:val="20"/>
                <w:szCs w:val="20"/>
                <w:lang w:val="fr-CA"/>
              </w:rPr>
            </w:pPr>
            <w:r w:rsidRPr="00127861">
              <w:rPr>
                <w:sz w:val="20"/>
                <w:szCs w:val="20"/>
                <w:lang w:val="fr-CA"/>
              </w:rPr>
              <w:t>Marek Nitoslawski</w:t>
            </w:r>
            <w:r>
              <w:rPr>
                <w:sz w:val="20"/>
                <w:szCs w:val="20"/>
                <w:lang w:val="fr-CA"/>
              </w:rPr>
              <w:t xml:space="preserve"> et </w:t>
            </w:r>
            <w:r w:rsidRPr="00127861">
              <w:rPr>
                <w:sz w:val="20"/>
                <w:szCs w:val="20"/>
                <w:lang w:val="fr-CA"/>
              </w:rPr>
              <w:t>Joanie Lapalme</w:t>
            </w:r>
            <w:r>
              <w:rPr>
                <w:sz w:val="20"/>
                <w:szCs w:val="20"/>
                <w:lang w:val="fr-CA"/>
              </w:rPr>
              <w:t xml:space="preserve"> p</w:t>
            </w:r>
            <w:r w:rsidRPr="00127861">
              <w:rPr>
                <w:sz w:val="20"/>
                <w:szCs w:val="20"/>
                <w:lang w:val="fr-CA"/>
              </w:rPr>
              <w:t>our l’intimée</w:t>
            </w:r>
            <w:r>
              <w:rPr>
                <w:sz w:val="20"/>
                <w:szCs w:val="20"/>
                <w:lang w:val="fr-CA"/>
              </w:rPr>
              <w:t xml:space="preserve"> </w:t>
            </w:r>
            <w:r w:rsidRPr="00127861">
              <w:rPr>
                <w:sz w:val="20"/>
                <w:szCs w:val="20"/>
                <w:lang w:val="fr-CA"/>
              </w:rPr>
              <w:t>Société Radio-Canada</w:t>
            </w:r>
            <w:r>
              <w:rPr>
                <w:sz w:val="20"/>
                <w:szCs w:val="20"/>
                <w:lang w:val="fr-CA"/>
              </w:rPr>
              <w:t>.</w:t>
            </w:r>
          </w:p>
          <w:p w:rsidR="00127861" w:rsidRDefault="00127861" w:rsidP="007C5D59">
            <w:pPr>
              <w:widowControl w:val="0"/>
              <w:jc w:val="both"/>
              <w:rPr>
                <w:sz w:val="20"/>
                <w:szCs w:val="20"/>
                <w:lang w:val="fr-CA"/>
              </w:rPr>
            </w:pPr>
          </w:p>
          <w:p w:rsidR="007C5D59" w:rsidRPr="00C71799" w:rsidRDefault="00C71799" w:rsidP="00C71799">
            <w:pPr>
              <w:rPr>
                <w:sz w:val="20"/>
                <w:szCs w:val="20"/>
                <w:lang w:val="en-US"/>
              </w:rPr>
            </w:pPr>
            <w:r w:rsidRPr="00925C19">
              <w:rPr>
                <w:sz w:val="20"/>
                <w:szCs w:val="20"/>
                <w:lang w:val="en-US"/>
              </w:rPr>
              <w:t xml:space="preserve">Written submission only by David Fewer and Jeremy de Beer for the intervener </w:t>
            </w:r>
            <w:r w:rsidRPr="00925C19">
              <w:rPr>
                <w:sz w:val="20"/>
                <w:szCs w:val="20"/>
              </w:rPr>
              <w:t>Samuelson-Glushko Canadian Internet Policy and Public Interest Clinic.</w:t>
            </w:r>
          </w:p>
        </w:tc>
      </w:tr>
    </w:tbl>
    <w:p w:rsidR="0039793E" w:rsidRPr="00C71799" w:rsidRDefault="0039793E" w:rsidP="0039793E">
      <w:pPr>
        <w:widowControl w:val="0"/>
        <w:rPr>
          <w:lang w:val="en-US"/>
        </w:rPr>
      </w:pPr>
    </w:p>
    <w:p w:rsidR="0039793E" w:rsidRPr="0085476B" w:rsidRDefault="0039793E" w:rsidP="0039793E">
      <w:pPr>
        <w:widowControl w:val="0"/>
        <w:rPr>
          <w:sz w:val="20"/>
          <w:szCs w:val="20"/>
        </w:rPr>
      </w:pPr>
      <w:r w:rsidRPr="0085476B">
        <w:rPr>
          <w:b/>
          <w:sz w:val="20"/>
          <w:szCs w:val="20"/>
        </w:rPr>
        <w:t xml:space="preserve">RESERVED / </w:t>
      </w:r>
      <w:r w:rsidRPr="0085476B">
        <w:rPr>
          <w:b/>
          <w:sz w:val="20"/>
          <w:szCs w:val="20"/>
          <w:lang w:val="fr-CA"/>
        </w:rPr>
        <w:t>EN DÉLIBÉRÉ</w:t>
      </w:r>
    </w:p>
    <w:p w:rsidR="0039793E" w:rsidRDefault="0039793E" w:rsidP="0039793E"/>
    <w:tbl>
      <w:tblPr>
        <w:tblW w:w="0" w:type="auto"/>
        <w:tblLayout w:type="fixed"/>
        <w:tblCellMar>
          <w:left w:w="0" w:type="dxa"/>
          <w:right w:w="0" w:type="dxa"/>
        </w:tblCellMar>
        <w:tblLook w:val="0000"/>
      </w:tblPr>
      <w:tblGrid>
        <w:gridCol w:w="4380"/>
        <w:gridCol w:w="720"/>
        <w:gridCol w:w="4380"/>
      </w:tblGrid>
      <w:tr w:rsidR="0039793E" w:rsidRPr="00C04C40" w:rsidTr="0039793E">
        <w:tc>
          <w:tcPr>
            <w:tcW w:w="4380" w:type="dxa"/>
            <w:tcMar>
              <w:left w:w="0" w:type="dxa"/>
              <w:right w:w="0" w:type="dxa"/>
            </w:tcMar>
          </w:tcPr>
          <w:p w:rsidR="0039793E" w:rsidRPr="00CC4D84" w:rsidRDefault="0039793E" w:rsidP="0039793E">
            <w:pPr>
              <w:widowControl w:val="0"/>
              <w:jc w:val="both"/>
              <w:rPr>
                <w:b/>
                <w:sz w:val="20"/>
                <w:szCs w:val="20"/>
                <w:u w:val="single"/>
              </w:rPr>
            </w:pPr>
            <w:r w:rsidRPr="00CC4D84">
              <w:rPr>
                <w:b/>
                <w:sz w:val="20"/>
                <w:szCs w:val="20"/>
                <w:u w:val="single"/>
              </w:rPr>
              <w:t>Nature of the case:</w:t>
            </w:r>
          </w:p>
          <w:p w:rsidR="0039793E" w:rsidRPr="00C1697B" w:rsidRDefault="0039793E" w:rsidP="0039793E">
            <w:pPr>
              <w:widowControl w:val="0"/>
              <w:jc w:val="both"/>
              <w:rPr>
                <w:b/>
                <w:sz w:val="20"/>
                <w:szCs w:val="20"/>
              </w:rPr>
            </w:pPr>
          </w:p>
          <w:p w:rsidR="0039793E" w:rsidRPr="00C1697B" w:rsidRDefault="00CC2FB6" w:rsidP="0039793E">
            <w:pPr>
              <w:widowControl w:val="0"/>
              <w:jc w:val="both"/>
              <w:rPr>
                <w:b/>
                <w:sz w:val="20"/>
                <w:szCs w:val="20"/>
              </w:rPr>
            </w:pPr>
            <w:r w:rsidRPr="00CC2FB6">
              <w:rPr>
                <w:rFonts w:eastAsia="Calibri" w:cs="Times New Roman"/>
                <w:sz w:val="20"/>
                <w:szCs w:val="20"/>
              </w:rPr>
              <w:t xml:space="preserve">Intellectual property </w:t>
            </w:r>
            <w:r w:rsidRPr="00CC2FB6">
              <w:rPr>
                <w:rFonts w:eastAsia="Calibri" w:cs="Times New Roman"/>
                <w:sz w:val="20"/>
                <w:szCs w:val="20"/>
              </w:rPr>
              <w:noBreakHyphen/>
              <w:t xml:space="preserve"> Copyright </w:t>
            </w:r>
            <w:r w:rsidRPr="00CC2FB6">
              <w:rPr>
                <w:rFonts w:eastAsia="Calibri" w:cs="Times New Roman"/>
                <w:sz w:val="20"/>
                <w:szCs w:val="20"/>
              </w:rPr>
              <w:noBreakHyphen/>
              <w:t xml:space="preserve"> Legislation </w:t>
            </w:r>
            <w:r w:rsidRPr="00CC2FB6">
              <w:rPr>
                <w:rFonts w:eastAsia="Calibri" w:cs="Times New Roman"/>
                <w:sz w:val="20"/>
                <w:szCs w:val="20"/>
              </w:rPr>
              <w:noBreakHyphen/>
              <w:t xml:space="preserve"> Interpretation </w:t>
            </w:r>
            <w:r w:rsidRPr="00CC2FB6">
              <w:rPr>
                <w:rFonts w:eastAsia="Calibri" w:cs="Times New Roman"/>
                <w:sz w:val="20"/>
                <w:szCs w:val="20"/>
              </w:rPr>
              <w:noBreakHyphen/>
              <w:t xml:space="preserve"> Whether recording artists and record companies, as performers and makers of music, are entitled to equitable remuneration under s. 19 of the </w:t>
            </w:r>
            <w:r w:rsidRPr="00CC2FB6">
              <w:rPr>
                <w:rFonts w:eastAsia="Calibri" w:cs="Times New Roman"/>
                <w:i/>
                <w:sz w:val="20"/>
                <w:szCs w:val="20"/>
              </w:rPr>
              <w:t>Copyright Act</w:t>
            </w:r>
            <w:r w:rsidRPr="00CC2FB6">
              <w:rPr>
                <w:rFonts w:eastAsia="Calibri" w:cs="Times New Roman"/>
                <w:sz w:val="20"/>
                <w:szCs w:val="20"/>
              </w:rPr>
              <w:t>,</w:t>
            </w:r>
            <w:r w:rsidRPr="00CC2FB6">
              <w:rPr>
                <w:rFonts w:eastAsia="Calibri" w:cs="Times New Roman"/>
                <w:i/>
                <w:sz w:val="20"/>
                <w:szCs w:val="20"/>
              </w:rPr>
              <w:t xml:space="preserve"> </w:t>
            </w:r>
            <w:r w:rsidRPr="00CC2FB6">
              <w:rPr>
                <w:rFonts w:eastAsia="Calibri" w:cs="Times New Roman"/>
                <w:sz w:val="20"/>
                <w:szCs w:val="20"/>
              </w:rPr>
              <w:t>R.S.C. 1985, c. C</w:t>
            </w:r>
            <w:r w:rsidRPr="00CC2FB6">
              <w:rPr>
                <w:rFonts w:eastAsia="Calibri" w:cs="Times New Roman"/>
                <w:sz w:val="20"/>
                <w:szCs w:val="20"/>
              </w:rPr>
              <w:noBreakHyphen/>
              <w:t>42,</w:t>
            </w:r>
            <w:r w:rsidRPr="00CC2FB6">
              <w:rPr>
                <w:rFonts w:eastAsia="Calibri" w:cs="Times New Roman"/>
                <w:i/>
                <w:sz w:val="20"/>
                <w:szCs w:val="20"/>
              </w:rPr>
              <w:t xml:space="preserve"> </w:t>
            </w:r>
            <w:r w:rsidRPr="00CC2FB6">
              <w:rPr>
                <w:rFonts w:eastAsia="Calibri" w:cs="Times New Roman"/>
                <w:sz w:val="20"/>
                <w:szCs w:val="20"/>
              </w:rPr>
              <w:t xml:space="preserve">when their music is played in movies and on television </w:t>
            </w:r>
            <w:r w:rsidRPr="00CC2FB6">
              <w:rPr>
                <w:rFonts w:eastAsia="Calibri" w:cs="Times New Roman"/>
                <w:sz w:val="20"/>
                <w:szCs w:val="20"/>
              </w:rPr>
              <w:noBreakHyphen/>
              <w:t xml:space="preserve"> Whether the definition of “sound recording” in s. 2 of the </w:t>
            </w:r>
            <w:r w:rsidRPr="00CC2FB6">
              <w:rPr>
                <w:rFonts w:eastAsia="Calibri" w:cs="Times New Roman"/>
                <w:i/>
                <w:sz w:val="20"/>
                <w:szCs w:val="20"/>
              </w:rPr>
              <w:t xml:space="preserve">Copyright Act </w:t>
            </w:r>
            <w:r w:rsidRPr="00CC2FB6">
              <w:rPr>
                <w:rFonts w:eastAsia="Calibri" w:cs="Times New Roman"/>
                <w:sz w:val="20"/>
                <w:szCs w:val="20"/>
              </w:rPr>
              <w:t>precludes equitable remuneration under s. 19 for pre</w:t>
            </w:r>
            <w:r w:rsidRPr="00CC2FB6">
              <w:rPr>
                <w:rFonts w:eastAsia="Calibri" w:cs="Times New Roman"/>
                <w:sz w:val="20"/>
                <w:szCs w:val="20"/>
              </w:rPr>
              <w:noBreakHyphen/>
              <w:t>recorded music forming part of a soundtrack.</w:t>
            </w:r>
          </w:p>
        </w:tc>
        <w:tc>
          <w:tcPr>
            <w:tcW w:w="720" w:type="dxa"/>
            <w:tcMar>
              <w:left w:w="0" w:type="dxa"/>
              <w:right w:w="0" w:type="dxa"/>
            </w:tcMar>
          </w:tcPr>
          <w:p w:rsidR="0039793E" w:rsidRPr="00C1697B" w:rsidRDefault="0039793E" w:rsidP="0039793E">
            <w:pPr>
              <w:widowControl w:val="0"/>
              <w:jc w:val="center"/>
              <w:rPr>
                <w:sz w:val="20"/>
                <w:szCs w:val="20"/>
              </w:rPr>
            </w:pPr>
          </w:p>
        </w:tc>
        <w:tc>
          <w:tcPr>
            <w:tcW w:w="4380" w:type="dxa"/>
            <w:tcMar>
              <w:left w:w="0" w:type="dxa"/>
              <w:right w:w="0" w:type="dxa"/>
            </w:tcMar>
          </w:tcPr>
          <w:p w:rsidR="0039793E" w:rsidRPr="00CC4D84" w:rsidRDefault="0039793E" w:rsidP="0039793E">
            <w:pPr>
              <w:widowControl w:val="0"/>
              <w:jc w:val="both"/>
              <w:rPr>
                <w:b/>
                <w:sz w:val="20"/>
                <w:szCs w:val="20"/>
                <w:u w:val="single"/>
                <w:lang w:val="fr-CA"/>
              </w:rPr>
            </w:pPr>
            <w:r w:rsidRPr="00CC4D84">
              <w:rPr>
                <w:b/>
                <w:sz w:val="20"/>
                <w:szCs w:val="20"/>
                <w:u w:val="single"/>
                <w:lang w:val="fr-CA"/>
              </w:rPr>
              <w:t>Nature de la cause :</w:t>
            </w:r>
          </w:p>
          <w:p w:rsidR="0039793E" w:rsidRPr="00C1697B" w:rsidRDefault="0039793E" w:rsidP="0039793E">
            <w:pPr>
              <w:widowControl w:val="0"/>
              <w:jc w:val="both"/>
              <w:rPr>
                <w:sz w:val="20"/>
                <w:szCs w:val="20"/>
                <w:lang w:val="fr-CA"/>
              </w:rPr>
            </w:pPr>
          </w:p>
          <w:p w:rsidR="0039793E" w:rsidRPr="00C1697B" w:rsidRDefault="0039793E" w:rsidP="00C71799">
            <w:pPr>
              <w:jc w:val="both"/>
              <w:rPr>
                <w:sz w:val="20"/>
                <w:szCs w:val="20"/>
                <w:lang w:val="fr-CA"/>
              </w:rPr>
            </w:pPr>
            <w:r w:rsidRPr="0039793E">
              <w:rPr>
                <w:rFonts w:eastAsia="Calibri" w:cs="Times New Roman"/>
                <w:sz w:val="20"/>
                <w:szCs w:val="20"/>
                <w:lang w:val="fr-CA"/>
              </w:rPr>
              <w:t>Propriété intellectuelle — Droit d’auteur — Législation — Interprétation — Les artistes de studio d’enregistrement et les maisons de disque, en tant qu’artistes</w:t>
            </w:r>
            <w:r w:rsidRPr="0039793E">
              <w:rPr>
                <w:rFonts w:eastAsia="Calibri" w:cs="Times New Roman"/>
                <w:sz w:val="20"/>
                <w:szCs w:val="20"/>
                <w:lang w:val="fr-CA"/>
              </w:rPr>
              <w:noBreakHyphen/>
              <w:t>interprètes et producteurs de musique, ont</w:t>
            </w:r>
            <w:r w:rsidRPr="0039793E">
              <w:rPr>
                <w:rFonts w:eastAsia="Calibri" w:cs="Times New Roman"/>
                <w:sz w:val="20"/>
                <w:szCs w:val="20"/>
                <w:lang w:val="fr-CA"/>
              </w:rPr>
              <w:noBreakHyphen/>
              <w:t xml:space="preserve">ils le droit de recevoir une rémunération équitable au titre de l’article 19 de la </w:t>
            </w:r>
            <w:r w:rsidRPr="0039793E">
              <w:rPr>
                <w:rFonts w:eastAsia="Calibri" w:cs="Times New Roman"/>
                <w:i/>
                <w:sz w:val="20"/>
                <w:szCs w:val="20"/>
                <w:lang w:val="fr-CA"/>
              </w:rPr>
              <w:t>Loi sur le droit d’auteur</w:t>
            </w:r>
            <w:r w:rsidRPr="0039793E">
              <w:rPr>
                <w:rFonts w:eastAsia="Calibri" w:cs="Times New Roman"/>
                <w:sz w:val="20"/>
                <w:szCs w:val="20"/>
                <w:lang w:val="fr-CA"/>
              </w:rPr>
              <w:t>,</w:t>
            </w:r>
            <w:r w:rsidRPr="0039793E">
              <w:rPr>
                <w:rFonts w:eastAsia="Calibri" w:cs="Times New Roman"/>
                <w:i/>
                <w:sz w:val="20"/>
                <w:szCs w:val="20"/>
                <w:lang w:val="fr-CA"/>
              </w:rPr>
              <w:t xml:space="preserve"> </w:t>
            </w:r>
            <w:r w:rsidRPr="0039793E">
              <w:rPr>
                <w:rFonts w:eastAsia="Calibri" w:cs="Times New Roman"/>
                <w:sz w:val="20"/>
                <w:szCs w:val="20"/>
                <w:lang w:val="fr-CA"/>
              </w:rPr>
              <w:t>L.R.C. 1985, ch. C</w:t>
            </w:r>
            <w:r w:rsidRPr="0039793E">
              <w:rPr>
                <w:rFonts w:eastAsia="Calibri" w:cs="Times New Roman"/>
                <w:sz w:val="20"/>
                <w:szCs w:val="20"/>
                <w:lang w:val="fr-CA"/>
              </w:rPr>
              <w:noBreakHyphen/>
              <w:t>42,</w:t>
            </w:r>
            <w:r w:rsidRPr="0039793E">
              <w:rPr>
                <w:rFonts w:eastAsia="Calibri" w:cs="Times New Roman"/>
                <w:i/>
                <w:sz w:val="20"/>
                <w:szCs w:val="20"/>
                <w:lang w:val="fr-CA"/>
              </w:rPr>
              <w:t xml:space="preserve"> </w:t>
            </w:r>
            <w:r w:rsidRPr="0039793E">
              <w:rPr>
                <w:rFonts w:eastAsia="Calibri" w:cs="Times New Roman"/>
                <w:sz w:val="20"/>
                <w:szCs w:val="20"/>
                <w:lang w:val="fr-CA"/>
              </w:rPr>
              <w:t xml:space="preserve">lorsque leur musique est jouée au cinéma et à la télévision? — La définition d’« enregistrement sonore » à l’art. 2 de la </w:t>
            </w:r>
            <w:r w:rsidRPr="0039793E">
              <w:rPr>
                <w:rFonts w:eastAsia="Calibri" w:cs="Times New Roman"/>
                <w:i/>
                <w:sz w:val="20"/>
                <w:szCs w:val="20"/>
                <w:lang w:val="fr-CA"/>
              </w:rPr>
              <w:t xml:space="preserve">Loi sur le droit d’auteur </w:t>
            </w:r>
            <w:r w:rsidRPr="0039793E">
              <w:rPr>
                <w:rFonts w:eastAsia="Calibri" w:cs="Times New Roman"/>
                <w:sz w:val="20"/>
                <w:szCs w:val="20"/>
                <w:lang w:val="fr-CA"/>
              </w:rPr>
              <w:t>exclut</w:t>
            </w:r>
            <w:r w:rsidRPr="0039793E">
              <w:rPr>
                <w:rFonts w:eastAsia="Calibri" w:cs="Times New Roman"/>
                <w:sz w:val="20"/>
                <w:szCs w:val="20"/>
                <w:lang w:val="fr-CA"/>
              </w:rPr>
              <w:noBreakHyphen/>
              <w:t>elle la rémunération équitable aux termes de l’art. 19 pour la musique préenregistrée faisant partie d’une bande sonore?</w:t>
            </w:r>
          </w:p>
        </w:tc>
      </w:tr>
    </w:tbl>
    <w:p w:rsidR="0039793E" w:rsidRPr="00404951" w:rsidRDefault="0039793E" w:rsidP="0039793E">
      <w:pPr>
        <w:widowControl w:val="0"/>
        <w:rPr>
          <w:sz w:val="20"/>
          <w:szCs w:val="20"/>
          <w:lang w:val="fr-CA"/>
        </w:rPr>
      </w:pPr>
    </w:p>
    <w:p w:rsidR="0039793E" w:rsidRDefault="008A6550" w:rsidP="0039793E">
      <w:pPr>
        <w:widowControl w:val="0"/>
        <w:rPr>
          <w:sz w:val="20"/>
          <w:szCs w:val="20"/>
          <w:lang w:val="fr-CA"/>
        </w:rPr>
      </w:pPr>
      <w:r w:rsidRPr="008A6550">
        <w:rPr>
          <w:sz w:val="20"/>
          <w:szCs w:val="20"/>
          <w:lang w:val="fr-CA"/>
        </w:rPr>
        <w:pict>
          <v:rect id="_x0000_i1101" style="width:2in;height:1pt" o:hrpct="0" o:hralign="center" o:hrstd="t" o:hrnoshade="t" o:hr="t" fillcolor="black [3213]" stroked="f"/>
        </w:pict>
      </w:r>
    </w:p>
    <w:p w:rsidR="004155D2" w:rsidRDefault="004155D2" w:rsidP="004155D2">
      <w:pPr>
        <w:widowControl w:val="0"/>
        <w:rPr>
          <w:sz w:val="20"/>
          <w:szCs w:val="20"/>
        </w:rPr>
      </w:pPr>
    </w:p>
    <w:p w:rsidR="004155D2" w:rsidRDefault="004155D2" w:rsidP="004155D2">
      <w:pPr>
        <w:widowControl w:val="0"/>
        <w:rPr>
          <w:sz w:val="20"/>
          <w:szCs w:val="20"/>
        </w:rPr>
      </w:pPr>
      <w:r>
        <w:rPr>
          <w:sz w:val="20"/>
          <w:szCs w:val="20"/>
        </w:rPr>
        <w:t>0</w:t>
      </w:r>
      <w:r w:rsidR="00AE4F1B">
        <w:rPr>
          <w:sz w:val="20"/>
          <w:szCs w:val="20"/>
        </w:rPr>
        <w:t>8</w:t>
      </w:r>
      <w:r>
        <w:rPr>
          <w:sz w:val="20"/>
          <w:szCs w:val="20"/>
        </w:rPr>
        <w:t>.12.2011</w:t>
      </w:r>
    </w:p>
    <w:p w:rsidR="004155D2" w:rsidRPr="0034524C" w:rsidRDefault="004155D2" w:rsidP="004155D2">
      <w:pPr>
        <w:widowControl w:val="0"/>
        <w:rPr>
          <w:sz w:val="20"/>
          <w:szCs w:val="20"/>
        </w:rPr>
      </w:pPr>
    </w:p>
    <w:p w:rsidR="004155D2" w:rsidRPr="0034524C" w:rsidRDefault="004155D2" w:rsidP="004155D2">
      <w:pPr>
        <w:widowControl w:val="0"/>
        <w:rPr>
          <w:sz w:val="20"/>
          <w:szCs w:val="20"/>
        </w:rPr>
      </w:pPr>
      <w:r w:rsidRPr="0034524C">
        <w:rPr>
          <w:sz w:val="20"/>
          <w:szCs w:val="20"/>
        </w:rPr>
        <w:t xml:space="preserve">Coram: </w:t>
      </w:r>
      <w:r w:rsidRPr="0034524C">
        <w:rPr>
          <w:sz w:val="20"/>
          <w:szCs w:val="20"/>
          <w:u w:val="single"/>
          <w:lang w:val="en-US"/>
        </w:rPr>
        <w:t>McLachlin C.J. and LeBel, Deschamps, Fish, Abella, Rothstein</w:t>
      </w:r>
      <w:r w:rsidR="00246C21" w:rsidRPr="0034524C">
        <w:rPr>
          <w:sz w:val="20"/>
          <w:szCs w:val="20"/>
          <w:u w:val="single"/>
          <w:lang w:val="en-US"/>
        </w:rPr>
        <w:t xml:space="preserve"> and</w:t>
      </w:r>
      <w:r w:rsidRPr="0034524C">
        <w:rPr>
          <w:sz w:val="20"/>
          <w:szCs w:val="20"/>
          <w:u w:val="single"/>
          <w:lang w:val="en-US"/>
        </w:rPr>
        <w:t xml:space="preserve"> Cromwell</w:t>
      </w:r>
    </w:p>
    <w:p w:rsidR="004155D2" w:rsidRDefault="004155D2" w:rsidP="004155D2">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4155D2" w:rsidRPr="00C50A5C" w:rsidTr="004155D2">
        <w:tc>
          <w:tcPr>
            <w:tcW w:w="4380" w:type="dxa"/>
            <w:tcMar>
              <w:left w:w="0" w:type="dxa"/>
              <w:right w:w="0" w:type="dxa"/>
            </w:tcMar>
          </w:tcPr>
          <w:p w:rsidR="00AE4F1B" w:rsidRDefault="00AE4F1B" w:rsidP="004155D2">
            <w:pPr>
              <w:rPr>
                <w:rStyle w:val="SCCSsocChar"/>
                <w:b/>
                <w:i w:val="0"/>
              </w:rPr>
            </w:pPr>
            <w:r w:rsidRPr="00AE4F1B">
              <w:rPr>
                <w:rStyle w:val="SCCSsocChar"/>
                <w:b/>
                <w:i w:val="0"/>
              </w:rPr>
              <w:t xml:space="preserve">N.S. </w:t>
            </w:r>
          </w:p>
          <w:p w:rsidR="00AE4F1B" w:rsidRDefault="00AE4F1B" w:rsidP="004155D2">
            <w:pPr>
              <w:rPr>
                <w:rStyle w:val="SCCSsocChar"/>
                <w:b/>
                <w:i w:val="0"/>
              </w:rPr>
            </w:pPr>
          </w:p>
          <w:p w:rsidR="00AE4F1B" w:rsidRDefault="00AE4F1B" w:rsidP="00AE4F1B">
            <w:pPr>
              <w:tabs>
                <w:tab w:val="left" w:pos="770"/>
              </w:tabs>
              <w:rPr>
                <w:rStyle w:val="SCCSsocChar"/>
                <w:b/>
                <w:i w:val="0"/>
              </w:rPr>
            </w:pPr>
            <w:r w:rsidRPr="0039793E">
              <w:rPr>
                <w:b/>
                <w:sz w:val="20"/>
                <w:szCs w:val="20"/>
                <w:lang w:val="en-US"/>
              </w:rPr>
              <w:tab/>
            </w:r>
            <w:r w:rsidRPr="00AE4F1B">
              <w:rPr>
                <w:rStyle w:val="SCCSsocChar"/>
                <w:b/>
                <w:i w:val="0"/>
              </w:rPr>
              <w:t xml:space="preserve">v. </w:t>
            </w:r>
            <w:r>
              <w:rPr>
                <w:rStyle w:val="SCCSsocChar"/>
                <w:b/>
                <w:i w:val="0"/>
              </w:rPr>
              <w:t xml:space="preserve"> (33989)</w:t>
            </w:r>
          </w:p>
          <w:p w:rsidR="00AE4F1B" w:rsidRDefault="00AE4F1B" w:rsidP="004155D2">
            <w:pPr>
              <w:rPr>
                <w:rStyle w:val="SCCSsocChar"/>
                <w:b/>
                <w:i w:val="0"/>
              </w:rPr>
            </w:pPr>
          </w:p>
          <w:p w:rsidR="00AE4F1B" w:rsidRPr="00AE4F1B" w:rsidRDefault="00AE4F1B" w:rsidP="004155D2">
            <w:pPr>
              <w:rPr>
                <w:b/>
                <w:sz w:val="20"/>
                <w:szCs w:val="20"/>
              </w:rPr>
            </w:pPr>
            <w:r w:rsidRPr="00AE4F1B">
              <w:rPr>
                <w:rStyle w:val="SCCSsocChar"/>
                <w:b/>
                <w:i w:val="0"/>
              </w:rPr>
              <w:t>Her Majesty the Queen et al.</w:t>
            </w:r>
            <w:r w:rsidRPr="00AE4F1B">
              <w:rPr>
                <w:b/>
                <w:sz w:val="20"/>
                <w:szCs w:val="20"/>
              </w:rPr>
              <w:t xml:space="preserve"> (Ont.) (Criminal) (By Leave) </w:t>
            </w:r>
          </w:p>
          <w:p w:rsidR="004155D2" w:rsidRPr="00660A94" w:rsidRDefault="004155D2" w:rsidP="004155D2">
            <w:pPr>
              <w:widowControl w:val="0"/>
              <w:jc w:val="both"/>
              <w:rPr>
                <w:sz w:val="20"/>
                <w:szCs w:val="20"/>
                <w:lang w:val="en-US"/>
              </w:rPr>
            </w:pPr>
          </w:p>
        </w:tc>
        <w:tc>
          <w:tcPr>
            <w:tcW w:w="720" w:type="dxa"/>
            <w:tcMar>
              <w:left w:w="0" w:type="dxa"/>
              <w:right w:w="0" w:type="dxa"/>
            </w:tcMar>
          </w:tcPr>
          <w:p w:rsidR="004155D2" w:rsidRPr="00660A94" w:rsidRDefault="004155D2" w:rsidP="004155D2">
            <w:pPr>
              <w:widowControl w:val="0"/>
              <w:jc w:val="center"/>
              <w:rPr>
                <w:sz w:val="20"/>
                <w:szCs w:val="20"/>
                <w:lang w:val="en-US"/>
              </w:rPr>
            </w:pPr>
          </w:p>
        </w:tc>
        <w:tc>
          <w:tcPr>
            <w:tcW w:w="4380" w:type="dxa"/>
            <w:tcMar>
              <w:left w:w="0" w:type="dxa"/>
              <w:right w:w="0" w:type="dxa"/>
            </w:tcMar>
          </w:tcPr>
          <w:p w:rsidR="0081558E" w:rsidRPr="008023E2" w:rsidRDefault="0081558E" w:rsidP="0081558E">
            <w:pPr>
              <w:rPr>
                <w:sz w:val="20"/>
                <w:szCs w:val="20"/>
              </w:rPr>
            </w:pPr>
            <w:r w:rsidRPr="008023E2">
              <w:rPr>
                <w:sz w:val="20"/>
                <w:szCs w:val="20"/>
              </w:rPr>
              <w:t>David B. Butt f</w:t>
            </w:r>
            <w:r w:rsidR="00926CBD" w:rsidRPr="008023E2">
              <w:rPr>
                <w:sz w:val="20"/>
                <w:szCs w:val="20"/>
              </w:rPr>
              <w:t>or the a</w:t>
            </w:r>
            <w:r w:rsidRPr="008023E2">
              <w:rPr>
                <w:sz w:val="20"/>
                <w:szCs w:val="20"/>
              </w:rPr>
              <w:t>ppellant.</w:t>
            </w:r>
          </w:p>
          <w:p w:rsidR="0081558E" w:rsidRPr="008023E2" w:rsidRDefault="0081558E" w:rsidP="0081558E">
            <w:pPr>
              <w:rPr>
                <w:sz w:val="20"/>
                <w:szCs w:val="20"/>
              </w:rPr>
            </w:pPr>
          </w:p>
          <w:p w:rsidR="008A5ABF" w:rsidRPr="008023E2" w:rsidRDefault="008A5ABF" w:rsidP="008A5ABF">
            <w:pPr>
              <w:rPr>
                <w:sz w:val="20"/>
                <w:szCs w:val="20"/>
              </w:rPr>
            </w:pPr>
            <w:r w:rsidRPr="008023E2">
              <w:rPr>
                <w:sz w:val="20"/>
                <w:szCs w:val="20"/>
              </w:rPr>
              <w:t>Elise Nakelsky and Benita Wassenaar for the respondent Her Majesty the Queen.</w:t>
            </w:r>
          </w:p>
          <w:p w:rsidR="008A5ABF" w:rsidRPr="008023E2" w:rsidRDefault="008A5ABF" w:rsidP="008A5ABF">
            <w:pPr>
              <w:rPr>
                <w:sz w:val="20"/>
                <w:szCs w:val="20"/>
              </w:rPr>
            </w:pPr>
          </w:p>
          <w:p w:rsidR="008A5ABF" w:rsidRPr="008023E2" w:rsidRDefault="008A5ABF" w:rsidP="008A5ABF">
            <w:pPr>
              <w:rPr>
                <w:sz w:val="20"/>
                <w:szCs w:val="20"/>
              </w:rPr>
            </w:pPr>
            <w:r w:rsidRPr="008023E2">
              <w:rPr>
                <w:sz w:val="20"/>
                <w:szCs w:val="20"/>
              </w:rPr>
              <w:t>Douglas Usher and Michael Dineen for the respondent M---d.S.</w:t>
            </w:r>
          </w:p>
          <w:p w:rsidR="008A5ABF" w:rsidRPr="008023E2" w:rsidRDefault="008A5ABF" w:rsidP="008A5ABF">
            <w:pPr>
              <w:rPr>
                <w:sz w:val="20"/>
                <w:szCs w:val="20"/>
              </w:rPr>
            </w:pPr>
          </w:p>
          <w:p w:rsidR="0081558E" w:rsidRPr="008023E2" w:rsidRDefault="0081558E" w:rsidP="0081558E">
            <w:pPr>
              <w:rPr>
                <w:sz w:val="20"/>
                <w:szCs w:val="20"/>
              </w:rPr>
            </w:pPr>
            <w:r w:rsidRPr="008023E2">
              <w:rPr>
                <w:sz w:val="20"/>
                <w:szCs w:val="20"/>
              </w:rPr>
              <w:t>Rahool P. Agarwal</w:t>
            </w:r>
            <w:r w:rsidR="00D306F7" w:rsidRPr="008023E2">
              <w:rPr>
                <w:sz w:val="20"/>
                <w:szCs w:val="20"/>
              </w:rPr>
              <w:t>, Michael Kotrly, Vasuda Sinha and Brydie Bethell</w:t>
            </w:r>
            <w:r w:rsidRPr="008023E2">
              <w:rPr>
                <w:sz w:val="20"/>
                <w:szCs w:val="20"/>
              </w:rPr>
              <w:t xml:space="preserve"> for the </w:t>
            </w:r>
            <w:r w:rsidR="00926CBD" w:rsidRPr="008023E2">
              <w:rPr>
                <w:sz w:val="20"/>
                <w:szCs w:val="20"/>
              </w:rPr>
              <w:t>i</w:t>
            </w:r>
            <w:r w:rsidRPr="008023E2">
              <w:rPr>
                <w:sz w:val="20"/>
                <w:szCs w:val="20"/>
              </w:rPr>
              <w:t>ntervener</w:t>
            </w:r>
            <w:r w:rsidR="00CF0B79">
              <w:rPr>
                <w:sz w:val="20"/>
                <w:szCs w:val="20"/>
              </w:rPr>
              <w:t xml:space="preserve"> </w:t>
            </w:r>
            <w:r w:rsidRPr="008023E2">
              <w:rPr>
                <w:sz w:val="20"/>
                <w:szCs w:val="20"/>
              </w:rPr>
              <w:t>Barbra Schlifer Commemorative Clinic</w:t>
            </w:r>
            <w:r w:rsidR="00926CBD" w:rsidRPr="008023E2">
              <w:rPr>
                <w:sz w:val="20"/>
                <w:szCs w:val="20"/>
              </w:rPr>
              <w:t>.</w:t>
            </w:r>
          </w:p>
          <w:p w:rsidR="0081558E" w:rsidRPr="008023E2" w:rsidRDefault="0081558E" w:rsidP="0081558E">
            <w:pPr>
              <w:rPr>
                <w:sz w:val="20"/>
                <w:szCs w:val="20"/>
              </w:rPr>
            </w:pPr>
          </w:p>
          <w:p w:rsidR="00AF7A66" w:rsidRPr="008023E2" w:rsidRDefault="00AF7A66" w:rsidP="00AF7A66">
            <w:pPr>
              <w:rPr>
                <w:sz w:val="20"/>
                <w:szCs w:val="20"/>
              </w:rPr>
            </w:pPr>
            <w:r w:rsidRPr="008023E2">
              <w:rPr>
                <w:sz w:val="20"/>
                <w:szCs w:val="20"/>
              </w:rPr>
              <w:t>Frank Addario</w:t>
            </w:r>
            <w:r w:rsidR="00D306F7" w:rsidRPr="008023E2">
              <w:rPr>
                <w:sz w:val="20"/>
                <w:szCs w:val="20"/>
              </w:rPr>
              <w:t xml:space="preserve"> and Emma Phillips</w:t>
            </w:r>
            <w:r w:rsidRPr="008023E2">
              <w:rPr>
                <w:sz w:val="20"/>
                <w:szCs w:val="20"/>
              </w:rPr>
              <w:t xml:space="preserve"> for the intervener Criminal Lawyers' Association (Ontario)</w:t>
            </w:r>
            <w:r w:rsidR="00DE2586" w:rsidRPr="008023E2">
              <w:rPr>
                <w:sz w:val="20"/>
                <w:szCs w:val="20"/>
              </w:rPr>
              <w:t>.</w:t>
            </w:r>
          </w:p>
          <w:p w:rsidR="00926CBD" w:rsidRPr="008023E2" w:rsidRDefault="00926CBD" w:rsidP="0081558E">
            <w:pPr>
              <w:rPr>
                <w:sz w:val="20"/>
                <w:szCs w:val="20"/>
              </w:rPr>
            </w:pPr>
          </w:p>
          <w:p w:rsidR="00DE2586" w:rsidRPr="008023E2" w:rsidRDefault="00D306F7" w:rsidP="00DE2586">
            <w:pPr>
              <w:rPr>
                <w:sz w:val="20"/>
                <w:szCs w:val="20"/>
              </w:rPr>
            </w:pPr>
            <w:r w:rsidRPr="008023E2">
              <w:rPr>
                <w:sz w:val="20"/>
                <w:szCs w:val="20"/>
              </w:rPr>
              <w:t>Tyler Hodgson, Heather Pessione and Ewa Krajewska f</w:t>
            </w:r>
            <w:r w:rsidR="00DE2586" w:rsidRPr="008023E2">
              <w:rPr>
                <w:sz w:val="20"/>
                <w:szCs w:val="20"/>
              </w:rPr>
              <w:t>or the intervener Muslim Canadian Congress.</w:t>
            </w:r>
          </w:p>
          <w:p w:rsidR="0081558E" w:rsidRPr="008023E2" w:rsidRDefault="0081558E" w:rsidP="004155D2">
            <w:pPr>
              <w:widowControl w:val="0"/>
              <w:jc w:val="both"/>
              <w:rPr>
                <w:sz w:val="20"/>
                <w:szCs w:val="20"/>
              </w:rPr>
            </w:pPr>
          </w:p>
          <w:p w:rsidR="00473523" w:rsidRPr="008023E2" w:rsidRDefault="00473523" w:rsidP="00473523">
            <w:pPr>
              <w:rPr>
                <w:sz w:val="20"/>
                <w:szCs w:val="20"/>
              </w:rPr>
            </w:pPr>
            <w:r w:rsidRPr="008023E2">
              <w:rPr>
                <w:sz w:val="20"/>
                <w:szCs w:val="20"/>
              </w:rPr>
              <w:t>Written submission only by Faisal Bhabha</w:t>
            </w:r>
            <w:r w:rsidR="00CF0B79">
              <w:rPr>
                <w:sz w:val="20"/>
                <w:szCs w:val="20"/>
              </w:rPr>
              <w:t xml:space="preserve"> </w:t>
            </w:r>
            <w:r w:rsidRPr="008023E2">
              <w:rPr>
                <w:sz w:val="20"/>
                <w:szCs w:val="20"/>
              </w:rPr>
              <w:t>for the interve</w:t>
            </w:r>
            <w:r w:rsidR="00CF0B79">
              <w:rPr>
                <w:sz w:val="20"/>
                <w:szCs w:val="20"/>
              </w:rPr>
              <w:t xml:space="preserve">ner </w:t>
            </w:r>
            <w:r w:rsidRPr="008023E2">
              <w:rPr>
                <w:sz w:val="20"/>
                <w:szCs w:val="20"/>
              </w:rPr>
              <w:t>Canadian Council on American-Islamic Relations.</w:t>
            </w:r>
          </w:p>
          <w:p w:rsidR="00473523" w:rsidRPr="008023E2" w:rsidRDefault="00473523" w:rsidP="00473523">
            <w:pPr>
              <w:rPr>
                <w:sz w:val="20"/>
                <w:szCs w:val="20"/>
              </w:rPr>
            </w:pPr>
          </w:p>
          <w:p w:rsidR="00CF0B79" w:rsidRDefault="00473523" w:rsidP="00473523">
            <w:pPr>
              <w:rPr>
                <w:sz w:val="20"/>
                <w:szCs w:val="20"/>
              </w:rPr>
            </w:pPr>
            <w:r w:rsidRPr="008023E2">
              <w:rPr>
                <w:sz w:val="20"/>
                <w:szCs w:val="20"/>
              </w:rPr>
              <w:t>Written submission only for the intervener</w:t>
            </w:r>
            <w:r w:rsidR="00C536B2" w:rsidRPr="008023E2">
              <w:rPr>
                <w:sz w:val="20"/>
                <w:szCs w:val="20"/>
              </w:rPr>
              <w:t xml:space="preserve"> </w:t>
            </w:r>
            <w:r w:rsidRPr="008023E2">
              <w:rPr>
                <w:sz w:val="20"/>
                <w:szCs w:val="20"/>
              </w:rPr>
              <w:t>Ontario Human Rights Commission</w:t>
            </w:r>
            <w:r w:rsidR="00CF0B79">
              <w:rPr>
                <w:sz w:val="20"/>
                <w:szCs w:val="20"/>
              </w:rPr>
              <w:t xml:space="preserve">. </w:t>
            </w:r>
          </w:p>
          <w:p w:rsidR="00CF0B79" w:rsidRDefault="00CF0B79" w:rsidP="00473523">
            <w:pPr>
              <w:rPr>
                <w:sz w:val="20"/>
                <w:szCs w:val="20"/>
              </w:rPr>
            </w:pPr>
          </w:p>
          <w:p w:rsidR="00CF0B79" w:rsidRDefault="00CF0B79" w:rsidP="00473523">
            <w:pPr>
              <w:rPr>
                <w:sz w:val="20"/>
                <w:szCs w:val="20"/>
              </w:rPr>
            </w:pPr>
            <w:r w:rsidRPr="008023E2">
              <w:rPr>
                <w:sz w:val="20"/>
                <w:szCs w:val="20"/>
              </w:rPr>
              <w:t xml:space="preserve">Written submission only for the intervener </w:t>
            </w:r>
            <w:r w:rsidR="00473523" w:rsidRPr="008023E2">
              <w:rPr>
                <w:sz w:val="20"/>
                <w:szCs w:val="20"/>
              </w:rPr>
              <w:t>Canadian Civil Liberties Association</w:t>
            </w:r>
          </w:p>
          <w:p w:rsidR="00CF0B79" w:rsidRDefault="00CF0B79" w:rsidP="00473523">
            <w:pPr>
              <w:rPr>
                <w:sz w:val="20"/>
                <w:szCs w:val="20"/>
              </w:rPr>
            </w:pPr>
          </w:p>
          <w:p w:rsidR="00CF0B79" w:rsidRDefault="00CF0B79" w:rsidP="00473523">
            <w:pPr>
              <w:rPr>
                <w:sz w:val="20"/>
                <w:szCs w:val="20"/>
              </w:rPr>
            </w:pPr>
            <w:r w:rsidRPr="008023E2">
              <w:rPr>
                <w:sz w:val="20"/>
                <w:szCs w:val="20"/>
              </w:rPr>
              <w:t xml:space="preserve">Written submission only for the intervener </w:t>
            </w:r>
            <w:r w:rsidR="00473523" w:rsidRPr="008023E2">
              <w:rPr>
                <w:sz w:val="20"/>
                <w:szCs w:val="20"/>
              </w:rPr>
              <w:t>South Asian Legal Clinic of Ontario</w:t>
            </w:r>
          </w:p>
          <w:p w:rsidR="00CF0B79" w:rsidRDefault="00CF0B79" w:rsidP="00473523">
            <w:pPr>
              <w:rPr>
                <w:sz w:val="20"/>
                <w:szCs w:val="20"/>
              </w:rPr>
            </w:pPr>
          </w:p>
          <w:p w:rsidR="004155D2" w:rsidRPr="00C50A5C" w:rsidRDefault="00CF0B79" w:rsidP="00C71799">
            <w:pPr>
              <w:rPr>
                <w:sz w:val="20"/>
                <w:szCs w:val="20"/>
              </w:rPr>
            </w:pPr>
            <w:r w:rsidRPr="008023E2">
              <w:rPr>
                <w:sz w:val="20"/>
                <w:szCs w:val="20"/>
              </w:rPr>
              <w:t xml:space="preserve">Written submission only for the intervener </w:t>
            </w:r>
            <w:r w:rsidR="00473523" w:rsidRPr="008023E2">
              <w:rPr>
                <w:sz w:val="20"/>
                <w:szCs w:val="20"/>
              </w:rPr>
              <w:t>Women's Legal Education and Action Fund</w:t>
            </w:r>
            <w:r w:rsidR="00C536B2" w:rsidRPr="008023E2">
              <w:rPr>
                <w:sz w:val="20"/>
                <w:szCs w:val="20"/>
              </w:rPr>
              <w:t>.</w:t>
            </w:r>
          </w:p>
        </w:tc>
      </w:tr>
    </w:tbl>
    <w:p w:rsidR="004155D2" w:rsidRDefault="004155D2" w:rsidP="004155D2">
      <w:pPr>
        <w:widowControl w:val="0"/>
      </w:pPr>
    </w:p>
    <w:p w:rsidR="004155D2" w:rsidRPr="0034524C" w:rsidRDefault="004155D2" w:rsidP="004155D2">
      <w:pPr>
        <w:widowControl w:val="0"/>
        <w:rPr>
          <w:sz w:val="20"/>
          <w:szCs w:val="20"/>
        </w:rPr>
      </w:pPr>
      <w:r w:rsidRPr="0034524C">
        <w:rPr>
          <w:b/>
          <w:sz w:val="20"/>
          <w:szCs w:val="20"/>
        </w:rPr>
        <w:t xml:space="preserve">RESERVED / </w:t>
      </w:r>
      <w:r w:rsidRPr="0034524C">
        <w:rPr>
          <w:b/>
          <w:sz w:val="20"/>
          <w:szCs w:val="20"/>
          <w:lang w:val="fr-CA"/>
        </w:rPr>
        <w:t>EN DÉLIBÉRÉ</w:t>
      </w:r>
    </w:p>
    <w:p w:rsidR="004155D2" w:rsidRDefault="004155D2" w:rsidP="004155D2"/>
    <w:tbl>
      <w:tblPr>
        <w:tblW w:w="0" w:type="auto"/>
        <w:tblLayout w:type="fixed"/>
        <w:tblCellMar>
          <w:left w:w="0" w:type="dxa"/>
          <w:right w:w="0" w:type="dxa"/>
        </w:tblCellMar>
        <w:tblLook w:val="0000"/>
      </w:tblPr>
      <w:tblGrid>
        <w:gridCol w:w="4380"/>
        <w:gridCol w:w="720"/>
        <w:gridCol w:w="4380"/>
      </w:tblGrid>
      <w:tr w:rsidR="004155D2" w:rsidRPr="00C04C40" w:rsidTr="004155D2">
        <w:tc>
          <w:tcPr>
            <w:tcW w:w="4380" w:type="dxa"/>
            <w:tcMar>
              <w:left w:w="0" w:type="dxa"/>
              <w:right w:w="0" w:type="dxa"/>
            </w:tcMar>
          </w:tcPr>
          <w:p w:rsidR="004155D2" w:rsidRPr="00CC4D84" w:rsidRDefault="004155D2" w:rsidP="004155D2">
            <w:pPr>
              <w:widowControl w:val="0"/>
              <w:jc w:val="both"/>
              <w:rPr>
                <w:b/>
                <w:sz w:val="20"/>
                <w:szCs w:val="20"/>
                <w:u w:val="single"/>
              </w:rPr>
            </w:pPr>
            <w:r w:rsidRPr="00CC4D84">
              <w:rPr>
                <w:b/>
                <w:sz w:val="20"/>
                <w:szCs w:val="20"/>
                <w:u w:val="single"/>
              </w:rPr>
              <w:t>Nature of the case:</w:t>
            </w:r>
          </w:p>
          <w:p w:rsidR="004155D2" w:rsidRPr="00C1697B" w:rsidRDefault="004155D2" w:rsidP="004155D2">
            <w:pPr>
              <w:widowControl w:val="0"/>
              <w:jc w:val="both"/>
              <w:rPr>
                <w:b/>
                <w:sz w:val="20"/>
                <w:szCs w:val="20"/>
              </w:rPr>
            </w:pPr>
          </w:p>
          <w:p w:rsidR="00D472EC" w:rsidRPr="00D472EC" w:rsidRDefault="00D472EC" w:rsidP="00D472EC">
            <w:pPr>
              <w:widowControl w:val="0"/>
              <w:jc w:val="both"/>
              <w:rPr>
                <w:rFonts w:eastAsia="Calibri" w:cs="Times New Roman"/>
                <w:sz w:val="20"/>
                <w:szCs w:val="20"/>
              </w:rPr>
            </w:pPr>
            <w:r w:rsidRPr="00D472EC">
              <w:rPr>
                <w:rFonts w:eastAsia="Calibri" w:cs="Times New Roman"/>
                <w:i/>
                <w:sz w:val="20"/>
                <w:szCs w:val="20"/>
              </w:rPr>
              <w:t>Charter of Rights</w:t>
            </w:r>
            <w:r w:rsidRPr="00D472EC">
              <w:rPr>
                <w:rFonts w:eastAsia="Calibri" w:cs="Times New Roman"/>
                <w:sz w:val="20"/>
                <w:szCs w:val="20"/>
              </w:rPr>
              <w:t xml:space="preserve"> </w:t>
            </w:r>
            <w:r w:rsidRPr="00D472EC">
              <w:rPr>
                <w:rFonts w:eastAsia="Calibri" w:cs="Times New Roman"/>
                <w:sz w:val="20"/>
                <w:szCs w:val="20"/>
              </w:rPr>
              <w:noBreakHyphen/>
              <w:t xml:space="preserve"> Right to life, liberty and security of the person </w:t>
            </w:r>
            <w:r w:rsidRPr="00D472EC">
              <w:rPr>
                <w:rFonts w:eastAsia="Calibri" w:cs="Times New Roman"/>
                <w:sz w:val="20"/>
                <w:szCs w:val="20"/>
              </w:rPr>
              <w:noBreakHyphen/>
              <w:t xml:space="preserve"> Right to make full answer and defence </w:t>
            </w:r>
            <w:r w:rsidRPr="00D472EC">
              <w:rPr>
                <w:rFonts w:eastAsia="Calibri" w:cs="Times New Roman"/>
                <w:sz w:val="20"/>
                <w:szCs w:val="20"/>
              </w:rPr>
              <w:noBreakHyphen/>
              <w:t xml:space="preserve"> Right to cross</w:t>
            </w:r>
            <w:r w:rsidRPr="00D472EC">
              <w:rPr>
                <w:rFonts w:eastAsia="Calibri" w:cs="Times New Roman"/>
                <w:sz w:val="20"/>
                <w:szCs w:val="20"/>
              </w:rPr>
              <w:noBreakHyphen/>
              <w:t xml:space="preserve">examine witness </w:t>
            </w:r>
            <w:r w:rsidRPr="00D472EC">
              <w:rPr>
                <w:rFonts w:eastAsia="Calibri" w:cs="Times New Roman"/>
                <w:sz w:val="20"/>
                <w:szCs w:val="20"/>
              </w:rPr>
              <w:noBreakHyphen/>
              <w:t xml:space="preserve"> Freedom of religion </w:t>
            </w:r>
            <w:r w:rsidRPr="00D472EC">
              <w:rPr>
                <w:rFonts w:eastAsia="Calibri" w:cs="Times New Roman"/>
                <w:sz w:val="20"/>
                <w:szCs w:val="20"/>
              </w:rPr>
              <w:noBreakHyphen/>
              <w:t xml:space="preserve"> Preliminary inquiry into allegations of sexual assault </w:t>
            </w:r>
            <w:r w:rsidRPr="00D472EC">
              <w:rPr>
                <w:rFonts w:eastAsia="Calibri" w:cs="Times New Roman"/>
                <w:sz w:val="20"/>
                <w:szCs w:val="20"/>
              </w:rPr>
              <w:noBreakHyphen/>
              <w:t xml:space="preserve"> Complainant sought permission to wear niqab while testifying </w:t>
            </w:r>
            <w:r w:rsidRPr="00D472EC">
              <w:rPr>
                <w:rFonts w:eastAsia="Calibri" w:cs="Times New Roman"/>
                <w:sz w:val="20"/>
                <w:szCs w:val="20"/>
              </w:rPr>
              <w:noBreakHyphen/>
              <w:t xml:space="preserve"> Whether a sexual assault complainant can wear her niqab for religious reasons while testifying.</w:t>
            </w:r>
          </w:p>
          <w:p w:rsidR="004155D2" w:rsidRPr="00C1697B" w:rsidRDefault="004155D2" w:rsidP="004155D2">
            <w:pPr>
              <w:widowControl w:val="0"/>
              <w:jc w:val="both"/>
              <w:rPr>
                <w:b/>
                <w:sz w:val="20"/>
                <w:szCs w:val="20"/>
              </w:rPr>
            </w:pPr>
          </w:p>
        </w:tc>
        <w:tc>
          <w:tcPr>
            <w:tcW w:w="720" w:type="dxa"/>
            <w:tcMar>
              <w:left w:w="0" w:type="dxa"/>
              <w:right w:w="0" w:type="dxa"/>
            </w:tcMar>
          </w:tcPr>
          <w:p w:rsidR="004155D2" w:rsidRPr="00C1697B" w:rsidRDefault="004155D2" w:rsidP="004155D2">
            <w:pPr>
              <w:widowControl w:val="0"/>
              <w:jc w:val="center"/>
              <w:rPr>
                <w:sz w:val="20"/>
                <w:szCs w:val="20"/>
              </w:rPr>
            </w:pPr>
          </w:p>
        </w:tc>
        <w:tc>
          <w:tcPr>
            <w:tcW w:w="4380" w:type="dxa"/>
            <w:tcMar>
              <w:left w:w="0" w:type="dxa"/>
              <w:right w:w="0" w:type="dxa"/>
            </w:tcMar>
          </w:tcPr>
          <w:p w:rsidR="004155D2" w:rsidRPr="00CC4D84" w:rsidRDefault="004155D2" w:rsidP="004155D2">
            <w:pPr>
              <w:widowControl w:val="0"/>
              <w:jc w:val="both"/>
              <w:rPr>
                <w:b/>
                <w:sz w:val="20"/>
                <w:szCs w:val="20"/>
                <w:u w:val="single"/>
                <w:lang w:val="fr-CA"/>
              </w:rPr>
            </w:pPr>
            <w:r w:rsidRPr="00CC4D84">
              <w:rPr>
                <w:b/>
                <w:sz w:val="20"/>
                <w:szCs w:val="20"/>
                <w:u w:val="single"/>
                <w:lang w:val="fr-CA"/>
              </w:rPr>
              <w:t>Nature de la cause :</w:t>
            </w:r>
          </w:p>
          <w:p w:rsidR="004155D2" w:rsidRPr="00C1697B" w:rsidRDefault="004155D2" w:rsidP="004155D2">
            <w:pPr>
              <w:widowControl w:val="0"/>
              <w:jc w:val="both"/>
              <w:rPr>
                <w:sz w:val="20"/>
                <w:szCs w:val="20"/>
                <w:lang w:val="fr-CA"/>
              </w:rPr>
            </w:pPr>
          </w:p>
          <w:p w:rsidR="004155D2" w:rsidRPr="00C1697B" w:rsidRDefault="00D472EC" w:rsidP="00C71799">
            <w:pPr>
              <w:jc w:val="both"/>
              <w:rPr>
                <w:sz w:val="20"/>
                <w:szCs w:val="20"/>
                <w:lang w:val="fr-CA"/>
              </w:rPr>
            </w:pPr>
            <w:r w:rsidRPr="00D472EC">
              <w:rPr>
                <w:rFonts w:eastAsia="Calibri" w:cs="Times New Roman"/>
                <w:i/>
                <w:sz w:val="20"/>
                <w:szCs w:val="20"/>
                <w:lang w:val="fr-CA"/>
              </w:rPr>
              <w:t>Charte des droits</w:t>
            </w:r>
            <w:r w:rsidRPr="00D472EC">
              <w:rPr>
                <w:rFonts w:eastAsia="Calibri" w:cs="Times New Roman"/>
                <w:sz w:val="20"/>
                <w:szCs w:val="20"/>
                <w:lang w:val="fr-CA"/>
              </w:rPr>
              <w:t xml:space="preserve"> </w:t>
            </w:r>
            <w:r w:rsidRPr="00D472EC">
              <w:rPr>
                <w:rFonts w:eastAsia="Calibri" w:cs="Times New Roman"/>
                <w:sz w:val="20"/>
                <w:szCs w:val="20"/>
                <w:lang w:val="fr-CA"/>
              </w:rPr>
              <w:noBreakHyphen/>
              <w:t xml:space="preserve"> Droit à la vie, à la liberté et à la sécurité de la personne </w:t>
            </w:r>
            <w:r w:rsidRPr="00D472EC">
              <w:rPr>
                <w:rFonts w:eastAsia="Calibri" w:cs="Times New Roman"/>
                <w:sz w:val="20"/>
                <w:szCs w:val="20"/>
                <w:lang w:val="fr-CA"/>
              </w:rPr>
              <w:noBreakHyphen/>
              <w:t xml:space="preserve"> Droit de présenter une défense pleine et entière </w:t>
            </w:r>
            <w:r w:rsidRPr="00D472EC">
              <w:rPr>
                <w:rFonts w:eastAsia="Calibri" w:cs="Times New Roman"/>
                <w:sz w:val="20"/>
                <w:szCs w:val="20"/>
                <w:lang w:val="fr-CA"/>
              </w:rPr>
              <w:noBreakHyphen/>
              <w:t xml:space="preserve"> Droit de contre</w:t>
            </w:r>
            <w:r w:rsidRPr="00D472EC">
              <w:rPr>
                <w:rFonts w:eastAsia="Calibri" w:cs="Times New Roman"/>
                <w:sz w:val="20"/>
                <w:szCs w:val="20"/>
                <w:lang w:val="fr-CA"/>
              </w:rPr>
              <w:noBreakHyphen/>
              <w:t xml:space="preserve">interroger le témoin </w:t>
            </w:r>
            <w:r w:rsidRPr="00D472EC">
              <w:rPr>
                <w:rFonts w:eastAsia="Calibri" w:cs="Times New Roman"/>
                <w:sz w:val="20"/>
                <w:szCs w:val="20"/>
                <w:lang w:val="fr-CA"/>
              </w:rPr>
              <w:noBreakHyphen/>
              <w:t xml:space="preserve"> Liberté de religion </w:t>
            </w:r>
            <w:r w:rsidRPr="00D472EC">
              <w:rPr>
                <w:rFonts w:eastAsia="Calibri" w:cs="Times New Roman"/>
                <w:sz w:val="20"/>
                <w:szCs w:val="20"/>
                <w:lang w:val="fr-CA"/>
              </w:rPr>
              <w:noBreakHyphen/>
              <w:t xml:space="preserve"> Enquête préliminaire sur des allégations d’agression sexuelle </w:t>
            </w:r>
            <w:r w:rsidRPr="00D472EC">
              <w:rPr>
                <w:rFonts w:eastAsia="Calibri" w:cs="Times New Roman"/>
                <w:sz w:val="20"/>
                <w:szCs w:val="20"/>
                <w:lang w:val="fr-CA"/>
              </w:rPr>
              <w:noBreakHyphen/>
              <w:t xml:space="preserve"> Plaignante a demandé l’autorisation de porter un niqab durant son témoignage </w:t>
            </w:r>
            <w:r w:rsidRPr="00D472EC">
              <w:rPr>
                <w:rFonts w:eastAsia="Calibri" w:cs="Times New Roman"/>
                <w:sz w:val="20"/>
                <w:szCs w:val="20"/>
                <w:lang w:val="fr-CA"/>
              </w:rPr>
              <w:noBreakHyphen/>
              <w:t xml:space="preserve"> Une personne se plaignant d’avoir été victime d’agression sexuelle peut</w:t>
            </w:r>
            <w:r w:rsidRPr="00D472EC">
              <w:rPr>
                <w:rFonts w:eastAsia="Calibri" w:cs="Times New Roman"/>
                <w:sz w:val="20"/>
                <w:szCs w:val="20"/>
                <w:lang w:val="fr-CA"/>
              </w:rPr>
              <w:noBreakHyphen/>
              <w:t>elle porter un niqab, pour des motifs d’ordre religieux, pendant qu’elle témoigne?</w:t>
            </w:r>
          </w:p>
        </w:tc>
      </w:tr>
    </w:tbl>
    <w:p w:rsidR="004155D2" w:rsidRPr="00404951" w:rsidRDefault="004155D2" w:rsidP="004155D2">
      <w:pPr>
        <w:widowControl w:val="0"/>
        <w:rPr>
          <w:sz w:val="20"/>
          <w:szCs w:val="20"/>
          <w:lang w:val="fr-CA"/>
        </w:rPr>
      </w:pPr>
    </w:p>
    <w:p w:rsidR="004155D2" w:rsidRDefault="008A6550" w:rsidP="004155D2">
      <w:pPr>
        <w:widowControl w:val="0"/>
        <w:rPr>
          <w:sz w:val="20"/>
          <w:szCs w:val="20"/>
          <w:lang w:val="fr-CA"/>
        </w:rPr>
      </w:pPr>
      <w:r w:rsidRPr="008A6550">
        <w:rPr>
          <w:sz w:val="20"/>
          <w:szCs w:val="20"/>
          <w:lang w:val="fr-CA"/>
        </w:rPr>
        <w:pict>
          <v:rect id="_x0000_i1102" style="width:2in;height:1pt" o:hrpct="0" o:hralign="center" o:hrstd="t" o:hrnoshade="t" o:hr="t" fillcolor="black [3213]" stroked="f"/>
        </w:pict>
      </w:r>
    </w:p>
    <w:p w:rsidR="004155D2" w:rsidRDefault="004155D2" w:rsidP="004155D2">
      <w:pPr>
        <w:widowControl w:val="0"/>
        <w:rPr>
          <w:sz w:val="20"/>
          <w:szCs w:val="20"/>
        </w:rPr>
      </w:pPr>
    </w:p>
    <w:p w:rsidR="004155D2" w:rsidRDefault="004155D2" w:rsidP="004155D2">
      <w:pPr>
        <w:widowControl w:val="0"/>
        <w:rPr>
          <w:sz w:val="20"/>
          <w:szCs w:val="20"/>
          <w:lang w:val="fr-CA"/>
        </w:rPr>
      </w:pPr>
    </w:p>
    <w:p w:rsidR="0096618E" w:rsidRPr="00C1697B" w:rsidRDefault="0096618E" w:rsidP="00732DB7">
      <w:pPr>
        <w:widowControl w:val="0"/>
        <w:rPr>
          <w:sz w:val="20"/>
          <w:szCs w:val="20"/>
          <w:lang w:val="fr-CA"/>
        </w:rPr>
        <w:sectPr w:rsidR="0096618E" w:rsidRPr="00C1697B" w:rsidSect="00732DB7">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C04C4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473523" w:rsidRDefault="00EE0B2D" w:rsidP="00AF1715">
      <w:pPr>
        <w:rPr>
          <w:b/>
          <w:sz w:val="20"/>
          <w:szCs w:val="20"/>
          <w:lang w:val="fr-CA"/>
        </w:rPr>
      </w:pPr>
      <w:r w:rsidRPr="00473523">
        <w:rPr>
          <w:b/>
          <w:sz w:val="20"/>
          <w:szCs w:val="20"/>
          <w:lang w:val="fr-CA"/>
        </w:rPr>
        <w:t>DECEMBER 8</w:t>
      </w:r>
      <w:r w:rsidR="00AF1715" w:rsidRPr="00473523">
        <w:rPr>
          <w:b/>
          <w:sz w:val="20"/>
          <w:szCs w:val="20"/>
          <w:lang w:val="fr-CA"/>
        </w:rPr>
        <w:t>, 201</w:t>
      </w:r>
      <w:r w:rsidRPr="00473523">
        <w:rPr>
          <w:b/>
          <w:sz w:val="20"/>
          <w:szCs w:val="20"/>
          <w:lang w:val="fr-CA"/>
        </w:rPr>
        <w:t>1</w:t>
      </w:r>
      <w:r w:rsidR="00AF1715" w:rsidRPr="00473523">
        <w:rPr>
          <w:b/>
          <w:sz w:val="20"/>
          <w:szCs w:val="20"/>
          <w:lang w:val="fr-CA"/>
        </w:rPr>
        <w:t xml:space="preserve"> / LE </w:t>
      </w:r>
      <w:r w:rsidRPr="00473523">
        <w:rPr>
          <w:b/>
          <w:sz w:val="20"/>
          <w:szCs w:val="20"/>
          <w:lang w:val="fr-CA"/>
        </w:rPr>
        <w:t>8</w:t>
      </w:r>
      <w:r w:rsidR="00AF1715" w:rsidRPr="00473523">
        <w:rPr>
          <w:b/>
          <w:sz w:val="20"/>
          <w:szCs w:val="20"/>
          <w:lang w:val="fr-CA"/>
        </w:rPr>
        <w:t xml:space="preserve"> </w:t>
      </w:r>
      <w:r w:rsidRPr="00473523">
        <w:rPr>
          <w:b/>
          <w:sz w:val="20"/>
          <w:szCs w:val="20"/>
          <w:lang w:val="fr-CA"/>
        </w:rPr>
        <w:t>D</w:t>
      </w:r>
      <w:r>
        <w:rPr>
          <w:b/>
          <w:sz w:val="20"/>
          <w:szCs w:val="20"/>
          <w:lang w:val="fr-CA"/>
        </w:rPr>
        <w:t>ÉCEMBRE</w:t>
      </w:r>
      <w:r w:rsidR="00AF1715" w:rsidRPr="00473523">
        <w:rPr>
          <w:b/>
          <w:sz w:val="20"/>
          <w:szCs w:val="20"/>
          <w:lang w:val="fr-CA"/>
        </w:rPr>
        <w:t xml:space="preserve"> 201</w:t>
      </w:r>
      <w:r w:rsidRPr="00473523">
        <w:rPr>
          <w:b/>
          <w:sz w:val="20"/>
          <w:szCs w:val="20"/>
          <w:lang w:val="fr-CA"/>
        </w:rPr>
        <w:t>1</w:t>
      </w:r>
    </w:p>
    <w:p w:rsidR="00AF1715" w:rsidRPr="00473523" w:rsidRDefault="00AF1715" w:rsidP="00AF1715">
      <w:pPr>
        <w:rPr>
          <w:sz w:val="20"/>
          <w:szCs w:val="20"/>
          <w:lang w:val="fr-CA"/>
        </w:rPr>
      </w:pPr>
    </w:p>
    <w:p w:rsidR="00EE0B2D" w:rsidRPr="000E3AAF" w:rsidRDefault="00EE0B2D" w:rsidP="00EE0B2D">
      <w:pPr>
        <w:shd w:val="clear" w:color="auto" w:fill="FFFFFF"/>
        <w:ind w:left="1440" w:hanging="1440"/>
        <w:jc w:val="both"/>
        <w:rPr>
          <w:sz w:val="20"/>
          <w:lang w:val="fr-CA"/>
        </w:rPr>
      </w:pPr>
      <w:r w:rsidRPr="000E3AAF">
        <w:rPr>
          <w:b/>
          <w:sz w:val="20"/>
          <w:lang w:val="fr-CA"/>
        </w:rPr>
        <w:t>33511</w:t>
      </w:r>
      <w:r w:rsidRPr="000E3AAF">
        <w:rPr>
          <w:sz w:val="20"/>
          <w:lang w:val="fr-CA"/>
        </w:rPr>
        <w:tab/>
      </w:r>
      <w:r w:rsidRPr="000E3AAF">
        <w:rPr>
          <w:b/>
          <w:iCs/>
          <w:sz w:val="20"/>
          <w:u w:val="single"/>
          <w:lang w:val="fr-CA"/>
        </w:rPr>
        <w:t>Procureur général du Québec c. Ministère des Ressources humaines et Développement social Canada et Commission de la santé et de la sécurité du travail – et – Rock Bruyère et Procureur général de la Colombie-Britannique</w:t>
      </w:r>
      <w:r w:rsidRPr="000E3AAF">
        <w:rPr>
          <w:iCs/>
          <w:sz w:val="20"/>
          <w:lang w:val="fr-CA"/>
        </w:rPr>
        <w:t xml:space="preserve"> (Qc)</w:t>
      </w:r>
    </w:p>
    <w:p w:rsidR="00EE0B2D" w:rsidRPr="000E3AAF" w:rsidRDefault="00EE0B2D" w:rsidP="00EE0B2D">
      <w:pPr>
        <w:ind w:left="1440" w:hanging="1440"/>
        <w:jc w:val="both"/>
        <w:rPr>
          <w:b/>
          <w:sz w:val="20"/>
          <w:lang w:val="fr-CA"/>
        </w:rPr>
      </w:pPr>
      <w:r w:rsidRPr="000E3AAF">
        <w:rPr>
          <w:b/>
          <w:sz w:val="20"/>
          <w:lang w:val="fr-CA"/>
        </w:rPr>
        <w:tab/>
        <w:t>2011 SCC 60 / 2011 CSC 60</w:t>
      </w:r>
    </w:p>
    <w:p w:rsidR="00EE0B2D" w:rsidRPr="000E3AAF" w:rsidRDefault="00EE0B2D" w:rsidP="00EE0B2D">
      <w:pPr>
        <w:ind w:left="1440" w:hanging="1440"/>
        <w:jc w:val="both"/>
        <w:rPr>
          <w:b/>
          <w:sz w:val="20"/>
          <w:lang w:val="fr-CA"/>
        </w:rPr>
      </w:pPr>
    </w:p>
    <w:p w:rsidR="00EE0B2D" w:rsidRPr="000E3AAF" w:rsidRDefault="00EE0B2D" w:rsidP="00EE0B2D">
      <w:pPr>
        <w:ind w:left="1440" w:hanging="1440"/>
        <w:jc w:val="both"/>
        <w:rPr>
          <w:sz w:val="20"/>
          <w:u w:val="single"/>
          <w:lang w:val="fr-CA"/>
        </w:rPr>
      </w:pPr>
      <w:r w:rsidRPr="000E3AAF">
        <w:rPr>
          <w:sz w:val="20"/>
          <w:lang w:val="fr-CA"/>
        </w:rPr>
        <w:t>Coram:</w:t>
      </w:r>
      <w:r>
        <w:rPr>
          <w:sz w:val="20"/>
          <w:lang w:val="fr-CA"/>
        </w:rPr>
        <w:tab/>
      </w:r>
      <w:r w:rsidRPr="000E3AAF">
        <w:rPr>
          <w:sz w:val="20"/>
          <w:u w:val="single"/>
          <w:lang w:val="fr-CA"/>
        </w:rPr>
        <w:t xml:space="preserve">La juge en chef McLachlin et les juges Binnie, LeBel, Deschamps, Fish, Abella, Charron, Rothstein et Cromwell </w:t>
      </w:r>
    </w:p>
    <w:p w:rsidR="00EE0B2D" w:rsidRPr="000E3AAF" w:rsidRDefault="00EE0B2D" w:rsidP="00EE0B2D">
      <w:pPr>
        <w:jc w:val="both"/>
        <w:rPr>
          <w:sz w:val="20"/>
          <w:lang w:val="fr-CA"/>
        </w:rPr>
      </w:pPr>
    </w:p>
    <w:p w:rsidR="00EE0B2D" w:rsidRPr="000E3AAF" w:rsidRDefault="00EE0B2D" w:rsidP="00EE0B2D">
      <w:pPr>
        <w:jc w:val="both"/>
        <w:rPr>
          <w:sz w:val="20"/>
          <w:lang w:val="fr-CA"/>
        </w:rPr>
      </w:pPr>
      <w:r w:rsidRPr="000E3AAF">
        <w:rPr>
          <w:sz w:val="20"/>
          <w:lang w:val="fr-CA"/>
        </w:rPr>
        <w:t xml:space="preserve">L’appel interjeté contre l’arrêt de la Cour d’appel du Québec (Montréal), numéro 500-09-018626-085, 2009 QCCA 2246, en date du 18 novembre 2009, entendu le 15 février 2011, est rejeté. L’article 144 de la </w:t>
      </w:r>
      <w:r w:rsidRPr="000E3AAF">
        <w:rPr>
          <w:i/>
          <w:sz w:val="20"/>
          <w:lang w:val="fr-CA"/>
        </w:rPr>
        <w:t>Loi sur les accidents du travail et les maladies professionnelles</w:t>
      </w:r>
      <w:r w:rsidRPr="000E3AAF">
        <w:rPr>
          <w:sz w:val="20"/>
          <w:lang w:val="fr-CA"/>
        </w:rPr>
        <w:t xml:space="preserve"> est constitutionnellement inopérant à l’égard d’une demande péremptoire de paiement prévue au par. 126(4) de la </w:t>
      </w:r>
      <w:r w:rsidRPr="000E3AAF">
        <w:rPr>
          <w:i/>
          <w:sz w:val="20"/>
          <w:lang w:val="fr-CA"/>
        </w:rPr>
        <w:t>Loi sur l’assurance-emploi</w:t>
      </w:r>
      <w:r w:rsidRPr="000E3AAF">
        <w:rPr>
          <w:sz w:val="20"/>
          <w:lang w:val="fr-CA"/>
        </w:rPr>
        <w:t>.</w:t>
      </w:r>
    </w:p>
    <w:p w:rsidR="00EE0B2D" w:rsidRPr="00EE0B2D" w:rsidRDefault="00EE0B2D" w:rsidP="00EE0B2D">
      <w:pPr>
        <w:jc w:val="both"/>
        <w:rPr>
          <w:sz w:val="20"/>
          <w:lang w:val="fr-CA"/>
        </w:rPr>
      </w:pPr>
    </w:p>
    <w:p w:rsidR="00EE0B2D" w:rsidRPr="000E3AAF" w:rsidRDefault="00EE0B2D" w:rsidP="00EE0B2D">
      <w:pPr>
        <w:jc w:val="both"/>
        <w:rPr>
          <w:sz w:val="20"/>
        </w:rPr>
      </w:pPr>
      <w:r w:rsidRPr="000E3AAF">
        <w:rPr>
          <w:sz w:val="20"/>
        </w:rPr>
        <w:t xml:space="preserve">The appeal from the judgment of the Court of Appeal of Quebec (Montréal), Number 500-09-018626-085, 2009 QCCA 2246,  dated November 18, 2009, heard on February 15, 2011, is dismissed. Section 144 of the </w:t>
      </w:r>
      <w:r w:rsidRPr="000E3AAF">
        <w:rPr>
          <w:i/>
          <w:sz w:val="20"/>
        </w:rPr>
        <w:t>Act respecting industrial accidents and occupational diseases</w:t>
      </w:r>
      <w:r w:rsidRPr="000E3AAF">
        <w:rPr>
          <w:sz w:val="20"/>
        </w:rPr>
        <w:t xml:space="preserve"> is constitutionally inoperative in relation to a requirement to pay under s. 126(4) of the </w:t>
      </w:r>
      <w:r w:rsidRPr="000E3AAF">
        <w:rPr>
          <w:i/>
          <w:sz w:val="20"/>
        </w:rPr>
        <w:t>Employment Insurance Act</w:t>
      </w:r>
      <w:r w:rsidRPr="000E3AAF">
        <w:rPr>
          <w:sz w:val="20"/>
        </w:rPr>
        <w:t>.</w:t>
      </w:r>
    </w:p>
    <w:p w:rsidR="00EE0B2D" w:rsidRDefault="00EE0B2D" w:rsidP="00AF1715">
      <w:pPr>
        <w:rPr>
          <w:sz w:val="20"/>
          <w:szCs w:val="20"/>
        </w:rPr>
      </w:pPr>
    </w:p>
    <w:p w:rsidR="00AF1715" w:rsidRPr="006C5F7A" w:rsidRDefault="008A6550"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8A6550">
        <w:rPr>
          <w:rFonts w:cs="Times New Roman"/>
          <w:b/>
          <w:sz w:val="20"/>
          <w:szCs w:val="20"/>
        </w:rPr>
        <w:pict>
          <v:rect id="_x0000_i1105"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50547" w:rsidRDefault="003B3977" w:rsidP="005C6840">
      <w:pPr>
        <w:rPr>
          <w:rFonts w:cs="Times New Roman"/>
          <w:i/>
          <w:sz w:val="20"/>
          <w:szCs w:val="20"/>
        </w:rPr>
      </w:pPr>
    </w:p>
    <w:p w:rsidR="00350547" w:rsidRPr="00350547" w:rsidRDefault="00350547" w:rsidP="005C6840">
      <w:pPr>
        <w:rPr>
          <w:iCs/>
          <w:sz w:val="20"/>
          <w:szCs w:val="20"/>
          <w:lang w:val="fr-CA"/>
        </w:rPr>
      </w:pPr>
      <w:r w:rsidRPr="00350547">
        <w:rPr>
          <w:i/>
          <w:iCs/>
          <w:sz w:val="20"/>
          <w:szCs w:val="20"/>
          <w:lang w:val="fr-CA"/>
        </w:rPr>
        <w:t>Procureur général du Québec c. Ministère des ressources humaines et développement social Canada et autre</w:t>
      </w:r>
      <w:r>
        <w:rPr>
          <w:i/>
          <w:iCs/>
          <w:sz w:val="20"/>
          <w:szCs w:val="20"/>
          <w:lang w:val="fr-CA"/>
        </w:rPr>
        <w:t xml:space="preserve"> </w:t>
      </w:r>
      <w:r>
        <w:rPr>
          <w:iCs/>
          <w:sz w:val="20"/>
          <w:szCs w:val="20"/>
          <w:lang w:val="fr-CA"/>
        </w:rPr>
        <w:t>(Qc) (33511)</w:t>
      </w:r>
    </w:p>
    <w:p w:rsidR="005C6840" w:rsidRPr="00350547" w:rsidRDefault="005C6840" w:rsidP="005C6840">
      <w:pPr>
        <w:jc w:val="both"/>
        <w:rPr>
          <w:rFonts w:cs="Times New Roman"/>
          <w:b/>
          <w:sz w:val="20"/>
          <w:szCs w:val="20"/>
          <w:lang w:val="fr-CA"/>
        </w:rPr>
      </w:pPr>
      <w:r w:rsidRPr="00350547">
        <w:rPr>
          <w:rFonts w:cs="Times New Roman"/>
          <w:b/>
          <w:sz w:val="20"/>
          <w:szCs w:val="20"/>
          <w:lang w:val="fr-CA"/>
        </w:rPr>
        <w:t>Indexed as:</w:t>
      </w:r>
      <w:proofErr w:type="gramStart"/>
      <w:r w:rsidRPr="00350547">
        <w:rPr>
          <w:rFonts w:cs="Times New Roman"/>
          <w:b/>
          <w:sz w:val="20"/>
          <w:szCs w:val="20"/>
          <w:lang w:val="fr-CA"/>
        </w:rPr>
        <w:t>  </w:t>
      </w:r>
      <w:r w:rsidR="00350547" w:rsidRPr="00350547">
        <w:rPr>
          <w:rFonts w:cs="Times New Roman"/>
          <w:b/>
          <w:sz w:val="20"/>
          <w:szCs w:val="20"/>
          <w:lang w:val="fr-CA"/>
        </w:rPr>
        <w:t>Quebec</w:t>
      </w:r>
      <w:proofErr w:type="gramEnd"/>
      <w:r w:rsidR="00350547" w:rsidRPr="00350547">
        <w:rPr>
          <w:rFonts w:cs="Times New Roman"/>
          <w:b/>
          <w:sz w:val="20"/>
          <w:szCs w:val="20"/>
          <w:lang w:val="fr-CA"/>
        </w:rPr>
        <w:t xml:space="preserve"> (Attorney General) v. Canada (Human Resources and Social Development)</w:t>
      </w:r>
      <w:r w:rsidRPr="00350547">
        <w:rPr>
          <w:rStyle w:val="SCCRespondentForIndexChar"/>
          <w:rFonts w:eastAsiaTheme="minorHAnsi"/>
          <w:sz w:val="20"/>
          <w:lang w:val="fr-CA"/>
        </w:rPr>
        <w:t xml:space="preserve"> / </w:t>
      </w:r>
      <w:r w:rsidRPr="00350547">
        <w:rPr>
          <w:rFonts w:cs="Times New Roman"/>
          <w:b/>
          <w:sz w:val="20"/>
          <w:szCs w:val="20"/>
          <w:lang w:val="fr-CA"/>
        </w:rPr>
        <w:t>Répertorié : </w:t>
      </w:r>
      <w:r w:rsidR="00350547" w:rsidRPr="00350547">
        <w:rPr>
          <w:rStyle w:val="SCCAppellantForIndexChar"/>
          <w:rFonts w:eastAsiaTheme="minorHAnsi"/>
          <w:sz w:val="20"/>
        </w:rPr>
        <w:t>Québec (Procureur général) c. Canada (Ressources humaines et Développement social)</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7F387B">
        <w:rPr>
          <w:sz w:val="20"/>
        </w:rPr>
        <w:t>1</w:t>
      </w:r>
      <w:proofErr w:type="gramEnd"/>
      <w:r w:rsidRPr="003B3977">
        <w:rPr>
          <w:sz w:val="20"/>
        </w:rPr>
        <w:t xml:space="preserve"> SCC </w:t>
      </w:r>
      <w:r w:rsidR="00C92191">
        <w:rPr>
          <w:sz w:val="20"/>
        </w:rPr>
        <w:t>60</w:t>
      </w:r>
      <w:r w:rsidRPr="003B3977">
        <w:rPr>
          <w:sz w:val="20"/>
        </w:rPr>
        <w:t xml:space="preserve"> / Référence neutre : 201</w:t>
      </w:r>
      <w:r w:rsidR="007F387B">
        <w:rPr>
          <w:sz w:val="20"/>
        </w:rPr>
        <w:t>1</w:t>
      </w:r>
      <w:r w:rsidRPr="003B3977">
        <w:rPr>
          <w:sz w:val="20"/>
        </w:rPr>
        <w:t xml:space="preserve"> CSC </w:t>
      </w:r>
      <w:r w:rsidR="00C92191">
        <w:rPr>
          <w:sz w:val="20"/>
        </w:rPr>
        <w:t>60</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C92191">
        <w:rPr>
          <w:rFonts w:cs="Times New Roman"/>
          <w:sz w:val="20"/>
          <w:szCs w:val="20"/>
          <w:lang w:val="fr-CA"/>
        </w:rPr>
        <w:t>February</w:t>
      </w:r>
      <w:proofErr w:type="gramEnd"/>
      <w:r w:rsidRPr="003B3977">
        <w:rPr>
          <w:rFonts w:cs="Times New Roman"/>
          <w:sz w:val="20"/>
          <w:szCs w:val="20"/>
          <w:lang w:val="fr-CA"/>
        </w:rPr>
        <w:t xml:space="preserve"> </w:t>
      </w:r>
      <w:r w:rsidR="00C92191">
        <w:rPr>
          <w:rFonts w:cs="Times New Roman"/>
          <w:sz w:val="20"/>
          <w:szCs w:val="20"/>
          <w:lang w:val="fr-CA"/>
        </w:rPr>
        <w:t>15</w:t>
      </w:r>
      <w:r w:rsidRPr="003B3977">
        <w:rPr>
          <w:rFonts w:cs="Times New Roman"/>
          <w:sz w:val="20"/>
          <w:szCs w:val="20"/>
          <w:lang w:val="fr-CA"/>
        </w:rPr>
        <w:t>, 201</w:t>
      </w:r>
      <w:r w:rsidR="00C92191">
        <w:rPr>
          <w:rFonts w:cs="Times New Roman"/>
          <w:sz w:val="20"/>
          <w:szCs w:val="20"/>
          <w:lang w:val="fr-CA"/>
        </w:rPr>
        <w:t>1</w:t>
      </w:r>
      <w:r w:rsidRPr="003B3977">
        <w:rPr>
          <w:rFonts w:cs="Times New Roman"/>
          <w:sz w:val="20"/>
          <w:szCs w:val="20"/>
          <w:lang w:val="fr-CA"/>
        </w:rPr>
        <w:t xml:space="preserve"> / Judgment:  </w:t>
      </w:r>
      <w:r w:rsidR="00C92191">
        <w:rPr>
          <w:rFonts w:cs="Times New Roman"/>
          <w:sz w:val="20"/>
          <w:szCs w:val="20"/>
          <w:lang w:val="fr-CA"/>
        </w:rPr>
        <w:t>December</w:t>
      </w:r>
      <w:r w:rsidRPr="003B3977">
        <w:rPr>
          <w:rFonts w:cs="Times New Roman"/>
          <w:sz w:val="20"/>
          <w:szCs w:val="20"/>
          <w:lang w:val="fr-CA"/>
        </w:rPr>
        <w:t xml:space="preserve"> </w:t>
      </w:r>
      <w:r w:rsidR="00C92191">
        <w:rPr>
          <w:rFonts w:cs="Times New Roman"/>
          <w:sz w:val="20"/>
          <w:szCs w:val="20"/>
          <w:lang w:val="fr-CA"/>
        </w:rPr>
        <w:t>8</w:t>
      </w:r>
      <w:r w:rsidRPr="003B3977">
        <w:rPr>
          <w:rFonts w:cs="Times New Roman"/>
          <w:sz w:val="20"/>
          <w:szCs w:val="20"/>
          <w:lang w:val="fr-CA"/>
        </w:rPr>
        <w:t>, 201</w:t>
      </w:r>
      <w:r w:rsidR="00C92191">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C92191">
        <w:rPr>
          <w:rFonts w:cs="Times New Roman"/>
          <w:sz w:val="20"/>
          <w:szCs w:val="20"/>
          <w:lang w:val="fr-CA"/>
        </w:rPr>
        <w:t>5</w:t>
      </w:r>
      <w:r w:rsidRPr="003B3977">
        <w:rPr>
          <w:rFonts w:cs="Times New Roman"/>
          <w:sz w:val="20"/>
          <w:szCs w:val="20"/>
          <w:lang w:val="fr-CA"/>
        </w:rPr>
        <w:t xml:space="preserve"> </w:t>
      </w:r>
      <w:r w:rsidR="00C92191">
        <w:rPr>
          <w:rFonts w:cs="Times New Roman"/>
          <w:sz w:val="20"/>
          <w:szCs w:val="20"/>
          <w:lang w:val="fr-CA"/>
        </w:rPr>
        <w:t>février</w:t>
      </w:r>
      <w:r w:rsidRPr="003B3977">
        <w:rPr>
          <w:rFonts w:cs="Times New Roman"/>
          <w:sz w:val="20"/>
          <w:szCs w:val="20"/>
          <w:lang w:val="fr-CA"/>
        </w:rPr>
        <w:t xml:space="preserve"> 201</w:t>
      </w:r>
      <w:r w:rsidR="00C92191">
        <w:rPr>
          <w:rFonts w:cs="Times New Roman"/>
          <w:sz w:val="20"/>
          <w:szCs w:val="20"/>
          <w:lang w:val="fr-CA"/>
        </w:rPr>
        <w:t>1</w:t>
      </w:r>
      <w:r w:rsidRPr="003B3977">
        <w:rPr>
          <w:rFonts w:cs="Times New Roman"/>
          <w:sz w:val="20"/>
          <w:szCs w:val="20"/>
          <w:lang w:val="fr-CA"/>
        </w:rPr>
        <w:t xml:space="preserve"> / Jugement : Le</w:t>
      </w:r>
      <w:r w:rsidR="00C92191">
        <w:rPr>
          <w:rFonts w:cs="Times New Roman"/>
          <w:sz w:val="20"/>
          <w:szCs w:val="20"/>
          <w:lang w:val="fr-CA"/>
        </w:rPr>
        <w:t xml:space="preserve"> 8</w:t>
      </w:r>
      <w:r w:rsidRPr="003B3977">
        <w:rPr>
          <w:rFonts w:cs="Times New Roman"/>
          <w:sz w:val="20"/>
          <w:szCs w:val="20"/>
          <w:lang w:val="fr-CA"/>
        </w:rPr>
        <w:t xml:space="preserve"> </w:t>
      </w:r>
      <w:r w:rsidR="00C92191">
        <w:rPr>
          <w:rFonts w:cs="Times New Roman"/>
          <w:sz w:val="20"/>
          <w:szCs w:val="20"/>
          <w:lang w:val="fr-CA"/>
        </w:rPr>
        <w:t>décembre</w:t>
      </w:r>
      <w:r w:rsidRPr="003B3977">
        <w:rPr>
          <w:rFonts w:cs="Times New Roman"/>
          <w:sz w:val="20"/>
          <w:szCs w:val="20"/>
          <w:lang w:val="fr-CA"/>
        </w:rPr>
        <w:t xml:space="preserve"> 201</w:t>
      </w:r>
      <w:r w:rsidR="00C92191">
        <w:rPr>
          <w:rFonts w:cs="Times New Roman"/>
          <w:sz w:val="20"/>
          <w:szCs w:val="20"/>
          <w:lang w:val="fr-CA"/>
        </w:rPr>
        <w:t>1</w:t>
      </w:r>
    </w:p>
    <w:p w:rsidR="005C6840" w:rsidRPr="003B3977" w:rsidRDefault="008A6550" w:rsidP="005C6840">
      <w:pPr>
        <w:rPr>
          <w:rFonts w:cs="Times New Roman"/>
          <w:sz w:val="20"/>
          <w:szCs w:val="20"/>
          <w:lang w:val="fr-CA"/>
        </w:rPr>
      </w:pPr>
      <w:r w:rsidRPr="008A6550">
        <w:rPr>
          <w:rFonts w:cs="Times New Roman"/>
          <w:i/>
          <w:sz w:val="20"/>
          <w:szCs w:val="20"/>
        </w:rPr>
        <w:pict>
          <v:rect id="_x0000_i1108" style="width:480.95pt;height:1pt" o:hralign="center" o:hrstd="t" o:hrnoshade="t" o:hr="t" fillcolor="black [3213]" stroked="f"/>
        </w:pict>
      </w:r>
    </w:p>
    <w:p w:rsidR="005C6840" w:rsidRDefault="005C6840" w:rsidP="005C6840">
      <w:pPr>
        <w:rPr>
          <w:rFonts w:cs="Times New Roman"/>
          <w:sz w:val="20"/>
          <w:szCs w:val="20"/>
          <w:lang w:val="fr-CA"/>
        </w:rPr>
      </w:pPr>
    </w:p>
    <w:p w:rsidR="001F1FBA" w:rsidRDefault="001F1FBA" w:rsidP="001F1FBA">
      <w:pPr>
        <w:ind w:left="720" w:hanging="720"/>
        <w:rPr>
          <w:rFonts w:cs="Times New Roman"/>
          <w:sz w:val="20"/>
          <w:szCs w:val="20"/>
          <w:lang w:val="fr-CA"/>
        </w:rPr>
      </w:pPr>
      <w:r>
        <w:rPr>
          <w:rFonts w:cs="Times New Roman"/>
          <w:sz w:val="20"/>
          <w:szCs w:val="20"/>
          <w:lang w:val="fr-CA"/>
        </w:rPr>
        <w:t>Présents </w:t>
      </w:r>
      <w:proofErr w:type="gramStart"/>
      <w:r>
        <w:rPr>
          <w:rFonts w:cs="Times New Roman"/>
          <w:sz w:val="20"/>
          <w:szCs w:val="20"/>
          <w:lang w:val="fr-CA"/>
        </w:rPr>
        <w:t xml:space="preserve">:  </w:t>
      </w:r>
      <w:r w:rsidRPr="001F1FBA">
        <w:rPr>
          <w:rFonts w:cs="Times New Roman"/>
          <w:sz w:val="20"/>
          <w:szCs w:val="20"/>
          <w:lang w:val="fr-CA"/>
        </w:rPr>
        <w:t>La</w:t>
      </w:r>
      <w:proofErr w:type="gramEnd"/>
      <w:r w:rsidRPr="001F1FBA">
        <w:rPr>
          <w:rFonts w:cs="Times New Roman"/>
          <w:sz w:val="20"/>
          <w:szCs w:val="20"/>
          <w:lang w:val="fr-CA"/>
        </w:rPr>
        <w:t xml:space="preserve"> juge en chef McLachlin et les juges Binnie, LeBel, Deschamps, Fish, Abella, Charron, Rothstein et Cromwell </w:t>
      </w:r>
    </w:p>
    <w:p w:rsidR="001F1FBA" w:rsidRDefault="001F1FBA" w:rsidP="00C92191">
      <w:pPr>
        <w:jc w:val="both"/>
        <w:rPr>
          <w:rFonts w:cs="Times New Roman"/>
          <w:sz w:val="20"/>
          <w:szCs w:val="20"/>
          <w:lang w:val="fr-CA"/>
        </w:rPr>
      </w:pPr>
    </w:p>
    <w:p w:rsidR="00094D7C" w:rsidRDefault="00094D7C" w:rsidP="00E717B7">
      <w:pPr>
        <w:jc w:val="both"/>
        <w:rPr>
          <w:rFonts w:cs="Times New Roman"/>
          <w:i/>
          <w:sz w:val="20"/>
          <w:szCs w:val="20"/>
          <w:lang w:val="fr-CA"/>
        </w:rPr>
      </w:pPr>
      <w:r w:rsidRPr="00094D7C">
        <w:rPr>
          <w:rFonts w:cs="Times New Roman"/>
          <w:sz w:val="20"/>
          <w:szCs w:val="20"/>
          <w:lang w:val="fr-CA"/>
        </w:rPr>
        <w:tab/>
      </w:r>
      <w:r w:rsidRPr="00094D7C">
        <w:rPr>
          <w:rFonts w:cs="Times New Roman"/>
          <w:i/>
          <w:sz w:val="20"/>
          <w:szCs w:val="20"/>
          <w:lang w:val="fr-CA"/>
        </w:rPr>
        <w:t>Droit constitutionnel — Prépondérance fédérale — Assurance</w:t>
      </w:r>
      <w:r w:rsidRPr="00094D7C">
        <w:rPr>
          <w:rFonts w:cs="Times New Roman"/>
          <w:i/>
          <w:sz w:val="20"/>
          <w:szCs w:val="20"/>
          <w:lang w:val="fr-CA"/>
        </w:rPr>
        <w:noBreakHyphen/>
        <w:t>emploi — Mesure de recouvrement — Disposition législative provinciale déclarant insaisissables les prestations de remplacement du revenu d’un accidenté du travail — Disposition législative fédérale permettant à la Commission de l’assurance</w:t>
      </w:r>
      <w:r w:rsidRPr="00094D7C">
        <w:rPr>
          <w:rFonts w:cs="Times New Roman"/>
          <w:i/>
          <w:sz w:val="20"/>
          <w:szCs w:val="20"/>
          <w:lang w:val="fr-CA"/>
        </w:rPr>
        <w:noBreakHyphen/>
        <w:t>emploi de faire une demande péremptoire de paiement pour recouvrer des sommes payées en trop — La disposition provinciale est</w:t>
      </w:r>
      <w:r w:rsidRPr="00094D7C">
        <w:rPr>
          <w:rFonts w:cs="Times New Roman"/>
          <w:i/>
          <w:sz w:val="20"/>
          <w:szCs w:val="20"/>
          <w:lang w:val="fr-CA"/>
        </w:rPr>
        <w:noBreakHyphen/>
        <w:t>elle constitutionnellement inopérante à l’égard de la saisie</w:t>
      </w:r>
      <w:r w:rsidRPr="00094D7C">
        <w:rPr>
          <w:rFonts w:cs="Times New Roman"/>
          <w:i/>
          <w:sz w:val="20"/>
          <w:szCs w:val="20"/>
          <w:lang w:val="fr-CA"/>
        </w:rPr>
        <w:noBreakHyphen/>
        <w:t>arrêt prévue à la disposition fédérale? — Loi sur l’assurance</w:t>
      </w:r>
      <w:r w:rsidRPr="00094D7C">
        <w:rPr>
          <w:rFonts w:cs="Times New Roman"/>
          <w:i/>
          <w:sz w:val="20"/>
          <w:szCs w:val="20"/>
          <w:lang w:val="fr-CA"/>
        </w:rPr>
        <w:noBreakHyphen/>
        <w:t>emploi, L.C. 1996, ch. 23, art. 126(4) — Loi sur les accidents du travail et les maladies professionnelles, L.R.Q., ch. A</w:t>
      </w:r>
      <w:r w:rsidRPr="00094D7C">
        <w:rPr>
          <w:rFonts w:cs="Times New Roman"/>
          <w:i/>
          <w:sz w:val="20"/>
          <w:szCs w:val="20"/>
          <w:lang w:val="fr-CA"/>
        </w:rPr>
        <w:noBreakHyphen/>
        <w:t>3.001, art. 144.</w:t>
      </w:r>
    </w:p>
    <w:p w:rsidR="00094D7C" w:rsidRPr="00094D7C" w:rsidRDefault="00094D7C" w:rsidP="00E717B7">
      <w:pPr>
        <w:jc w:val="both"/>
        <w:rPr>
          <w:rFonts w:cs="Times New Roman"/>
          <w:i/>
          <w:sz w:val="20"/>
          <w:szCs w:val="20"/>
          <w:lang w:val="fr-CA"/>
        </w:rPr>
      </w:pPr>
    </w:p>
    <w:p w:rsidR="00094D7C" w:rsidRDefault="00094D7C" w:rsidP="00E717B7">
      <w:pPr>
        <w:jc w:val="both"/>
        <w:rPr>
          <w:rFonts w:cs="Times New Roman"/>
          <w:i/>
          <w:sz w:val="20"/>
          <w:szCs w:val="20"/>
          <w:lang w:val="fr-CA"/>
        </w:rPr>
      </w:pPr>
      <w:r w:rsidRPr="00094D7C">
        <w:rPr>
          <w:rFonts w:cs="Times New Roman"/>
          <w:i/>
          <w:sz w:val="20"/>
          <w:szCs w:val="20"/>
          <w:lang w:val="fr-CA"/>
        </w:rPr>
        <w:tab/>
        <w:t>Droit de la Couronne — Prérogatives — Immunité — À titre de mandataire de la Couronne, la Commission de l’assurance</w:t>
      </w:r>
      <w:r w:rsidRPr="00094D7C">
        <w:rPr>
          <w:rFonts w:cs="Times New Roman"/>
          <w:i/>
          <w:sz w:val="20"/>
          <w:szCs w:val="20"/>
          <w:lang w:val="fr-CA"/>
        </w:rPr>
        <w:noBreakHyphen/>
        <w:t>emploi bénéficie</w:t>
      </w:r>
      <w:r w:rsidRPr="00094D7C">
        <w:rPr>
          <w:rFonts w:cs="Times New Roman"/>
          <w:i/>
          <w:sz w:val="20"/>
          <w:szCs w:val="20"/>
          <w:lang w:val="fr-CA"/>
        </w:rPr>
        <w:noBreakHyphen/>
        <w:t>t</w:t>
      </w:r>
      <w:r w:rsidRPr="00094D7C">
        <w:rPr>
          <w:rFonts w:cs="Times New Roman"/>
          <w:i/>
          <w:sz w:val="20"/>
          <w:szCs w:val="20"/>
          <w:lang w:val="fr-CA"/>
        </w:rPr>
        <w:noBreakHyphen/>
        <w:t xml:space="preserve">elle d’une immunité reconnue par la common law qui rend l’art. 144 de la Loi sur les accidents du travail et les maladies professionnelles inapplicable à la Couronne fédérale? — </w:t>
      </w:r>
      <w:r w:rsidRPr="00094D7C">
        <w:rPr>
          <w:rFonts w:cs="Times New Roman"/>
          <w:sz w:val="20"/>
          <w:szCs w:val="20"/>
          <w:lang w:val="fr-CA"/>
        </w:rPr>
        <w:t>C</w:t>
      </w:r>
      <w:r w:rsidRPr="00094D7C">
        <w:rPr>
          <w:rFonts w:cs="Times New Roman"/>
          <w:i/>
          <w:sz w:val="20"/>
          <w:szCs w:val="20"/>
          <w:lang w:val="fr-CA"/>
        </w:rPr>
        <w:t>onvient</w:t>
      </w:r>
      <w:r w:rsidRPr="00094D7C">
        <w:rPr>
          <w:rFonts w:cs="Times New Roman"/>
          <w:i/>
          <w:sz w:val="20"/>
          <w:szCs w:val="20"/>
          <w:lang w:val="fr-CA"/>
        </w:rPr>
        <w:noBreakHyphen/>
        <w:t>il d’examiner la doctrine de la prépondérance avant de déterminer si la Couronne peut invoquer une immunité? — Loi d’interprétation, L.R.C. 1985, ch. I</w:t>
      </w:r>
      <w:r w:rsidRPr="00094D7C">
        <w:rPr>
          <w:rFonts w:cs="Times New Roman"/>
          <w:i/>
          <w:sz w:val="20"/>
          <w:szCs w:val="20"/>
          <w:lang w:val="fr-CA"/>
        </w:rPr>
        <w:noBreakHyphen/>
        <w:t>21, art. 17.</w:t>
      </w:r>
    </w:p>
    <w:p w:rsidR="00094D7C" w:rsidRPr="00094D7C" w:rsidRDefault="00094D7C" w:rsidP="00E717B7">
      <w:pPr>
        <w:jc w:val="both"/>
        <w:rPr>
          <w:rFonts w:cs="Times New Roman"/>
          <w:sz w:val="20"/>
          <w:szCs w:val="20"/>
          <w:lang w:val="fr-CA"/>
        </w:rPr>
      </w:pPr>
    </w:p>
    <w:p w:rsidR="00094D7C" w:rsidRDefault="00094D7C" w:rsidP="00E717B7">
      <w:pPr>
        <w:jc w:val="both"/>
        <w:rPr>
          <w:rFonts w:cs="Times New Roman"/>
          <w:sz w:val="20"/>
          <w:szCs w:val="20"/>
          <w:lang w:val="fr-CA"/>
        </w:rPr>
      </w:pPr>
      <w:r w:rsidRPr="00094D7C">
        <w:rPr>
          <w:rFonts w:cs="Times New Roman"/>
          <w:sz w:val="20"/>
          <w:szCs w:val="20"/>
          <w:lang w:val="fr-CA"/>
        </w:rPr>
        <w:tab/>
        <w:t>À la suite d’un accident du travail, B reçoit des prestations de remplacement du revenu de la Commission de la santé et de la sécurité du travail du Québec (« CSST »).  De novembre 2006 à août 2007, la CSST obtempère à une demande péremptoire de paiement présentée par la Commission de l’assurance</w:t>
      </w:r>
      <w:r w:rsidRPr="00094D7C">
        <w:rPr>
          <w:rFonts w:cs="Times New Roman"/>
          <w:sz w:val="20"/>
          <w:szCs w:val="20"/>
          <w:lang w:val="fr-CA"/>
        </w:rPr>
        <w:noBreakHyphen/>
        <w:t xml:space="preserve">emploi du Canada (« la Commission ») en application du par. 126(4) de la </w:t>
      </w:r>
      <w:r w:rsidRPr="00094D7C">
        <w:rPr>
          <w:rFonts w:cs="Times New Roman"/>
          <w:i/>
          <w:sz w:val="20"/>
          <w:szCs w:val="20"/>
          <w:lang w:val="fr-CA"/>
        </w:rPr>
        <w:t>Loi sur l’assurance</w:t>
      </w:r>
      <w:r w:rsidRPr="00094D7C">
        <w:rPr>
          <w:rFonts w:cs="Times New Roman"/>
          <w:i/>
          <w:sz w:val="20"/>
          <w:szCs w:val="20"/>
          <w:lang w:val="fr-CA"/>
        </w:rPr>
        <w:noBreakHyphen/>
        <w:t>emploi</w:t>
      </w:r>
      <w:r w:rsidRPr="00094D7C">
        <w:rPr>
          <w:rFonts w:cs="Times New Roman"/>
          <w:sz w:val="20"/>
          <w:szCs w:val="20"/>
          <w:lang w:val="fr-CA"/>
        </w:rPr>
        <w:t xml:space="preserve"> (« </w:t>
      </w:r>
      <w:r w:rsidRPr="00094D7C">
        <w:rPr>
          <w:rFonts w:cs="Times New Roman"/>
          <w:i/>
          <w:sz w:val="20"/>
          <w:szCs w:val="20"/>
          <w:lang w:val="fr-CA"/>
        </w:rPr>
        <w:t>LAE</w:t>
      </w:r>
      <w:r w:rsidRPr="00094D7C">
        <w:rPr>
          <w:rFonts w:cs="Times New Roman"/>
          <w:sz w:val="20"/>
          <w:szCs w:val="20"/>
          <w:lang w:val="fr-CA"/>
        </w:rPr>
        <w:t xml:space="preserve"> ») pour recouvrer des prestations </w:t>
      </w:r>
      <w:r>
        <w:rPr>
          <w:rFonts w:cs="Times New Roman"/>
          <w:sz w:val="20"/>
          <w:szCs w:val="20"/>
          <w:lang w:val="fr-CA"/>
        </w:rPr>
        <w:t>d</w:t>
      </w:r>
      <w:r w:rsidRPr="00094D7C">
        <w:rPr>
          <w:rFonts w:cs="Times New Roman"/>
          <w:sz w:val="20"/>
          <w:szCs w:val="20"/>
          <w:lang w:val="fr-CA"/>
        </w:rPr>
        <w:t>’assurance</w:t>
      </w:r>
      <w:r w:rsidRPr="00094D7C">
        <w:rPr>
          <w:rFonts w:cs="Times New Roman"/>
          <w:sz w:val="20"/>
          <w:szCs w:val="20"/>
          <w:lang w:val="fr-CA"/>
        </w:rPr>
        <w:noBreakHyphen/>
        <w:t>emploi versées par la Commission à B alors que celui</w:t>
      </w:r>
      <w:r w:rsidRPr="00094D7C">
        <w:rPr>
          <w:rFonts w:cs="Times New Roman"/>
          <w:sz w:val="20"/>
          <w:szCs w:val="20"/>
          <w:lang w:val="fr-CA"/>
        </w:rPr>
        <w:noBreakHyphen/>
        <w:t xml:space="preserve">ci n’y avait pas droit.  B conteste la légalité de la remise des prestations de remplacement du revenu, au motif que ces prestations sont insaisissables en vertu de l’art. 144 de la </w:t>
      </w:r>
      <w:r w:rsidRPr="00094D7C">
        <w:rPr>
          <w:rFonts w:cs="Times New Roman"/>
          <w:i/>
          <w:sz w:val="20"/>
          <w:szCs w:val="20"/>
          <w:lang w:val="fr-CA"/>
        </w:rPr>
        <w:t>Loi sur les accidents du travail et les maladies professionnelles</w:t>
      </w:r>
      <w:r w:rsidRPr="00094D7C">
        <w:rPr>
          <w:rFonts w:cs="Times New Roman"/>
          <w:sz w:val="20"/>
          <w:szCs w:val="20"/>
          <w:lang w:val="fr-CA"/>
        </w:rPr>
        <w:t xml:space="preserve"> (« </w:t>
      </w:r>
      <w:r w:rsidRPr="00094D7C">
        <w:rPr>
          <w:rFonts w:cs="Times New Roman"/>
          <w:i/>
          <w:sz w:val="20"/>
          <w:szCs w:val="20"/>
          <w:lang w:val="fr-CA"/>
        </w:rPr>
        <w:t>LATMP </w:t>
      </w:r>
      <w:r w:rsidRPr="00094D7C">
        <w:rPr>
          <w:rFonts w:cs="Times New Roman"/>
          <w:sz w:val="20"/>
          <w:szCs w:val="20"/>
          <w:lang w:val="fr-CA"/>
        </w:rPr>
        <w:t xml:space="preserve">»).  La Cour supérieure déclare que la CSST a agi sans droit et lui ordonne de rembourser B.  La Cour d’appel accueille l’appel et, concluant à l’existence d’un conflit entre la disposition législative provinciale et la disposition législative fédérale, elle déclare l’art. 144 </w:t>
      </w:r>
      <w:r w:rsidRPr="00094D7C">
        <w:rPr>
          <w:rFonts w:cs="Times New Roman"/>
          <w:i/>
          <w:sz w:val="20"/>
          <w:szCs w:val="20"/>
          <w:lang w:val="fr-CA"/>
        </w:rPr>
        <w:t>LATMP</w:t>
      </w:r>
      <w:r w:rsidRPr="00094D7C">
        <w:rPr>
          <w:rFonts w:cs="Times New Roman"/>
          <w:sz w:val="20"/>
          <w:szCs w:val="20"/>
          <w:lang w:val="fr-CA"/>
        </w:rPr>
        <w:t xml:space="preserve"> inopérant à l’égard des demandes péremptoires de paiement présentées en vertu du par. 126(4) </w:t>
      </w:r>
      <w:r w:rsidRPr="00094D7C">
        <w:rPr>
          <w:rFonts w:cs="Times New Roman"/>
          <w:i/>
          <w:sz w:val="20"/>
          <w:szCs w:val="20"/>
          <w:lang w:val="fr-CA"/>
        </w:rPr>
        <w:t>LAE</w:t>
      </w:r>
      <w:r w:rsidRPr="00094D7C">
        <w:rPr>
          <w:rFonts w:cs="Times New Roman"/>
          <w:sz w:val="20"/>
          <w:szCs w:val="20"/>
          <w:lang w:val="fr-CA"/>
        </w:rPr>
        <w:t xml:space="preserve">. </w:t>
      </w:r>
    </w:p>
    <w:p w:rsidR="00094D7C" w:rsidRPr="00094D7C" w:rsidRDefault="00094D7C" w:rsidP="00E717B7">
      <w:pPr>
        <w:jc w:val="both"/>
        <w:rPr>
          <w:rFonts w:cs="Times New Roman"/>
          <w:sz w:val="20"/>
          <w:szCs w:val="20"/>
          <w:lang w:val="fr-CA"/>
        </w:rPr>
      </w:pPr>
    </w:p>
    <w:p w:rsidR="00094D7C" w:rsidRDefault="00094D7C" w:rsidP="00E717B7">
      <w:pPr>
        <w:jc w:val="both"/>
        <w:rPr>
          <w:rFonts w:cs="Times New Roman"/>
          <w:sz w:val="20"/>
          <w:szCs w:val="20"/>
          <w:lang w:val="fr-CA"/>
        </w:rPr>
      </w:pPr>
      <w:r w:rsidRPr="00094D7C">
        <w:rPr>
          <w:rFonts w:cs="Times New Roman"/>
          <w:sz w:val="20"/>
          <w:szCs w:val="20"/>
          <w:lang w:val="fr-CA"/>
        </w:rPr>
        <w:tab/>
      </w:r>
      <w:r w:rsidRPr="00094D7C">
        <w:rPr>
          <w:rFonts w:cs="Times New Roman"/>
          <w:i/>
          <w:sz w:val="20"/>
          <w:szCs w:val="20"/>
          <w:lang w:val="fr-CA"/>
        </w:rPr>
        <w:t>Arrêt :</w:t>
      </w:r>
      <w:r w:rsidRPr="00094D7C">
        <w:rPr>
          <w:rFonts w:cs="Times New Roman"/>
          <w:sz w:val="20"/>
          <w:szCs w:val="20"/>
          <w:lang w:val="fr-CA"/>
        </w:rPr>
        <w:t xml:space="preserve"> Le pourvoi est rejeté.</w:t>
      </w:r>
    </w:p>
    <w:p w:rsidR="00094D7C" w:rsidRPr="00094D7C" w:rsidRDefault="00094D7C" w:rsidP="00E717B7">
      <w:pPr>
        <w:jc w:val="both"/>
        <w:rPr>
          <w:rFonts w:cs="Times New Roman"/>
          <w:sz w:val="20"/>
          <w:szCs w:val="20"/>
          <w:lang w:val="fr-CA"/>
        </w:rPr>
      </w:pPr>
    </w:p>
    <w:p w:rsidR="00094D7C" w:rsidRDefault="00094D7C" w:rsidP="00E717B7">
      <w:pPr>
        <w:jc w:val="both"/>
        <w:rPr>
          <w:rFonts w:cs="Times New Roman"/>
          <w:sz w:val="20"/>
          <w:szCs w:val="20"/>
          <w:lang w:val="fr-CA"/>
        </w:rPr>
      </w:pPr>
      <w:r w:rsidRPr="00094D7C">
        <w:rPr>
          <w:rFonts w:cs="Times New Roman"/>
          <w:sz w:val="20"/>
          <w:szCs w:val="20"/>
          <w:lang w:val="fr-CA"/>
        </w:rPr>
        <w:tab/>
        <w:t xml:space="preserve">Les tribunaux ne sont pas tenus de recourir de façon systématique à la règle de l’immunité de la Couronne inscrite à l’art. 17 de la </w:t>
      </w:r>
      <w:r w:rsidRPr="00094D7C">
        <w:rPr>
          <w:rFonts w:cs="Times New Roman"/>
          <w:i/>
          <w:sz w:val="20"/>
          <w:szCs w:val="20"/>
          <w:lang w:val="fr-CA"/>
        </w:rPr>
        <w:t>Loi d’interprétation</w:t>
      </w:r>
      <w:r w:rsidRPr="00094D7C">
        <w:rPr>
          <w:rFonts w:cs="Times New Roman"/>
          <w:sz w:val="20"/>
          <w:szCs w:val="20"/>
          <w:lang w:val="fr-CA"/>
        </w:rPr>
        <w:t>.  Lorsque le litige peut être résolu sans avoir recours à cette règle, les tribunaux devraient généralement privilégier les autres moyens soulevés par les parties.  En l’espèce, la doctrine de la prépondérance fédérale est susceptible d’application et devrait donc être examinée en premier lieu.</w:t>
      </w:r>
    </w:p>
    <w:p w:rsidR="00094D7C" w:rsidRPr="00094D7C" w:rsidRDefault="00094D7C" w:rsidP="00E717B7">
      <w:pPr>
        <w:jc w:val="both"/>
        <w:rPr>
          <w:rFonts w:cs="Times New Roman"/>
          <w:sz w:val="20"/>
          <w:szCs w:val="20"/>
          <w:lang w:val="fr-CA"/>
        </w:rPr>
      </w:pPr>
    </w:p>
    <w:p w:rsidR="00094D7C" w:rsidRPr="00094D7C" w:rsidRDefault="00094D7C" w:rsidP="00E717B7">
      <w:pPr>
        <w:jc w:val="both"/>
        <w:rPr>
          <w:rFonts w:cs="Times New Roman"/>
          <w:sz w:val="20"/>
          <w:szCs w:val="20"/>
          <w:lang w:val="fr-CA"/>
        </w:rPr>
      </w:pPr>
      <w:r w:rsidRPr="00094D7C">
        <w:rPr>
          <w:rFonts w:cs="Times New Roman"/>
          <w:sz w:val="20"/>
          <w:szCs w:val="20"/>
          <w:lang w:val="fr-CA"/>
        </w:rPr>
        <w:tab/>
        <w:t xml:space="preserve">Le par. 126(4) </w:t>
      </w:r>
      <w:r w:rsidRPr="00094D7C">
        <w:rPr>
          <w:rFonts w:cs="Times New Roman"/>
          <w:i/>
          <w:sz w:val="20"/>
          <w:szCs w:val="20"/>
          <w:lang w:val="fr-CA"/>
        </w:rPr>
        <w:t>LAE</w:t>
      </w:r>
      <w:r w:rsidRPr="00094D7C">
        <w:rPr>
          <w:rFonts w:cs="Times New Roman"/>
          <w:sz w:val="20"/>
          <w:szCs w:val="20"/>
          <w:lang w:val="fr-CA"/>
        </w:rPr>
        <w:t xml:space="preserve"> est une disposition permissive alors que l’art. 144 </w:t>
      </w:r>
      <w:r w:rsidRPr="00094D7C">
        <w:rPr>
          <w:rFonts w:cs="Times New Roman"/>
          <w:i/>
          <w:sz w:val="20"/>
          <w:szCs w:val="20"/>
          <w:lang w:val="fr-CA"/>
        </w:rPr>
        <w:t>LATMP</w:t>
      </w:r>
      <w:r w:rsidRPr="00094D7C">
        <w:rPr>
          <w:rFonts w:cs="Times New Roman"/>
          <w:sz w:val="20"/>
          <w:szCs w:val="20"/>
          <w:lang w:val="fr-CA"/>
        </w:rPr>
        <w:t xml:space="preserve"> est une disposition prohibitive.  L’observance de l’une n’entraîne pas l’inobservance de l’autre et il ne s’agit donc pas d’un conflit d’application.  Il y a cependant une incompatibilité d’objectifs.  À cet égard, la détermination de la compatibilité d’une restriction imposée par un ordre de gouvernement avec une faculté créée par un autre ordre requiert d’examiner les deux dispositions dans leur contexte législatif plus global afin de dégager le but poursuivi par chacun des législateurs.  Au par. 126(4) </w:t>
      </w:r>
      <w:r w:rsidRPr="00094D7C">
        <w:rPr>
          <w:rFonts w:cs="Times New Roman"/>
          <w:i/>
          <w:sz w:val="20"/>
          <w:szCs w:val="20"/>
          <w:lang w:val="fr-CA"/>
        </w:rPr>
        <w:t>LAE</w:t>
      </w:r>
      <w:r w:rsidRPr="00094D7C">
        <w:rPr>
          <w:rFonts w:cs="Times New Roman"/>
          <w:sz w:val="20"/>
          <w:szCs w:val="20"/>
          <w:lang w:val="fr-CA"/>
        </w:rPr>
        <w:t xml:space="preserve">, le Parlement a choisi de conférer à la Commission un droit positif et autonome, qui lui permet de requérir d’un tiers qu’il verse au receveur général toute somme que ce tiers doit à une personne qui est pour sa part tenue d’effectuer un versement en application de la </w:t>
      </w:r>
      <w:r w:rsidRPr="00094D7C">
        <w:rPr>
          <w:rFonts w:cs="Times New Roman"/>
          <w:i/>
          <w:sz w:val="20"/>
          <w:szCs w:val="20"/>
          <w:lang w:val="fr-CA"/>
        </w:rPr>
        <w:t>LAE</w:t>
      </w:r>
      <w:r w:rsidRPr="00094D7C">
        <w:rPr>
          <w:rFonts w:cs="Times New Roman"/>
          <w:sz w:val="20"/>
          <w:szCs w:val="20"/>
          <w:lang w:val="fr-CA"/>
        </w:rPr>
        <w:t>, pour imputation sur le versement en cause.  L’objectif de cette mesure est d’assurer l’intégrité du régime d’assurance</w:t>
      </w:r>
      <w:r w:rsidRPr="00094D7C">
        <w:rPr>
          <w:rFonts w:cs="Times New Roman"/>
          <w:sz w:val="20"/>
          <w:szCs w:val="20"/>
          <w:lang w:val="fr-CA"/>
        </w:rPr>
        <w:noBreakHyphen/>
        <w:t>emploi en permettant de recouvrer simplement et sommairement, sans égard aux règles provinciales relatives à l’insaisissabilité, des sommes dues notamment à la suite de prestations versées en trop.  La réalisation de cet objectif serait contrecarrée si la disposition provinciale sur l’insaisissabilité était respectée.  Le procureur général du Québec n’est pas parvenu à démontrer que le Parlement entendait assujettir la Commission à l’obligation de se conformer à la disposition provinciale prévoyant l’insaisissabilité des prestations de remplacement du revenu lorsqu’elle a recours à la demande péremptoire de paiement.  Le conflit entre les deux dispositions n’est pas simplement apparent, il est bien réel.  La disposition provinciale est donc inopérante en raison d’un conflit d’objectifs législatifs.</w:t>
      </w:r>
    </w:p>
    <w:p w:rsidR="00C92191" w:rsidRDefault="00C92191" w:rsidP="00E717B7">
      <w:pPr>
        <w:jc w:val="both"/>
        <w:rPr>
          <w:rFonts w:cs="Times New Roman"/>
          <w:sz w:val="20"/>
          <w:szCs w:val="20"/>
          <w:lang w:val="fr-CA"/>
        </w:rPr>
      </w:pPr>
    </w:p>
    <w:p w:rsidR="00094D7C" w:rsidRDefault="00094D7C" w:rsidP="00E717B7">
      <w:pPr>
        <w:jc w:val="both"/>
        <w:rPr>
          <w:rFonts w:cs="Times New Roman"/>
          <w:sz w:val="20"/>
          <w:szCs w:val="20"/>
          <w:lang w:val="fr-CA"/>
        </w:rPr>
      </w:pPr>
      <w:r w:rsidRPr="00094D7C">
        <w:rPr>
          <w:rFonts w:cs="Times New Roman"/>
          <w:sz w:val="20"/>
          <w:szCs w:val="20"/>
          <w:lang w:val="fr-CA"/>
        </w:rPr>
        <w:tab/>
        <w:t>POURVOI contre un arrêt de la Cour d’appel du Québec (les juges Pelletier, Dalphond et Morissette), 2009 QCCA 2246, [2010] R.J.Q. 1, [2010] R.J.D.T. 1, [2009] J.Q. n</w:t>
      </w:r>
      <w:r w:rsidRPr="00094D7C">
        <w:rPr>
          <w:rFonts w:cs="Times New Roman"/>
          <w:sz w:val="20"/>
          <w:szCs w:val="20"/>
          <w:vertAlign w:val="superscript"/>
          <w:lang w:val="fr-CA"/>
        </w:rPr>
        <w:t>o</w:t>
      </w:r>
      <w:r w:rsidRPr="00094D7C">
        <w:rPr>
          <w:rFonts w:cs="Times New Roman"/>
          <w:sz w:val="20"/>
          <w:szCs w:val="20"/>
          <w:lang w:val="fr-CA"/>
        </w:rPr>
        <w:t> 14313 (QL), 2009 CarswellQue 11956, qui a infirmé une décision du juge Bédard, 2008 QCCS 1465, [2008] J.Q. n</w:t>
      </w:r>
      <w:r w:rsidRPr="00094D7C">
        <w:rPr>
          <w:rFonts w:cs="Times New Roman"/>
          <w:sz w:val="20"/>
          <w:szCs w:val="20"/>
          <w:vertAlign w:val="superscript"/>
          <w:lang w:val="fr-CA"/>
        </w:rPr>
        <w:t>o</w:t>
      </w:r>
      <w:r w:rsidRPr="00094D7C">
        <w:rPr>
          <w:rFonts w:cs="Times New Roman"/>
          <w:sz w:val="20"/>
          <w:szCs w:val="20"/>
          <w:lang w:val="fr-CA"/>
        </w:rPr>
        <w:t> 3011 (QL), 2008 CarswellQue 3026.  Pourvoi rejeté.</w:t>
      </w:r>
    </w:p>
    <w:p w:rsidR="00E717B7" w:rsidRPr="00094D7C" w:rsidRDefault="00E717B7" w:rsidP="00E717B7">
      <w:pPr>
        <w:jc w:val="both"/>
        <w:rPr>
          <w:rFonts w:cs="Times New Roman"/>
          <w:sz w:val="20"/>
          <w:szCs w:val="20"/>
          <w:lang w:val="fr-CA"/>
        </w:rPr>
      </w:pPr>
    </w:p>
    <w:p w:rsidR="00094D7C" w:rsidRDefault="00094D7C" w:rsidP="00E717B7">
      <w:pPr>
        <w:ind w:left="720" w:hanging="720"/>
        <w:jc w:val="both"/>
        <w:rPr>
          <w:rFonts w:cs="Times New Roman"/>
          <w:sz w:val="20"/>
          <w:szCs w:val="20"/>
          <w:lang w:val="fr-CA"/>
        </w:rPr>
      </w:pPr>
      <w:r w:rsidRPr="00094D7C">
        <w:rPr>
          <w:rFonts w:cs="Times New Roman"/>
          <w:i/>
          <w:sz w:val="20"/>
          <w:szCs w:val="20"/>
          <w:lang w:val="fr-CA"/>
        </w:rPr>
        <w:tab/>
        <w:t>Alain Gingras</w:t>
      </w:r>
      <w:r w:rsidRPr="00094D7C">
        <w:rPr>
          <w:rFonts w:cs="Times New Roman"/>
          <w:sz w:val="20"/>
          <w:szCs w:val="20"/>
          <w:lang w:val="fr-CA"/>
        </w:rPr>
        <w:t xml:space="preserve"> et </w:t>
      </w:r>
      <w:r w:rsidRPr="00094D7C">
        <w:rPr>
          <w:rFonts w:cs="Times New Roman"/>
          <w:i/>
          <w:sz w:val="20"/>
          <w:szCs w:val="20"/>
          <w:lang w:val="fr-CA"/>
        </w:rPr>
        <w:t>Benoît Boucher</w:t>
      </w:r>
      <w:r w:rsidRPr="00094D7C">
        <w:rPr>
          <w:rFonts w:cs="Times New Roman"/>
          <w:sz w:val="20"/>
          <w:szCs w:val="20"/>
          <w:lang w:val="fr-CA"/>
        </w:rPr>
        <w:t>, pour l'appelant.</w:t>
      </w:r>
    </w:p>
    <w:p w:rsidR="00E717B7" w:rsidRPr="00094D7C" w:rsidRDefault="00E717B7" w:rsidP="00E717B7">
      <w:pPr>
        <w:ind w:left="720" w:hanging="720"/>
        <w:jc w:val="both"/>
        <w:rPr>
          <w:rFonts w:cs="Times New Roman"/>
          <w:sz w:val="20"/>
          <w:szCs w:val="20"/>
          <w:lang w:val="fr-CA"/>
        </w:rPr>
      </w:pPr>
    </w:p>
    <w:p w:rsidR="00094D7C" w:rsidRDefault="00094D7C" w:rsidP="00E717B7">
      <w:pPr>
        <w:ind w:left="720" w:hanging="720"/>
        <w:jc w:val="both"/>
        <w:rPr>
          <w:rFonts w:cs="Times New Roman"/>
          <w:sz w:val="20"/>
          <w:szCs w:val="20"/>
          <w:lang w:val="fr-CA"/>
        </w:rPr>
      </w:pPr>
      <w:r w:rsidRPr="00094D7C">
        <w:rPr>
          <w:rFonts w:cs="Times New Roman"/>
          <w:i/>
          <w:sz w:val="20"/>
          <w:szCs w:val="20"/>
          <w:lang w:val="fr-CA"/>
        </w:rPr>
        <w:tab/>
        <w:t>Bernard Letarte</w:t>
      </w:r>
      <w:r w:rsidRPr="00094D7C">
        <w:rPr>
          <w:rFonts w:cs="Times New Roman"/>
          <w:sz w:val="20"/>
          <w:szCs w:val="20"/>
          <w:lang w:val="fr-CA"/>
        </w:rPr>
        <w:t xml:space="preserve"> et </w:t>
      </w:r>
      <w:r w:rsidRPr="00094D7C">
        <w:rPr>
          <w:rFonts w:cs="Times New Roman"/>
          <w:i/>
          <w:sz w:val="20"/>
          <w:szCs w:val="20"/>
          <w:lang w:val="fr-CA"/>
        </w:rPr>
        <w:t>Pierre Salois</w:t>
      </w:r>
      <w:r w:rsidRPr="00094D7C">
        <w:rPr>
          <w:rFonts w:cs="Times New Roman"/>
          <w:sz w:val="20"/>
          <w:szCs w:val="20"/>
          <w:lang w:val="fr-CA"/>
        </w:rPr>
        <w:t>, pour l'intimé le ministère des Ressources humaines et Développement social Canada.</w:t>
      </w:r>
    </w:p>
    <w:p w:rsidR="00E717B7" w:rsidRPr="00094D7C" w:rsidRDefault="00E717B7" w:rsidP="00E717B7">
      <w:pPr>
        <w:ind w:left="720" w:hanging="720"/>
        <w:jc w:val="both"/>
        <w:rPr>
          <w:rFonts w:cs="Times New Roman"/>
          <w:sz w:val="20"/>
          <w:szCs w:val="20"/>
          <w:lang w:val="fr-CA"/>
        </w:rPr>
      </w:pPr>
    </w:p>
    <w:p w:rsidR="00094D7C" w:rsidRDefault="00094D7C" w:rsidP="00E717B7">
      <w:pPr>
        <w:ind w:left="720" w:hanging="720"/>
        <w:jc w:val="both"/>
        <w:rPr>
          <w:rFonts w:cs="Times New Roman"/>
          <w:sz w:val="20"/>
          <w:szCs w:val="20"/>
          <w:lang w:val="fr-CA"/>
        </w:rPr>
      </w:pPr>
      <w:r w:rsidRPr="00094D7C">
        <w:rPr>
          <w:rFonts w:cs="Times New Roman"/>
          <w:i/>
          <w:sz w:val="20"/>
          <w:szCs w:val="20"/>
          <w:lang w:val="fr-CA"/>
        </w:rPr>
        <w:tab/>
      </w:r>
      <w:r w:rsidRPr="00094D7C">
        <w:rPr>
          <w:rFonts w:cs="Times New Roman"/>
          <w:sz w:val="20"/>
          <w:szCs w:val="20"/>
          <w:lang w:val="fr-CA"/>
        </w:rPr>
        <w:t>Personne n’a comparu</w:t>
      </w:r>
      <w:r w:rsidRPr="00094D7C">
        <w:rPr>
          <w:rFonts w:cs="Times New Roman"/>
          <w:i/>
          <w:sz w:val="20"/>
          <w:szCs w:val="20"/>
          <w:lang w:val="fr-CA"/>
        </w:rPr>
        <w:t xml:space="preserve"> </w:t>
      </w:r>
      <w:r w:rsidRPr="00094D7C">
        <w:rPr>
          <w:rFonts w:cs="Times New Roman"/>
          <w:sz w:val="20"/>
          <w:szCs w:val="20"/>
          <w:lang w:val="fr-CA"/>
        </w:rPr>
        <w:t>pour l'intimée la Commission de la santé et de la sécurité du travail.</w:t>
      </w:r>
    </w:p>
    <w:p w:rsidR="00E717B7" w:rsidRPr="00094D7C" w:rsidRDefault="00E717B7" w:rsidP="00E717B7">
      <w:pPr>
        <w:ind w:left="720" w:hanging="720"/>
        <w:jc w:val="both"/>
        <w:rPr>
          <w:rFonts w:cs="Times New Roman"/>
          <w:sz w:val="20"/>
          <w:szCs w:val="20"/>
          <w:lang w:val="fr-CA"/>
        </w:rPr>
      </w:pPr>
    </w:p>
    <w:p w:rsidR="00094D7C" w:rsidRDefault="00094D7C" w:rsidP="00E717B7">
      <w:pPr>
        <w:ind w:left="720" w:hanging="720"/>
        <w:jc w:val="both"/>
        <w:rPr>
          <w:rFonts w:cs="Times New Roman"/>
          <w:sz w:val="20"/>
          <w:szCs w:val="20"/>
          <w:lang w:val="fr-CA"/>
        </w:rPr>
      </w:pPr>
      <w:r w:rsidRPr="00094D7C">
        <w:rPr>
          <w:rFonts w:cs="Times New Roman"/>
          <w:sz w:val="20"/>
          <w:szCs w:val="20"/>
          <w:lang w:val="fr-CA"/>
        </w:rPr>
        <w:tab/>
        <w:t>Personne n’a comparu pour l’intervenant Rock Bruyère.</w:t>
      </w:r>
    </w:p>
    <w:p w:rsidR="00E717B7" w:rsidRPr="00094D7C" w:rsidRDefault="00E717B7" w:rsidP="00E717B7">
      <w:pPr>
        <w:ind w:left="720" w:hanging="720"/>
        <w:jc w:val="both"/>
        <w:rPr>
          <w:rFonts w:cs="Times New Roman"/>
          <w:sz w:val="20"/>
          <w:szCs w:val="20"/>
          <w:lang w:val="fr-CA"/>
        </w:rPr>
      </w:pPr>
    </w:p>
    <w:p w:rsidR="00094D7C" w:rsidRDefault="00094D7C" w:rsidP="00E717B7">
      <w:pPr>
        <w:ind w:left="720" w:hanging="720"/>
        <w:jc w:val="both"/>
        <w:rPr>
          <w:rFonts w:cs="Times New Roman"/>
          <w:sz w:val="20"/>
          <w:szCs w:val="20"/>
          <w:lang w:val="fr-CA"/>
        </w:rPr>
      </w:pPr>
      <w:r w:rsidRPr="00094D7C">
        <w:rPr>
          <w:rFonts w:cs="Times New Roman"/>
          <w:i/>
          <w:sz w:val="20"/>
          <w:szCs w:val="20"/>
          <w:lang w:val="fr-CA"/>
        </w:rPr>
        <w:tab/>
        <w:t>Tyna Mason</w:t>
      </w:r>
      <w:r w:rsidRPr="00094D7C">
        <w:rPr>
          <w:rFonts w:cs="Times New Roman"/>
          <w:sz w:val="20"/>
          <w:szCs w:val="20"/>
          <w:lang w:val="fr-CA"/>
        </w:rPr>
        <w:t>, pour l'intervenant le procureur général de la Colombie</w:t>
      </w:r>
      <w:r w:rsidRPr="00094D7C">
        <w:rPr>
          <w:rFonts w:cs="Times New Roman"/>
          <w:sz w:val="20"/>
          <w:szCs w:val="20"/>
          <w:lang w:val="fr-CA"/>
        </w:rPr>
        <w:noBreakHyphen/>
        <w:t>Britannique.</w:t>
      </w:r>
    </w:p>
    <w:p w:rsidR="00E717B7" w:rsidRPr="00094D7C" w:rsidRDefault="00E717B7" w:rsidP="00E717B7">
      <w:pPr>
        <w:ind w:left="720" w:hanging="720"/>
        <w:jc w:val="both"/>
        <w:rPr>
          <w:rFonts w:cs="Times New Roman"/>
          <w:sz w:val="20"/>
          <w:szCs w:val="20"/>
          <w:lang w:val="fr-CA"/>
        </w:rPr>
      </w:pPr>
    </w:p>
    <w:p w:rsidR="00094D7C" w:rsidRDefault="00094D7C" w:rsidP="00E717B7">
      <w:pPr>
        <w:ind w:left="720" w:hanging="720"/>
        <w:jc w:val="both"/>
        <w:rPr>
          <w:rFonts w:cs="Times New Roman"/>
          <w:i/>
          <w:sz w:val="20"/>
          <w:szCs w:val="20"/>
          <w:lang w:val="fr-CA"/>
        </w:rPr>
      </w:pPr>
      <w:r w:rsidRPr="00094D7C">
        <w:rPr>
          <w:rFonts w:cs="Times New Roman"/>
          <w:i/>
          <w:sz w:val="20"/>
          <w:szCs w:val="20"/>
          <w:lang w:val="fr-CA"/>
        </w:rPr>
        <w:tab/>
        <w:t>Procureur de l'appelant : Ministère de la Justice, Québec.</w:t>
      </w:r>
    </w:p>
    <w:p w:rsidR="00E717B7" w:rsidRPr="00094D7C" w:rsidRDefault="00E717B7" w:rsidP="00E717B7">
      <w:pPr>
        <w:ind w:left="720" w:hanging="720"/>
        <w:jc w:val="both"/>
        <w:rPr>
          <w:rFonts w:cs="Times New Roman"/>
          <w:i/>
          <w:sz w:val="20"/>
          <w:szCs w:val="20"/>
          <w:lang w:val="fr-CA"/>
        </w:rPr>
      </w:pPr>
    </w:p>
    <w:p w:rsidR="00094D7C" w:rsidRDefault="00094D7C" w:rsidP="00E717B7">
      <w:pPr>
        <w:ind w:left="720" w:hanging="720"/>
        <w:jc w:val="both"/>
        <w:rPr>
          <w:rFonts w:cs="Times New Roman"/>
          <w:i/>
          <w:sz w:val="20"/>
          <w:szCs w:val="20"/>
          <w:lang w:val="fr-CA"/>
        </w:rPr>
      </w:pPr>
      <w:r w:rsidRPr="00094D7C">
        <w:rPr>
          <w:rFonts w:cs="Times New Roman"/>
          <w:i/>
          <w:sz w:val="20"/>
          <w:szCs w:val="20"/>
          <w:lang w:val="fr-CA"/>
        </w:rPr>
        <w:tab/>
        <w:t>Procureur de l'intimé le ministère des Ressources humaines et Développement social Canada : Ministère de la Justice, Ottawa.</w:t>
      </w:r>
    </w:p>
    <w:p w:rsidR="00E717B7" w:rsidRPr="00094D7C" w:rsidRDefault="00E717B7" w:rsidP="00E717B7">
      <w:pPr>
        <w:ind w:left="720" w:hanging="720"/>
        <w:jc w:val="both"/>
        <w:rPr>
          <w:rFonts w:cs="Times New Roman"/>
          <w:i/>
          <w:sz w:val="20"/>
          <w:szCs w:val="20"/>
          <w:lang w:val="fr-CA"/>
        </w:rPr>
      </w:pPr>
    </w:p>
    <w:p w:rsidR="00094D7C" w:rsidRDefault="00094D7C" w:rsidP="00E717B7">
      <w:pPr>
        <w:ind w:left="720" w:hanging="720"/>
        <w:jc w:val="both"/>
        <w:rPr>
          <w:rFonts w:cs="Times New Roman"/>
          <w:sz w:val="20"/>
          <w:szCs w:val="20"/>
          <w:lang w:val="fr-CA"/>
        </w:rPr>
      </w:pPr>
      <w:r w:rsidRPr="00094D7C">
        <w:rPr>
          <w:rFonts w:cs="Times New Roman"/>
          <w:sz w:val="20"/>
          <w:szCs w:val="20"/>
          <w:lang w:val="fr-CA"/>
        </w:rPr>
        <w:tab/>
        <w:t>Procureur de l'intervenant le procureur général de la Colombie</w:t>
      </w:r>
      <w:r w:rsidRPr="00094D7C">
        <w:rPr>
          <w:rFonts w:cs="Times New Roman"/>
          <w:sz w:val="20"/>
          <w:szCs w:val="20"/>
          <w:lang w:val="fr-CA"/>
        </w:rPr>
        <w:noBreakHyphen/>
        <w:t>Britannique : Ministère du Procureur général, Victoria.</w:t>
      </w:r>
    </w:p>
    <w:p w:rsidR="00E717B7" w:rsidRPr="00094D7C" w:rsidRDefault="00E717B7" w:rsidP="00094D7C">
      <w:pPr>
        <w:rPr>
          <w:rFonts w:cs="Times New Roman"/>
          <w:sz w:val="20"/>
          <w:szCs w:val="20"/>
          <w:lang w:val="fr-CA"/>
        </w:rPr>
      </w:pPr>
    </w:p>
    <w:p w:rsidR="00DD0B49" w:rsidRPr="00975CDB" w:rsidRDefault="00DD0B49" w:rsidP="00DD0B49">
      <w:pPr>
        <w:rPr>
          <w:rFonts w:cs="Times New Roman"/>
          <w:sz w:val="20"/>
          <w:szCs w:val="20"/>
          <w:lang w:val="en-US"/>
        </w:rPr>
      </w:pPr>
      <w:r w:rsidRPr="00975CDB">
        <w:rPr>
          <w:rFonts w:cs="Times New Roman"/>
          <w:sz w:val="20"/>
          <w:szCs w:val="20"/>
          <w:lang w:val="en-US"/>
        </w:rPr>
        <w:t>________________________</w:t>
      </w:r>
    </w:p>
    <w:p w:rsidR="00DD0B49" w:rsidRPr="00975CDB" w:rsidRDefault="00DD0B49" w:rsidP="00DD0B49">
      <w:pPr>
        <w:rPr>
          <w:rFonts w:cs="Times New Roman"/>
          <w:sz w:val="20"/>
          <w:szCs w:val="20"/>
          <w:lang w:val="en-US"/>
        </w:rPr>
      </w:pPr>
    </w:p>
    <w:p w:rsidR="005000C3" w:rsidRPr="00473523" w:rsidRDefault="005000C3" w:rsidP="005C6840">
      <w:pPr>
        <w:jc w:val="both"/>
        <w:rPr>
          <w:rFonts w:cs="Times New Roman"/>
          <w:sz w:val="20"/>
          <w:szCs w:val="20"/>
          <w:lang w:val="en-US"/>
        </w:rPr>
      </w:pPr>
      <w:r w:rsidRPr="00473523">
        <w:rPr>
          <w:rFonts w:cs="Times New Roman"/>
          <w:sz w:val="20"/>
          <w:szCs w:val="20"/>
          <w:lang w:val="en-US"/>
        </w:rPr>
        <w:t>Present:  McLachlin C.J. and Binnie, LeBel, Deschamps, Fish, Abella, Charron, Rothstein and Cromwell JJ.</w:t>
      </w:r>
    </w:p>
    <w:p w:rsidR="005000C3" w:rsidRPr="00473523" w:rsidRDefault="005000C3" w:rsidP="005C6840">
      <w:pPr>
        <w:jc w:val="both"/>
        <w:rPr>
          <w:rFonts w:cs="Times New Roman"/>
          <w:sz w:val="20"/>
          <w:szCs w:val="20"/>
          <w:lang w:val="en-US"/>
        </w:rPr>
      </w:pPr>
    </w:p>
    <w:p w:rsidR="00094D7C" w:rsidRDefault="00094D7C" w:rsidP="00094D7C">
      <w:pPr>
        <w:jc w:val="both"/>
        <w:rPr>
          <w:rFonts w:cs="Times New Roman"/>
          <w:i/>
          <w:sz w:val="20"/>
          <w:szCs w:val="20"/>
        </w:rPr>
      </w:pPr>
      <w:r>
        <w:rPr>
          <w:rFonts w:cs="Times New Roman"/>
          <w:i/>
          <w:sz w:val="20"/>
          <w:szCs w:val="20"/>
        </w:rPr>
        <w:tab/>
      </w:r>
      <w:r w:rsidRPr="007862D4">
        <w:rPr>
          <w:rFonts w:cs="Times New Roman"/>
          <w:i/>
          <w:sz w:val="20"/>
          <w:szCs w:val="20"/>
        </w:rPr>
        <w:t>Constitutional law — Federal paramountcy — Employment insurance — Recovery mechanism — Provincial statute providing that income replacement benefits received by injured worker exempt from seizure — Federal statute authorizing Employment Insurance Commission to issue requirement to pay in order to recover overpayments — Whether provincial provision constitutionally inoperative in relation to garnishment provided for in federal statute — Employment Insurance Act, S.C. 1996, c. 23, s. 126(4) — Act respecting industrial accidents and occupational diseases, R.S.Q., c. A</w:t>
      </w:r>
      <w:r w:rsidRPr="007862D4">
        <w:rPr>
          <w:rFonts w:cs="Times New Roman"/>
          <w:i/>
          <w:sz w:val="20"/>
          <w:szCs w:val="20"/>
        </w:rPr>
        <w:noBreakHyphen/>
        <w:t>3.001, s. 144.</w:t>
      </w:r>
    </w:p>
    <w:p w:rsidR="00094D7C" w:rsidRPr="007862D4" w:rsidRDefault="00094D7C" w:rsidP="00094D7C">
      <w:pPr>
        <w:jc w:val="both"/>
        <w:rPr>
          <w:rFonts w:cs="Times New Roman"/>
          <w:i/>
          <w:sz w:val="20"/>
          <w:szCs w:val="20"/>
        </w:rPr>
      </w:pPr>
    </w:p>
    <w:p w:rsidR="00094D7C" w:rsidRDefault="00094D7C" w:rsidP="00094D7C">
      <w:pPr>
        <w:jc w:val="both"/>
        <w:rPr>
          <w:rFonts w:cs="Times New Roman"/>
          <w:i/>
          <w:sz w:val="20"/>
          <w:szCs w:val="20"/>
        </w:rPr>
      </w:pPr>
      <w:r w:rsidRPr="007862D4">
        <w:rPr>
          <w:rFonts w:cs="Times New Roman"/>
          <w:i/>
          <w:sz w:val="20"/>
          <w:szCs w:val="20"/>
        </w:rPr>
        <w:tab/>
        <w:t>Crown law — Prerogatives — Immunity — Whether Employment Insurance Commission, as agent of Crown, protected by common law immunity, with result that s. 144 of Act respecting industrial accidents and occupational diseases inapplicable to federal Crown — Whether it is appropriate to consider doctrine of paramountcy before determining whether Crown immunity applies — Interpretation Act, R.S.C. 1985, c. I</w:t>
      </w:r>
      <w:r w:rsidRPr="007862D4">
        <w:rPr>
          <w:rFonts w:cs="Times New Roman"/>
          <w:i/>
          <w:sz w:val="20"/>
          <w:szCs w:val="20"/>
        </w:rPr>
        <w:noBreakHyphen/>
        <w:t>21, s. 17.</w:t>
      </w:r>
    </w:p>
    <w:p w:rsidR="00094D7C" w:rsidRPr="007862D4" w:rsidRDefault="00094D7C" w:rsidP="00094D7C">
      <w:pPr>
        <w:jc w:val="both"/>
        <w:rPr>
          <w:rFonts w:cs="Times New Roman"/>
          <w:sz w:val="20"/>
          <w:szCs w:val="20"/>
        </w:rPr>
      </w:pPr>
    </w:p>
    <w:p w:rsidR="00094D7C" w:rsidRDefault="00094D7C" w:rsidP="00094D7C">
      <w:pPr>
        <w:jc w:val="both"/>
        <w:rPr>
          <w:rFonts w:cs="Times New Roman"/>
          <w:sz w:val="20"/>
          <w:szCs w:val="20"/>
        </w:rPr>
      </w:pPr>
      <w:r w:rsidRPr="007862D4">
        <w:rPr>
          <w:rFonts w:cs="Times New Roman"/>
          <w:sz w:val="20"/>
          <w:szCs w:val="20"/>
        </w:rPr>
        <w:tab/>
      </w:r>
      <w:r w:rsidRPr="007862D4">
        <w:rPr>
          <w:rFonts w:cs="Times New Roman"/>
          <w:sz w:val="20"/>
          <w:szCs w:val="20"/>
          <w:lang w:val="fr-CA"/>
        </w:rPr>
        <w:t xml:space="preserve">Following an industrial accident, B received income replacement benefits from the Quebec Commission de la santé et de la sécurité du travail (“CSST”).  </w:t>
      </w:r>
      <w:r w:rsidRPr="007862D4">
        <w:rPr>
          <w:rFonts w:cs="Times New Roman"/>
          <w:sz w:val="20"/>
          <w:szCs w:val="20"/>
        </w:rPr>
        <w:t xml:space="preserve">From November 2006 to August 2007, the CSST complied with a requirement to pay that the Canada Employment Insurance Commission (“Commission”) had issued under s. 126(4) of the </w:t>
      </w:r>
      <w:r w:rsidRPr="007862D4">
        <w:rPr>
          <w:rFonts w:cs="Times New Roman"/>
          <w:i/>
          <w:sz w:val="20"/>
          <w:szCs w:val="20"/>
        </w:rPr>
        <w:t xml:space="preserve">Employment Insurance Act </w:t>
      </w:r>
      <w:r w:rsidRPr="007862D4">
        <w:rPr>
          <w:rFonts w:cs="Times New Roman"/>
          <w:sz w:val="20"/>
          <w:szCs w:val="20"/>
        </w:rPr>
        <w:t>(“</w:t>
      </w:r>
      <w:r w:rsidRPr="007862D4">
        <w:rPr>
          <w:rFonts w:cs="Times New Roman"/>
          <w:i/>
          <w:sz w:val="20"/>
          <w:szCs w:val="20"/>
        </w:rPr>
        <w:t>EIA</w:t>
      </w:r>
      <w:r w:rsidRPr="007862D4">
        <w:rPr>
          <w:rFonts w:cs="Times New Roman"/>
          <w:sz w:val="20"/>
          <w:szCs w:val="20"/>
        </w:rPr>
        <w:t xml:space="preserve">”) in order to recover employment insurance benefits B had received from the Commission but to which he was not entitled.  B challenged the lawfulness of the remittance of the income replacement benefits on the ground that they were unseizable by virtue of s. 144 of the </w:t>
      </w:r>
      <w:r w:rsidRPr="007862D4">
        <w:rPr>
          <w:rFonts w:cs="Times New Roman"/>
          <w:i/>
          <w:sz w:val="20"/>
          <w:szCs w:val="20"/>
        </w:rPr>
        <w:t>Act respecting industrial accidents and occupational diseases</w:t>
      </w:r>
      <w:r w:rsidRPr="007862D4">
        <w:rPr>
          <w:rFonts w:cs="Times New Roman"/>
          <w:sz w:val="20"/>
          <w:szCs w:val="20"/>
        </w:rPr>
        <w:t xml:space="preserve"> (“</w:t>
      </w:r>
      <w:r w:rsidRPr="007862D4">
        <w:rPr>
          <w:rFonts w:cs="Times New Roman"/>
          <w:i/>
          <w:sz w:val="20"/>
          <w:szCs w:val="20"/>
        </w:rPr>
        <w:t>AIAOD</w:t>
      </w:r>
      <w:r w:rsidRPr="007862D4">
        <w:rPr>
          <w:rFonts w:cs="Times New Roman"/>
          <w:sz w:val="20"/>
          <w:szCs w:val="20"/>
        </w:rPr>
        <w:t xml:space="preserve">”).  The Superior Court found that the CSST had acted improperly, and ordered it to reimburse B.  The Court of Appeal allowed the appeal and, finding that there was a conflict between the provincial and federal statutory provisions, declared s. 144 </w:t>
      </w:r>
      <w:r w:rsidRPr="007862D4">
        <w:rPr>
          <w:rFonts w:cs="Times New Roman"/>
          <w:i/>
          <w:sz w:val="20"/>
          <w:szCs w:val="20"/>
        </w:rPr>
        <w:t>AIAOD</w:t>
      </w:r>
      <w:r w:rsidRPr="007862D4">
        <w:rPr>
          <w:rFonts w:cs="Times New Roman"/>
          <w:sz w:val="20"/>
          <w:szCs w:val="20"/>
        </w:rPr>
        <w:t xml:space="preserve"> to be inoperative in relation to requirements to pay issued under s. 126(4) </w:t>
      </w:r>
      <w:r w:rsidRPr="007862D4">
        <w:rPr>
          <w:rFonts w:cs="Times New Roman"/>
          <w:i/>
          <w:sz w:val="20"/>
          <w:szCs w:val="20"/>
        </w:rPr>
        <w:t>EIA</w:t>
      </w:r>
      <w:r w:rsidRPr="007862D4">
        <w:rPr>
          <w:rFonts w:cs="Times New Roman"/>
          <w:sz w:val="20"/>
          <w:szCs w:val="20"/>
        </w:rPr>
        <w:t xml:space="preserve">. </w:t>
      </w:r>
    </w:p>
    <w:p w:rsidR="00094D7C" w:rsidRPr="007862D4" w:rsidRDefault="00094D7C" w:rsidP="00094D7C">
      <w:pPr>
        <w:jc w:val="both"/>
        <w:rPr>
          <w:rFonts w:cs="Times New Roman"/>
          <w:sz w:val="20"/>
          <w:szCs w:val="20"/>
        </w:rPr>
      </w:pPr>
    </w:p>
    <w:p w:rsidR="00094D7C" w:rsidRDefault="00094D7C" w:rsidP="00094D7C">
      <w:pPr>
        <w:jc w:val="both"/>
        <w:rPr>
          <w:rFonts w:cs="Times New Roman"/>
          <w:sz w:val="20"/>
          <w:szCs w:val="20"/>
        </w:rPr>
      </w:pPr>
      <w:r w:rsidRPr="007862D4">
        <w:rPr>
          <w:rFonts w:cs="Times New Roman"/>
          <w:sz w:val="20"/>
          <w:szCs w:val="20"/>
        </w:rPr>
        <w:tab/>
      </w:r>
      <w:r w:rsidRPr="007862D4">
        <w:rPr>
          <w:rFonts w:cs="Times New Roman"/>
          <w:i/>
          <w:sz w:val="20"/>
          <w:szCs w:val="20"/>
        </w:rPr>
        <w:t>Held:</w:t>
      </w:r>
      <w:r w:rsidRPr="007862D4">
        <w:rPr>
          <w:rFonts w:cs="Times New Roman"/>
          <w:sz w:val="20"/>
          <w:szCs w:val="20"/>
        </w:rPr>
        <w:t xml:space="preserve"> The appeal should be dismissed.</w:t>
      </w:r>
    </w:p>
    <w:p w:rsidR="00094D7C" w:rsidRPr="007862D4" w:rsidRDefault="00094D7C" w:rsidP="00094D7C">
      <w:pPr>
        <w:jc w:val="both"/>
        <w:rPr>
          <w:rFonts w:cs="Times New Roman"/>
          <w:sz w:val="20"/>
          <w:szCs w:val="20"/>
        </w:rPr>
      </w:pPr>
    </w:p>
    <w:p w:rsidR="00094D7C" w:rsidRDefault="00094D7C" w:rsidP="00094D7C">
      <w:pPr>
        <w:jc w:val="both"/>
        <w:rPr>
          <w:rFonts w:cs="Times New Roman"/>
          <w:sz w:val="20"/>
          <w:szCs w:val="20"/>
        </w:rPr>
      </w:pPr>
      <w:r w:rsidRPr="007862D4">
        <w:rPr>
          <w:rFonts w:cs="Times New Roman"/>
          <w:sz w:val="20"/>
          <w:szCs w:val="20"/>
        </w:rPr>
        <w:tab/>
        <w:t xml:space="preserve">The courts are not required to apply systematically the Crown immunity rule set out in s. 17 of the </w:t>
      </w:r>
      <w:r w:rsidRPr="007862D4">
        <w:rPr>
          <w:rFonts w:cs="Times New Roman"/>
          <w:i/>
          <w:sz w:val="20"/>
          <w:szCs w:val="20"/>
        </w:rPr>
        <w:t>Interpretation Act</w:t>
      </w:r>
      <w:r w:rsidRPr="007862D4">
        <w:rPr>
          <w:rFonts w:cs="Times New Roman"/>
          <w:sz w:val="20"/>
          <w:szCs w:val="20"/>
        </w:rPr>
        <w:t>.  Where a case can be decided without recourse to this rule, the court should generally give preference to the other grounds raised by the parties.  In the instant case, since it is possible to apply the paramountcy doctrine, that doctrine should be considered first.</w:t>
      </w:r>
    </w:p>
    <w:p w:rsidR="00094D7C" w:rsidRPr="007862D4" w:rsidRDefault="00094D7C" w:rsidP="00094D7C">
      <w:pPr>
        <w:jc w:val="both"/>
        <w:rPr>
          <w:rFonts w:cs="Times New Roman"/>
          <w:sz w:val="20"/>
          <w:szCs w:val="20"/>
        </w:rPr>
      </w:pPr>
    </w:p>
    <w:p w:rsidR="00094D7C" w:rsidRPr="007862D4" w:rsidRDefault="00094D7C" w:rsidP="00094D7C">
      <w:pPr>
        <w:jc w:val="both"/>
        <w:rPr>
          <w:rFonts w:cs="Times New Roman"/>
          <w:sz w:val="20"/>
          <w:szCs w:val="20"/>
        </w:rPr>
      </w:pPr>
      <w:r w:rsidRPr="007862D4">
        <w:rPr>
          <w:rFonts w:cs="Times New Roman"/>
          <w:sz w:val="20"/>
          <w:szCs w:val="20"/>
        </w:rPr>
        <w:tab/>
        <w:t xml:space="preserve">Section 126(4) </w:t>
      </w:r>
      <w:r w:rsidRPr="007862D4">
        <w:rPr>
          <w:rFonts w:cs="Times New Roman"/>
          <w:i/>
          <w:sz w:val="20"/>
          <w:szCs w:val="20"/>
        </w:rPr>
        <w:t>EIA</w:t>
      </w:r>
      <w:r w:rsidRPr="007862D4">
        <w:rPr>
          <w:rFonts w:cs="Times New Roman"/>
          <w:sz w:val="20"/>
          <w:szCs w:val="20"/>
        </w:rPr>
        <w:t xml:space="preserve"> is a permissive provision, and s. 144 </w:t>
      </w:r>
      <w:r w:rsidRPr="007862D4">
        <w:rPr>
          <w:rFonts w:cs="Times New Roman"/>
          <w:i/>
          <w:sz w:val="20"/>
          <w:szCs w:val="20"/>
        </w:rPr>
        <w:t>AIAOD</w:t>
      </w:r>
      <w:r w:rsidRPr="007862D4">
        <w:rPr>
          <w:rFonts w:cs="Times New Roman"/>
          <w:sz w:val="20"/>
          <w:szCs w:val="20"/>
        </w:rPr>
        <w:t xml:space="preserve"> is a prohibitive provision.  Compliance with one is not defiance of the other, so there is no operational conflict.  There is, however, a conflict of purposes.  In this regard, to determine whether a restriction imposed by a government at one level is compatible with an authorization granted by one at another level, it is necessary to consider the two provisions in their broader legislative context in order to identify the purpose being pursued by each of the legislatures.  Parliament has, in enacting s. 126(4) </w:t>
      </w:r>
      <w:r w:rsidRPr="007862D4">
        <w:rPr>
          <w:rFonts w:cs="Times New Roman"/>
          <w:i/>
          <w:sz w:val="20"/>
          <w:szCs w:val="20"/>
        </w:rPr>
        <w:t>EIA</w:t>
      </w:r>
      <w:r w:rsidRPr="007862D4">
        <w:rPr>
          <w:rFonts w:cs="Times New Roman"/>
          <w:sz w:val="20"/>
          <w:szCs w:val="20"/>
        </w:rPr>
        <w:t xml:space="preserve">, chosen to give the Commission a freestanding positive right to require a third party to pay to the Receiver General any amount the third party owes a person who is liable to make a payment under the </w:t>
      </w:r>
      <w:r w:rsidRPr="007862D4">
        <w:rPr>
          <w:rFonts w:cs="Times New Roman"/>
          <w:i/>
          <w:sz w:val="20"/>
          <w:szCs w:val="20"/>
        </w:rPr>
        <w:t>EIA</w:t>
      </w:r>
      <w:r w:rsidRPr="007862D4">
        <w:rPr>
          <w:rFonts w:cs="Times New Roman"/>
          <w:sz w:val="20"/>
          <w:szCs w:val="20"/>
        </w:rPr>
        <w:t>, on account of that person’s liability.  The purpose of this measure is to ensure the integrity of the employment insurance system by making it possible to recover amounts owed, including benefit overpayments, in a simple and summary fashion, without regard for the provincial rules respecting exemption from seizure.  This purpose would be frustrated if the Commission were to comply with the provincial provision creating an exemption from seizure.  The Attorney General of Quebec has failed to show that Parliament intended to require the Commission, in issuing a requirement to pay, to comply with the provincial provision exempting income replacement benefits from seizure.  The conflict between the two provisions is not merely apparent, but is indeed real.  The provincial provision is therefore inoperative owing to a conflict of legislative purposes.</w:t>
      </w:r>
    </w:p>
    <w:p w:rsidR="00094D7C" w:rsidRPr="007862D4" w:rsidRDefault="00094D7C" w:rsidP="00094D7C">
      <w:pPr>
        <w:jc w:val="both"/>
        <w:rPr>
          <w:rFonts w:cs="Times New Roman"/>
          <w:sz w:val="20"/>
          <w:szCs w:val="20"/>
        </w:rPr>
      </w:pPr>
    </w:p>
    <w:p w:rsidR="00094D7C" w:rsidRPr="005E3E17" w:rsidRDefault="00094D7C" w:rsidP="00094D7C">
      <w:pPr>
        <w:jc w:val="both"/>
        <w:rPr>
          <w:rFonts w:cs="Times New Roman"/>
          <w:sz w:val="20"/>
          <w:szCs w:val="20"/>
        </w:rPr>
      </w:pPr>
      <w:r w:rsidRPr="005E3E17">
        <w:rPr>
          <w:rFonts w:cs="Times New Roman"/>
          <w:sz w:val="20"/>
          <w:szCs w:val="20"/>
        </w:rPr>
        <w:tab/>
        <w:t>APPEAL from a judgment of the Quebec Court of Appeal (Pelletier, Dalphond and Morissette JJ.A.), 2009 QCCA 2246, [2010] R.J.Q. 1, [2010] R.J.D.T. 1, [2009] J.Q. n</w:t>
      </w:r>
      <w:r w:rsidRPr="005E3E17">
        <w:rPr>
          <w:rFonts w:cs="Times New Roman"/>
          <w:sz w:val="20"/>
          <w:szCs w:val="20"/>
          <w:vertAlign w:val="superscript"/>
        </w:rPr>
        <w:t>o</w:t>
      </w:r>
      <w:r w:rsidRPr="005E3E17">
        <w:rPr>
          <w:rFonts w:cs="Times New Roman"/>
          <w:sz w:val="20"/>
          <w:szCs w:val="20"/>
        </w:rPr>
        <w:t> 14313 (QL), 2009 CarswellQue 11956, setting aside a decision of Bédard J., 2008 QCCS 1465, [2008] J.Q. n</w:t>
      </w:r>
      <w:r w:rsidRPr="005E3E17">
        <w:rPr>
          <w:rFonts w:cs="Times New Roman"/>
          <w:sz w:val="20"/>
          <w:szCs w:val="20"/>
          <w:vertAlign w:val="superscript"/>
        </w:rPr>
        <w:t>o</w:t>
      </w:r>
      <w:r w:rsidRPr="005E3E17">
        <w:rPr>
          <w:rFonts w:cs="Times New Roman"/>
          <w:sz w:val="20"/>
          <w:szCs w:val="20"/>
        </w:rPr>
        <w:t> 3011 (QL), 2008 CarswellQue 3026.  Appeal dismissed.</w:t>
      </w:r>
    </w:p>
    <w:p w:rsidR="00094D7C" w:rsidRDefault="00094D7C" w:rsidP="00094D7C">
      <w:pPr>
        <w:jc w:val="both"/>
        <w:rPr>
          <w:rFonts w:cs="Times New Roman"/>
          <w:i/>
          <w:sz w:val="20"/>
          <w:szCs w:val="20"/>
        </w:rPr>
      </w:pPr>
    </w:p>
    <w:p w:rsidR="00094D7C" w:rsidRPr="005E3E17" w:rsidRDefault="00094D7C" w:rsidP="00094D7C">
      <w:pPr>
        <w:ind w:left="720" w:hanging="720"/>
        <w:jc w:val="both"/>
        <w:rPr>
          <w:rFonts w:cs="Times New Roman"/>
          <w:sz w:val="20"/>
          <w:szCs w:val="20"/>
        </w:rPr>
      </w:pPr>
      <w:r w:rsidRPr="005E3E17">
        <w:rPr>
          <w:rFonts w:cs="Times New Roman"/>
          <w:i/>
          <w:sz w:val="20"/>
          <w:szCs w:val="20"/>
        </w:rPr>
        <w:tab/>
      </w:r>
      <w:proofErr w:type="gramStart"/>
      <w:r w:rsidRPr="005E3E17">
        <w:rPr>
          <w:rFonts w:cs="Times New Roman"/>
          <w:i/>
          <w:sz w:val="20"/>
          <w:szCs w:val="20"/>
        </w:rPr>
        <w:t>Alain Gingras</w:t>
      </w:r>
      <w:r w:rsidRPr="005E3E17">
        <w:rPr>
          <w:rFonts w:cs="Times New Roman"/>
          <w:sz w:val="20"/>
          <w:szCs w:val="20"/>
        </w:rPr>
        <w:t xml:space="preserve"> and </w:t>
      </w:r>
      <w:r w:rsidRPr="005E3E17">
        <w:rPr>
          <w:rFonts w:cs="Times New Roman"/>
          <w:i/>
          <w:sz w:val="20"/>
          <w:szCs w:val="20"/>
        </w:rPr>
        <w:t>Benoît Boucher</w:t>
      </w:r>
      <w:r w:rsidRPr="005E3E17">
        <w:rPr>
          <w:rFonts w:cs="Times New Roman"/>
          <w:sz w:val="20"/>
          <w:szCs w:val="20"/>
        </w:rPr>
        <w:t>, for the appellant.</w:t>
      </w:r>
      <w:proofErr w:type="gramEnd"/>
    </w:p>
    <w:p w:rsidR="00094D7C" w:rsidRDefault="00094D7C" w:rsidP="00094D7C">
      <w:pPr>
        <w:ind w:left="720" w:hanging="720"/>
        <w:jc w:val="both"/>
        <w:rPr>
          <w:rFonts w:cs="Times New Roman"/>
          <w:i/>
          <w:sz w:val="20"/>
          <w:szCs w:val="20"/>
        </w:rPr>
      </w:pPr>
    </w:p>
    <w:p w:rsidR="00094D7C" w:rsidRPr="005E3E17" w:rsidRDefault="00094D7C" w:rsidP="00094D7C">
      <w:pPr>
        <w:ind w:left="720" w:hanging="720"/>
        <w:jc w:val="both"/>
        <w:rPr>
          <w:rFonts w:cs="Times New Roman"/>
          <w:sz w:val="20"/>
          <w:szCs w:val="20"/>
        </w:rPr>
      </w:pPr>
      <w:r w:rsidRPr="005E3E17">
        <w:rPr>
          <w:rFonts w:cs="Times New Roman"/>
          <w:i/>
          <w:sz w:val="20"/>
          <w:szCs w:val="20"/>
        </w:rPr>
        <w:tab/>
      </w:r>
      <w:proofErr w:type="gramStart"/>
      <w:r w:rsidRPr="005E3E17">
        <w:rPr>
          <w:rFonts w:cs="Times New Roman"/>
          <w:i/>
          <w:sz w:val="20"/>
          <w:szCs w:val="20"/>
        </w:rPr>
        <w:t>Bernard Letarte</w:t>
      </w:r>
      <w:r w:rsidRPr="005E3E17">
        <w:rPr>
          <w:rFonts w:cs="Times New Roman"/>
          <w:sz w:val="20"/>
          <w:szCs w:val="20"/>
        </w:rPr>
        <w:t xml:space="preserve"> and </w:t>
      </w:r>
      <w:r w:rsidRPr="005E3E17">
        <w:rPr>
          <w:rFonts w:cs="Times New Roman"/>
          <w:i/>
          <w:sz w:val="20"/>
          <w:szCs w:val="20"/>
        </w:rPr>
        <w:t>Pierre Salois</w:t>
      </w:r>
      <w:r w:rsidRPr="005E3E17">
        <w:rPr>
          <w:rFonts w:cs="Times New Roman"/>
          <w:sz w:val="20"/>
          <w:szCs w:val="20"/>
        </w:rPr>
        <w:t>, for the respondent the Department of Human Resources and Social Development Canada.</w:t>
      </w:r>
      <w:proofErr w:type="gramEnd"/>
    </w:p>
    <w:p w:rsidR="00094D7C" w:rsidRDefault="00094D7C" w:rsidP="00094D7C">
      <w:pPr>
        <w:ind w:left="720" w:hanging="720"/>
        <w:jc w:val="both"/>
        <w:rPr>
          <w:rFonts w:cs="Times New Roman"/>
          <w:i/>
          <w:sz w:val="20"/>
          <w:szCs w:val="20"/>
        </w:rPr>
      </w:pPr>
    </w:p>
    <w:p w:rsidR="00094D7C" w:rsidRPr="005E3E17" w:rsidRDefault="00094D7C" w:rsidP="00094D7C">
      <w:pPr>
        <w:ind w:left="720" w:hanging="720"/>
        <w:jc w:val="both"/>
        <w:rPr>
          <w:rFonts w:cs="Times New Roman"/>
          <w:sz w:val="20"/>
          <w:szCs w:val="20"/>
          <w:lang w:val="fr-CA"/>
        </w:rPr>
      </w:pPr>
      <w:r w:rsidRPr="005E3E17">
        <w:rPr>
          <w:rFonts w:cs="Times New Roman"/>
          <w:i/>
          <w:sz w:val="20"/>
          <w:szCs w:val="20"/>
        </w:rPr>
        <w:tab/>
      </w:r>
      <w:r w:rsidRPr="005E3E17">
        <w:rPr>
          <w:rFonts w:cs="Times New Roman"/>
          <w:sz w:val="20"/>
          <w:szCs w:val="20"/>
          <w:lang w:val="fr-CA"/>
        </w:rPr>
        <w:t>No one appeared</w:t>
      </w:r>
      <w:r w:rsidRPr="005E3E17">
        <w:rPr>
          <w:rFonts w:cs="Times New Roman"/>
          <w:i/>
          <w:sz w:val="20"/>
          <w:szCs w:val="20"/>
          <w:lang w:val="fr-CA"/>
        </w:rPr>
        <w:t xml:space="preserve"> </w:t>
      </w:r>
      <w:r w:rsidRPr="005E3E17">
        <w:rPr>
          <w:rFonts w:cs="Times New Roman"/>
          <w:sz w:val="20"/>
          <w:szCs w:val="20"/>
          <w:lang w:val="fr-CA"/>
        </w:rPr>
        <w:t>for the respondent Commission de la santé et de la sécurité du travail.</w:t>
      </w:r>
    </w:p>
    <w:p w:rsidR="00094D7C" w:rsidRDefault="00094D7C" w:rsidP="00094D7C">
      <w:pPr>
        <w:ind w:left="720" w:hanging="720"/>
        <w:jc w:val="both"/>
        <w:rPr>
          <w:rFonts w:cs="Times New Roman"/>
          <w:sz w:val="20"/>
          <w:szCs w:val="20"/>
          <w:lang w:val="fr-CA"/>
        </w:rPr>
      </w:pPr>
    </w:p>
    <w:p w:rsidR="00094D7C" w:rsidRPr="005E3E17" w:rsidRDefault="00094D7C" w:rsidP="00094D7C">
      <w:pPr>
        <w:ind w:left="720" w:hanging="720"/>
        <w:jc w:val="both"/>
        <w:rPr>
          <w:rFonts w:cs="Times New Roman"/>
          <w:sz w:val="20"/>
          <w:szCs w:val="20"/>
          <w:lang w:val="en-US"/>
        </w:rPr>
      </w:pPr>
      <w:r w:rsidRPr="005E3E17">
        <w:rPr>
          <w:rFonts w:cs="Times New Roman"/>
          <w:sz w:val="20"/>
          <w:szCs w:val="20"/>
          <w:lang w:val="fr-CA"/>
        </w:rPr>
        <w:tab/>
      </w:r>
      <w:r w:rsidRPr="005E3E17">
        <w:rPr>
          <w:rFonts w:cs="Times New Roman"/>
          <w:sz w:val="20"/>
          <w:szCs w:val="20"/>
          <w:lang w:val="en-US"/>
        </w:rPr>
        <w:t>No one appeared for the intervener Rock Bruyère.</w:t>
      </w:r>
    </w:p>
    <w:p w:rsidR="00094D7C" w:rsidRDefault="00094D7C" w:rsidP="00094D7C">
      <w:pPr>
        <w:ind w:left="720" w:hanging="720"/>
        <w:jc w:val="both"/>
        <w:rPr>
          <w:rFonts w:cs="Times New Roman"/>
          <w:i/>
          <w:sz w:val="20"/>
          <w:szCs w:val="20"/>
          <w:lang w:val="en-US"/>
        </w:rPr>
      </w:pPr>
    </w:p>
    <w:p w:rsidR="00094D7C" w:rsidRPr="005E3E17" w:rsidRDefault="00094D7C" w:rsidP="00094D7C">
      <w:pPr>
        <w:ind w:left="720" w:hanging="720"/>
        <w:jc w:val="both"/>
        <w:rPr>
          <w:rFonts w:cs="Times New Roman"/>
          <w:sz w:val="20"/>
          <w:szCs w:val="20"/>
        </w:rPr>
      </w:pPr>
      <w:r w:rsidRPr="005E3E17">
        <w:rPr>
          <w:rFonts w:cs="Times New Roman"/>
          <w:i/>
          <w:sz w:val="20"/>
          <w:szCs w:val="20"/>
          <w:lang w:val="en-US"/>
        </w:rPr>
        <w:tab/>
      </w:r>
      <w:proofErr w:type="gramStart"/>
      <w:r w:rsidRPr="005E3E17">
        <w:rPr>
          <w:rFonts w:cs="Times New Roman"/>
          <w:i/>
          <w:sz w:val="20"/>
          <w:szCs w:val="20"/>
        </w:rPr>
        <w:t>Tyna Mason</w:t>
      </w:r>
      <w:r w:rsidRPr="005E3E17">
        <w:rPr>
          <w:rFonts w:cs="Times New Roman"/>
          <w:sz w:val="20"/>
          <w:szCs w:val="20"/>
        </w:rPr>
        <w:t>, for the intervener the Attorney General of British Columbia.</w:t>
      </w:r>
      <w:proofErr w:type="gramEnd"/>
    </w:p>
    <w:p w:rsidR="00094D7C" w:rsidRDefault="00094D7C" w:rsidP="00094D7C">
      <w:pPr>
        <w:ind w:left="720" w:hanging="720"/>
        <w:jc w:val="both"/>
        <w:rPr>
          <w:rFonts w:cs="Times New Roman"/>
          <w:i/>
          <w:sz w:val="20"/>
          <w:szCs w:val="20"/>
        </w:rPr>
      </w:pPr>
    </w:p>
    <w:p w:rsidR="00094D7C" w:rsidRPr="005E3E17" w:rsidRDefault="00094D7C" w:rsidP="00094D7C">
      <w:pPr>
        <w:ind w:left="720" w:hanging="720"/>
        <w:jc w:val="both"/>
        <w:rPr>
          <w:rFonts w:cs="Times New Roman"/>
          <w:i/>
          <w:sz w:val="20"/>
          <w:szCs w:val="20"/>
          <w:lang w:val="en-US"/>
        </w:rPr>
      </w:pPr>
      <w:r w:rsidRPr="005E3E17">
        <w:rPr>
          <w:rFonts w:cs="Times New Roman"/>
          <w:i/>
          <w:sz w:val="20"/>
          <w:szCs w:val="20"/>
        </w:rPr>
        <w:tab/>
      </w:r>
      <w:r w:rsidRPr="005E3E17">
        <w:rPr>
          <w:rFonts w:cs="Times New Roman"/>
          <w:i/>
          <w:sz w:val="20"/>
          <w:szCs w:val="20"/>
          <w:lang w:val="en-US"/>
        </w:rPr>
        <w:t>Solicitor for the appellant:  Department of Justice, Québec.</w:t>
      </w:r>
    </w:p>
    <w:p w:rsidR="00094D7C" w:rsidRDefault="00094D7C" w:rsidP="00094D7C">
      <w:pPr>
        <w:ind w:left="720" w:hanging="720"/>
        <w:jc w:val="both"/>
        <w:rPr>
          <w:rFonts w:cs="Times New Roman"/>
          <w:i/>
          <w:sz w:val="20"/>
          <w:szCs w:val="20"/>
          <w:lang w:val="en-US"/>
        </w:rPr>
      </w:pPr>
    </w:p>
    <w:p w:rsidR="00094D7C" w:rsidRPr="005E3E17" w:rsidRDefault="00094D7C" w:rsidP="00094D7C">
      <w:pPr>
        <w:ind w:left="720" w:hanging="720"/>
        <w:jc w:val="both"/>
        <w:rPr>
          <w:rFonts w:cs="Times New Roman"/>
          <w:i/>
          <w:sz w:val="20"/>
          <w:szCs w:val="20"/>
        </w:rPr>
      </w:pPr>
      <w:r w:rsidRPr="005E3E17">
        <w:rPr>
          <w:rFonts w:cs="Times New Roman"/>
          <w:i/>
          <w:sz w:val="20"/>
          <w:szCs w:val="20"/>
          <w:lang w:val="en-US"/>
        </w:rPr>
        <w:tab/>
        <w:t xml:space="preserve">Solicitor for the respondent the </w:t>
      </w:r>
      <w:r w:rsidRPr="005E3E17">
        <w:rPr>
          <w:rFonts w:cs="Times New Roman"/>
          <w:i/>
          <w:sz w:val="20"/>
          <w:szCs w:val="20"/>
        </w:rPr>
        <w:t>Department of Human Resources and Social Development Canada</w:t>
      </w:r>
      <w:r w:rsidRPr="005E3E17">
        <w:rPr>
          <w:rFonts w:cs="Times New Roman"/>
          <w:i/>
          <w:sz w:val="20"/>
          <w:szCs w:val="20"/>
          <w:lang w:val="en-US"/>
        </w:rPr>
        <w:t>:  Department of Justice, Ottawa.</w:t>
      </w:r>
    </w:p>
    <w:p w:rsidR="00094D7C" w:rsidRDefault="00094D7C" w:rsidP="00094D7C">
      <w:pPr>
        <w:ind w:left="720" w:hanging="720"/>
        <w:jc w:val="both"/>
        <w:rPr>
          <w:rFonts w:cs="Times New Roman"/>
          <w:i/>
          <w:sz w:val="20"/>
          <w:szCs w:val="20"/>
        </w:rPr>
      </w:pPr>
    </w:p>
    <w:p w:rsidR="00094D7C" w:rsidRPr="005E3E17" w:rsidRDefault="00094D7C" w:rsidP="00094D7C">
      <w:pPr>
        <w:ind w:left="720" w:hanging="720"/>
        <w:jc w:val="both"/>
        <w:rPr>
          <w:rFonts w:cs="Times New Roman"/>
          <w:i/>
          <w:sz w:val="20"/>
          <w:szCs w:val="20"/>
        </w:rPr>
      </w:pPr>
      <w:r w:rsidRPr="005E3E17">
        <w:rPr>
          <w:rFonts w:cs="Times New Roman"/>
          <w:i/>
          <w:sz w:val="20"/>
          <w:szCs w:val="20"/>
          <w:lang w:val="en-US"/>
        </w:rPr>
        <w:tab/>
      </w:r>
      <w:r w:rsidRPr="005E3E17">
        <w:rPr>
          <w:rFonts w:cs="Times New Roman"/>
          <w:i/>
          <w:sz w:val="20"/>
          <w:szCs w:val="20"/>
        </w:rPr>
        <w:t>Solicitor for the intervener the Attorney General of British Columbia:  Department of the Attorney General, Victoria.</w:t>
      </w:r>
    </w:p>
    <w:p w:rsidR="003B3977" w:rsidRPr="00473523" w:rsidRDefault="003B3977" w:rsidP="005C6840">
      <w:pPr>
        <w:rPr>
          <w:rFonts w:cs="Times New Roman"/>
          <w:sz w:val="20"/>
          <w:szCs w:val="20"/>
          <w:lang w:val="en-US"/>
        </w:rPr>
      </w:pPr>
    </w:p>
    <w:p w:rsidR="003B3977" w:rsidRPr="003F4721" w:rsidRDefault="008A6550" w:rsidP="00D25F59">
      <w:pPr>
        <w:rPr>
          <w:sz w:val="20"/>
          <w:szCs w:val="20"/>
        </w:rPr>
      </w:pPr>
      <w:r w:rsidRPr="008A6550">
        <w:rPr>
          <w:rFonts w:cs="Times New Roman"/>
          <w:sz w:val="20"/>
          <w:szCs w:val="20"/>
          <w:lang w:val="fr-CA"/>
        </w:rPr>
        <w:pict>
          <v:rect id="_x0000_i1109"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576" w:footer="960" w:gutter="0"/>
          <w:cols w:space="720"/>
          <w:titlePg/>
          <w:docGrid w:linePitch="272"/>
        </w:sectPr>
      </w:pPr>
    </w:p>
    <w:p w:rsidR="00E903A1" w:rsidRPr="002E0C7E" w:rsidRDefault="008A6550"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2"/>
      <w:footerReference w:type="default" r:id="rId5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CD" w:rsidRDefault="000057CD" w:rsidP="00A87207">
      <w:r>
        <w:separator/>
      </w:r>
    </w:p>
  </w:endnote>
  <w:endnote w:type="continuationSeparator" w:id="0">
    <w:p w:rsidR="000057CD" w:rsidRDefault="000057C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pPr>
      <w:pStyle w:val="Footer"/>
      <w:rPr>
        <w:lang w:val="fr-CA"/>
      </w:rPr>
    </w:pPr>
    <w:r w:rsidRPr="008A6550">
      <w:rPr>
        <w:lang w:val="fr-CA"/>
      </w:rPr>
      <w:pict>
        <v:rect id="_x0000_i1089" style="width:480.95pt;height:1pt" o:hralign="center" o:hrstd="t" o:hrnoshade="t" o:hr="t" fillcolor="black [3213]" stroked="f"/>
      </w:pict>
    </w:r>
  </w:p>
  <w:p w:rsidR="000057CD" w:rsidRDefault="000057CD" w:rsidP="00245129">
    <w:pPr>
      <w:tabs>
        <w:tab w:val="center" w:pos="4680"/>
      </w:tabs>
    </w:pPr>
    <w:r>
      <w:tab/>
    </w:r>
    <w:r w:rsidRPr="0009648D">
      <w:t xml:space="preserve">- </w:t>
    </w:r>
    <w:fldSimple w:instr=" PAGE   \* MERGEFORMAT ">
      <w:r w:rsidR="00302502">
        <w:rPr>
          <w:noProof/>
        </w:rPr>
        <w:t>1813</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57CD" w:rsidRDefault="000057C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755F22">
    <w:pPr>
      <w:tabs>
        <w:tab w:val="left" w:pos="-1440"/>
        <w:tab w:val="left" w:pos="-720"/>
      </w:tabs>
    </w:pPr>
    <w:r>
      <w:pict>
        <v:rect id="_x0000_i1096" style="width:480.95pt;height:1pt" o:hralign="center" o:hrstd="t" o:hrnoshade="t" o:hr="t" fillcolor="black [3213]" stroked="f"/>
      </w:pict>
    </w:r>
  </w:p>
  <w:p w:rsidR="000057CD" w:rsidRDefault="000057CD" w:rsidP="00EB2B90">
    <w:pPr>
      <w:tabs>
        <w:tab w:val="center" w:pos="4680"/>
      </w:tabs>
    </w:pPr>
    <w:r>
      <w:tab/>
      <w:t xml:space="preserve">- </w:t>
    </w:r>
    <w:fldSimple w:instr=" PAGE   \* MERGEFORMAT ">
      <w:r w:rsidR="00302502">
        <w:rPr>
          <w:noProof/>
        </w:rPr>
        <w:t>1860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EB2B90">
    <w:pPr>
      <w:tabs>
        <w:tab w:val="center" w:pos="4680"/>
      </w:tabs>
    </w:pPr>
    <w:r>
      <w:pict>
        <v:rect id="_x0000_i1097" style="width:480.95pt;height:1pt" o:hralign="center" o:hrstd="t" o:hrnoshade="t" o:hr="t" fillcolor="black [3213]" stroked="f"/>
      </w:pict>
    </w:r>
  </w:p>
  <w:p w:rsidR="000057CD" w:rsidRPr="0031432F" w:rsidRDefault="000057CD" w:rsidP="00EB2B90">
    <w:pPr>
      <w:tabs>
        <w:tab w:val="center" w:pos="4680"/>
      </w:tabs>
    </w:pPr>
    <w:r>
      <w:tab/>
      <w:t xml:space="preserve">- </w:t>
    </w:r>
    <w:fldSimple w:instr=" PAGE   \* MERGEFORMAT ">
      <w:r w:rsidR="00302502">
        <w:rPr>
          <w:noProof/>
        </w:rPr>
        <w:t>1857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57CD" w:rsidRDefault="000057C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732DB7">
    <w:r>
      <w:pict>
        <v:rect id="_x0000_i1103" style="width:480.95pt;height:1pt" o:hralign="center" o:hrstd="t" o:hrnoshade="t" o:hr="t" fillcolor="black" stroked="f"/>
      </w:pict>
    </w:r>
  </w:p>
  <w:p w:rsidR="000057CD" w:rsidRDefault="000057CD">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pPr>
      <w:pStyle w:val="Footer"/>
    </w:pPr>
    <w:r>
      <w:pict>
        <v:rect id="_x0000_i1104" style="width:480.95pt;height:1pt" o:hralign="center" o:hrstd="t" o:hrnoshade="t" o:hr="t" fillcolor="black" stroked="f"/>
      </w:pict>
    </w:r>
  </w:p>
  <w:p w:rsidR="000057CD" w:rsidRPr="00283C52" w:rsidRDefault="000057CD">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57CD" w:rsidRDefault="000057CD">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732DB7">
    <w:r>
      <w:pict>
        <v:rect id="_x0000_i1106" style="width:480.95pt;height:1pt" o:hralign="center" o:hrstd="t" o:hrnoshade="t" o:hr="t" fillcolor="black" stroked="f"/>
      </w:pict>
    </w:r>
  </w:p>
  <w:p w:rsidR="000057CD" w:rsidRDefault="000057CD">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pPr>
      <w:pStyle w:val="Footer"/>
    </w:pPr>
    <w:r>
      <w:pict>
        <v:rect id="_x0000_i1107" style="width:480.95pt;height:1pt" o:hralign="center" o:hrstd="t" o:hrnoshade="t" o:hr="t" fillcolor="black [3213]" stroked="f"/>
      </w:pict>
    </w:r>
  </w:p>
  <w:p w:rsidR="000057CD" w:rsidRPr="003C2C0F" w:rsidRDefault="000057CD" w:rsidP="00697C62">
    <w:pPr>
      <w:tabs>
        <w:tab w:val="center" w:pos="4680"/>
      </w:tabs>
    </w:pPr>
    <w:r>
      <w:tab/>
      <w:t xml:space="preserve">- </w:t>
    </w:r>
    <w:fldSimple w:instr=" PAGE   \* MERGEFORMAT ">
      <w:r w:rsidR="00302502">
        <w:rPr>
          <w:noProof/>
        </w:rPr>
        <w:t>1867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57CD" w:rsidRDefault="000057CD">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57CD" w:rsidRDefault="008A65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0" style="width:480.95pt;height:1pt" o:hralign="center" o:hrstd="t" o:hrnoshade="t" o:hr="t" fillcolor="black [3213]" stroked="f"/>
      </w:pict>
    </w:r>
  </w:p>
  <w:p w:rsidR="000057CD" w:rsidRDefault="000057CD" w:rsidP="00782AE4">
    <w:pPr>
      <w:tabs>
        <w:tab w:val="center" w:pos="4680"/>
      </w:tabs>
    </w:pPr>
    <w:r>
      <w:tab/>
      <w:t xml:space="preserve">- </w:t>
    </w:r>
    <w:r w:rsidR="008A6550" w:rsidRPr="001775C1">
      <w:rPr>
        <w:szCs w:val="24"/>
      </w:rPr>
      <w:fldChar w:fldCharType="begin"/>
    </w:r>
    <w:r w:rsidRPr="001775C1">
      <w:rPr>
        <w:szCs w:val="24"/>
      </w:rPr>
      <w:instrText xml:space="preserve"> PAGE   \* MERGEFORMAT </w:instrText>
    </w:r>
    <w:r w:rsidR="008A6550" w:rsidRPr="001775C1">
      <w:rPr>
        <w:szCs w:val="24"/>
      </w:rPr>
      <w:fldChar w:fldCharType="separate"/>
    </w:r>
    <w:r w:rsidR="00302502">
      <w:rPr>
        <w:noProof/>
        <w:szCs w:val="24"/>
      </w:rPr>
      <w:t>1870</w:t>
    </w:r>
    <w:r w:rsidR="008A6550"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782AE4">
    <w:pPr>
      <w:tabs>
        <w:tab w:val="center" w:pos="4680"/>
      </w:tabs>
    </w:pPr>
    <w:r>
      <w:pict>
        <v:rect id="_x0000_i1111" style="width:480.95pt;height:1pt" o:hralign="center" o:hrstd="t" o:hrnoshade="t" o:hr="t" fillcolor="black [3213]" stroked="f"/>
      </w:pict>
    </w:r>
  </w:p>
  <w:p w:rsidR="000057CD" w:rsidRDefault="000057CD" w:rsidP="00782AE4">
    <w:pPr>
      <w:tabs>
        <w:tab w:val="center" w:pos="4680"/>
      </w:tabs>
    </w:pPr>
    <w:r>
      <w:tab/>
      <w:t xml:space="preserve">- </w:t>
    </w:r>
    <w:r w:rsidR="008A6550" w:rsidRPr="001775C1">
      <w:rPr>
        <w:szCs w:val="24"/>
      </w:rPr>
      <w:fldChar w:fldCharType="begin"/>
    </w:r>
    <w:r w:rsidRPr="001775C1">
      <w:rPr>
        <w:szCs w:val="24"/>
      </w:rPr>
      <w:instrText xml:space="preserve"> PAGE   \* MERGEFORMAT </w:instrText>
    </w:r>
    <w:r w:rsidR="008A6550" w:rsidRPr="001775C1">
      <w:rPr>
        <w:szCs w:val="24"/>
      </w:rPr>
      <w:fldChar w:fldCharType="separate"/>
    </w:r>
    <w:r w:rsidR="00302502">
      <w:rPr>
        <w:noProof/>
        <w:szCs w:val="24"/>
      </w:rPr>
      <w:t>1868</w:t>
    </w:r>
    <w:r w:rsidR="008A6550"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Pr="00924065" w:rsidRDefault="000057CD"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A87207">
    <w:pPr>
      <w:pStyle w:val="Footer"/>
    </w:pPr>
    <w:r>
      <w:pict>
        <v:rect id="_x0000_i1035" style="width:480.95pt;height:1pt" o:hralign="center" o:hrstd="t" o:hrnoshade="t" o:hr="t" fillcolor="black [3213]" stroked="f"/>
      </w:pict>
    </w:r>
  </w:p>
  <w:p w:rsidR="000057CD" w:rsidRPr="00B7374B" w:rsidRDefault="000057CD" w:rsidP="00B7374B">
    <w:pPr>
      <w:tabs>
        <w:tab w:val="center" w:pos="4680"/>
      </w:tabs>
      <w:rPr>
        <w:szCs w:val="24"/>
      </w:rPr>
    </w:pPr>
    <w:r w:rsidRPr="00954D22">
      <w:rPr>
        <w:szCs w:val="24"/>
      </w:rPr>
      <w:tab/>
      <w:t xml:space="preserve">- </w:t>
    </w:r>
    <w:r w:rsidR="008A6550" w:rsidRPr="00954D22">
      <w:rPr>
        <w:szCs w:val="24"/>
      </w:rPr>
      <w:fldChar w:fldCharType="begin"/>
    </w:r>
    <w:r w:rsidRPr="00954D22">
      <w:rPr>
        <w:szCs w:val="24"/>
      </w:rPr>
      <w:instrText xml:space="preserve"> PAGE   \* MERGEFORMAT </w:instrText>
    </w:r>
    <w:r w:rsidR="008A6550" w:rsidRPr="00954D22">
      <w:rPr>
        <w:szCs w:val="24"/>
      </w:rPr>
      <w:fldChar w:fldCharType="separate"/>
    </w:r>
    <w:r w:rsidR="00302502">
      <w:rPr>
        <w:noProof/>
        <w:szCs w:val="24"/>
      </w:rPr>
      <w:t>1811</w:t>
    </w:r>
    <w:r w:rsidR="008A6550"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755F22">
    <w:pPr>
      <w:tabs>
        <w:tab w:val="left" w:pos="-1440"/>
        <w:tab w:val="left" w:pos="-720"/>
      </w:tabs>
    </w:pPr>
    <w:r>
      <w:pict>
        <v:rect id="_x0000_i1036" style="width:480.95pt;height:1pt" o:hralign="center" o:hrstd="t" o:hrnoshade="t" o:hr="t" fillcolor="black [3213]" stroked="f"/>
      </w:pict>
    </w:r>
  </w:p>
  <w:p w:rsidR="000057CD" w:rsidRPr="00954D22" w:rsidRDefault="000057CD" w:rsidP="00B7374B">
    <w:pPr>
      <w:tabs>
        <w:tab w:val="center" w:pos="4680"/>
      </w:tabs>
      <w:rPr>
        <w:szCs w:val="24"/>
      </w:rPr>
    </w:pPr>
    <w:r w:rsidRPr="00954D22">
      <w:rPr>
        <w:szCs w:val="24"/>
      </w:rPr>
      <w:tab/>
      <w:t xml:space="preserve">- </w:t>
    </w:r>
    <w:r w:rsidR="008A6550">
      <w:rPr>
        <w:szCs w:val="24"/>
      </w:rPr>
      <w:fldChar w:fldCharType="begin"/>
    </w:r>
    <w:r>
      <w:rPr>
        <w:szCs w:val="24"/>
      </w:rPr>
      <w:instrText xml:space="preserve"> PAGE   \* MERGEFORMAT </w:instrText>
    </w:r>
    <w:r w:rsidR="008A6550">
      <w:rPr>
        <w:szCs w:val="24"/>
      </w:rPr>
      <w:fldChar w:fldCharType="separate"/>
    </w:r>
    <w:r w:rsidR="00302502">
      <w:rPr>
        <w:noProof/>
        <w:szCs w:val="24"/>
      </w:rPr>
      <w:t>1810</w:t>
    </w:r>
    <w:r w:rsidR="008A6550">
      <w:rPr>
        <w:szCs w:val="24"/>
      </w:rPr>
      <w:fldChar w:fldCharType="end"/>
    </w:r>
    <w:r w:rsidRPr="00954D22">
      <w:rPr>
        <w:szCs w:val="24"/>
      </w:rPr>
      <w:t xml:space="preserve"> -</w:t>
    </w:r>
  </w:p>
  <w:p w:rsidR="000057CD" w:rsidRDefault="000057C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A87207">
    <w:pPr>
      <w:pStyle w:val="Footer"/>
    </w:pPr>
    <w:r>
      <w:pict>
        <v:rect id="_x0000_i1038" style="width:480.95pt;height:1pt" o:hralign="center" o:hrstd="t" o:hrnoshade="t" o:hr="t" fillcolor="black [3213]" stroked="f"/>
      </w:pict>
    </w:r>
  </w:p>
  <w:p w:rsidR="000057CD" w:rsidRPr="00B7374B" w:rsidRDefault="000057CD" w:rsidP="00B7374B">
    <w:pPr>
      <w:tabs>
        <w:tab w:val="center" w:pos="4680"/>
      </w:tabs>
      <w:rPr>
        <w:szCs w:val="24"/>
      </w:rPr>
    </w:pPr>
    <w:r w:rsidRPr="00954D22">
      <w:rPr>
        <w:szCs w:val="24"/>
      </w:rPr>
      <w:tab/>
      <w:t xml:space="preserve">- </w:t>
    </w:r>
    <w:r w:rsidR="008A6550" w:rsidRPr="00954D22">
      <w:rPr>
        <w:szCs w:val="24"/>
      </w:rPr>
      <w:fldChar w:fldCharType="begin"/>
    </w:r>
    <w:r w:rsidRPr="00954D22">
      <w:rPr>
        <w:szCs w:val="24"/>
      </w:rPr>
      <w:instrText xml:space="preserve"> PAGE   \* MERGEFORMAT </w:instrText>
    </w:r>
    <w:r w:rsidR="008A6550" w:rsidRPr="00954D22">
      <w:rPr>
        <w:szCs w:val="24"/>
      </w:rPr>
      <w:fldChar w:fldCharType="separate"/>
    </w:r>
    <w:r>
      <w:rPr>
        <w:noProof/>
        <w:szCs w:val="24"/>
      </w:rPr>
      <w:t>1813</w:t>
    </w:r>
    <w:r w:rsidR="008A6550"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0057CD" w:rsidRPr="00954D22" w:rsidRDefault="000057CD" w:rsidP="00B7374B">
    <w:pPr>
      <w:tabs>
        <w:tab w:val="center" w:pos="4680"/>
      </w:tabs>
      <w:rPr>
        <w:szCs w:val="24"/>
      </w:rPr>
    </w:pPr>
    <w:r w:rsidRPr="00954D22">
      <w:rPr>
        <w:szCs w:val="24"/>
      </w:rPr>
      <w:tab/>
      <w:t xml:space="preserve">- </w:t>
    </w:r>
    <w:r w:rsidR="008A6550" w:rsidRPr="00954D22">
      <w:rPr>
        <w:szCs w:val="24"/>
      </w:rPr>
      <w:fldChar w:fldCharType="begin"/>
    </w:r>
    <w:r w:rsidRPr="00954D22">
      <w:rPr>
        <w:szCs w:val="24"/>
      </w:rPr>
      <w:instrText xml:space="preserve"> PAGE   \* MERGEFORMAT </w:instrText>
    </w:r>
    <w:r w:rsidR="008A6550" w:rsidRPr="00954D22">
      <w:rPr>
        <w:szCs w:val="24"/>
      </w:rPr>
      <w:fldChar w:fldCharType="separate"/>
    </w:r>
    <w:r w:rsidR="00302502">
      <w:rPr>
        <w:noProof/>
        <w:szCs w:val="24"/>
      </w:rPr>
      <w:t>1812</w:t>
    </w:r>
    <w:r w:rsidR="008A6550"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57CD" w:rsidRDefault="000057C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8A65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A6550">
      <w:rPr>
        <w:lang w:val="fr-CA"/>
      </w:rPr>
      <w:pict>
        <v:rect id="_x0000_i1088" style="width:480.95pt;height:1pt" o:hralign="center" o:hrstd="t" o:hrnoshade="t" o:hr="t" fillcolor="black [3213]" stroked="f"/>
      </w:pict>
    </w:r>
  </w:p>
  <w:p w:rsidR="000057CD" w:rsidRPr="0009648D" w:rsidRDefault="000057CD" w:rsidP="00ED7E83">
    <w:pPr>
      <w:tabs>
        <w:tab w:val="center" w:pos="4680"/>
      </w:tabs>
    </w:pPr>
    <w:r>
      <w:tab/>
    </w:r>
    <w:r w:rsidRPr="0009648D">
      <w:t xml:space="preserve">- </w:t>
    </w:r>
    <w:fldSimple w:instr=" PAGE   \* MERGEFORMAT ">
      <w:r w:rsidR="00302502">
        <w:rPr>
          <w:noProof/>
        </w:rPr>
        <w:t>1856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CD" w:rsidRDefault="000057CD" w:rsidP="00A87207">
      <w:r>
        <w:separator/>
      </w:r>
    </w:p>
  </w:footnote>
  <w:footnote w:type="continuationSeparator" w:id="0">
    <w:p w:rsidR="000057CD" w:rsidRDefault="000057C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057CD">
      <w:tc>
        <w:tcPr>
          <w:tcW w:w="423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057CD" w:rsidRDefault="000057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57CD" w:rsidRDefault="000057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057CD">
      <w:trPr>
        <w:gridAfter w:val="2"/>
        <w:wAfter w:w="5250" w:type="dxa"/>
      </w:trPr>
      <w:tc>
        <w:tcPr>
          <w:tcW w:w="4230" w:type="dxa"/>
          <w:tcMar>
            <w:left w:w="0" w:type="dxa"/>
            <w:right w:w="0" w:type="dxa"/>
          </w:tcMar>
        </w:tcPr>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057CD" w:rsidRPr="00755F22" w:rsidTr="00245129">
      <w:tc>
        <w:tcPr>
          <w:tcW w:w="4230" w:type="dxa"/>
          <w:tcMar>
            <w:left w:w="0" w:type="dxa"/>
            <w:right w:w="0" w:type="dxa"/>
          </w:tcMar>
        </w:tcPr>
        <w:p w:rsidR="000057CD" w:rsidRPr="00755F22" w:rsidRDefault="000057CD" w:rsidP="00831CA9">
          <w:pPr>
            <w:keepNext/>
            <w:keepLines/>
            <w:rPr>
              <w:sz w:val="20"/>
              <w:szCs w:val="20"/>
            </w:rPr>
          </w:pPr>
          <w:r w:rsidRPr="00755F22">
            <w:rPr>
              <w:sz w:val="20"/>
              <w:szCs w:val="20"/>
            </w:rPr>
            <w:t>MOTIONS</w:t>
          </w:r>
        </w:p>
      </w:tc>
      <w:tc>
        <w:tcPr>
          <w:tcW w:w="1170" w:type="dxa"/>
          <w:tcMar>
            <w:left w:w="0" w:type="dxa"/>
            <w:right w:w="0" w:type="dxa"/>
          </w:tcMar>
        </w:tcPr>
        <w:p w:rsidR="000057CD" w:rsidRPr="00755F22" w:rsidRDefault="000057CD" w:rsidP="00831CA9">
          <w:pPr>
            <w:keepLines/>
            <w:jc w:val="center"/>
            <w:rPr>
              <w:sz w:val="20"/>
              <w:szCs w:val="20"/>
            </w:rPr>
          </w:pPr>
        </w:p>
        <w:p w:rsidR="000057CD" w:rsidRPr="00755F22" w:rsidRDefault="000057CD" w:rsidP="00831CA9">
          <w:pPr>
            <w:keepLines/>
            <w:tabs>
              <w:tab w:val="left" w:pos="-1440"/>
              <w:tab w:val="left" w:pos="-720"/>
            </w:tabs>
            <w:jc w:val="center"/>
            <w:rPr>
              <w:sz w:val="20"/>
              <w:szCs w:val="20"/>
            </w:rPr>
          </w:pPr>
        </w:p>
      </w:tc>
      <w:tc>
        <w:tcPr>
          <w:tcW w:w="4080" w:type="dxa"/>
          <w:tcMar>
            <w:left w:w="0" w:type="dxa"/>
            <w:right w:w="0" w:type="dxa"/>
          </w:tcMar>
        </w:tcPr>
        <w:p w:rsidR="000057CD" w:rsidRPr="00BA6468" w:rsidRDefault="000057CD" w:rsidP="00BA6468">
          <w:pPr>
            <w:keepLines/>
            <w:rPr>
              <w:sz w:val="20"/>
              <w:szCs w:val="20"/>
              <w:lang w:val="fr-CA"/>
            </w:rPr>
          </w:pPr>
          <w:r w:rsidRPr="00BA6468">
            <w:rPr>
              <w:sz w:val="20"/>
              <w:szCs w:val="20"/>
              <w:lang w:val="fr-CA"/>
            </w:rPr>
            <w:t>REQUÊTES</w:t>
          </w:r>
        </w:p>
      </w:tc>
    </w:tr>
  </w:tbl>
  <w:p w:rsidR="000057CD" w:rsidRDefault="000057C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057CD" w:rsidRPr="00C04C40">
      <w:tc>
        <w:tcPr>
          <w:tcW w:w="420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57CD" w:rsidRPr="00283C52" w:rsidRDefault="000057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057CD" w:rsidRPr="00283C52"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057CD" w:rsidRPr="00283C52"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057CD" w:rsidRPr="00C04C40" w:rsidTr="00245129">
      <w:tc>
        <w:tcPr>
          <w:tcW w:w="4200" w:type="dxa"/>
          <w:tcMar>
            <w:left w:w="0" w:type="dxa"/>
            <w:right w:w="0" w:type="dxa"/>
          </w:tcMar>
        </w:tcPr>
        <w:p w:rsidR="000057CD" w:rsidRPr="00732DB7" w:rsidRDefault="000057C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057CD" w:rsidRPr="00732DB7" w:rsidRDefault="000057CD" w:rsidP="00732DB7">
          <w:pPr>
            <w:keepNext/>
            <w:keepLines/>
            <w:tabs>
              <w:tab w:val="left" w:pos="-1440"/>
              <w:tab w:val="left" w:pos="-720"/>
            </w:tabs>
            <w:jc w:val="center"/>
            <w:rPr>
              <w:sz w:val="20"/>
              <w:szCs w:val="20"/>
            </w:rPr>
          </w:pPr>
        </w:p>
        <w:p w:rsidR="000057CD" w:rsidRPr="00732DB7" w:rsidRDefault="000057CD" w:rsidP="00732DB7">
          <w:pPr>
            <w:keepNext/>
            <w:keepLines/>
            <w:tabs>
              <w:tab w:val="left" w:pos="-1440"/>
              <w:tab w:val="left" w:pos="-720"/>
            </w:tabs>
            <w:jc w:val="center"/>
            <w:rPr>
              <w:sz w:val="20"/>
              <w:szCs w:val="20"/>
            </w:rPr>
          </w:pPr>
        </w:p>
        <w:p w:rsidR="000057CD" w:rsidRPr="00732DB7" w:rsidRDefault="000057CD" w:rsidP="00732DB7">
          <w:pPr>
            <w:keepNext/>
            <w:keepLines/>
            <w:tabs>
              <w:tab w:val="left" w:pos="-1440"/>
              <w:tab w:val="left" w:pos="-720"/>
            </w:tabs>
            <w:jc w:val="center"/>
            <w:rPr>
              <w:sz w:val="20"/>
              <w:szCs w:val="20"/>
            </w:rPr>
          </w:pPr>
        </w:p>
      </w:tc>
      <w:tc>
        <w:tcPr>
          <w:tcW w:w="4080" w:type="dxa"/>
          <w:tcMar>
            <w:left w:w="0" w:type="dxa"/>
            <w:right w:w="0" w:type="dxa"/>
          </w:tcMar>
        </w:tcPr>
        <w:p w:rsidR="000057CD" w:rsidRPr="00732DB7" w:rsidRDefault="000057C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057CD" w:rsidRPr="00283C52" w:rsidRDefault="000057C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057CD" w:rsidRPr="00C04C40">
      <w:tc>
        <w:tcPr>
          <w:tcW w:w="420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057CD" w:rsidRPr="003C2C0F" w:rsidRDefault="000057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057CD" w:rsidRPr="003C2C0F"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057CD" w:rsidRPr="003C2C0F"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057CD" w:rsidRPr="00C04C40" w:rsidTr="00245129">
      <w:tc>
        <w:tcPr>
          <w:tcW w:w="4200" w:type="dxa"/>
          <w:tcMar>
            <w:left w:w="0" w:type="dxa"/>
            <w:right w:w="0" w:type="dxa"/>
          </w:tcMar>
        </w:tcPr>
        <w:p w:rsidR="000057CD" w:rsidRPr="00FF6EEC" w:rsidRDefault="000057CD" w:rsidP="00FF6EEC">
          <w:pPr>
            <w:rPr>
              <w:sz w:val="20"/>
              <w:szCs w:val="20"/>
            </w:rPr>
          </w:pPr>
          <w:r w:rsidRPr="00FF6EEC">
            <w:rPr>
              <w:sz w:val="20"/>
              <w:szCs w:val="20"/>
            </w:rPr>
            <w:t>PRONOUNCEMENTS OF APPEALS RESERVED</w:t>
          </w:r>
        </w:p>
      </w:tc>
      <w:tc>
        <w:tcPr>
          <w:tcW w:w="1200" w:type="dxa"/>
          <w:tcMar>
            <w:left w:w="0" w:type="dxa"/>
            <w:right w:w="0" w:type="dxa"/>
          </w:tcMar>
        </w:tcPr>
        <w:p w:rsidR="000057CD" w:rsidRPr="00FF6EEC" w:rsidRDefault="000057CD" w:rsidP="00FF6EEC">
          <w:pPr>
            <w:jc w:val="center"/>
            <w:rPr>
              <w:sz w:val="20"/>
              <w:szCs w:val="20"/>
            </w:rPr>
          </w:pPr>
        </w:p>
        <w:p w:rsidR="000057CD" w:rsidRPr="00FF6EEC" w:rsidRDefault="000057CD" w:rsidP="00FF6EEC">
          <w:pPr>
            <w:jc w:val="center"/>
            <w:rPr>
              <w:sz w:val="20"/>
              <w:szCs w:val="20"/>
            </w:rPr>
          </w:pPr>
        </w:p>
        <w:p w:rsidR="000057CD" w:rsidRPr="00FF6EEC" w:rsidRDefault="000057CD" w:rsidP="00FF6EEC">
          <w:pPr>
            <w:jc w:val="center"/>
            <w:rPr>
              <w:sz w:val="20"/>
              <w:szCs w:val="20"/>
            </w:rPr>
          </w:pPr>
        </w:p>
      </w:tc>
      <w:tc>
        <w:tcPr>
          <w:tcW w:w="4080" w:type="dxa"/>
          <w:tcMar>
            <w:left w:w="0" w:type="dxa"/>
            <w:right w:w="0" w:type="dxa"/>
          </w:tcMar>
        </w:tcPr>
        <w:p w:rsidR="000057CD" w:rsidRPr="00FF6EEC" w:rsidRDefault="000057CD" w:rsidP="00FF6EEC">
          <w:pPr>
            <w:rPr>
              <w:sz w:val="20"/>
              <w:szCs w:val="20"/>
              <w:lang w:val="fr-CA"/>
            </w:rPr>
          </w:pPr>
          <w:r w:rsidRPr="00FF6EEC">
            <w:rPr>
              <w:sz w:val="20"/>
              <w:szCs w:val="20"/>
              <w:lang w:val="fr-CA"/>
            </w:rPr>
            <w:t>JUGEMENTS RENDUS SUR LES APPELS EN DÉLIBÉRÉ</w:t>
          </w:r>
        </w:p>
      </w:tc>
    </w:tr>
  </w:tbl>
  <w:p w:rsidR="000057CD" w:rsidRPr="003C2C0F" w:rsidRDefault="000057CD"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0057CD">
      <w:tc>
        <w:tcPr>
          <w:tcW w:w="423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057CD" w:rsidRDefault="000057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057CD"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0057CD" w:rsidRPr="00782AE4" w:rsidTr="00245129">
      <w:tc>
        <w:tcPr>
          <w:tcW w:w="4230" w:type="dxa"/>
          <w:tcMar>
            <w:left w:w="0" w:type="dxa"/>
            <w:right w:w="0" w:type="dxa"/>
          </w:tcMar>
        </w:tcPr>
        <w:p w:rsidR="000057CD" w:rsidRPr="00782AE4" w:rsidRDefault="000057CD" w:rsidP="00102926">
          <w:pPr>
            <w:keepNext/>
            <w:keepLines/>
            <w:tabs>
              <w:tab w:val="left" w:pos="-1440"/>
              <w:tab w:val="left" w:pos="-720"/>
            </w:tabs>
            <w:rPr>
              <w:sz w:val="20"/>
              <w:szCs w:val="20"/>
            </w:rPr>
          </w:pPr>
          <w:r w:rsidRPr="00782AE4">
            <w:rPr>
              <w:sz w:val="20"/>
              <w:szCs w:val="20"/>
            </w:rPr>
            <w:t xml:space="preserve">HEADNOTES OF RECENT </w:t>
          </w:r>
        </w:p>
        <w:p w:rsidR="000057CD" w:rsidRPr="00782AE4"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057CD" w:rsidRDefault="000057CD" w:rsidP="00102926">
          <w:pPr>
            <w:keepNext/>
            <w:keepLines/>
            <w:tabs>
              <w:tab w:val="left" w:pos="-1440"/>
              <w:tab w:val="left" w:pos="-720"/>
            </w:tabs>
            <w:jc w:val="center"/>
            <w:rPr>
              <w:sz w:val="20"/>
              <w:szCs w:val="20"/>
            </w:rPr>
          </w:pPr>
        </w:p>
        <w:p w:rsidR="000057CD" w:rsidRDefault="000057CD" w:rsidP="00102926">
          <w:pPr>
            <w:keepNext/>
            <w:keepLines/>
            <w:tabs>
              <w:tab w:val="left" w:pos="-1440"/>
              <w:tab w:val="left" w:pos="-720"/>
            </w:tabs>
            <w:jc w:val="center"/>
            <w:rPr>
              <w:sz w:val="20"/>
              <w:szCs w:val="20"/>
            </w:rPr>
          </w:pPr>
        </w:p>
        <w:p w:rsidR="000057CD" w:rsidRPr="00782AE4" w:rsidRDefault="000057CD" w:rsidP="00102926">
          <w:pPr>
            <w:keepNext/>
            <w:keepLines/>
            <w:tabs>
              <w:tab w:val="left" w:pos="-1440"/>
              <w:tab w:val="left" w:pos="-720"/>
            </w:tabs>
            <w:jc w:val="center"/>
            <w:rPr>
              <w:sz w:val="20"/>
              <w:szCs w:val="20"/>
            </w:rPr>
          </w:pPr>
        </w:p>
      </w:tc>
      <w:tc>
        <w:tcPr>
          <w:tcW w:w="4080" w:type="dxa"/>
          <w:tcMar>
            <w:left w:w="0" w:type="dxa"/>
            <w:right w:w="0" w:type="dxa"/>
          </w:tcMar>
        </w:tcPr>
        <w:p w:rsidR="000057CD" w:rsidRPr="00102926"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057CD" w:rsidRPr="00782AE4" w:rsidRDefault="000057CD" w:rsidP="00102926">
          <w:pPr>
            <w:keepLines/>
            <w:tabs>
              <w:tab w:val="left" w:pos="-1440"/>
              <w:tab w:val="left" w:pos="-720"/>
            </w:tabs>
            <w:rPr>
              <w:sz w:val="20"/>
              <w:szCs w:val="20"/>
            </w:rPr>
          </w:pPr>
          <w:r w:rsidRPr="00102926">
            <w:rPr>
              <w:sz w:val="20"/>
              <w:szCs w:val="20"/>
              <w:lang w:val="fr-CA"/>
            </w:rPr>
            <w:t>RÉCENTS</w:t>
          </w:r>
        </w:p>
      </w:tc>
    </w:tr>
  </w:tbl>
  <w:p w:rsidR="000057CD" w:rsidRDefault="000057C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0057CD" w:rsidRPr="0044776A" w:rsidTr="00245129">
      <w:tc>
        <w:tcPr>
          <w:tcW w:w="4290" w:type="dxa"/>
          <w:tcMar>
            <w:left w:w="0" w:type="dxa"/>
            <w:right w:w="0" w:type="dxa"/>
          </w:tcMar>
        </w:tcPr>
        <w:p w:rsidR="000057CD" w:rsidRPr="0044776A" w:rsidRDefault="000057C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057CD" w:rsidRPr="0044776A" w:rsidRDefault="000057CD" w:rsidP="002E2327">
          <w:pPr>
            <w:keepNext/>
            <w:keepLines/>
            <w:tabs>
              <w:tab w:val="left" w:pos="-1440"/>
              <w:tab w:val="left" w:pos="-720"/>
            </w:tabs>
            <w:jc w:val="center"/>
            <w:rPr>
              <w:sz w:val="20"/>
              <w:szCs w:val="20"/>
            </w:rPr>
          </w:pPr>
        </w:p>
        <w:p w:rsidR="000057CD" w:rsidRPr="0044776A" w:rsidRDefault="000057CD" w:rsidP="002E2327">
          <w:pPr>
            <w:keepNext/>
            <w:keepLines/>
            <w:tabs>
              <w:tab w:val="left" w:pos="-1440"/>
              <w:tab w:val="left" w:pos="-720"/>
            </w:tabs>
            <w:jc w:val="center"/>
            <w:rPr>
              <w:sz w:val="20"/>
              <w:szCs w:val="20"/>
            </w:rPr>
          </w:pPr>
        </w:p>
        <w:p w:rsidR="000057CD" w:rsidRPr="0044776A" w:rsidRDefault="000057CD" w:rsidP="002E2327">
          <w:pPr>
            <w:keepNext/>
            <w:keepLines/>
            <w:tabs>
              <w:tab w:val="left" w:pos="-1440"/>
              <w:tab w:val="left" w:pos="-720"/>
            </w:tabs>
            <w:jc w:val="center"/>
            <w:rPr>
              <w:sz w:val="20"/>
              <w:szCs w:val="20"/>
            </w:rPr>
          </w:pPr>
        </w:p>
      </w:tc>
      <w:tc>
        <w:tcPr>
          <w:tcW w:w="4320" w:type="dxa"/>
          <w:tcMar>
            <w:left w:w="0" w:type="dxa"/>
            <w:right w:w="0" w:type="dxa"/>
          </w:tcMar>
        </w:tcPr>
        <w:p w:rsidR="000057CD" w:rsidRPr="0044776A" w:rsidRDefault="000057CD" w:rsidP="002E2327">
          <w:pPr>
            <w:keepLines/>
            <w:rPr>
              <w:sz w:val="20"/>
              <w:szCs w:val="20"/>
              <w:lang w:val="fr-CA"/>
            </w:rPr>
          </w:pPr>
          <w:r w:rsidRPr="0044776A">
            <w:rPr>
              <w:sz w:val="20"/>
              <w:szCs w:val="20"/>
              <w:lang w:val="fr-CA"/>
            </w:rPr>
            <w:t>DEMANDES D'AUTORISATION D'APPEL DÉPOSÉES</w:t>
          </w:r>
        </w:p>
      </w:tc>
    </w:tr>
  </w:tbl>
  <w:p w:rsidR="000057CD" w:rsidRDefault="000057C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057CD" w:rsidRPr="00C04C40" w:rsidTr="00245129">
      <w:tc>
        <w:tcPr>
          <w:tcW w:w="4200" w:type="dxa"/>
          <w:tcMar>
            <w:left w:w="0" w:type="dxa"/>
            <w:right w:w="0" w:type="dxa"/>
          </w:tcMar>
        </w:tcPr>
        <w:p w:rsidR="000057CD" w:rsidRPr="0044776A" w:rsidRDefault="000057CD" w:rsidP="0044776A">
          <w:pPr>
            <w:keepNext/>
            <w:keepLines/>
            <w:widowControl w:val="0"/>
            <w:rPr>
              <w:sz w:val="20"/>
              <w:szCs w:val="20"/>
            </w:rPr>
          </w:pPr>
          <w:r>
            <w:rPr>
              <w:sz w:val="20"/>
              <w:szCs w:val="20"/>
            </w:rPr>
            <w:t>APPLICATIONS FOR LEAVE</w:t>
          </w:r>
        </w:p>
        <w:p w:rsidR="000057CD" w:rsidRPr="0044776A" w:rsidRDefault="000057C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057CD" w:rsidRPr="0044776A" w:rsidRDefault="000057CD" w:rsidP="0044776A">
          <w:pPr>
            <w:keepNext/>
            <w:keepLines/>
            <w:widowControl w:val="0"/>
            <w:jc w:val="center"/>
            <w:rPr>
              <w:sz w:val="20"/>
              <w:szCs w:val="20"/>
            </w:rPr>
          </w:pPr>
        </w:p>
        <w:p w:rsidR="000057CD" w:rsidRPr="0044776A" w:rsidRDefault="000057CD" w:rsidP="0044776A">
          <w:pPr>
            <w:keepNext/>
            <w:keepLines/>
            <w:widowControl w:val="0"/>
            <w:jc w:val="center"/>
            <w:rPr>
              <w:sz w:val="20"/>
              <w:szCs w:val="20"/>
            </w:rPr>
          </w:pPr>
        </w:p>
        <w:p w:rsidR="000057CD" w:rsidRPr="0044776A" w:rsidRDefault="000057CD" w:rsidP="0044776A">
          <w:pPr>
            <w:keepNext/>
            <w:keepLines/>
            <w:widowControl w:val="0"/>
            <w:jc w:val="center"/>
            <w:rPr>
              <w:sz w:val="20"/>
              <w:szCs w:val="20"/>
            </w:rPr>
          </w:pPr>
        </w:p>
      </w:tc>
      <w:tc>
        <w:tcPr>
          <w:tcW w:w="4080" w:type="dxa"/>
          <w:tcMar>
            <w:left w:w="0" w:type="dxa"/>
            <w:right w:w="0" w:type="dxa"/>
          </w:tcMar>
        </w:tcPr>
        <w:p w:rsidR="000057CD" w:rsidRPr="0044776A" w:rsidRDefault="000057CD" w:rsidP="0044776A">
          <w:pPr>
            <w:keepLines/>
            <w:widowControl w:val="0"/>
            <w:rPr>
              <w:sz w:val="20"/>
              <w:szCs w:val="20"/>
              <w:lang w:val="fr-CA"/>
            </w:rPr>
          </w:pPr>
          <w:r w:rsidRPr="0044776A">
            <w:rPr>
              <w:sz w:val="20"/>
              <w:szCs w:val="20"/>
              <w:lang w:val="fr-CA"/>
            </w:rPr>
            <w:t>DEMANDES SOUMISES À LA COUR DEPUIS LA DERNIÈRE PARUTION</w:t>
          </w:r>
        </w:p>
        <w:p w:rsidR="000057CD" w:rsidRPr="0044776A" w:rsidRDefault="000057CD" w:rsidP="0044776A">
          <w:pPr>
            <w:widowControl w:val="0"/>
            <w:rPr>
              <w:sz w:val="20"/>
              <w:szCs w:val="20"/>
              <w:lang w:val="fr-CA"/>
            </w:rPr>
          </w:pPr>
        </w:p>
      </w:tc>
    </w:tr>
  </w:tbl>
  <w:p w:rsidR="000057CD" w:rsidRPr="002E2327" w:rsidRDefault="000057C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CD" w:rsidRDefault="000057C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0057CD" w:rsidRPr="00C04C40">
      <w:tc>
        <w:tcPr>
          <w:tcW w:w="4200" w:type="dxa"/>
          <w:tcMar>
            <w:left w:w="0" w:type="dxa"/>
            <w:right w:w="0" w:type="dxa"/>
          </w:tcMar>
        </w:tcPr>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057CD"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057CD" w:rsidRDefault="000057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57CD" w:rsidRPr="00FF6BA5" w:rsidRDefault="000057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057CD" w:rsidRPr="00FF6BA5"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057CD" w:rsidRPr="00FF6BA5"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057CD" w:rsidRPr="00FF6BA5" w:rsidRDefault="000057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057CD" w:rsidRPr="00C04C40" w:rsidTr="00245129">
      <w:tc>
        <w:tcPr>
          <w:tcW w:w="4200" w:type="dxa"/>
          <w:tcMar>
            <w:left w:w="0" w:type="dxa"/>
            <w:right w:w="0" w:type="dxa"/>
          </w:tcMar>
        </w:tcPr>
        <w:p w:rsidR="000057CD" w:rsidRPr="00755F22"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057CD" w:rsidRPr="00755F22" w:rsidRDefault="000057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057CD" w:rsidRPr="00755F22" w:rsidRDefault="000057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057CD" w:rsidRPr="00755F22" w:rsidRDefault="000057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057CD" w:rsidRPr="00755F22" w:rsidRDefault="000057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057CD" w:rsidRPr="00755F22" w:rsidRDefault="000057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057CD" w:rsidRPr="00FF6BA5" w:rsidRDefault="000057C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7DDF"/>
    <w:multiLevelType w:val="hybridMultilevel"/>
    <w:tmpl w:val="D186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73488"/>
    <w:multiLevelType w:val="hybridMultilevel"/>
    <w:tmpl w:val="20E8B09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27869"/>
    <w:multiLevelType w:val="hybridMultilevel"/>
    <w:tmpl w:val="CEB0E38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61722"/>
    <w:multiLevelType w:val="hybridMultilevel"/>
    <w:tmpl w:val="98601B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7AD28B3"/>
    <w:multiLevelType w:val="hybridMultilevel"/>
    <w:tmpl w:val="152E034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E7A41"/>
    <w:multiLevelType w:val="hybridMultilevel"/>
    <w:tmpl w:val="A944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4967"/>
    <w:multiLevelType w:val="hybridMultilevel"/>
    <w:tmpl w:val="586C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grammar="clean"/>
  <w:defaultTabStop w:val="720"/>
  <w:drawingGridHorizontalSpacing w:val="120"/>
  <w:displayHorizontalDrawingGridEvery w:val="2"/>
  <w:characterSpacingControl w:val="doNotCompress"/>
  <w:hdrShapeDefaults>
    <o:shapedefaults v:ext="edit" spidmax="28687"/>
  </w:hdrShapeDefaults>
  <w:footnotePr>
    <w:footnote w:id="-1"/>
    <w:footnote w:id="0"/>
  </w:footnotePr>
  <w:endnotePr>
    <w:endnote w:id="-1"/>
    <w:endnote w:id="0"/>
  </w:endnotePr>
  <w:compat/>
  <w:rsids>
    <w:rsidRoot w:val="00B653A7"/>
    <w:rsid w:val="00002060"/>
    <w:rsid w:val="000057CD"/>
    <w:rsid w:val="000136B2"/>
    <w:rsid w:val="00014C67"/>
    <w:rsid w:val="0003223B"/>
    <w:rsid w:val="000327B2"/>
    <w:rsid w:val="00032F73"/>
    <w:rsid w:val="00033680"/>
    <w:rsid w:val="000634F4"/>
    <w:rsid w:val="000947C6"/>
    <w:rsid w:val="00094D7C"/>
    <w:rsid w:val="00096BD9"/>
    <w:rsid w:val="000A4E59"/>
    <w:rsid w:val="000B3C9A"/>
    <w:rsid w:val="000B40A2"/>
    <w:rsid w:val="000C0ACD"/>
    <w:rsid w:val="000D0641"/>
    <w:rsid w:val="000E736C"/>
    <w:rsid w:val="00102926"/>
    <w:rsid w:val="0010587F"/>
    <w:rsid w:val="00111C6B"/>
    <w:rsid w:val="0012102B"/>
    <w:rsid w:val="00127861"/>
    <w:rsid w:val="0013369E"/>
    <w:rsid w:val="00137F05"/>
    <w:rsid w:val="00147CE9"/>
    <w:rsid w:val="00164E6D"/>
    <w:rsid w:val="001B157C"/>
    <w:rsid w:val="001B5C23"/>
    <w:rsid w:val="001B799C"/>
    <w:rsid w:val="001D0D5F"/>
    <w:rsid w:val="001D1146"/>
    <w:rsid w:val="001D1491"/>
    <w:rsid w:val="001D3C7A"/>
    <w:rsid w:val="001D6B8C"/>
    <w:rsid w:val="001D6E58"/>
    <w:rsid w:val="001F1F83"/>
    <w:rsid w:val="001F1FBA"/>
    <w:rsid w:val="001F71A8"/>
    <w:rsid w:val="002021A9"/>
    <w:rsid w:val="002139A7"/>
    <w:rsid w:val="00215F7C"/>
    <w:rsid w:val="0022323B"/>
    <w:rsid w:val="0023541B"/>
    <w:rsid w:val="002410B8"/>
    <w:rsid w:val="00242AEE"/>
    <w:rsid w:val="00245129"/>
    <w:rsid w:val="00245879"/>
    <w:rsid w:val="00246C21"/>
    <w:rsid w:val="00251C79"/>
    <w:rsid w:val="002543ED"/>
    <w:rsid w:val="00267FD5"/>
    <w:rsid w:val="002775D1"/>
    <w:rsid w:val="002868D0"/>
    <w:rsid w:val="002A27D1"/>
    <w:rsid w:val="002A2BF4"/>
    <w:rsid w:val="002A4AFA"/>
    <w:rsid w:val="002B516C"/>
    <w:rsid w:val="002D59B8"/>
    <w:rsid w:val="002D5CEA"/>
    <w:rsid w:val="002D72EB"/>
    <w:rsid w:val="002E2327"/>
    <w:rsid w:val="002E3583"/>
    <w:rsid w:val="002E5576"/>
    <w:rsid w:val="00302502"/>
    <w:rsid w:val="0032335B"/>
    <w:rsid w:val="00326E47"/>
    <w:rsid w:val="00331B52"/>
    <w:rsid w:val="003359D3"/>
    <w:rsid w:val="00342AFC"/>
    <w:rsid w:val="0034524C"/>
    <w:rsid w:val="00350547"/>
    <w:rsid w:val="00352861"/>
    <w:rsid w:val="00355967"/>
    <w:rsid w:val="00361130"/>
    <w:rsid w:val="0036574E"/>
    <w:rsid w:val="00367400"/>
    <w:rsid w:val="003733E3"/>
    <w:rsid w:val="00382C47"/>
    <w:rsid w:val="00383543"/>
    <w:rsid w:val="00384384"/>
    <w:rsid w:val="003866AE"/>
    <w:rsid w:val="00386DC4"/>
    <w:rsid w:val="0039793E"/>
    <w:rsid w:val="003B3977"/>
    <w:rsid w:val="003B452E"/>
    <w:rsid w:val="003E2B92"/>
    <w:rsid w:val="003F6A03"/>
    <w:rsid w:val="00404951"/>
    <w:rsid w:val="004130B2"/>
    <w:rsid w:val="004155D2"/>
    <w:rsid w:val="00416344"/>
    <w:rsid w:val="00432989"/>
    <w:rsid w:val="00440E24"/>
    <w:rsid w:val="00444BCF"/>
    <w:rsid w:val="0044776A"/>
    <w:rsid w:val="00457E34"/>
    <w:rsid w:val="00460AFC"/>
    <w:rsid w:val="00461E0F"/>
    <w:rsid w:val="00473523"/>
    <w:rsid w:val="0047471F"/>
    <w:rsid w:val="00483080"/>
    <w:rsid w:val="004B66B4"/>
    <w:rsid w:val="004B7F60"/>
    <w:rsid w:val="004C1AAC"/>
    <w:rsid w:val="004F090E"/>
    <w:rsid w:val="005000C3"/>
    <w:rsid w:val="00503170"/>
    <w:rsid w:val="00507C73"/>
    <w:rsid w:val="00527C9F"/>
    <w:rsid w:val="00527CC7"/>
    <w:rsid w:val="00533176"/>
    <w:rsid w:val="00571CA4"/>
    <w:rsid w:val="00582136"/>
    <w:rsid w:val="00587178"/>
    <w:rsid w:val="005B3329"/>
    <w:rsid w:val="005C6840"/>
    <w:rsid w:val="005C6D04"/>
    <w:rsid w:val="005D0703"/>
    <w:rsid w:val="005E3E17"/>
    <w:rsid w:val="005F263E"/>
    <w:rsid w:val="00600252"/>
    <w:rsid w:val="00601301"/>
    <w:rsid w:val="00612A40"/>
    <w:rsid w:val="0063214B"/>
    <w:rsid w:val="00640250"/>
    <w:rsid w:val="00650C13"/>
    <w:rsid w:val="00660A94"/>
    <w:rsid w:val="006613D6"/>
    <w:rsid w:val="00662807"/>
    <w:rsid w:val="00665338"/>
    <w:rsid w:val="00675479"/>
    <w:rsid w:val="0068445B"/>
    <w:rsid w:val="00684B83"/>
    <w:rsid w:val="00692BC9"/>
    <w:rsid w:val="00696BF9"/>
    <w:rsid w:val="00697C62"/>
    <w:rsid w:val="006A329B"/>
    <w:rsid w:val="006A3DFE"/>
    <w:rsid w:val="006A7EB8"/>
    <w:rsid w:val="006B19DA"/>
    <w:rsid w:val="006B6926"/>
    <w:rsid w:val="006B712D"/>
    <w:rsid w:val="006C0639"/>
    <w:rsid w:val="006C3F47"/>
    <w:rsid w:val="006C5F7A"/>
    <w:rsid w:val="006E06AF"/>
    <w:rsid w:val="006E0EF4"/>
    <w:rsid w:val="006F350F"/>
    <w:rsid w:val="007179EE"/>
    <w:rsid w:val="00731A11"/>
    <w:rsid w:val="00732DB7"/>
    <w:rsid w:val="0074238B"/>
    <w:rsid w:val="00751F3F"/>
    <w:rsid w:val="00755F22"/>
    <w:rsid w:val="00766E4A"/>
    <w:rsid w:val="007820CE"/>
    <w:rsid w:val="00782AE4"/>
    <w:rsid w:val="007835F0"/>
    <w:rsid w:val="007862D4"/>
    <w:rsid w:val="0079724F"/>
    <w:rsid w:val="007A0A95"/>
    <w:rsid w:val="007A3EAE"/>
    <w:rsid w:val="007B2431"/>
    <w:rsid w:val="007C04FC"/>
    <w:rsid w:val="007C5D59"/>
    <w:rsid w:val="007D0A5A"/>
    <w:rsid w:val="007D3E0F"/>
    <w:rsid w:val="007E468C"/>
    <w:rsid w:val="007F387B"/>
    <w:rsid w:val="008023E2"/>
    <w:rsid w:val="00802863"/>
    <w:rsid w:val="00814F7A"/>
    <w:rsid w:val="0081558E"/>
    <w:rsid w:val="00815B3C"/>
    <w:rsid w:val="0082783A"/>
    <w:rsid w:val="00831CA9"/>
    <w:rsid w:val="00832502"/>
    <w:rsid w:val="00841355"/>
    <w:rsid w:val="00841C7D"/>
    <w:rsid w:val="00850E1F"/>
    <w:rsid w:val="0085476B"/>
    <w:rsid w:val="0086163D"/>
    <w:rsid w:val="00875564"/>
    <w:rsid w:val="00882776"/>
    <w:rsid w:val="00890FEB"/>
    <w:rsid w:val="008A5ABF"/>
    <w:rsid w:val="008A6550"/>
    <w:rsid w:val="008B32C1"/>
    <w:rsid w:val="008B5F7D"/>
    <w:rsid w:val="008D292F"/>
    <w:rsid w:val="008E03DC"/>
    <w:rsid w:val="008F6B1B"/>
    <w:rsid w:val="009216BF"/>
    <w:rsid w:val="00924065"/>
    <w:rsid w:val="00925C19"/>
    <w:rsid w:val="00926CBD"/>
    <w:rsid w:val="00930D68"/>
    <w:rsid w:val="00932DB4"/>
    <w:rsid w:val="00941A4B"/>
    <w:rsid w:val="00946242"/>
    <w:rsid w:val="0095096B"/>
    <w:rsid w:val="00955755"/>
    <w:rsid w:val="0096327B"/>
    <w:rsid w:val="0096618E"/>
    <w:rsid w:val="00970CD3"/>
    <w:rsid w:val="009723FA"/>
    <w:rsid w:val="00975CDB"/>
    <w:rsid w:val="0097634C"/>
    <w:rsid w:val="009829B5"/>
    <w:rsid w:val="00984546"/>
    <w:rsid w:val="00996510"/>
    <w:rsid w:val="009C135D"/>
    <w:rsid w:val="009D0A50"/>
    <w:rsid w:val="009D1F15"/>
    <w:rsid w:val="009D555E"/>
    <w:rsid w:val="009F7A4A"/>
    <w:rsid w:val="00A0355E"/>
    <w:rsid w:val="00A11A4C"/>
    <w:rsid w:val="00A11FA0"/>
    <w:rsid w:val="00A375D1"/>
    <w:rsid w:val="00A50209"/>
    <w:rsid w:val="00A51D10"/>
    <w:rsid w:val="00A52A83"/>
    <w:rsid w:val="00A6552C"/>
    <w:rsid w:val="00A70C53"/>
    <w:rsid w:val="00A87207"/>
    <w:rsid w:val="00A935AA"/>
    <w:rsid w:val="00AB2201"/>
    <w:rsid w:val="00AB743D"/>
    <w:rsid w:val="00AC0E60"/>
    <w:rsid w:val="00AC2EFF"/>
    <w:rsid w:val="00AD0280"/>
    <w:rsid w:val="00AD3259"/>
    <w:rsid w:val="00AE4F1B"/>
    <w:rsid w:val="00AE75EC"/>
    <w:rsid w:val="00AF1715"/>
    <w:rsid w:val="00AF3904"/>
    <w:rsid w:val="00AF7A66"/>
    <w:rsid w:val="00B010C0"/>
    <w:rsid w:val="00B01981"/>
    <w:rsid w:val="00B101FC"/>
    <w:rsid w:val="00B214D6"/>
    <w:rsid w:val="00B4740D"/>
    <w:rsid w:val="00B54480"/>
    <w:rsid w:val="00B57F55"/>
    <w:rsid w:val="00B61629"/>
    <w:rsid w:val="00B653A7"/>
    <w:rsid w:val="00B7374B"/>
    <w:rsid w:val="00B90DC0"/>
    <w:rsid w:val="00BA116A"/>
    <w:rsid w:val="00BA5582"/>
    <w:rsid w:val="00BA6468"/>
    <w:rsid w:val="00BB3A73"/>
    <w:rsid w:val="00BB4EB3"/>
    <w:rsid w:val="00BC716D"/>
    <w:rsid w:val="00BD06DA"/>
    <w:rsid w:val="00BD0E2D"/>
    <w:rsid w:val="00BD4217"/>
    <w:rsid w:val="00BE01FE"/>
    <w:rsid w:val="00BF25F3"/>
    <w:rsid w:val="00C04C40"/>
    <w:rsid w:val="00C1697B"/>
    <w:rsid w:val="00C20D8D"/>
    <w:rsid w:val="00C21CB5"/>
    <w:rsid w:val="00C375B5"/>
    <w:rsid w:val="00C50A5C"/>
    <w:rsid w:val="00C50FDF"/>
    <w:rsid w:val="00C536B2"/>
    <w:rsid w:val="00C56C72"/>
    <w:rsid w:val="00C605BA"/>
    <w:rsid w:val="00C71799"/>
    <w:rsid w:val="00C73E1B"/>
    <w:rsid w:val="00C759B4"/>
    <w:rsid w:val="00C77713"/>
    <w:rsid w:val="00C92191"/>
    <w:rsid w:val="00CA7B5C"/>
    <w:rsid w:val="00CB2338"/>
    <w:rsid w:val="00CB43D5"/>
    <w:rsid w:val="00CB480D"/>
    <w:rsid w:val="00CC2FB6"/>
    <w:rsid w:val="00CC4D84"/>
    <w:rsid w:val="00CE1F58"/>
    <w:rsid w:val="00CE77DD"/>
    <w:rsid w:val="00CF0B79"/>
    <w:rsid w:val="00D03BE5"/>
    <w:rsid w:val="00D04563"/>
    <w:rsid w:val="00D14AE7"/>
    <w:rsid w:val="00D2130F"/>
    <w:rsid w:val="00D25F59"/>
    <w:rsid w:val="00D306F7"/>
    <w:rsid w:val="00D472EC"/>
    <w:rsid w:val="00D51911"/>
    <w:rsid w:val="00D64901"/>
    <w:rsid w:val="00D7136E"/>
    <w:rsid w:val="00D76BDF"/>
    <w:rsid w:val="00D82D41"/>
    <w:rsid w:val="00D82D81"/>
    <w:rsid w:val="00D862C1"/>
    <w:rsid w:val="00D93B50"/>
    <w:rsid w:val="00D94670"/>
    <w:rsid w:val="00DA46F6"/>
    <w:rsid w:val="00DD0B49"/>
    <w:rsid w:val="00DD145D"/>
    <w:rsid w:val="00DE2586"/>
    <w:rsid w:val="00DE5138"/>
    <w:rsid w:val="00DF45EB"/>
    <w:rsid w:val="00E0036C"/>
    <w:rsid w:val="00E016B9"/>
    <w:rsid w:val="00E06DFA"/>
    <w:rsid w:val="00E07451"/>
    <w:rsid w:val="00E20A0A"/>
    <w:rsid w:val="00E356C7"/>
    <w:rsid w:val="00E45FE4"/>
    <w:rsid w:val="00E64FA7"/>
    <w:rsid w:val="00E717B7"/>
    <w:rsid w:val="00E770CB"/>
    <w:rsid w:val="00E903A1"/>
    <w:rsid w:val="00E940EB"/>
    <w:rsid w:val="00EB2B90"/>
    <w:rsid w:val="00EC1FA0"/>
    <w:rsid w:val="00ED7E83"/>
    <w:rsid w:val="00EE0B2D"/>
    <w:rsid w:val="00EF4B63"/>
    <w:rsid w:val="00EF7ACE"/>
    <w:rsid w:val="00F0068D"/>
    <w:rsid w:val="00F0576D"/>
    <w:rsid w:val="00F14E6D"/>
    <w:rsid w:val="00F15EA8"/>
    <w:rsid w:val="00F16C8D"/>
    <w:rsid w:val="00F26C61"/>
    <w:rsid w:val="00F33CCE"/>
    <w:rsid w:val="00F36568"/>
    <w:rsid w:val="00F40249"/>
    <w:rsid w:val="00F430C6"/>
    <w:rsid w:val="00F51D68"/>
    <w:rsid w:val="00F526C8"/>
    <w:rsid w:val="00F60F56"/>
    <w:rsid w:val="00F65293"/>
    <w:rsid w:val="00F669BA"/>
    <w:rsid w:val="00F7528C"/>
    <w:rsid w:val="00F9272D"/>
    <w:rsid w:val="00F9518C"/>
    <w:rsid w:val="00FA316E"/>
    <w:rsid w:val="00FA59EF"/>
    <w:rsid w:val="00FB19A2"/>
    <w:rsid w:val="00FB6E0D"/>
    <w:rsid w:val="00FF2C3C"/>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paragraph" w:styleId="BalloonText">
    <w:name w:val="Balloon Text"/>
    <w:basedOn w:val="Normal"/>
    <w:link w:val="BalloonTextChar"/>
    <w:uiPriority w:val="99"/>
    <w:semiHidden/>
    <w:unhideWhenUsed/>
    <w:rsid w:val="00EC1FA0"/>
    <w:rPr>
      <w:rFonts w:ascii="Tahoma" w:hAnsi="Tahoma" w:cs="Tahoma"/>
      <w:sz w:val="16"/>
      <w:szCs w:val="16"/>
    </w:rPr>
  </w:style>
  <w:style w:type="character" w:customStyle="1" w:styleId="BalloonTextChar">
    <w:name w:val="Balloon Text Char"/>
    <w:basedOn w:val="DefaultParagraphFont"/>
    <w:link w:val="BalloonText"/>
    <w:uiPriority w:val="99"/>
    <w:semiHidden/>
    <w:rsid w:val="00EC1FA0"/>
    <w:rPr>
      <w:rFonts w:ascii="Tahoma" w:hAnsi="Tahoma" w:cs="Tahoma"/>
      <w:sz w:val="16"/>
      <w:szCs w:val="16"/>
      <w:lang w:val="en-CA"/>
    </w:rPr>
  </w:style>
  <w:style w:type="table" w:customStyle="1" w:styleId="TableGrid1">
    <w:name w:val="Table Grid1"/>
    <w:basedOn w:val="TableNormal"/>
    <w:next w:val="TableGrid"/>
    <w:uiPriority w:val="59"/>
    <w:rsid w:val="002D5CEA"/>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Ssoc">
    <w:name w:val="SCC.Ssoc"/>
    <w:basedOn w:val="Normal"/>
    <w:next w:val="Normal"/>
    <w:link w:val="SCCSsocChar"/>
    <w:rsid w:val="00660A94"/>
    <w:rPr>
      <w:rFonts w:eastAsia="Calibri" w:cs="Times New Roman"/>
      <w:i/>
      <w:sz w:val="20"/>
      <w:szCs w:val="20"/>
    </w:rPr>
  </w:style>
  <w:style w:type="character" w:customStyle="1" w:styleId="SCCSsocChar">
    <w:name w:val="SCC.Ssoc Char"/>
    <w:basedOn w:val="DefaultParagraphFont"/>
    <w:link w:val="SCCSsoc"/>
    <w:rsid w:val="00660A94"/>
    <w:rPr>
      <w:rFonts w:eastAsia="Calibri" w:cs="Times New Roman"/>
      <w:i/>
      <w:sz w:val="20"/>
      <w:szCs w:val="20"/>
      <w:lang w:val="en-CA"/>
    </w:rPr>
  </w:style>
  <w:style w:type="paragraph" w:customStyle="1" w:styleId="SCCAppellantInfoAppellantInfo">
    <w:name w:val="SCC.AppellantInfo.AppellantInfo"/>
    <w:basedOn w:val="Normal"/>
    <w:next w:val="Normal"/>
    <w:link w:val="SCCAppellantInfoAppellantInfoChar"/>
    <w:rsid w:val="0063214B"/>
    <w:rPr>
      <w:szCs w:val="24"/>
    </w:rPr>
  </w:style>
  <w:style w:type="character" w:customStyle="1" w:styleId="SCCAppellantInfoAppellantInfoChar">
    <w:name w:val="SCC.AppellantInfo.AppellantInfo Char"/>
    <w:basedOn w:val="DefaultParagraphFont"/>
    <w:link w:val="SCCAppellantInfoAppellantInfo"/>
    <w:rsid w:val="0063214B"/>
    <w:rPr>
      <w:szCs w:val="24"/>
      <w:lang w:val="en-CA"/>
    </w:rPr>
  </w:style>
  <w:style w:type="table" w:customStyle="1" w:styleId="TableGrid2">
    <w:name w:val="Table Grid2"/>
    <w:basedOn w:val="TableNormal"/>
    <w:next w:val="TableGrid"/>
    <w:uiPriority w:val="59"/>
    <w:rsid w:val="00D82D8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3176"/>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5020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605B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605B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605B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605B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605B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605B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6533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6533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65338"/>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D145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D145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D145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D145D"/>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6113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361130"/>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7A0A9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26002</Words>
  <Characters>148216</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2011-12-12T13:15:00Z</dcterms:created>
  <dcterms:modified xsi:type="dcterms:W3CDTF">2011-12-12T13:15:00Z</dcterms:modified>
</cp:coreProperties>
</file>